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205A" w:rsidRDefault="0066205A" w:rsidP="0066205A">
      <w:pPr>
        <w:spacing w:line="240" w:lineRule="auto"/>
        <w:jc w:val="both"/>
        <w:rPr>
          <w:rFonts w:ascii="Times New Roman" w:hAnsi="Times New Roman" w:cs="Times New Roman"/>
          <w:b/>
          <w:sz w:val="24"/>
          <w:szCs w:val="24"/>
        </w:rPr>
      </w:pPr>
      <w:r>
        <w:rPr>
          <w:rFonts w:ascii="Times New Roman" w:eastAsia="Times New Roman" w:hAnsi="Times New Roman" w:cs="Times New Roman"/>
          <w:b/>
          <w:color w:val="1E1E1F"/>
          <w:sz w:val="24"/>
          <w:szCs w:val="24"/>
          <w:lang w:eastAsia="es-ES"/>
        </w:rPr>
        <w:t>Anexos del</w:t>
      </w:r>
      <w:bookmarkStart w:id="0" w:name="_GoBack"/>
      <w:bookmarkEnd w:id="0"/>
      <w:r w:rsidR="00AB1D08">
        <w:rPr>
          <w:rFonts w:ascii="Times New Roman" w:eastAsia="Times New Roman" w:hAnsi="Times New Roman" w:cs="Times New Roman"/>
          <w:b/>
          <w:color w:val="1E1E1F"/>
          <w:sz w:val="24"/>
          <w:szCs w:val="24"/>
          <w:lang w:eastAsia="es-ES"/>
        </w:rPr>
        <w:t xml:space="preserve"> </w:t>
      </w:r>
      <w:proofErr w:type="spellStart"/>
      <w:r w:rsidRPr="009F0E9B">
        <w:rPr>
          <w:rFonts w:ascii="Times New Roman" w:hAnsi="Times New Roman" w:cs="Times New Roman"/>
          <w:b/>
          <w:sz w:val="24"/>
          <w:szCs w:val="24"/>
        </w:rPr>
        <w:t>Paper</w:t>
      </w:r>
      <w:proofErr w:type="spellEnd"/>
      <w:r w:rsidRPr="009F0E9B">
        <w:rPr>
          <w:rFonts w:ascii="Times New Roman" w:hAnsi="Times New Roman" w:cs="Times New Roman"/>
          <w:b/>
          <w:sz w:val="24"/>
          <w:szCs w:val="24"/>
        </w:rPr>
        <w:t xml:space="preserve"> -</w:t>
      </w:r>
      <w:r w:rsidRPr="00AD6BA0">
        <w:rPr>
          <w:rFonts w:ascii="Times New Roman" w:hAnsi="Times New Roman" w:cs="Times New Roman"/>
          <w:b/>
          <w:sz w:val="24"/>
          <w:szCs w:val="24"/>
        </w:rPr>
        <w:t>Acu</w:t>
      </w:r>
      <w:r>
        <w:rPr>
          <w:rFonts w:ascii="Times New Roman" w:hAnsi="Times New Roman" w:cs="Times New Roman"/>
          <w:b/>
          <w:sz w:val="24"/>
          <w:szCs w:val="24"/>
        </w:rPr>
        <w:t>erdo Unión Europea - Mercosur (y</w:t>
      </w:r>
      <w:r w:rsidRPr="00AD6BA0">
        <w:rPr>
          <w:rFonts w:ascii="Times New Roman" w:hAnsi="Times New Roman" w:cs="Times New Roman"/>
          <w:b/>
          <w:sz w:val="24"/>
          <w:szCs w:val="24"/>
        </w:rPr>
        <w:t xml:space="preserve"> los brócolis de la ira)</w:t>
      </w:r>
    </w:p>
    <w:p w:rsidR="0066205A" w:rsidRPr="0062330F"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r w:rsidRPr="0062330F">
        <w:rPr>
          <w:rFonts w:ascii="Times New Roman" w:eastAsia="Times New Roman" w:hAnsi="Times New Roman" w:cs="Times New Roman"/>
          <w:b/>
          <w:color w:val="1E1E1F"/>
          <w:sz w:val="24"/>
          <w:szCs w:val="24"/>
          <w:lang w:eastAsia="es-ES"/>
        </w:rPr>
        <w:t>- Anexo</w:t>
      </w:r>
      <w:r>
        <w:rPr>
          <w:rFonts w:ascii="Times New Roman" w:eastAsia="Times New Roman" w:hAnsi="Times New Roman" w:cs="Times New Roman"/>
          <w:b/>
          <w:color w:val="1E1E1F"/>
          <w:sz w:val="24"/>
          <w:szCs w:val="24"/>
          <w:lang w:eastAsia="es-ES"/>
        </w:rPr>
        <w:t xml:space="preserve"> I</w:t>
      </w:r>
      <w:r w:rsidRPr="0062330F">
        <w:rPr>
          <w:rFonts w:ascii="Times New Roman" w:eastAsia="Times New Roman" w:hAnsi="Times New Roman" w:cs="Times New Roman"/>
          <w:b/>
          <w:color w:val="1E1E1F"/>
          <w:sz w:val="24"/>
          <w:szCs w:val="24"/>
          <w:lang w:eastAsia="es-ES"/>
        </w:rPr>
        <w:t>: Base de datos e informaci</w:t>
      </w:r>
      <w:r>
        <w:rPr>
          <w:rFonts w:ascii="Times New Roman" w:eastAsia="Times New Roman" w:hAnsi="Times New Roman" w:cs="Times New Roman"/>
          <w:b/>
          <w:color w:val="1E1E1F"/>
          <w:sz w:val="24"/>
          <w:szCs w:val="24"/>
          <w:lang w:eastAsia="es-ES"/>
        </w:rPr>
        <w:t>ón complementaria</w:t>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val="en-GB" w:eastAsia="es-ES"/>
        </w:rPr>
      </w:pPr>
      <w:r w:rsidRPr="00333AA3">
        <w:rPr>
          <w:rFonts w:ascii="Times New Roman" w:eastAsia="Times New Roman" w:hAnsi="Times New Roman" w:cs="Times New Roman"/>
          <w:b/>
          <w:color w:val="1E1E1F"/>
          <w:sz w:val="24"/>
          <w:szCs w:val="24"/>
          <w:lang w:val="en-GB" w:eastAsia="es-ES"/>
        </w:rPr>
        <w:t>Cumulative economic impact of upcoming trade agreements on EU agriculture</w:t>
      </w:r>
      <w:r>
        <w:rPr>
          <w:rFonts w:ascii="Times New Roman" w:eastAsia="Times New Roman" w:hAnsi="Times New Roman" w:cs="Times New Roman"/>
          <w:b/>
          <w:color w:val="1E1E1F"/>
          <w:sz w:val="24"/>
          <w:szCs w:val="24"/>
          <w:lang w:val="en-GB" w:eastAsia="es-ES"/>
        </w:rPr>
        <w:t xml:space="preserve"> - 2024</w:t>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333AA3">
        <w:rPr>
          <w:rFonts w:ascii="Times New Roman" w:eastAsia="Times New Roman" w:hAnsi="Times New Roman" w:cs="Times New Roman"/>
          <w:color w:val="1E1E1F"/>
          <w:sz w:val="24"/>
          <w:szCs w:val="24"/>
          <w:lang w:val="en-GB" w:eastAsia="es-ES"/>
        </w:rPr>
        <w:t>This publication is a Science for Policy report by the Joint Research Centre (JRC), the European Commission’s science and knowledge service. It aims to provide evidence-based scientific support to the European policymaking process.</w:t>
      </w:r>
    </w:p>
    <w:p w:rsidR="0066205A" w:rsidRPr="00333AA3" w:rsidRDefault="0066205A" w:rsidP="0066205A">
      <w:pPr>
        <w:pStyle w:val="Default"/>
        <w:jc w:val="both"/>
        <w:rPr>
          <w:rFonts w:ascii="Times New Roman" w:hAnsi="Times New Roman" w:cs="Times New Roman"/>
          <w:b/>
          <w:bCs/>
          <w:lang w:val="en-GB"/>
        </w:rPr>
      </w:pPr>
      <w:r w:rsidRPr="00333AA3">
        <w:rPr>
          <w:rFonts w:ascii="Times New Roman" w:hAnsi="Times New Roman" w:cs="Times New Roman"/>
          <w:b/>
          <w:bCs/>
          <w:lang w:val="en-GB"/>
        </w:rPr>
        <w:t xml:space="preserve">Abstract </w:t>
      </w:r>
    </w:p>
    <w:p w:rsidR="0066205A" w:rsidRPr="00333AA3" w:rsidRDefault="0066205A" w:rsidP="0066205A">
      <w:pPr>
        <w:pStyle w:val="Default"/>
        <w:jc w:val="both"/>
        <w:rPr>
          <w:rFonts w:ascii="Times New Roman" w:hAnsi="Times New Roman" w:cs="Times New Roman"/>
          <w:lang w:val="en-GB"/>
        </w:rPr>
      </w:pPr>
    </w:p>
    <w:p w:rsidR="0066205A" w:rsidRDefault="0066205A" w:rsidP="0066205A">
      <w:pPr>
        <w:pStyle w:val="Default"/>
        <w:jc w:val="both"/>
        <w:rPr>
          <w:rFonts w:ascii="Times New Roman" w:hAnsi="Times New Roman" w:cs="Times New Roman"/>
          <w:lang w:val="en-GB"/>
        </w:rPr>
      </w:pPr>
      <w:r w:rsidRPr="00333AA3">
        <w:rPr>
          <w:rFonts w:ascii="Times New Roman" w:hAnsi="Times New Roman" w:cs="Times New Roman"/>
          <w:lang w:val="en-GB"/>
        </w:rPr>
        <w:t xml:space="preserve">This study investigates the potential effects of 10 upcoming free trade agreements (FTAs) under the current EU trade agenda. It quantifies the cumulative sectoral impacts in terms of bilateral trade, production, demand and price developments. Moreover, it provides insights into the evolution of supply, demand and farm-gate prices for the most relevant EU agricultural commodity markets. In contrast to a forecast exercise, this analysis compares two variants of a trade liberalisation scenario (conservative and ambitious) with a business-as-usual (baseline) situation in 2032, including an analysis of the effects of the UK trade agenda on EU </w:t>
      </w:r>
      <w:proofErr w:type="spellStart"/>
      <w:r w:rsidRPr="00333AA3">
        <w:rPr>
          <w:rFonts w:ascii="Times New Roman" w:hAnsi="Times New Roman" w:cs="Times New Roman"/>
          <w:lang w:val="en-GB"/>
        </w:rPr>
        <w:t>agri</w:t>
      </w:r>
      <w:proofErr w:type="spellEnd"/>
      <w:r w:rsidRPr="00333AA3">
        <w:rPr>
          <w:rFonts w:ascii="Times New Roman" w:hAnsi="Times New Roman" w:cs="Times New Roman"/>
          <w:lang w:val="en-GB"/>
        </w:rPr>
        <w:t xml:space="preserve">-food trade. </w:t>
      </w:r>
    </w:p>
    <w:p w:rsidR="0066205A" w:rsidRPr="00333AA3" w:rsidRDefault="0066205A" w:rsidP="0066205A">
      <w:pPr>
        <w:pStyle w:val="Default"/>
        <w:jc w:val="both"/>
        <w:rPr>
          <w:rFonts w:ascii="Times New Roman" w:hAnsi="Times New Roman" w:cs="Times New Roman"/>
          <w:lang w:val="en-GB"/>
        </w:rPr>
      </w:pPr>
    </w:p>
    <w:p w:rsidR="0066205A" w:rsidRDefault="0066205A" w:rsidP="0066205A">
      <w:pPr>
        <w:shd w:val="clear" w:color="auto" w:fill="FFFFFF"/>
        <w:spacing w:after="100" w:afterAutospacing="1" w:line="240" w:lineRule="auto"/>
        <w:jc w:val="both"/>
        <w:rPr>
          <w:rFonts w:ascii="Times New Roman" w:hAnsi="Times New Roman" w:cs="Times New Roman"/>
          <w:sz w:val="24"/>
          <w:szCs w:val="24"/>
          <w:lang w:val="en-GB"/>
        </w:rPr>
      </w:pPr>
      <w:r w:rsidRPr="00333AA3">
        <w:rPr>
          <w:rFonts w:ascii="Times New Roman" w:hAnsi="Times New Roman" w:cs="Times New Roman"/>
          <w:sz w:val="24"/>
          <w:szCs w:val="24"/>
          <w:lang w:val="en-GB"/>
        </w:rPr>
        <w:t xml:space="preserve">The study confirms that the analysed FTAs have the potential to benefit the EU </w:t>
      </w:r>
      <w:proofErr w:type="spellStart"/>
      <w:r w:rsidRPr="00333AA3">
        <w:rPr>
          <w:rFonts w:ascii="Times New Roman" w:hAnsi="Times New Roman" w:cs="Times New Roman"/>
          <w:sz w:val="24"/>
          <w:szCs w:val="24"/>
          <w:lang w:val="en-GB"/>
        </w:rPr>
        <w:t>agri</w:t>
      </w:r>
      <w:proofErr w:type="spellEnd"/>
      <w:r w:rsidRPr="00333AA3">
        <w:rPr>
          <w:rFonts w:ascii="Times New Roman" w:hAnsi="Times New Roman" w:cs="Times New Roman"/>
          <w:sz w:val="24"/>
          <w:szCs w:val="24"/>
          <w:lang w:val="en-GB"/>
        </w:rPr>
        <w:t xml:space="preserve">-food sector, especially the dairy, </w:t>
      </w:r>
      <w:proofErr w:type="spellStart"/>
      <w:r w:rsidRPr="00333AA3">
        <w:rPr>
          <w:rFonts w:ascii="Times New Roman" w:hAnsi="Times New Roman" w:cs="Times New Roman"/>
          <w:sz w:val="24"/>
          <w:szCs w:val="24"/>
          <w:lang w:val="en-GB"/>
        </w:rPr>
        <w:t>pigmeat</w:t>
      </w:r>
      <w:proofErr w:type="spellEnd"/>
      <w:r w:rsidRPr="00333AA3">
        <w:rPr>
          <w:rFonts w:ascii="Times New Roman" w:hAnsi="Times New Roman" w:cs="Times New Roman"/>
          <w:sz w:val="24"/>
          <w:szCs w:val="24"/>
          <w:lang w:val="en-GB"/>
        </w:rPr>
        <w:t xml:space="preserve">, processed food and beverages sectors. It also highlights the vulnerability of the beef, sheep meat, poultry meat, </w:t>
      </w:r>
      <w:proofErr w:type="gramStart"/>
      <w:r w:rsidRPr="00333AA3">
        <w:rPr>
          <w:rFonts w:ascii="Times New Roman" w:hAnsi="Times New Roman" w:cs="Times New Roman"/>
          <w:sz w:val="24"/>
          <w:szCs w:val="24"/>
          <w:lang w:val="en-GB"/>
        </w:rPr>
        <w:t>sugar</w:t>
      </w:r>
      <w:proofErr w:type="gramEnd"/>
      <w:r w:rsidRPr="00333AA3">
        <w:rPr>
          <w:rFonts w:ascii="Times New Roman" w:hAnsi="Times New Roman" w:cs="Times New Roman"/>
          <w:sz w:val="24"/>
          <w:szCs w:val="24"/>
          <w:lang w:val="en-GB"/>
        </w:rPr>
        <w:t xml:space="preserve"> and rice sectors.</w:t>
      </w:r>
    </w:p>
    <w:p w:rsidR="0066205A" w:rsidRPr="00333AA3" w:rsidRDefault="0066205A" w:rsidP="0066205A">
      <w:pPr>
        <w:pStyle w:val="Default"/>
        <w:jc w:val="both"/>
        <w:rPr>
          <w:rFonts w:ascii="Times New Roman" w:hAnsi="Times New Roman" w:cs="Times New Roman"/>
          <w:b/>
          <w:bCs/>
          <w:lang w:val="en-GB"/>
        </w:rPr>
      </w:pPr>
      <w:r w:rsidRPr="00333AA3">
        <w:rPr>
          <w:rFonts w:ascii="Times New Roman" w:hAnsi="Times New Roman" w:cs="Times New Roman"/>
          <w:b/>
          <w:bCs/>
          <w:lang w:val="en-GB"/>
        </w:rPr>
        <w:t xml:space="preserve">Executive summary </w:t>
      </w:r>
    </w:p>
    <w:p w:rsidR="0066205A" w:rsidRPr="00333AA3" w:rsidRDefault="0066205A" w:rsidP="0066205A">
      <w:pPr>
        <w:pStyle w:val="Default"/>
        <w:jc w:val="both"/>
        <w:rPr>
          <w:rFonts w:ascii="Times New Roman" w:hAnsi="Times New Roman" w:cs="Times New Roman"/>
          <w:lang w:val="en-GB"/>
        </w:rPr>
      </w:pPr>
    </w:p>
    <w:p w:rsidR="0066205A" w:rsidRDefault="0066205A" w:rsidP="0066205A">
      <w:pPr>
        <w:pStyle w:val="Default"/>
        <w:jc w:val="both"/>
        <w:rPr>
          <w:rFonts w:ascii="Times New Roman" w:hAnsi="Times New Roman" w:cs="Times New Roman"/>
          <w:lang w:val="en-GB"/>
        </w:rPr>
      </w:pPr>
      <w:r w:rsidRPr="00333AA3">
        <w:rPr>
          <w:rFonts w:ascii="Times New Roman" w:hAnsi="Times New Roman" w:cs="Times New Roman"/>
          <w:lang w:val="en-GB"/>
        </w:rPr>
        <w:t xml:space="preserve">This study is the third analysis of the cumulative economic impact of upcoming EU free trade agreements (FTAs) and is published by the European Commission’s Joint Research Centre (JRC). The previous studies were published in 2016 and 2021. It analyses the </w:t>
      </w:r>
      <w:r w:rsidRPr="00333AA3">
        <w:rPr>
          <w:rFonts w:ascii="Times New Roman" w:hAnsi="Times New Roman" w:cs="Times New Roman"/>
          <w:i/>
          <w:iCs/>
          <w:lang w:val="en-GB"/>
        </w:rPr>
        <w:t xml:space="preserve">ex ante </w:t>
      </w:r>
      <w:r w:rsidRPr="00333AA3">
        <w:rPr>
          <w:rFonts w:ascii="Times New Roman" w:hAnsi="Times New Roman" w:cs="Times New Roman"/>
          <w:lang w:val="en-GB"/>
        </w:rPr>
        <w:t xml:space="preserve">cumulative economic impacts on the EU’s </w:t>
      </w:r>
      <w:proofErr w:type="spellStart"/>
      <w:r w:rsidRPr="00333AA3">
        <w:rPr>
          <w:rFonts w:ascii="Times New Roman" w:hAnsi="Times New Roman" w:cs="Times New Roman"/>
          <w:lang w:val="en-GB"/>
        </w:rPr>
        <w:t>agri</w:t>
      </w:r>
      <w:proofErr w:type="spellEnd"/>
      <w:r w:rsidRPr="00333AA3">
        <w:rPr>
          <w:rFonts w:ascii="Times New Roman" w:hAnsi="Times New Roman" w:cs="Times New Roman"/>
          <w:lang w:val="en-GB"/>
        </w:rPr>
        <w:t xml:space="preserve">-food sector of 10 FTAs between the EU and trading partners that either have been recently concluded, but whose adoption or ratification is currently ongoing, or are under negotiation. </w:t>
      </w:r>
    </w:p>
    <w:p w:rsidR="0066205A" w:rsidRPr="00333AA3" w:rsidRDefault="0066205A" w:rsidP="0066205A">
      <w:pPr>
        <w:pStyle w:val="Default"/>
        <w:jc w:val="both"/>
        <w:rPr>
          <w:rFonts w:ascii="Times New Roman" w:hAnsi="Times New Roman" w:cs="Times New Roman"/>
          <w:lang w:val="en-GB"/>
        </w:rPr>
      </w:pPr>
    </w:p>
    <w:p w:rsidR="0066205A" w:rsidRDefault="0066205A" w:rsidP="0066205A">
      <w:pPr>
        <w:shd w:val="clear" w:color="auto" w:fill="FFFFFF"/>
        <w:spacing w:after="100" w:afterAutospacing="1" w:line="240" w:lineRule="auto"/>
        <w:jc w:val="both"/>
        <w:rPr>
          <w:rFonts w:ascii="Times New Roman" w:hAnsi="Times New Roman" w:cs="Times New Roman"/>
          <w:sz w:val="24"/>
          <w:szCs w:val="24"/>
          <w:lang w:val="en-GB"/>
        </w:rPr>
      </w:pPr>
      <w:r w:rsidRPr="00333AA3">
        <w:rPr>
          <w:rFonts w:ascii="Times New Roman" w:hAnsi="Times New Roman" w:cs="Times New Roman"/>
          <w:sz w:val="24"/>
          <w:szCs w:val="24"/>
          <w:lang w:val="en-GB"/>
        </w:rPr>
        <w:t xml:space="preserve">The updated list of agreements accounts for progress in the EU trade agenda since the 2021 study. The 10 upcoming agreements (with Australia, Chile, India, Indonesia, Malaysia, Mercosur (Argentina, Brazil, Paraguay and Uruguay), Mexico, New Zealand, the Philippines and Thailand) will create additional markets for EU </w:t>
      </w:r>
      <w:proofErr w:type="spellStart"/>
      <w:r w:rsidRPr="00333AA3">
        <w:rPr>
          <w:rFonts w:ascii="Times New Roman" w:hAnsi="Times New Roman" w:cs="Times New Roman"/>
          <w:sz w:val="24"/>
          <w:szCs w:val="24"/>
          <w:lang w:val="en-GB"/>
        </w:rPr>
        <w:t>agri</w:t>
      </w:r>
      <w:proofErr w:type="spellEnd"/>
      <w:r w:rsidRPr="00333AA3">
        <w:rPr>
          <w:rFonts w:ascii="Times New Roman" w:hAnsi="Times New Roman" w:cs="Times New Roman"/>
          <w:sz w:val="24"/>
          <w:szCs w:val="24"/>
          <w:lang w:val="en-GB"/>
        </w:rPr>
        <w:t xml:space="preserve">-food products and diversify trade sources. This, in turn, will make the EU less dependent on a limited number of trade partners for key commodities, thus improving the resilience of EU food supply chains. Without the implementation of the bilateral trade agreements, in 2032 these 10 countries and regions are expected to account for 6.6 % (EUR 12.6 billion) of EU </w:t>
      </w:r>
      <w:proofErr w:type="spellStart"/>
      <w:r w:rsidRPr="00333AA3">
        <w:rPr>
          <w:rFonts w:ascii="Times New Roman" w:hAnsi="Times New Roman" w:cs="Times New Roman"/>
          <w:sz w:val="24"/>
          <w:szCs w:val="24"/>
          <w:lang w:val="en-GB"/>
        </w:rPr>
        <w:t>agri</w:t>
      </w:r>
      <w:proofErr w:type="spellEnd"/>
      <w:r w:rsidRPr="00333AA3">
        <w:rPr>
          <w:rFonts w:ascii="Times New Roman" w:hAnsi="Times New Roman" w:cs="Times New Roman"/>
          <w:sz w:val="24"/>
          <w:szCs w:val="24"/>
          <w:lang w:val="en-GB"/>
        </w:rPr>
        <w:t xml:space="preserve">-food exports and 28.2 % (EUR 32.2 billion) of EU </w:t>
      </w:r>
      <w:proofErr w:type="spellStart"/>
      <w:r w:rsidRPr="00333AA3">
        <w:rPr>
          <w:rFonts w:ascii="Times New Roman" w:hAnsi="Times New Roman" w:cs="Times New Roman"/>
          <w:sz w:val="24"/>
          <w:szCs w:val="24"/>
          <w:lang w:val="en-GB"/>
        </w:rPr>
        <w:t>agri</w:t>
      </w:r>
      <w:proofErr w:type="spellEnd"/>
      <w:r w:rsidRPr="00333AA3">
        <w:rPr>
          <w:rFonts w:ascii="Times New Roman" w:hAnsi="Times New Roman" w:cs="Times New Roman"/>
          <w:sz w:val="24"/>
          <w:szCs w:val="24"/>
          <w:lang w:val="en-GB"/>
        </w:rPr>
        <w:t>-food imports</w:t>
      </w:r>
      <w:r>
        <w:rPr>
          <w:rFonts w:ascii="Times New Roman" w:hAnsi="Times New Roman" w:cs="Times New Roman"/>
          <w:sz w:val="24"/>
          <w:szCs w:val="24"/>
          <w:lang w:val="en-GB"/>
        </w:rPr>
        <w:t>…</w:t>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lastRenderedPageBreak/>
        <w:drawing>
          <wp:inline distT="0" distB="0" distL="0" distR="0">
            <wp:extent cx="5731510" cy="3480545"/>
            <wp:effectExtent l="0" t="0" r="254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731510" cy="3480545"/>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drawing>
          <wp:inline distT="0" distB="0" distL="0" distR="0">
            <wp:extent cx="5731510" cy="4435797"/>
            <wp:effectExtent l="0" t="0" r="254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4435797"/>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lastRenderedPageBreak/>
        <w:drawing>
          <wp:inline distT="0" distB="0" distL="0" distR="0">
            <wp:extent cx="5727700" cy="2965450"/>
            <wp:effectExtent l="0" t="0" r="635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967423"/>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drawing>
          <wp:inline distT="0" distB="0" distL="0" distR="0">
            <wp:extent cx="5726079" cy="2635250"/>
            <wp:effectExtent l="0" t="0" r="825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637750"/>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drawing>
          <wp:inline distT="0" distB="0" distL="0" distR="0">
            <wp:extent cx="5728626" cy="2768600"/>
            <wp:effectExtent l="0" t="0" r="571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769994"/>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821E04">
        <w:rPr>
          <w:rFonts w:ascii="Times New Roman" w:eastAsia="Times New Roman" w:hAnsi="Times New Roman" w:cs="Times New Roman"/>
          <w:noProof/>
          <w:color w:val="1E1E1F"/>
          <w:sz w:val="24"/>
          <w:szCs w:val="24"/>
          <w:lang w:val="en-GB" w:eastAsia="zh-CN"/>
        </w:rPr>
        <w:lastRenderedPageBreak/>
        <w:drawing>
          <wp:inline distT="0" distB="0" distL="0" distR="0">
            <wp:extent cx="5731510" cy="3064766"/>
            <wp:effectExtent l="0" t="0" r="2540" b="254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064766"/>
                    </a:xfrm>
                    <a:prstGeom prst="rect">
                      <a:avLst/>
                    </a:prstGeom>
                  </pic:spPr>
                </pic:pic>
              </a:graphicData>
            </a:graphic>
          </wp:inline>
        </w:drawing>
      </w:r>
    </w:p>
    <w:p w:rsidR="0066205A" w:rsidRPr="00FE3167" w:rsidRDefault="0066205A" w:rsidP="0066205A">
      <w:pPr>
        <w:pStyle w:val="Default"/>
        <w:jc w:val="both"/>
        <w:rPr>
          <w:rFonts w:ascii="Times New Roman" w:hAnsi="Times New Roman" w:cs="Times New Roman"/>
          <w:b/>
          <w:bCs/>
          <w:lang w:val="en-GB"/>
        </w:rPr>
      </w:pPr>
      <w:r w:rsidRPr="00FE3167">
        <w:rPr>
          <w:rFonts w:ascii="Times New Roman" w:hAnsi="Times New Roman" w:cs="Times New Roman"/>
          <w:b/>
          <w:bCs/>
          <w:lang w:val="en-GB"/>
        </w:rPr>
        <w:t xml:space="preserve">3.1.1. Conservative scenario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lang w:val="en-GB"/>
        </w:rPr>
        <w:t xml:space="preserve">The conservative scenario is based on the actual outcome of negotiations with Chile, Mercosur, Mexico and New Zealand and, in the case of the other six FTAs, assumes: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spacing w:after="145"/>
        <w:jc w:val="both"/>
        <w:rPr>
          <w:rFonts w:ascii="Times New Roman" w:hAnsi="Times New Roman" w:cs="Times New Roman"/>
          <w:lang w:val="en-GB"/>
        </w:rPr>
      </w:pPr>
      <w:r w:rsidRPr="00FE3167">
        <w:rPr>
          <w:rFonts w:ascii="Times New Roman" w:hAnsi="Times New Roman" w:cs="Times New Roman"/>
        </w:rPr>
        <w:t></w:t>
      </w:r>
      <w:r w:rsidRPr="00FE3167">
        <w:rPr>
          <w:rFonts w:ascii="Times New Roman" w:hAnsi="Times New Roman" w:cs="Times New Roman"/>
          <w:lang w:val="en-GB"/>
        </w:rPr>
        <w:t xml:space="preserve">full tariff liberalisation for 97 % of HS six-digit lines; </w:t>
      </w: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rPr>
        <w:t></w:t>
      </w:r>
      <w:r w:rsidRPr="00FE3167">
        <w:rPr>
          <w:rFonts w:ascii="Times New Roman" w:hAnsi="Times New Roman" w:cs="Times New Roman"/>
          <w:lang w:val="en-GB"/>
        </w:rPr>
        <w:t xml:space="preserve">a partial tariff cut of 25 % for the remaining 3 % of lines (sensitive products), selected from both agriculture and non-agriculture goods.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lang w:val="en-GB"/>
        </w:rPr>
        <w:t xml:space="preserve">These assumptions are applied identically to all trade agreements considered and symmetrically to both the EU and the relevant trading partners.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lang w:val="en-GB"/>
        </w:rPr>
        <w:t xml:space="preserve">The scenario assumption on the share of liberalised tariff lines is made at the six-digit (HS6) level for methodological reasons (this is also the level of disaggregation used as a reference by most global trade models). However, the number of sensitive agricultural products is not identical when working at HS6 or at a more detailed level, since the share of agricultural lines in the total tariff lines depends on the level of detail of the chosen product nomenclature. Indicatively, a 97 % liberalisation at HS6 level is roughly equivalent to 95.4 % liberalisation at the eight-digit level for the EU.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jc w:val="both"/>
        <w:rPr>
          <w:rFonts w:ascii="Times New Roman" w:hAnsi="Times New Roman" w:cs="Times New Roman"/>
          <w:b/>
          <w:bCs/>
          <w:lang w:val="en-GB"/>
        </w:rPr>
      </w:pPr>
      <w:r w:rsidRPr="00FE3167">
        <w:rPr>
          <w:rFonts w:ascii="Times New Roman" w:hAnsi="Times New Roman" w:cs="Times New Roman"/>
          <w:b/>
          <w:bCs/>
          <w:lang w:val="en-GB"/>
        </w:rPr>
        <w:t xml:space="preserve">3.1.2. Ambitious scenario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lang w:val="en-GB"/>
        </w:rPr>
        <w:t xml:space="preserve">The ambitious scenario is defined following the same structure as the conservative scenario, but with the following key parameters: </w:t>
      </w:r>
    </w:p>
    <w:p w:rsidR="0066205A" w:rsidRPr="00FE3167" w:rsidRDefault="0066205A" w:rsidP="0066205A">
      <w:pPr>
        <w:pStyle w:val="Default"/>
        <w:jc w:val="both"/>
        <w:rPr>
          <w:rFonts w:ascii="Times New Roman" w:hAnsi="Times New Roman" w:cs="Times New Roman"/>
          <w:lang w:val="en-GB"/>
        </w:rPr>
      </w:pPr>
    </w:p>
    <w:p w:rsidR="0066205A" w:rsidRPr="00FE3167" w:rsidRDefault="0066205A" w:rsidP="0066205A">
      <w:pPr>
        <w:pStyle w:val="Default"/>
        <w:spacing w:after="142"/>
        <w:jc w:val="both"/>
        <w:rPr>
          <w:rFonts w:ascii="Times New Roman" w:hAnsi="Times New Roman" w:cs="Times New Roman"/>
          <w:lang w:val="en-GB"/>
        </w:rPr>
      </w:pPr>
      <w:r w:rsidRPr="00FE3167">
        <w:rPr>
          <w:rFonts w:ascii="Times New Roman" w:hAnsi="Times New Roman" w:cs="Times New Roman"/>
          <w:lang w:val="en-GB"/>
        </w:rPr>
        <w:t xml:space="preserve">● </w:t>
      </w:r>
      <w:proofErr w:type="gramStart"/>
      <w:r w:rsidRPr="00FE3167">
        <w:rPr>
          <w:rFonts w:ascii="Times New Roman" w:hAnsi="Times New Roman" w:cs="Times New Roman"/>
          <w:lang w:val="en-GB"/>
        </w:rPr>
        <w:t>full</w:t>
      </w:r>
      <w:proofErr w:type="gramEnd"/>
      <w:r w:rsidRPr="00FE3167">
        <w:rPr>
          <w:rFonts w:ascii="Times New Roman" w:hAnsi="Times New Roman" w:cs="Times New Roman"/>
          <w:lang w:val="en-GB"/>
        </w:rPr>
        <w:t xml:space="preserve"> tariff liberalisation for 98.5 % of HS six-digit lines; </w:t>
      </w:r>
    </w:p>
    <w:p w:rsidR="0066205A" w:rsidRPr="00FE3167" w:rsidRDefault="0066205A" w:rsidP="0066205A">
      <w:pPr>
        <w:pStyle w:val="Default"/>
        <w:jc w:val="both"/>
        <w:rPr>
          <w:rFonts w:ascii="Times New Roman" w:hAnsi="Times New Roman" w:cs="Times New Roman"/>
          <w:lang w:val="en-GB"/>
        </w:rPr>
      </w:pPr>
      <w:r w:rsidRPr="00FE3167">
        <w:rPr>
          <w:rFonts w:ascii="Times New Roman" w:hAnsi="Times New Roman" w:cs="Times New Roman"/>
          <w:lang w:val="en-GB"/>
        </w:rPr>
        <w:t xml:space="preserve">● </w:t>
      </w:r>
      <w:proofErr w:type="gramStart"/>
      <w:r w:rsidRPr="00FE3167">
        <w:rPr>
          <w:rFonts w:ascii="Times New Roman" w:hAnsi="Times New Roman" w:cs="Times New Roman"/>
          <w:lang w:val="en-GB"/>
        </w:rPr>
        <w:t>a</w:t>
      </w:r>
      <w:proofErr w:type="gramEnd"/>
      <w:r w:rsidRPr="00FE3167">
        <w:rPr>
          <w:rFonts w:ascii="Times New Roman" w:hAnsi="Times New Roman" w:cs="Times New Roman"/>
          <w:lang w:val="en-GB"/>
        </w:rPr>
        <w:t xml:space="preserve"> partial tariff cut of 50 % for the remaining 1.5 % of lines (sensitive products), selected from both agriculture and non-agriculture goods. </w:t>
      </w:r>
    </w:p>
    <w:p w:rsidR="0066205A" w:rsidRPr="00FE3167" w:rsidRDefault="0066205A" w:rsidP="0066205A">
      <w:pPr>
        <w:pStyle w:val="Default"/>
        <w:jc w:val="both"/>
        <w:rPr>
          <w:rFonts w:ascii="Times New Roman" w:hAnsi="Times New Roman" w:cs="Times New Roman"/>
          <w:lang w:val="en-GB"/>
        </w:rPr>
      </w:pPr>
    </w:p>
    <w:p w:rsidR="0066205A" w:rsidRDefault="0066205A" w:rsidP="0066205A">
      <w:pPr>
        <w:shd w:val="clear" w:color="auto" w:fill="FFFFFF"/>
        <w:spacing w:after="100" w:afterAutospacing="1" w:line="240" w:lineRule="auto"/>
        <w:jc w:val="both"/>
        <w:rPr>
          <w:rFonts w:ascii="Times New Roman" w:hAnsi="Times New Roman" w:cs="Times New Roman"/>
          <w:sz w:val="24"/>
          <w:szCs w:val="24"/>
          <w:lang w:val="en-GB"/>
        </w:rPr>
      </w:pPr>
      <w:r w:rsidRPr="00FE3167">
        <w:rPr>
          <w:rFonts w:ascii="Times New Roman" w:hAnsi="Times New Roman" w:cs="Times New Roman"/>
          <w:sz w:val="24"/>
          <w:szCs w:val="24"/>
          <w:lang w:val="en-GB"/>
        </w:rPr>
        <w:t xml:space="preserve">These assumptions are applied identically for all trade agreements considered and symmetrically to both the EU and the relevant trading partners. Indicatively, a 98.5 % </w:t>
      </w:r>
      <w:r w:rsidRPr="00FE3167">
        <w:rPr>
          <w:rFonts w:ascii="Times New Roman" w:hAnsi="Times New Roman" w:cs="Times New Roman"/>
          <w:sz w:val="24"/>
          <w:szCs w:val="24"/>
          <w:lang w:val="en-GB"/>
        </w:rPr>
        <w:lastRenderedPageBreak/>
        <w:t>liberalisation at HS6 level roughly corresponds to 97.7 % liberalisation at eight-digit level for the EU.</w:t>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FE3167">
        <w:rPr>
          <w:rFonts w:ascii="Times New Roman" w:eastAsia="Times New Roman" w:hAnsi="Times New Roman" w:cs="Times New Roman"/>
          <w:noProof/>
          <w:color w:val="1E1E1F"/>
          <w:sz w:val="24"/>
          <w:szCs w:val="24"/>
          <w:lang w:val="en-GB" w:eastAsia="zh-CN"/>
        </w:rPr>
        <w:drawing>
          <wp:inline distT="0" distB="0" distL="0" distR="0">
            <wp:extent cx="5727700" cy="362585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628262"/>
                    </a:xfrm>
                    <a:prstGeom prst="rect">
                      <a:avLst/>
                    </a:prstGeom>
                  </pic:spPr>
                </pic:pic>
              </a:graphicData>
            </a:graphic>
          </wp:inline>
        </w:drawing>
      </w:r>
    </w:p>
    <w:p w:rsidR="0066205A" w:rsidRPr="00FE3167" w:rsidRDefault="0066205A" w:rsidP="0066205A">
      <w:pPr>
        <w:shd w:val="clear" w:color="auto" w:fill="FFFFFF"/>
        <w:spacing w:after="100" w:afterAutospacing="1" w:line="240" w:lineRule="auto"/>
        <w:jc w:val="both"/>
        <w:rPr>
          <w:rFonts w:ascii="Times New Roman" w:eastAsia="Times New Roman" w:hAnsi="Times New Roman" w:cs="Times New Roman"/>
          <w:color w:val="1E1E1F"/>
          <w:sz w:val="24"/>
          <w:szCs w:val="24"/>
          <w:lang w:val="en-GB" w:eastAsia="es-ES"/>
        </w:rPr>
      </w:pPr>
      <w:r w:rsidRPr="00FE3167">
        <w:rPr>
          <w:rFonts w:ascii="Times New Roman" w:eastAsia="Times New Roman" w:hAnsi="Times New Roman" w:cs="Times New Roman"/>
          <w:noProof/>
          <w:color w:val="1E1E1F"/>
          <w:sz w:val="24"/>
          <w:szCs w:val="24"/>
          <w:lang w:val="en-GB" w:eastAsia="zh-CN"/>
        </w:rPr>
        <w:drawing>
          <wp:inline distT="0" distB="0" distL="0" distR="0">
            <wp:extent cx="5727700" cy="409575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4098474"/>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val="en-GB" w:eastAsia="es-ES"/>
        </w:rPr>
      </w:pPr>
      <w:r w:rsidRPr="00FE3167">
        <w:rPr>
          <w:rFonts w:ascii="Times New Roman" w:eastAsia="Times New Roman" w:hAnsi="Times New Roman" w:cs="Times New Roman"/>
          <w:b/>
          <w:noProof/>
          <w:color w:val="1E1E1F"/>
          <w:sz w:val="24"/>
          <w:szCs w:val="24"/>
          <w:lang w:val="en-GB" w:eastAsia="zh-CN"/>
        </w:rPr>
        <w:lastRenderedPageBreak/>
        <w:drawing>
          <wp:inline distT="0" distB="0" distL="0" distR="0">
            <wp:extent cx="5731510" cy="3718746"/>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718746"/>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val="en-GB" w:eastAsia="es-ES"/>
        </w:rPr>
      </w:pPr>
      <w:r w:rsidRPr="00C5346A">
        <w:rPr>
          <w:rFonts w:ascii="Times New Roman" w:eastAsia="Times New Roman" w:hAnsi="Times New Roman" w:cs="Times New Roman"/>
          <w:b/>
          <w:noProof/>
          <w:color w:val="1E1E1F"/>
          <w:sz w:val="24"/>
          <w:szCs w:val="24"/>
          <w:lang w:val="en-GB" w:eastAsia="zh-CN"/>
        </w:rPr>
        <w:drawing>
          <wp:inline distT="0" distB="0" distL="0" distR="0">
            <wp:extent cx="5731510" cy="3061704"/>
            <wp:effectExtent l="0" t="0" r="2540" b="571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061704"/>
                    </a:xfrm>
                    <a:prstGeom prst="rect">
                      <a:avLst/>
                    </a:prstGeom>
                  </pic:spPr>
                </pic:pic>
              </a:graphicData>
            </a:graphic>
          </wp:inline>
        </w:drawing>
      </w: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val="en-GB" w:eastAsia="es-ES"/>
        </w:rPr>
      </w:pPr>
      <w:r w:rsidRPr="00C5346A">
        <w:rPr>
          <w:rFonts w:ascii="Times New Roman" w:eastAsia="Times New Roman" w:hAnsi="Times New Roman" w:cs="Times New Roman"/>
          <w:b/>
          <w:noProof/>
          <w:color w:val="1E1E1F"/>
          <w:sz w:val="24"/>
          <w:szCs w:val="24"/>
          <w:lang w:val="en-GB" w:eastAsia="zh-CN"/>
        </w:rPr>
        <w:lastRenderedPageBreak/>
        <w:drawing>
          <wp:inline distT="0" distB="0" distL="0" distR="0">
            <wp:extent cx="5727700" cy="260350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605232"/>
                    </a:xfrm>
                    <a:prstGeom prst="rect">
                      <a:avLst/>
                    </a:prstGeom>
                  </pic:spPr>
                </pic:pic>
              </a:graphicData>
            </a:graphic>
          </wp:inline>
        </w:drawing>
      </w:r>
    </w:p>
    <w:p w:rsidR="0066205A" w:rsidRPr="006369E1"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val="en-GB" w:eastAsia="es-ES"/>
        </w:rPr>
      </w:pPr>
      <w:r w:rsidRPr="00C5346A">
        <w:rPr>
          <w:rFonts w:ascii="Times New Roman" w:eastAsia="Times New Roman" w:hAnsi="Times New Roman" w:cs="Times New Roman"/>
          <w:b/>
          <w:noProof/>
          <w:color w:val="1E1E1F"/>
          <w:sz w:val="24"/>
          <w:szCs w:val="24"/>
          <w:lang w:val="en-GB" w:eastAsia="zh-CN"/>
        </w:rPr>
        <w:drawing>
          <wp:inline distT="0" distB="0" distL="0" distR="0">
            <wp:extent cx="5733970" cy="3117850"/>
            <wp:effectExtent l="0" t="0" r="635"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11651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5346A">
        <w:rPr>
          <w:rFonts w:ascii="Times New Roman" w:hAnsi="Times New Roman" w:cs="Times New Roman"/>
          <w:noProof/>
          <w:sz w:val="24"/>
          <w:szCs w:val="24"/>
          <w:lang w:val="en-GB" w:eastAsia="zh-CN"/>
        </w:rPr>
        <w:drawing>
          <wp:inline distT="0" distB="0" distL="0" distR="0">
            <wp:extent cx="5733302" cy="2540000"/>
            <wp:effectExtent l="0" t="0" r="127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53920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5346A">
        <w:rPr>
          <w:rFonts w:ascii="Times New Roman" w:hAnsi="Times New Roman" w:cs="Times New Roman"/>
          <w:noProof/>
          <w:sz w:val="24"/>
          <w:szCs w:val="24"/>
          <w:lang w:val="en-GB" w:eastAsia="zh-CN"/>
        </w:rPr>
        <w:lastRenderedPageBreak/>
        <w:drawing>
          <wp:inline distT="0" distB="0" distL="0" distR="0">
            <wp:extent cx="5731837" cy="2870200"/>
            <wp:effectExtent l="0" t="0" r="254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87003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5346A">
        <w:rPr>
          <w:rFonts w:ascii="Times New Roman" w:hAnsi="Times New Roman" w:cs="Times New Roman"/>
          <w:noProof/>
          <w:sz w:val="24"/>
          <w:szCs w:val="24"/>
          <w:lang w:val="en-GB" w:eastAsia="zh-CN"/>
        </w:rPr>
        <w:drawing>
          <wp:inline distT="0" distB="0" distL="0" distR="0">
            <wp:extent cx="5734049" cy="2705100"/>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70390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5346A">
        <w:rPr>
          <w:rFonts w:ascii="Times New Roman" w:hAnsi="Times New Roman" w:cs="Times New Roman"/>
          <w:noProof/>
          <w:sz w:val="24"/>
          <w:szCs w:val="24"/>
          <w:lang w:val="en-GB" w:eastAsia="zh-CN"/>
        </w:rPr>
        <w:drawing>
          <wp:inline distT="0" distB="0" distL="0" distR="0">
            <wp:extent cx="5733195" cy="2819400"/>
            <wp:effectExtent l="0" t="0" r="127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81857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5346A">
        <w:rPr>
          <w:rFonts w:ascii="Times New Roman" w:hAnsi="Times New Roman" w:cs="Times New Roman"/>
          <w:noProof/>
          <w:sz w:val="24"/>
          <w:szCs w:val="24"/>
          <w:lang w:val="en-GB" w:eastAsia="zh-CN"/>
        </w:rPr>
        <w:lastRenderedPageBreak/>
        <w:drawing>
          <wp:inline distT="0" distB="0" distL="0" distR="0">
            <wp:extent cx="5731510" cy="2789212"/>
            <wp:effectExtent l="0" t="0" r="254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78921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1510" cy="4775034"/>
            <wp:effectExtent l="0" t="0" r="2540" b="698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4775034"/>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lastRenderedPageBreak/>
        <w:drawing>
          <wp:inline distT="0" distB="0" distL="0" distR="0">
            <wp:extent cx="5731510" cy="4084313"/>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408431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1510" cy="4363541"/>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436354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lastRenderedPageBreak/>
        <w:drawing>
          <wp:inline distT="0" distB="0" distL="0" distR="0">
            <wp:extent cx="5731510" cy="3107017"/>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107017"/>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1510" cy="4196372"/>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419637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lastRenderedPageBreak/>
        <w:drawing>
          <wp:inline distT="0" distB="0" distL="0" distR="0">
            <wp:extent cx="5731510" cy="2824116"/>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82411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1510" cy="1572491"/>
            <wp:effectExtent l="0" t="0" r="2540" b="889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157249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1510" cy="3862646"/>
            <wp:effectExtent l="0" t="0" r="2540" b="508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86264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lastRenderedPageBreak/>
        <w:drawing>
          <wp:inline distT="0" distB="0" distL="0" distR="0">
            <wp:extent cx="5734050" cy="28956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894318"/>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6369E1">
        <w:rPr>
          <w:rFonts w:ascii="Times New Roman" w:hAnsi="Times New Roman" w:cs="Times New Roman"/>
          <w:noProof/>
          <w:sz w:val="24"/>
          <w:szCs w:val="24"/>
          <w:lang w:val="en-GB" w:eastAsia="zh-CN"/>
        </w:rPr>
        <w:drawing>
          <wp:inline distT="0" distB="0" distL="0" distR="0">
            <wp:extent cx="5734050" cy="26352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63408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5628F2">
        <w:rPr>
          <w:rFonts w:ascii="Times New Roman" w:hAnsi="Times New Roman" w:cs="Times New Roman"/>
          <w:noProof/>
          <w:sz w:val="24"/>
          <w:szCs w:val="24"/>
          <w:lang w:val="en-GB" w:eastAsia="zh-CN"/>
        </w:rPr>
        <w:drawing>
          <wp:inline distT="0" distB="0" distL="0" distR="0">
            <wp:extent cx="5732776" cy="2990850"/>
            <wp:effectExtent l="0" t="0" r="190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990189"/>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5628F2">
        <w:rPr>
          <w:rFonts w:ascii="Times New Roman" w:hAnsi="Times New Roman" w:cs="Times New Roman"/>
          <w:noProof/>
          <w:sz w:val="24"/>
          <w:szCs w:val="24"/>
          <w:lang w:val="en-GB" w:eastAsia="zh-CN"/>
        </w:rPr>
        <w:lastRenderedPageBreak/>
        <w:drawing>
          <wp:inline distT="0" distB="0" distL="0" distR="0">
            <wp:extent cx="5732471" cy="2444750"/>
            <wp:effectExtent l="0" t="0" r="190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444340"/>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5628F2">
        <w:rPr>
          <w:rFonts w:ascii="Times New Roman" w:hAnsi="Times New Roman" w:cs="Times New Roman"/>
          <w:noProof/>
          <w:sz w:val="24"/>
          <w:szCs w:val="24"/>
          <w:lang w:val="en-GB" w:eastAsia="zh-CN"/>
        </w:rPr>
        <w:drawing>
          <wp:inline distT="0" distB="0" distL="0" distR="0">
            <wp:extent cx="5734050" cy="29781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97683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5628F2">
        <w:rPr>
          <w:rFonts w:ascii="Times New Roman" w:hAnsi="Times New Roman" w:cs="Times New Roman"/>
          <w:noProof/>
          <w:sz w:val="24"/>
          <w:szCs w:val="24"/>
          <w:lang w:val="en-GB" w:eastAsia="zh-CN"/>
        </w:rPr>
        <w:drawing>
          <wp:inline distT="0" distB="0" distL="0" distR="0">
            <wp:extent cx="5727700" cy="3028950"/>
            <wp:effectExtent l="0" t="0" r="635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030965"/>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lastRenderedPageBreak/>
        <w:drawing>
          <wp:inline distT="0" distB="0" distL="0" distR="0">
            <wp:extent cx="5731749" cy="2647950"/>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647840"/>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drawing>
          <wp:inline distT="0" distB="0" distL="0" distR="0">
            <wp:extent cx="5727700" cy="592455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592849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lastRenderedPageBreak/>
        <w:drawing>
          <wp:inline distT="0" distB="0" distL="0" distR="0">
            <wp:extent cx="5731510" cy="3087422"/>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08742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drawing>
          <wp:inline distT="0" distB="0" distL="0" distR="0">
            <wp:extent cx="5727700" cy="56388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564255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lastRenderedPageBreak/>
        <w:drawing>
          <wp:inline distT="0" distB="0" distL="0" distR="0">
            <wp:extent cx="5731510" cy="3011492"/>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01149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047255">
        <w:rPr>
          <w:rFonts w:ascii="Times New Roman" w:hAnsi="Times New Roman" w:cs="Times New Roman"/>
          <w:noProof/>
          <w:sz w:val="24"/>
          <w:szCs w:val="24"/>
          <w:lang w:val="en-GB" w:eastAsia="zh-CN"/>
        </w:rPr>
        <w:drawing>
          <wp:inline distT="0" distB="0" distL="0" distR="0">
            <wp:extent cx="5731510" cy="4300470"/>
            <wp:effectExtent l="0" t="0" r="2540" b="508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4300470"/>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lastRenderedPageBreak/>
        <w:drawing>
          <wp:inline distT="0" distB="0" distL="0" distR="0">
            <wp:extent cx="5731510" cy="4087375"/>
            <wp:effectExtent l="0" t="0" r="2540" b="889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4087375"/>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3734667"/>
            <wp:effectExtent l="0" t="0" r="254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734667"/>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lastRenderedPageBreak/>
        <w:drawing>
          <wp:inline distT="0" distB="0" distL="0" distR="0">
            <wp:extent cx="5729292" cy="3848100"/>
            <wp:effectExtent l="0" t="0" r="508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3849590"/>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2478143"/>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47814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2116862"/>
            <wp:effectExtent l="0" t="0" r="254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11686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lastRenderedPageBreak/>
        <w:drawing>
          <wp:inline distT="0" distB="0" distL="0" distR="0">
            <wp:extent cx="5727031" cy="2120900"/>
            <wp:effectExtent l="0" t="0" r="762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122559"/>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2132783"/>
            <wp:effectExtent l="0" t="0" r="2540" b="127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13278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2104615"/>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104615"/>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21835" cy="20256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029075"/>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lastRenderedPageBreak/>
        <w:drawing>
          <wp:inline distT="0" distB="0" distL="0" distR="0">
            <wp:extent cx="5722297" cy="215265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15611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25183" cy="2082800"/>
            <wp:effectExtent l="0" t="0" r="889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085102"/>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4050" cy="203835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037447"/>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C1759E">
        <w:rPr>
          <w:rFonts w:ascii="Times New Roman" w:hAnsi="Times New Roman" w:cs="Times New Roman"/>
          <w:noProof/>
          <w:sz w:val="24"/>
          <w:szCs w:val="24"/>
          <w:lang w:val="en-GB" w:eastAsia="zh-CN"/>
        </w:rPr>
        <w:drawing>
          <wp:inline distT="0" distB="0" distL="0" distR="0">
            <wp:extent cx="5731510" cy="2149929"/>
            <wp:effectExtent l="0" t="0" r="2540" b="317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149929"/>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BE0BC2">
        <w:rPr>
          <w:rFonts w:ascii="Times New Roman" w:hAnsi="Times New Roman" w:cs="Times New Roman"/>
          <w:noProof/>
          <w:sz w:val="24"/>
          <w:szCs w:val="24"/>
          <w:lang w:val="en-GB" w:eastAsia="zh-CN"/>
        </w:rPr>
        <w:lastRenderedPageBreak/>
        <w:drawing>
          <wp:inline distT="0" distB="0" distL="0" distR="0">
            <wp:extent cx="5731510" cy="2313424"/>
            <wp:effectExtent l="0" t="0" r="254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313424"/>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BE0BC2">
        <w:rPr>
          <w:rFonts w:ascii="Times New Roman" w:hAnsi="Times New Roman" w:cs="Times New Roman"/>
          <w:noProof/>
          <w:sz w:val="24"/>
          <w:szCs w:val="24"/>
          <w:lang w:val="en-GB" w:eastAsia="zh-CN"/>
        </w:rPr>
        <w:drawing>
          <wp:inline distT="0" distB="0" distL="0" distR="0">
            <wp:extent cx="5731510" cy="2320159"/>
            <wp:effectExtent l="0" t="0" r="2540" b="4445"/>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320159"/>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r w:rsidRPr="00BE0BC2">
        <w:rPr>
          <w:rFonts w:ascii="Times New Roman" w:hAnsi="Times New Roman" w:cs="Times New Roman"/>
          <w:noProof/>
          <w:sz w:val="24"/>
          <w:szCs w:val="24"/>
          <w:lang w:val="en-GB" w:eastAsia="zh-CN"/>
        </w:rPr>
        <w:drawing>
          <wp:inline distT="0" distB="0" distL="0" distR="0">
            <wp:extent cx="5731510" cy="2447526"/>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44752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lang w:val="en-GB"/>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b/>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sz w:val="24"/>
          <w:szCs w:val="24"/>
        </w:rPr>
      </w:pPr>
      <w:r w:rsidRPr="00E656FF">
        <w:rPr>
          <w:rFonts w:ascii="Times New Roman" w:hAnsi="Times New Roman" w:cs="Times New Roman"/>
          <w:b/>
          <w:sz w:val="24"/>
          <w:szCs w:val="24"/>
        </w:rPr>
        <w:lastRenderedPageBreak/>
        <w:t>Estrategia Nacional de Alimentación</w:t>
      </w:r>
      <w:r w:rsidRPr="00E656FF">
        <w:rPr>
          <w:rFonts w:ascii="Times New Roman" w:hAnsi="Times New Roman" w:cs="Times New Roman"/>
          <w:sz w:val="24"/>
          <w:szCs w:val="24"/>
        </w:rPr>
        <w:t xml:space="preserve"> - Gobierno de España - Febrero 2025</w:t>
      </w:r>
    </w:p>
    <w:p w:rsidR="0066205A" w:rsidRDefault="0066205A" w:rsidP="0066205A">
      <w:pPr>
        <w:autoSpaceDE w:val="0"/>
        <w:autoSpaceDN w:val="0"/>
        <w:adjustRightInd w:val="0"/>
        <w:spacing w:after="0" w:line="240" w:lineRule="auto"/>
        <w:jc w:val="both"/>
        <w:rPr>
          <w:rFonts w:ascii="Times New Roman" w:hAnsi="Times New Roman" w:cs="Times New Roman"/>
          <w:sz w:val="24"/>
          <w:szCs w:val="24"/>
        </w:rPr>
      </w:pPr>
    </w:p>
    <w:p w:rsidR="0066205A" w:rsidRDefault="0066205A" w:rsidP="0066205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66205A" w:rsidRPr="00E656FF" w:rsidRDefault="0066205A" w:rsidP="0066205A">
      <w:pPr>
        <w:autoSpaceDE w:val="0"/>
        <w:autoSpaceDN w:val="0"/>
        <w:adjustRightInd w:val="0"/>
        <w:spacing w:after="0" w:line="240" w:lineRule="auto"/>
        <w:jc w:val="both"/>
        <w:rPr>
          <w:rFonts w:ascii="Times New Roman" w:hAnsi="Times New Roman" w:cs="Times New Roman"/>
          <w:sz w:val="24"/>
          <w:szCs w:val="24"/>
        </w:rPr>
      </w:pPr>
    </w:p>
    <w:p w:rsidR="0066205A" w:rsidRDefault="0066205A" w:rsidP="0066205A">
      <w:pPr>
        <w:spacing w:line="240" w:lineRule="auto"/>
        <w:jc w:val="both"/>
        <w:rPr>
          <w:rFonts w:ascii="Times New Roman" w:hAnsi="Times New Roman" w:cs="Times New Roman"/>
          <w:sz w:val="24"/>
          <w:szCs w:val="24"/>
        </w:rPr>
      </w:pPr>
      <w:r w:rsidRPr="006534AF">
        <w:rPr>
          <w:rFonts w:ascii="Times New Roman" w:hAnsi="Times New Roman" w:cs="Times New Roman"/>
          <w:noProof/>
          <w:sz w:val="24"/>
          <w:szCs w:val="24"/>
          <w:lang w:val="en-GB" w:eastAsia="zh-CN"/>
        </w:rPr>
        <w:drawing>
          <wp:inline distT="0" distB="0" distL="0" distR="0">
            <wp:extent cx="4239217" cy="5934904"/>
            <wp:effectExtent l="0" t="0" r="9525"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239217" cy="5934904"/>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6534AF">
        <w:rPr>
          <w:rFonts w:ascii="Times New Roman" w:hAnsi="Times New Roman" w:cs="Times New Roman"/>
          <w:noProof/>
          <w:sz w:val="24"/>
          <w:szCs w:val="24"/>
          <w:lang w:val="en-GB" w:eastAsia="zh-CN"/>
        </w:rPr>
        <w:lastRenderedPageBreak/>
        <w:drawing>
          <wp:inline distT="0" distB="0" distL="0" distR="0">
            <wp:extent cx="5058481" cy="6897063"/>
            <wp:effectExtent l="0" t="0" r="889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058481" cy="689706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6534AF">
        <w:rPr>
          <w:rFonts w:ascii="Times New Roman" w:hAnsi="Times New Roman" w:cs="Times New Roman"/>
          <w:noProof/>
          <w:sz w:val="24"/>
          <w:szCs w:val="24"/>
          <w:lang w:val="en-GB" w:eastAsia="zh-CN"/>
        </w:rPr>
        <w:lastRenderedPageBreak/>
        <w:drawing>
          <wp:inline distT="0" distB="0" distL="0" distR="0">
            <wp:extent cx="4877481" cy="6544589"/>
            <wp:effectExtent l="0" t="0" r="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877481" cy="6544589"/>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6534AF">
        <w:rPr>
          <w:rFonts w:ascii="Times New Roman" w:hAnsi="Times New Roman" w:cs="Times New Roman"/>
          <w:noProof/>
          <w:sz w:val="24"/>
          <w:szCs w:val="24"/>
          <w:lang w:val="en-GB" w:eastAsia="zh-CN"/>
        </w:rPr>
        <w:lastRenderedPageBreak/>
        <w:drawing>
          <wp:inline distT="0" distB="0" distL="0" distR="0">
            <wp:extent cx="4829849" cy="6630326"/>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829849" cy="663032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6534AF">
        <w:rPr>
          <w:rFonts w:ascii="Times New Roman" w:hAnsi="Times New Roman" w:cs="Times New Roman"/>
          <w:noProof/>
          <w:sz w:val="24"/>
          <w:szCs w:val="24"/>
          <w:lang w:val="en-GB" w:eastAsia="zh-CN"/>
        </w:rPr>
        <w:lastRenderedPageBreak/>
        <w:drawing>
          <wp:inline distT="0" distB="0" distL="0" distR="0">
            <wp:extent cx="4858428" cy="6077799"/>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858428" cy="6077799"/>
                    </a:xfrm>
                    <a:prstGeom prst="rect">
                      <a:avLst/>
                    </a:prstGeom>
                  </pic:spPr>
                </pic:pic>
              </a:graphicData>
            </a:graphic>
          </wp:inline>
        </w:drawing>
      </w:r>
    </w:p>
    <w:p w:rsidR="0066205A" w:rsidRPr="00255C73" w:rsidRDefault="0066205A" w:rsidP="0066205A">
      <w:pPr>
        <w:spacing w:line="240" w:lineRule="auto"/>
        <w:jc w:val="both"/>
        <w:rPr>
          <w:rFonts w:ascii="Times New Roman" w:hAnsi="Times New Roman" w:cs="Times New Roman"/>
          <w:sz w:val="24"/>
          <w:szCs w:val="24"/>
        </w:rPr>
      </w:pPr>
    </w:p>
    <w:p w:rsidR="0066205A" w:rsidRPr="00255C73" w:rsidRDefault="0066205A" w:rsidP="0066205A">
      <w:pPr>
        <w:spacing w:line="240" w:lineRule="auto"/>
        <w:jc w:val="both"/>
        <w:rPr>
          <w:rFonts w:ascii="Times New Roman" w:hAnsi="Times New Roman" w:cs="Times New Roman"/>
          <w:sz w:val="24"/>
          <w:szCs w:val="24"/>
        </w:rPr>
      </w:pPr>
    </w:p>
    <w:p w:rsidR="0066205A" w:rsidRPr="00255C73" w:rsidRDefault="0066205A" w:rsidP="0066205A">
      <w:pPr>
        <w:spacing w:line="240" w:lineRule="auto"/>
        <w:jc w:val="both"/>
        <w:rPr>
          <w:rFonts w:ascii="Times New Roman" w:hAnsi="Times New Roman" w:cs="Times New Roman"/>
          <w:sz w:val="24"/>
          <w:szCs w:val="24"/>
        </w:rPr>
      </w:pPr>
    </w:p>
    <w:p w:rsidR="0066205A" w:rsidRPr="00255C73" w:rsidRDefault="0066205A" w:rsidP="0066205A">
      <w:pPr>
        <w:spacing w:line="240" w:lineRule="auto"/>
        <w:jc w:val="both"/>
        <w:rPr>
          <w:rFonts w:ascii="Times New Roman" w:hAnsi="Times New Roman" w:cs="Times New Roman"/>
          <w:sz w:val="24"/>
          <w:szCs w:val="24"/>
        </w:rPr>
      </w:pP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p>
    <w:p w:rsidR="0066205A"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p>
    <w:p w:rsidR="0066205A" w:rsidRPr="00CA5B3B"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r>
        <w:rPr>
          <w:rFonts w:ascii="Times New Roman" w:eastAsia="Times New Roman" w:hAnsi="Times New Roman" w:cs="Times New Roman"/>
          <w:b/>
          <w:color w:val="1E1E1F"/>
          <w:sz w:val="24"/>
          <w:szCs w:val="24"/>
          <w:lang w:eastAsia="es-ES"/>
        </w:rPr>
        <w:lastRenderedPageBreak/>
        <w:t xml:space="preserve">- </w:t>
      </w:r>
      <w:r w:rsidRPr="00CA5B3B">
        <w:rPr>
          <w:rFonts w:ascii="Times New Roman" w:eastAsia="Times New Roman" w:hAnsi="Times New Roman" w:cs="Times New Roman"/>
          <w:b/>
          <w:color w:val="1E1E1F"/>
          <w:sz w:val="24"/>
          <w:szCs w:val="24"/>
          <w:lang w:eastAsia="es-ES"/>
        </w:rPr>
        <w:t>Anexo II: Las partes afectadas</w:t>
      </w:r>
    </w:p>
    <w:p w:rsidR="0066205A" w:rsidRPr="00F77B37" w:rsidRDefault="0066205A" w:rsidP="0066205A">
      <w:pPr>
        <w:shd w:val="clear" w:color="auto" w:fill="FFFFFF"/>
        <w:spacing w:after="100" w:afterAutospacing="1" w:line="240" w:lineRule="auto"/>
        <w:jc w:val="both"/>
        <w:rPr>
          <w:rFonts w:ascii="Times New Roman" w:eastAsia="Times New Roman" w:hAnsi="Times New Roman" w:cs="Times New Roman"/>
          <w:b/>
          <w:color w:val="1E1E1F"/>
          <w:sz w:val="24"/>
          <w:szCs w:val="24"/>
          <w:lang w:eastAsia="es-ES"/>
        </w:rPr>
      </w:pPr>
      <w:r w:rsidRPr="00305BCC">
        <w:rPr>
          <w:rFonts w:ascii="Times New Roman" w:hAnsi="Times New Roman" w:cs="Times New Roman"/>
          <w:noProof/>
          <w:sz w:val="24"/>
          <w:szCs w:val="24"/>
          <w:lang w:val="en-GB" w:eastAsia="zh-CN"/>
        </w:rPr>
        <w:drawing>
          <wp:inline distT="0" distB="0" distL="0" distR="0">
            <wp:extent cx="5727400" cy="3175000"/>
            <wp:effectExtent l="0" t="0" r="6985"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177278"/>
                    </a:xfrm>
                    <a:prstGeom prst="rect">
                      <a:avLst/>
                    </a:prstGeom>
                  </pic:spPr>
                </pic:pic>
              </a:graphicData>
            </a:graphic>
          </wp:inline>
        </w:drawing>
      </w:r>
    </w:p>
    <w:p w:rsidR="0066205A" w:rsidRPr="00831E52" w:rsidRDefault="0066205A" w:rsidP="0066205A">
      <w:pPr>
        <w:spacing w:line="240" w:lineRule="auto"/>
        <w:jc w:val="both"/>
        <w:rPr>
          <w:rFonts w:ascii="Times New Roman" w:hAnsi="Times New Roman" w:cs="Times New Roman"/>
          <w:b/>
          <w:sz w:val="24"/>
          <w:szCs w:val="24"/>
        </w:rPr>
      </w:pPr>
      <w:r w:rsidRPr="00831E52">
        <w:rPr>
          <w:rFonts w:ascii="Times New Roman" w:hAnsi="Times New Roman" w:cs="Times New Roman"/>
          <w:b/>
          <w:sz w:val="24"/>
          <w:szCs w:val="24"/>
        </w:rPr>
        <w:t>Comunicados de Organizaciones Agrarias Españolas sobre el Acuerdo UE-Mercosur</w:t>
      </w:r>
    </w:p>
    <w:p w:rsidR="0066205A" w:rsidRPr="00831E52" w:rsidRDefault="0066205A" w:rsidP="0066205A">
      <w:pPr>
        <w:spacing w:line="240" w:lineRule="auto"/>
        <w:jc w:val="both"/>
        <w:rPr>
          <w:rFonts w:ascii="Times New Roman" w:hAnsi="Times New Roman" w:cs="Times New Roman"/>
          <w:b/>
          <w:sz w:val="24"/>
          <w:szCs w:val="24"/>
        </w:rPr>
      </w:pPr>
      <w:r w:rsidRPr="00831E52">
        <w:rPr>
          <w:rFonts w:ascii="Times New Roman" w:hAnsi="Times New Roman" w:cs="Times New Roman"/>
          <w:b/>
          <w:sz w:val="24"/>
          <w:szCs w:val="24"/>
        </w:rPr>
        <w:t>Unión de Uniones critica que Planas saque pecho con el acuerdo comercial UE- MERCOSUR cuando perjudica a los productores españoles</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Recientemente la Secretaría de Estado de Comercio y el ministro de Agricultur</w:t>
      </w:r>
      <w:r>
        <w:rPr>
          <w:rFonts w:ascii="Times New Roman" w:hAnsi="Times New Roman" w:cs="Times New Roman"/>
          <w:sz w:val="24"/>
          <w:szCs w:val="24"/>
        </w:rPr>
        <w:t xml:space="preserve">a han expresado la </w:t>
      </w:r>
      <w:r w:rsidRPr="00BE0BC2">
        <w:rPr>
          <w:rFonts w:ascii="Times New Roman" w:hAnsi="Times New Roman" w:cs="Times New Roman"/>
          <w:sz w:val="24"/>
          <w:szCs w:val="24"/>
        </w:rPr>
        <w:t>intención de España de a</w:t>
      </w:r>
      <w:r>
        <w:rPr>
          <w:rFonts w:ascii="Times New Roman" w:hAnsi="Times New Roman" w:cs="Times New Roman"/>
          <w:sz w:val="24"/>
          <w:szCs w:val="24"/>
        </w:rPr>
        <w:t xml:space="preserve">celerar la adopción de acuerdos </w:t>
      </w:r>
      <w:r w:rsidRPr="00BE0BC2">
        <w:rPr>
          <w:rFonts w:ascii="Times New Roman" w:hAnsi="Times New Roman" w:cs="Times New Roman"/>
          <w:sz w:val="24"/>
          <w:szCs w:val="24"/>
        </w:rPr>
        <w:t>“Acelerar cualquier acuerdo comercial sin tener en cuenta u</w:t>
      </w:r>
      <w:r>
        <w:rPr>
          <w:rFonts w:ascii="Times New Roman" w:hAnsi="Times New Roman" w:cs="Times New Roman"/>
          <w:sz w:val="24"/>
          <w:szCs w:val="24"/>
        </w:rPr>
        <w:t xml:space="preserve">nas cláusulas espejo reales que </w:t>
      </w:r>
      <w:r w:rsidRPr="00BE0BC2">
        <w:rPr>
          <w:rFonts w:ascii="Times New Roman" w:hAnsi="Times New Roman" w:cs="Times New Roman"/>
          <w:sz w:val="24"/>
          <w:szCs w:val="24"/>
        </w:rPr>
        <w:t xml:space="preserve">aseguren unas mismas condiciones de juego es acelerar la desprotección y desmantelamiento </w:t>
      </w:r>
      <w:r>
        <w:rPr>
          <w:rFonts w:ascii="Times New Roman" w:hAnsi="Times New Roman" w:cs="Times New Roman"/>
          <w:sz w:val="24"/>
          <w:szCs w:val="24"/>
        </w:rPr>
        <w:t xml:space="preserve">de </w:t>
      </w:r>
      <w:r w:rsidRPr="00BE0BC2">
        <w:rPr>
          <w:rFonts w:ascii="Times New Roman" w:hAnsi="Times New Roman" w:cs="Times New Roman"/>
          <w:sz w:val="24"/>
          <w:szCs w:val="24"/>
        </w:rPr>
        <w:t>nuestro sector agrario”</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Madrid, 23 de marzo de 2023 - Unión de Uniones de Agric</w:t>
      </w:r>
      <w:r>
        <w:rPr>
          <w:rFonts w:ascii="Times New Roman" w:hAnsi="Times New Roman" w:cs="Times New Roman"/>
          <w:sz w:val="24"/>
          <w:szCs w:val="24"/>
        </w:rPr>
        <w:t xml:space="preserve">ultores y Ganaderos, como ya ha </w:t>
      </w:r>
      <w:r w:rsidRPr="00BE0BC2">
        <w:rPr>
          <w:rFonts w:ascii="Times New Roman" w:hAnsi="Times New Roman" w:cs="Times New Roman"/>
          <w:sz w:val="24"/>
          <w:szCs w:val="24"/>
        </w:rPr>
        <w:t>venido haciendo en los últimos años, denuncia que los objetivos pol</w:t>
      </w:r>
      <w:r>
        <w:rPr>
          <w:rFonts w:ascii="Times New Roman" w:hAnsi="Times New Roman" w:cs="Times New Roman"/>
          <w:sz w:val="24"/>
          <w:szCs w:val="24"/>
        </w:rPr>
        <w:t xml:space="preserve">íticos del Ejecutivo en materia </w:t>
      </w:r>
      <w:r w:rsidRPr="00BE0BC2">
        <w:rPr>
          <w:rFonts w:ascii="Times New Roman" w:hAnsi="Times New Roman" w:cs="Times New Roman"/>
          <w:sz w:val="24"/>
          <w:szCs w:val="24"/>
        </w:rPr>
        <w:t>de acuerdos comerciales en la UE perjudican al sector agr</w:t>
      </w:r>
      <w:r>
        <w:rPr>
          <w:rFonts w:ascii="Times New Roman" w:hAnsi="Times New Roman" w:cs="Times New Roman"/>
          <w:sz w:val="24"/>
          <w:szCs w:val="24"/>
        </w:rPr>
        <w:t xml:space="preserve">ario, fomentando la competencia </w:t>
      </w:r>
      <w:r w:rsidRPr="00BE0BC2">
        <w:rPr>
          <w:rFonts w:ascii="Times New Roman" w:hAnsi="Times New Roman" w:cs="Times New Roman"/>
          <w:sz w:val="24"/>
          <w:szCs w:val="24"/>
        </w:rPr>
        <w:t>desleal por, fundamentalmente, la ausencia de cláusulas espejo.</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Unión de Uniones critica que Planas muestre de cara a la galería</w:t>
      </w:r>
      <w:r>
        <w:rPr>
          <w:rFonts w:ascii="Times New Roman" w:hAnsi="Times New Roman" w:cs="Times New Roman"/>
          <w:sz w:val="24"/>
          <w:szCs w:val="24"/>
        </w:rPr>
        <w:t xml:space="preserve"> la parte positiva, minimizando </w:t>
      </w:r>
      <w:r w:rsidRPr="00BE0BC2">
        <w:rPr>
          <w:rFonts w:ascii="Times New Roman" w:hAnsi="Times New Roman" w:cs="Times New Roman"/>
          <w:sz w:val="24"/>
          <w:szCs w:val="24"/>
        </w:rPr>
        <w:t>los posibles riesgos y queriendo acelerar el acuerdo, tal y como a</w:t>
      </w:r>
      <w:r>
        <w:rPr>
          <w:rFonts w:ascii="Times New Roman" w:hAnsi="Times New Roman" w:cs="Times New Roman"/>
          <w:sz w:val="24"/>
          <w:szCs w:val="24"/>
        </w:rPr>
        <w:t xml:space="preserve">firmaba la secretaria de Estado </w:t>
      </w:r>
      <w:r w:rsidRPr="00BE0BC2">
        <w:rPr>
          <w:rFonts w:ascii="Times New Roman" w:hAnsi="Times New Roman" w:cs="Times New Roman"/>
          <w:sz w:val="24"/>
          <w:szCs w:val="24"/>
        </w:rPr>
        <w:t>de Comercio, del Ministerio de Industria, Comercio y Turi</w:t>
      </w:r>
      <w:r>
        <w:rPr>
          <w:rFonts w:ascii="Times New Roman" w:hAnsi="Times New Roman" w:cs="Times New Roman"/>
          <w:sz w:val="24"/>
          <w:szCs w:val="24"/>
        </w:rPr>
        <w:t xml:space="preserve">smo, tras el Consejo de Asuntos </w:t>
      </w:r>
      <w:r w:rsidRPr="00BE0BC2">
        <w:rPr>
          <w:rFonts w:ascii="Times New Roman" w:hAnsi="Times New Roman" w:cs="Times New Roman"/>
          <w:sz w:val="24"/>
          <w:szCs w:val="24"/>
        </w:rPr>
        <w:t>Exteriores de Comercio de la UE.</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En este sentido, califica de atrevimiento por parte del ministro afirmar que ese acuer</w:t>
      </w:r>
      <w:r>
        <w:rPr>
          <w:rFonts w:ascii="Times New Roman" w:hAnsi="Times New Roman" w:cs="Times New Roman"/>
          <w:sz w:val="24"/>
          <w:szCs w:val="24"/>
        </w:rPr>
        <w:t xml:space="preserve">do incluye </w:t>
      </w:r>
      <w:r w:rsidRPr="00BE0BC2">
        <w:rPr>
          <w:rFonts w:ascii="Times New Roman" w:hAnsi="Times New Roman" w:cs="Times New Roman"/>
          <w:sz w:val="24"/>
          <w:szCs w:val="24"/>
        </w:rPr>
        <w:t>cláusulas espejo y aspectos medioambientales, cuando precis</w:t>
      </w:r>
      <w:r>
        <w:rPr>
          <w:rFonts w:ascii="Times New Roman" w:hAnsi="Times New Roman" w:cs="Times New Roman"/>
          <w:sz w:val="24"/>
          <w:szCs w:val="24"/>
        </w:rPr>
        <w:t xml:space="preserve">amente hace menos de un año era </w:t>
      </w:r>
      <w:r w:rsidRPr="00BE0BC2">
        <w:rPr>
          <w:rFonts w:ascii="Times New Roman" w:hAnsi="Times New Roman" w:cs="Times New Roman"/>
          <w:sz w:val="24"/>
          <w:szCs w:val="24"/>
        </w:rPr>
        <w:t>él mismo quién las reclamaba y el acuerdo no se ha tocado.</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Asimismo, Luis Planas afeaba la postura de Austria ante este ac</w:t>
      </w:r>
      <w:r>
        <w:rPr>
          <w:rFonts w:ascii="Times New Roman" w:hAnsi="Times New Roman" w:cs="Times New Roman"/>
          <w:sz w:val="24"/>
          <w:szCs w:val="24"/>
        </w:rPr>
        <w:t xml:space="preserve">uerdo y, sin embargo, este país </w:t>
      </w:r>
      <w:r w:rsidRPr="00BE0BC2">
        <w:rPr>
          <w:rFonts w:ascii="Times New Roman" w:hAnsi="Times New Roman" w:cs="Times New Roman"/>
          <w:sz w:val="24"/>
          <w:szCs w:val="24"/>
        </w:rPr>
        <w:t>presentaba un documento en el que argumentaba, entre otras raz</w:t>
      </w:r>
      <w:r>
        <w:rPr>
          <w:rFonts w:ascii="Times New Roman" w:hAnsi="Times New Roman" w:cs="Times New Roman"/>
          <w:sz w:val="24"/>
          <w:szCs w:val="24"/>
        </w:rPr>
        <w:t>ones, que no se podía firmar un acuerdo comercial UE -</w:t>
      </w:r>
      <w:r w:rsidRPr="00BE0BC2">
        <w:rPr>
          <w:rFonts w:ascii="Times New Roman" w:hAnsi="Times New Roman" w:cs="Times New Roman"/>
          <w:sz w:val="24"/>
          <w:szCs w:val="24"/>
        </w:rPr>
        <w:t xml:space="preserve"> Mercosur si no existían las cláu</w:t>
      </w:r>
      <w:r>
        <w:rPr>
          <w:rFonts w:ascii="Times New Roman" w:hAnsi="Times New Roman" w:cs="Times New Roman"/>
          <w:sz w:val="24"/>
          <w:szCs w:val="24"/>
        </w:rPr>
        <w:t xml:space="preserve">sulas espejo que garantizase la </w:t>
      </w:r>
      <w:r w:rsidRPr="00BE0BC2">
        <w:rPr>
          <w:rFonts w:ascii="Times New Roman" w:hAnsi="Times New Roman" w:cs="Times New Roman"/>
          <w:sz w:val="24"/>
          <w:szCs w:val="24"/>
        </w:rPr>
        <w:t>compatibilidad con los estándares de producción de la UE.</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lastRenderedPageBreak/>
        <w:t>“Acelerar cualquier acuerdo comercial sin tener en cuenta u</w:t>
      </w:r>
      <w:r>
        <w:rPr>
          <w:rFonts w:ascii="Times New Roman" w:hAnsi="Times New Roman" w:cs="Times New Roman"/>
          <w:sz w:val="24"/>
          <w:szCs w:val="24"/>
        </w:rPr>
        <w:t xml:space="preserve">nas cláusulas espejo reales que </w:t>
      </w:r>
      <w:r w:rsidRPr="00BE0BC2">
        <w:rPr>
          <w:rFonts w:ascii="Times New Roman" w:hAnsi="Times New Roman" w:cs="Times New Roman"/>
          <w:sz w:val="24"/>
          <w:szCs w:val="24"/>
        </w:rPr>
        <w:t>aseguren unas mismas condiciones de juego es acelerar la desp</w:t>
      </w:r>
      <w:r>
        <w:rPr>
          <w:rFonts w:ascii="Times New Roman" w:hAnsi="Times New Roman" w:cs="Times New Roman"/>
          <w:sz w:val="24"/>
          <w:szCs w:val="24"/>
        </w:rPr>
        <w:t xml:space="preserve">rotección y desmantelamiento de </w:t>
      </w:r>
      <w:r w:rsidRPr="00BE0BC2">
        <w:rPr>
          <w:rFonts w:ascii="Times New Roman" w:hAnsi="Times New Roman" w:cs="Times New Roman"/>
          <w:sz w:val="24"/>
          <w:szCs w:val="24"/>
        </w:rPr>
        <w:t>nuestro sector agrario” advierte Unión de Uniones ante las no</w:t>
      </w:r>
      <w:r>
        <w:rPr>
          <w:rFonts w:ascii="Times New Roman" w:hAnsi="Times New Roman" w:cs="Times New Roman"/>
          <w:sz w:val="24"/>
          <w:szCs w:val="24"/>
        </w:rPr>
        <w:t xml:space="preserve">tas de prensa emitidas desde el </w:t>
      </w:r>
      <w:r w:rsidRPr="00BE0BC2">
        <w:rPr>
          <w:rFonts w:ascii="Times New Roman" w:hAnsi="Times New Roman" w:cs="Times New Roman"/>
          <w:sz w:val="24"/>
          <w:szCs w:val="24"/>
        </w:rPr>
        <w:t>Ministerio de Industria, Comercio y Turismo sobre las intenciones del Gobierno.</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El sector avícola, vacuno, apícola, vino, cítricos y arroz, los más perjudicados</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Asimismo, Unión de Uniones recuerda la fuerte dependencia com</w:t>
      </w:r>
      <w:r>
        <w:rPr>
          <w:rFonts w:ascii="Times New Roman" w:hAnsi="Times New Roman" w:cs="Times New Roman"/>
          <w:sz w:val="24"/>
          <w:szCs w:val="24"/>
        </w:rPr>
        <w:t xml:space="preserve">ercial existente entre España y </w:t>
      </w:r>
      <w:r w:rsidRPr="00BE0BC2">
        <w:rPr>
          <w:rFonts w:ascii="Times New Roman" w:hAnsi="Times New Roman" w:cs="Times New Roman"/>
          <w:sz w:val="24"/>
          <w:szCs w:val="24"/>
        </w:rPr>
        <w:t>los países de MERCOSUR, así como Chile y México en materia agraria.</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Cabe destacar, por ejemplo, que Brasil es el lugar principal de f</w:t>
      </w:r>
      <w:r>
        <w:rPr>
          <w:rFonts w:ascii="Times New Roman" w:hAnsi="Times New Roman" w:cs="Times New Roman"/>
          <w:sz w:val="24"/>
          <w:szCs w:val="24"/>
        </w:rPr>
        <w:t xml:space="preserve">uera de la UE de donde viene lo </w:t>
      </w:r>
      <w:r w:rsidRPr="00BE0BC2">
        <w:rPr>
          <w:rFonts w:ascii="Times New Roman" w:hAnsi="Times New Roman" w:cs="Times New Roman"/>
          <w:sz w:val="24"/>
          <w:szCs w:val="24"/>
        </w:rPr>
        <w:t>que se importa a España de pollo que, sumado con Argentina y Chile, hacen el 56%.</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Por su parte, los principales orígenes de la carne d</w:t>
      </w:r>
      <w:r>
        <w:rPr>
          <w:rFonts w:ascii="Times New Roman" w:hAnsi="Times New Roman" w:cs="Times New Roman"/>
          <w:sz w:val="24"/>
          <w:szCs w:val="24"/>
        </w:rPr>
        <w:t xml:space="preserve">e vacuno importada desde países </w:t>
      </w:r>
      <w:r w:rsidRPr="00BE0BC2">
        <w:rPr>
          <w:rFonts w:ascii="Times New Roman" w:hAnsi="Times New Roman" w:cs="Times New Roman"/>
          <w:sz w:val="24"/>
          <w:szCs w:val="24"/>
        </w:rPr>
        <w:t>extracomunitarios a España son Brasil, Uruguay y Argentina, que suman el 44%.</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En cuanto a la miel, se da la misma situación. Del tot</w:t>
      </w:r>
      <w:r>
        <w:rPr>
          <w:rFonts w:ascii="Times New Roman" w:hAnsi="Times New Roman" w:cs="Times New Roman"/>
          <w:sz w:val="24"/>
          <w:szCs w:val="24"/>
        </w:rPr>
        <w:t xml:space="preserve">al que importa España de países </w:t>
      </w:r>
      <w:r w:rsidRPr="00BE0BC2">
        <w:rPr>
          <w:rFonts w:ascii="Times New Roman" w:hAnsi="Times New Roman" w:cs="Times New Roman"/>
          <w:sz w:val="24"/>
          <w:szCs w:val="24"/>
        </w:rPr>
        <w:t>extracomunitarios, el 30% procede de Argentina, México y Ur</w:t>
      </w:r>
      <w:r>
        <w:rPr>
          <w:rFonts w:ascii="Times New Roman" w:hAnsi="Times New Roman" w:cs="Times New Roman"/>
          <w:sz w:val="24"/>
          <w:szCs w:val="24"/>
        </w:rPr>
        <w:t xml:space="preserve">uguay según datos del MAPA; “el </w:t>
      </w:r>
      <w:r w:rsidRPr="00BE0BC2">
        <w:rPr>
          <w:rFonts w:ascii="Times New Roman" w:hAnsi="Times New Roman" w:cs="Times New Roman"/>
          <w:sz w:val="24"/>
          <w:szCs w:val="24"/>
        </w:rPr>
        <w:t>sector apícola parece ser uno de los más afectados por estos acuerdos comerciales, y mientr</w:t>
      </w:r>
      <w:r>
        <w:rPr>
          <w:rFonts w:ascii="Times New Roman" w:hAnsi="Times New Roman" w:cs="Times New Roman"/>
          <w:sz w:val="24"/>
          <w:szCs w:val="24"/>
        </w:rPr>
        <w:t xml:space="preserve">as </w:t>
      </w:r>
      <w:r w:rsidRPr="00BE0BC2">
        <w:rPr>
          <w:rFonts w:ascii="Times New Roman" w:hAnsi="Times New Roman" w:cs="Times New Roman"/>
          <w:sz w:val="24"/>
          <w:szCs w:val="24"/>
        </w:rPr>
        <w:t>Planas expone las dificultades del sector en la UE con una mano,</w:t>
      </w:r>
      <w:r>
        <w:rPr>
          <w:rFonts w:ascii="Times New Roman" w:hAnsi="Times New Roman" w:cs="Times New Roman"/>
          <w:sz w:val="24"/>
          <w:szCs w:val="24"/>
        </w:rPr>
        <w:t xml:space="preserve"> quiere avanzar en acuerdos que </w:t>
      </w:r>
      <w:r w:rsidRPr="00BE0BC2">
        <w:rPr>
          <w:rFonts w:ascii="Times New Roman" w:hAnsi="Times New Roman" w:cs="Times New Roman"/>
          <w:sz w:val="24"/>
          <w:szCs w:val="24"/>
        </w:rPr>
        <w:t>lo perjudican con la otra”, critican desde Unión de Uniones.</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En vino, según los datos, el 72% de las importaciones extracomunitarias proceden de este bloquede países con quien se quieren acelerar los acuerdos (MERCOSUR, Chile y México).</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 xml:space="preserve">Los sectores de los cítricos, también se ven perjudicados por </w:t>
      </w:r>
      <w:r>
        <w:rPr>
          <w:rFonts w:ascii="Times New Roman" w:hAnsi="Times New Roman" w:cs="Times New Roman"/>
          <w:sz w:val="24"/>
          <w:szCs w:val="24"/>
        </w:rPr>
        <w:t xml:space="preserve">las exportaciones que llegan de </w:t>
      </w:r>
      <w:r w:rsidRPr="00BE0BC2">
        <w:rPr>
          <w:rFonts w:ascii="Times New Roman" w:hAnsi="Times New Roman" w:cs="Times New Roman"/>
          <w:sz w:val="24"/>
          <w:szCs w:val="24"/>
        </w:rPr>
        <w:t>Brasil, desestabilizando precio de la fruta destinada a industria en España por</w:t>
      </w:r>
      <w:r>
        <w:rPr>
          <w:rFonts w:ascii="Times New Roman" w:hAnsi="Times New Roman" w:cs="Times New Roman"/>
          <w:sz w:val="24"/>
          <w:szCs w:val="24"/>
        </w:rPr>
        <w:t xml:space="preserve">que el mercado no </w:t>
      </w:r>
      <w:r w:rsidRPr="00BE0BC2">
        <w:rPr>
          <w:rFonts w:ascii="Times New Roman" w:hAnsi="Times New Roman" w:cs="Times New Roman"/>
          <w:sz w:val="24"/>
          <w:szCs w:val="24"/>
        </w:rPr>
        <w:t>acepta precios superiores a los de Brasil que cuenta con muy b</w:t>
      </w:r>
      <w:r>
        <w:rPr>
          <w:rFonts w:ascii="Times New Roman" w:hAnsi="Times New Roman" w:cs="Times New Roman"/>
          <w:sz w:val="24"/>
          <w:szCs w:val="24"/>
        </w:rPr>
        <w:t xml:space="preserve">ajos costes de producción, y de </w:t>
      </w:r>
      <w:r w:rsidRPr="00BE0BC2">
        <w:rPr>
          <w:rFonts w:ascii="Times New Roman" w:hAnsi="Times New Roman" w:cs="Times New Roman"/>
          <w:sz w:val="24"/>
          <w:szCs w:val="24"/>
        </w:rPr>
        <w:t>Argentina, por todas las interceptaciones de mancha negra.</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También el sector del arroz se ve perjudicado en una suerte de competencia desleal, p</w:t>
      </w:r>
      <w:r>
        <w:rPr>
          <w:rFonts w:ascii="Times New Roman" w:hAnsi="Times New Roman" w:cs="Times New Roman"/>
          <w:sz w:val="24"/>
          <w:szCs w:val="24"/>
        </w:rPr>
        <w:t xml:space="preserve">or el </w:t>
      </w:r>
      <w:r w:rsidRPr="00BE0BC2">
        <w:rPr>
          <w:rFonts w:ascii="Times New Roman" w:hAnsi="Times New Roman" w:cs="Times New Roman"/>
          <w:sz w:val="24"/>
          <w:szCs w:val="24"/>
        </w:rPr>
        <w:t>producto que se trae desde Uruguay.</w:t>
      </w:r>
    </w:p>
    <w:p w:rsidR="0066205A" w:rsidRPr="00BE0BC2"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“La pandemia hizo reflexionar sobre la importancia de reindustrial</w:t>
      </w:r>
      <w:r>
        <w:rPr>
          <w:rFonts w:ascii="Times New Roman" w:hAnsi="Times New Roman" w:cs="Times New Roman"/>
          <w:sz w:val="24"/>
          <w:szCs w:val="24"/>
        </w:rPr>
        <w:t xml:space="preserve">izar Europa, pero con políticas </w:t>
      </w:r>
      <w:r w:rsidRPr="00BE0BC2">
        <w:rPr>
          <w:rFonts w:ascii="Times New Roman" w:hAnsi="Times New Roman" w:cs="Times New Roman"/>
          <w:sz w:val="24"/>
          <w:szCs w:val="24"/>
        </w:rPr>
        <w:t xml:space="preserve">comerciales que desmantelen el sector agropecuario no se </w:t>
      </w:r>
      <w:r>
        <w:rPr>
          <w:rFonts w:ascii="Times New Roman" w:hAnsi="Times New Roman" w:cs="Times New Roman"/>
          <w:sz w:val="24"/>
          <w:szCs w:val="24"/>
        </w:rPr>
        <w:t xml:space="preserve">va a conseguir”, lamentan desde </w:t>
      </w:r>
      <w:r w:rsidRPr="00BE0BC2">
        <w:rPr>
          <w:rFonts w:ascii="Times New Roman" w:hAnsi="Times New Roman" w:cs="Times New Roman"/>
          <w:sz w:val="24"/>
          <w:szCs w:val="24"/>
        </w:rPr>
        <w:t>Unión de Uniones. ”Pedimos responsabilidad y visión estratégica”, añaden.</w:t>
      </w:r>
    </w:p>
    <w:p w:rsidR="0066205A" w:rsidRDefault="0066205A" w:rsidP="0066205A">
      <w:pPr>
        <w:spacing w:line="240" w:lineRule="auto"/>
        <w:jc w:val="both"/>
        <w:rPr>
          <w:rFonts w:ascii="Times New Roman" w:hAnsi="Times New Roman" w:cs="Times New Roman"/>
          <w:sz w:val="24"/>
          <w:szCs w:val="24"/>
        </w:rPr>
      </w:pPr>
      <w:r w:rsidRPr="00BE0BC2">
        <w:rPr>
          <w:rFonts w:ascii="Times New Roman" w:hAnsi="Times New Roman" w:cs="Times New Roman"/>
          <w:sz w:val="24"/>
          <w:szCs w:val="24"/>
        </w:rPr>
        <w:t>Finalmente, la organización reclama también a Planas coherenc</w:t>
      </w:r>
      <w:r>
        <w:rPr>
          <w:rFonts w:ascii="Times New Roman" w:hAnsi="Times New Roman" w:cs="Times New Roman"/>
          <w:sz w:val="24"/>
          <w:szCs w:val="24"/>
        </w:rPr>
        <w:t xml:space="preserve">ia en sus declaraciones, y pide </w:t>
      </w:r>
      <w:r w:rsidRPr="00BE0BC2">
        <w:rPr>
          <w:rFonts w:ascii="Times New Roman" w:hAnsi="Times New Roman" w:cs="Times New Roman"/>
          <w:sz w:val="24"/>
          <w:szCs w:val="24"/>
        </w:rPr>
        <w:t>una aclaración de la política a seguir al respecto de los acue</w:t>
      </w:r>
      <w:r>
        <w:rPr>
          <w:rFonts w:ascii="Times New Roman" w:hAnsi="Times New Roman" w:cs="Times New Roman"/>
          <w:sz w:val="24"/>
          <w:szCs w:val="24"/>
        </w:rPr>
        <w:t xml:space="preserve">rdos comerciales y que sitúe la </w:t>
      </w:r>
      <w:r w:rsidRPr="00BE0BC2">
        <w:rPr>
          <w:rFonts w:ascii="Times New Roman" w:hAnsi="Times New Roman" w:cs="Times New Roman"/>
          <w:sz w:val="24"/>
          <w:szCs w:val="24"/>
        </w:rPr>
        <w:t>aplicación de cláusulas espejo entre las máximas prioridades de</w:t>
      </w:r>
      <w:r>
        <w:rPr>
          <w:rFonts w:ascii="Times New Roman" w:hAnsi="Times New Roman" w:cs="Times New Roman"/>
          <w:sz w:val="24"/>
          <w:szCs w:val="24"/>
        </w:rPr>
        <w:t xml:space="preserve"> España en su Presidencia de la </w:t>
      </w:r>
      <w:r w:rsidRPr="00BE0BC2">
        <w:rPr>
          <w:rFonts w:ascii="Times New Roman" w:hAnsi="Times New Roman" w:cs="Times New Roman"/>
          <w:sz w:val="24"/>
          <w:szCs w:val="24"/>
        </w:rPr>
        <w:t>UE el próximo semestre.</w:t>
      </w:r>
    </w:p>
    <w:p w:rsidR="0066205A" w:rsidRPr="00831E52" w:rsidRDefault="0066205A" w:rsidP="0066205A">
      <w:pPr>
        <w:spacing w:line="240" w:lineRule="auto"/>
        <w:jc w:val="both"/>
        <w:rPr>
          <w:rFonts w:ascii="Times New Roman" w:hAnsi="Times New Roman" w:cs="Times New Roman"/>
          <w:b/>
          <w:sz w:val="24"/>
          <w:szCs w:val="24"/>
        </w:rPr>
      </w:pPr>
      <w:r w:rsidRPr="00831E52">
        <w:rPr>
          <w:rFonts w:ascii="Times New Roman" w:hAnsi="Times New Roman" w:cs="Times New Roman"/>
          <w:b/>
          <w:sz w:val="24"/>
          <w:szCs w:val="24"/>
        </w:rPr>
        <w:t>Unión de Uniones reclama coherencia y reciprocidad en la última fase de negociación del acuerdo UE-MERCOSUR</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Los países de Mercosur son mucho más permisivos, incluso en c</w:t>
      </w:r>
      <w:r>
        <w:rPr>
          <w:rFonts w:ascii="Times New Roman" w:hAnsi="Times New Roman" w:cs="Times New Roman"/>
          <w:sz w:val="24"/>
          <w:szCs w:val="24"/>
        </w:rPr>
        <w:t xml:space="preserve">uestiones de salud pública, con </w:t>
      </w:r>
      <w:r w:rsidRPr="00831E52">
        <w:rPr>
          <w:rFonts w:ascii="Times New Roman" w:hAnsi="Times New Roman" w:cs="Times New Roman"/>
          <w:sz w:val="24"/>
          <w:szCs w:val="24"/>
        </w:rPr>
        <w:t>sustancias activas autorizadas que están prohibidas en la UE</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 xml:space="preserve">Madrid, </w:t>
      </w:r>
      <w:r>
        <w:rPr>
          <w:rFonts w:ascii="Times New Roman" w:hAnsi="Times New Roman" w:cs="Times New Roman"/>
          <w:sz w:val="24"/>
          <w:szCs w:val="24"/>
        </w:rPr>
        <w:t>03 de octubre de 2023 -</w:t>
      </w:r>
      <w:r w:rsidRPr="00831E52">
        <w:rPr>
          <w:rFonts w:ascii="Times New Roman" w:hAnsi="Times New Roman" w:cs="Times New Roman"/>
          <w:sz w:val="24"/>
          <w:szCs w:val="24"/>
        </w:rPr>
        <w:t xml:space="preserve"> Ante la que, según las</w:t>
      </w:r>
      <w:r>
        <w:rPr>
          <w:rFonts w:ascii="Times New Roman" w:hAnsi="Times New Roman" w:cs="Times New Roman"/>
          <w:sz w:val="24"/>
          <w:szCs w:val="24"/>
        </w:rPr>
        <w:t xml:space="preserve"> declaraciones de los distintos </w:t>
      </w:r>
      <w:r w:rsidRPr="00831E52">
        <w:rPr>
          <w:rFonts w:ascii="Times New Roman" w:hAnsi="Times New Roman" w:cs="Times New Roman"/>
          <w:sz w:val="24"/>
          <w:szCs w:val="24"/>
        </w:rPr>
        <w:t>responsables políticos, supone la última fase de negoc</w:t>
      </w:r>
      <w:r>
        <w:rPr>
          <w:rFonts w:ascii="Times New Roman" w:hAnsi="Times New Roman" w:cs="Times New Roman"/>
          <w:sz w:val="24"/>
          <w:szCs w:val="24"/>
        </w:rPr>
        <w:t xml:space="preserve">iación del acuerdo UE-MERCOSUR, </w:t>
      </w:r>
      <w:r w:rsidRPr="00831E52">
        <w:rPr>
          <w:rFonts w:ascii="Times New Roman" w:hAnsi="Times New Roman" w:cs="Times New Roman"/>
          <w:sz w:val="24"/>
          <w:szCs w:val="24"/>
        </w:rPr>
        <w:t>relativa al anexo con medidas medioambientales, entre ellas agr</w:t>
      </w:r>
      <w:r>
        <w:rPr>
          <w:rFonts w:ascii="Times New Roman" w:hAnsi="Times New Roman" w:cs="Times New Roman"/>
          <w:sz w:val="24"/>
          <w:szCs w:val="24"/>
        </w:rPr>
        <w:t xml:space="preserve">arias; Unión de Uniones reclama </w:t>
      </w:r>
      <w:r w:rsidRPr="00831E52">
        <w:rPr>
          <w:rFonts w:ascii="Times New Roman" w:hAnsi="Times New Roman" w:cs="Times New Roman"/>
          <w:sz w:val="24"/>
          <w:szCs w:val="24"/>
        </w:rPr>
        <w:t>a los negociadores europeos altura de miras y coherencia con la política ambiental europea.</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lastRenderedPageBreak/>
        <w:t>La organización destaca que, según la prensa, pues no parec</w:t>
      </w:r>
      <w:r>
        <w:rPr>
          <w:rFonts w:ascii="Times New Roman" w:hAnsi="Times New Roman" w:cs="Times New Roman"/>
          <w:sz w:val="24"/>
          <w:szCs w:val="24"/>
        </w:rPr>
        <w:t xml:space="preserve">e haber trascendido información </w:t>
      </w:r>
      <w:r w:rsidRPr="00831E52">
        <w:rPr>
          <w:rFonts w:ascii="Times New Roman" w:hAnsi="Times New Roman" w:cs="Times New Roman"/>
          <w:sz w:val="24"/>
          <w:szCs w:val="24"/>
        </w:rPr>
        <w:t>oficial en los últimos meses al respecto, el objetivo de las partes s</w:t>
      </w:r>
      <w:r>
        <w:rPr>
          <w:rFonts w:ascii="Times New Roman" w:hAnsi="Times New Roman" w:cs="Times New Roman"/>
          <w:sz w:val="24"/>
          <w:szCs w:val="24"/>
        </w:rPr>
        <w:t xml:space="preserve">ería concluir las negociaciones </w:t>
      </w:r>
      <w:r w:rsidRPr="00831E52">
        <w:rPr>
          <w:rFonts w:ascii="Times New Roman" w:hAnsi="Times New Roman" w:cs="Times New Roman"/>
          <w:sz w:val="24"/>
          <w:szCs w:val="24"/>
        </w:rPr>
        <w:t>antes de finales de año. En concreto, lo que parece estar sobre</w:t>
      </w:r>
      <w:r>
        <w:rPr>
          <w:rFonts w:ascii="Times New Roman" w:hAnsi="Times New Roman" w:cs="Times New Roman"/>
          <w:sz w:val="24"/>
          <w:szCs w:val="24"/>
        </w:rPr>
        <w:t xml:space="preserve"> la mesa de negociación es el </w:t>
      </w:r>
      <w:r w:rsidRPr="00831E52">
        <w:rPr>
          <w:rFonts w:ascii="Times New Roman" w:hAnsi="Times New Roman" w:cs="Times New Roman"/>
          <w:sz w:val="24"/>
          <w:szCs w:val="24"/>
        </w:rPr>
        <w:t>Instrumento Conjunto adicional sobre sostenibilidad.</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Unión de Uniones considera que este anexo es importante y</w:t>
      </w:r>
      <w:r>
        <w:rPr>
          <w:rFonts w:ascii="Times New Roman" w:hAnsi="Times New Roman" w:cs="Times New Roman"/>
          <w:sz w:val="24"/>
          <w:szCs w:val="24"/>
        </w:rPr>
        <w:t xml:space="preserve"> debería estar acompañado de un </w:t>
      </w:r>
      <w:r w:rsidRPr="00831E52">
        <w:rPr>
          <w:rFonts w:ascii="Times New Roman" w:hAnsi="Times New Roman" w:cs="Times New Roman"/>
          <w:sz w:val="24"/>
          <w:szCs w:val="24"/>
        </w:rPr>
        <w:t xml:space="preserve">régimen sancionador por incumplimientos para poder frenar la competencia desleal de </w:t>
      </w:r>
      <w:r>
        <w:rPr>
          <w:rFonts w:ascii="Times New Roman" w:hAnsi="Times New Roman" w:cs="Times New Roman"/>
          <w:sz w:val="24"/>
          <w:szCs w:val="24"/>
        </w:rPr>
        <w:t xml:space="preserve">los </w:t>
      </w:r>
      <w:r w:rsidRPr="00831E52">
        <w:rPr>
          <w:rFonts w:ascii="Times New Roman" w:hAnsi="Times New Roman" w:cs="Times New Roman"/>
          <w:sz w:val="24"/>
          <w:szCs w:val="24"/>
        </w:rPr>
        <w:t xml:space="preserve">productos importados, de la que la Comisión Europea sería </w:t>
      </w:r>
      <w:r>
        <w:rPr>
          <w:rFonts w:ascii="Times New Roman" w:hAnsi="Times New Roman" w:cs="Times New Roman"/>
          <w:sz w:val="24"/>
          <w:szCs w:val="24"/>
        </w:rPr>
        <w:t xml:space="preserve">cómplice si renuncia a ello. La </w:t>
      </w:r>
      <w:r w:rsidRPr="00831E52">
        <w:rPr>
          <w:rFonts w:ascii="Times New Roman" w:hAnsi="Times New Roman" w:cs="Times New Roman"/>
          <w:sz w:val="24"/>
          <w:szCs w:val="24"/>
        </w:rPr>
        <w:t>organización critica, sin embargo, que este instrumento sobr</w:t>
      </w:r>
      <w:r>
        <w:rPr>
          <w:rFonts w:ascii="Times New Roman" w:hAnsi="Times New Roman" w:cs="Times New Roman"/>
          <w:sz w:val="24"/>
          <w:szCs w:val="24"/>
        </w:rPr>
        <w:t xml:space="preserve">e la sostenibilidad está siendo </w:t>
      </w:r>
      <w:r w:rsidRPr="00831E52">
        <w:rPr>
          <w:rFonts w:ascii="Times New Roman" w:hAnsi="Times New Roman" w:cs="Times New Roman"/>
          <w:sz w:val="24"/>
          <w:szCs w:val="24"/>
        </w:rPr>
        <w:t>negociado de manera opaca hacia los productores, los grandes perdedore</w:t>
      </w:r>
      <w:r>
        <w:rPr>
          <w:rFonts w:ascii="Times New Roman" w:hAnsi="Times New Roman" w:cs="Times New Roman"/>
          <w:sz w:val="24"/>
          <w:szCs w:val="24"/>
        </w:rPr>
        <w:t xml:space="preserve">s del acuerdo, sin saber </w:t>
      </w:r>
      <w:r w:rsidRPr="00831E52">
        <w:rPr>
          <w:rFonts w:ascii="Times New Roman" w:hAnsi="Times New Roman" w:cs="Times New Roman"/>
          <w:sz w:val="24"/>
          <w:szCs w:val="24"/>
        </w:rPr>
        <w:t>hasta qué punto recoge, las verdaderas exigencias equivalente</w:t>
      </w:r>
      <w:r>
        <w:rPr>
          <w:rFonts w:ascii="Times New Roman" w:hAnsi="Times New Roman" w:cs="Times New Roman"/>
          <w:sz w:val="24"/>
          <w:szCs w:val="24"/>
        </w:rPr>
        <w:t xml:space="preserve">s y con objetivos e indicadores </w:t>
      </w:r>
      <w:r w:rsidRPr="00831E52">
        <w:rPr>
          <w:rFonts w:ascii="Times New Roman" w:hAnsi="Times New Roman" w:cs="Times New Roman"/>
          <w:sz w:val="24"/>
          <w:szCs w:val="24"/>
        </w:rPr>
        <w:t>vinculantes desde el punto de vista climático, ambiental, laboral y s</w:t>
      </w:r>
      <w:r>
        <w:rPr>
          <w:rFonts w:ascii="Times New Roman" w:hAnsi="Times New Roman" w:cs="Times New Roman"/>
          <w:sz w:val="24"/>
          <w:szCs w:val="24"/>
        </w:rPr>
        <w:t xml:space="preserve">ocial, de bienestar animal, uso </w:t>
      </w:r>
      <w:r w:rsidRPr="00831E52">
        <w:rPr>
          <w:rFonts w:ascii="Times New Roman" w:hAnsi="Times New Roman" w:cs="Times New Roman"/>
          <w:sz w:val="24"/>
          <w:szCs w:val="24"/>
        </w:rPr>
        <w:t xml:space="preserve">de antibióticos y </w:t>
      </w:r>
      <w:r>
        <w:rPr>
          <w:rFonts w:ascii="Times New Roman" w:hAnsi="Times New Roman" w:cs="Times New Roman"/>
          <w:sz w:val="24"/>
          <w:szCs w:val="24"/>
        </w:rPr>
        <w:t>medicamentos, fitosanitarios…</w:t>
      </w:r>
      <w:r w:rsidRPr="00831E52">
        <w:rPr>
          <w:rFonts w:ascii="Times New Roman" w:hAnsi="Times New Roman" w:cs="Times New Roman"/>
          <w:sz w:val="24"/>
          <w:szCs w:val="24"/>
        </w:rPr>
        <w:t>,etc</w:t>
      </w:r>
      <w:r>
        <w:rPr>
          <w:rFonts w:ascii="Times New Roman" w:hAnsi="Times New Roman" w:cs="Times New Roman"/>
          <w:sz w:val="24"/>
          <w:szCs w:val="24"/>
        </w:rPr>
        <w:t>.</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Asimismo, ante este documento, los países de Mercosur estaría</w:t>
      </w:r>
      <w:r>
        <w:rPr>
          <w:rFonts w:ascii="Times New Roman" w:hAnsi="Times New Roman" w:cs="Times New Roman"/>
          <w:sz w:val="24"/>
          <w:szCs w:val="24"/>
        </w:rPr>
        <w:t xml:space="preserve">n demostrando su disconformidad </w:t>
      </w:r>
      <w:r w:rsidRPr="00831E52">
        <w:rPr>
          <w:rFonts w:ascii="Times New Roman" w:hAnsi="Times New Roman" w:cs="Times New Roman"/>
          <w:sz w:val="24"/>
          <w:szCs w:val="24"/>
        </w:rPr>
        <w:t>amenazando, incluso, con retirarse del acuerdo, por lo qu</w:t>
      </w:r>
      <w:r>
        <w:rPr>
          <w:rFonts w:ascii="Times New Roman" w:hAnsi="Times New Roman" w:cs="Times New Roman"/>
          <w:sz w:val="24"/>
          <w:szCs w:val="24"/>
        </w:rPr>
        <w:t xml:space="preserve">e Unión de Uniones teme que los </w:t>
      </w:r>
      <w:r w:rsidRPr="00831E52">
        <w:rPr>
          <w:rFonts w:ascii="Times New Roman" w:hAnsi="Times New Roman" w:cs="Times New Roman"/>
          <w:sz w:val="24"/>
          <w:szCs w:val="24"/>
        </w:rPr>
        <w:t>negociadores europeos, respondiendo a estas presiones, ac</w:t>
      </w:r>
      <w:r>
        <w:rPr>
          <w:rFonts w:ascii="Times New Roman" w:hAnsi="Times New Roman" w:cs="Times New Roman"/>
          <w:sz w:val="24"/>
          <w:szCs w:val="24"/>
        </w:rPr>
        <w:t xml:space="preserve">aben por rebajar sus exigencias </w:t>
      </w:r>
      <w:r w:rsidRPr="00831E52">
        <w:rPr>
          <w:rFonts w:ascii="Times New Roman" w:hAnsi="Times New Roman" w:cs="Times New Roman"/>
          <w:sz w:val="24"/>
          <w:szCs w:val="24"/>
        </w:rPr>
        <w:t>medioambientales y que se queden solo en cuestiones estéticas.</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A nivel ambiental, ligado a la salud pública, la organización ya s</w:t>
      </w:r>
      <w:r>
        <w:rPr>
          <w:rFonts w:ascii="Times New Roman" w:hAnsi="Times New Roman" w:cs="Times New Roman"/>
          <w:sz w:val="24"/>
          <w:szCs w:val="24"/>
        </w:rPr>
        <w:t xml:space="preserve">e hizo eco de las desigualdades </w:t>
      </w:r>
      <w:r w:rsidRPr="00831E52">
        <w:rPr>
          <w:rFonts w:ascii="Times New Roman" w:hAnsi="Times New Roman" w:cs="Times New Roman"/>
          <w:sz w:val="24"/>
          <w:szCs w:val="24"/>
        </w:rPr>
        <w:t>entre las exigencias a los productores de las dos diferentes partes del acuerdo, siendo mucho máspermisivos los países de Mercosur. Así, de un total de 508 sustancias fitosanitarias revisadas porEHN.org, el 44% de ellas estaban prohibidas o en proceso de estarlo en la UE, mientras que enBrasil solo el 14%; diferencia que se incrementaría sustancialmen</w:t>
      </w:r>
      <w:r>
        <w:rPr>
          <w:rFonts w:ascii="Times New Roman" w:hAnsi="Times New Roman" w:cs="Times New Roman"/>
          <w:sz w:val="24"/>
          <w:szCs w:val="24"/>
        </w:rPr>
        <w:t xml:space="preserve">te con el objetivo de reducción </w:t>
      </w:r>
      <w:r w:rsidRPr="00831E52">
        <w:rPr>
          <w:rFonts w:ascii="Times New Roman" w:hAnsi="Times New Roman" w:cs="Times New Roman"/>
          <w:sz w:val="24"/>
          <w:szCs w:val="24"/>
        </w:rPr>
        <w:t>de fitosanitarios y sustancias activas de la estrategia de la Granja a la Mesa.</w:t>
      </w:r>
    </w:p>
    <w:p w:rsidR="0066205A" w:rsidRPr="00831E52"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La Comisión Europea de</w:t>
      </w:r>
      <w:r>
        <w:rPr>
          <w:rFonts w:ascii="Times New Roman" w:hAnsi="Times New Roman" w:cs="Times New Roman"/>
          <w:sz w:val="24"/>
          <w:szCs w:val="24"/>
        </w:rPr>
        <w:t xml:space="preserve">be activar las cláusulas espejo </w:t>
      </w:r>
      <w:r w:rsidRPr="00831E52">
        <w:rPr>
          <w:rFonts w:ascii="Times New Roman" w:hAnsi="Times New Roman" w:cs="Times New Roman"/>
          <w:sz w:val="24"/>
          <w:szCs w:val="24"/>
        </w:rPr>
        <w:t xml:space="preserve">Unión de Uniones señala que la agricultura europea cada vez se </w:t>
      </w:r>
      <w:r>
        <w:rPr>
          <w:rFonts w:ascii="Times New Roman" w:hAnsi="Times New Roman" w:cs="Times New Roman"/>
          <w:sz w:val="24"/>
          <w:szCs w:val="24"/>
        </w:rPr>
        <w:t xml:space="preserve">aleja más de las condiciones de </w:t>
      </w:r>
      <w:r w:rsidRPr="00831E52">
        <w:rPr>
          <w:rFonts w:ascii="Times New Roman" w:hAnsi="Times New Roman" w:cs="Times New Roman"/>
          <w:sz w:val="24"/>
          <w:szCs w:val="24"/>
        </w:rPr>
        <w:t>competitividad del resto de agriculturas del mundo con unos e</w:t>
      </w:r>
      <w:r>
        <w:rPr>
          <w:rFonts w:ascii="Times New Roman" w:hAnsi="Times New Roman" w:cs="Times New Roman"/>
          <w:sz w:val="24"/>
          <w:szCs w:val="24"/>
        </w:rPr>
        <w:t xml:space="preserve">stándares cada vez más altos en </w:t>
      </w:r>
      <w:r w:rsidRPr="00831E52">
        <w:rPr>
          <w:rFonts w:ascii="Times New Roman" w:hAnsi="Times New Roman" w:cs="Times New Roman"/>
          <w:sz w:val="24"/>
          <w:szCs w:val="24"/>
        </w:rPr>
        <w:t>todos los aspectos de la producción y, por ende, en sus costes (regl</w:t>
      </w:r>
      <w:r>
        <w:rPr>
          <w:rFonts w:ascii="Times New Roman" w:hAnsi="Times New Roman" w:cs="Times New Roman"/>
          <w:sz w:val="24"/>
          <w:szCs w:val="24"/>
        </w:rPr>
        <w:t xml:space="preserve">amento de fitosanitarios, ley </w:t>
      </w:r>
      <w:r w:rsidRPr="00831E52">
        <w:rPr>
          <w:rFonts w:ascii="Times New Roman" w:hAnsi="Times New Roman" w:cs="Times New Roman"/>
          <w:sz w:val="24"/>
          <w:szCs w:val="24"/>
        </w:rPr>
        <w:t>de restauración de la naturaleza, revisión de la legislación en m</w:t>
      </w:r>
      <w:r>
        <w:rPr>
          <w:rFonts w:ascii="Times New Roman" w:hAnsi="Times New Roman" w:cs="Times New Roman"/>
          <w:sz w:val="24"/>
          <w:szCs w:val="24"/>
        </w:rPr>
        <w:t xml:space="preserve">ateria de bienestar animal…y un </w:t>
      </w:r>
      <w:r w:rsidRPr="00831E52">
        <w:rPr>
          <w:rFonts w:ascii="Times New Roman" w:hAnsi="Times New Roman" w:cs="Times New Roman"/>
          <w:sz w:val="24"/>
          <w:szCs w:val="24"/>
        </w:rPr>
        <w:t>largo etcétera de normativas ya aprobadas).</w:t>
      </w:r>
    </w:p>
    <w:p w:rsidR="0066205A" w:rsidRDefault="0066205A" w:rsidP="0066205A">
      <w:pPr>
        <w:spacing w:line="240" w:lineRule="auto"/>
        <w:jc w:val="both"/>
        <w:rPr>
          <w:rFonts w:ascii="Times New Roman" w:hAnsi="Times New Roman" w:cs="Times New Roman"/>
          <w:sz w:val="24"/>
          <w:szCs w:val="24"/>
        </w:rPr>
      </w:pPr>
      <w:r w:rsidRPr="00831E52">
        <w:rPr>
          <w:rFonts w:ascii="Times New Roman" w:hAnsi="Times New Roman" w:cs="Times New Roman"/>
          <w:sz w:val="24"/>
          <w:szCs w:val="24"/>
        </w:rPr>
        <w:t xml:space="preserve">“Asegurar una coherencia entre lo que se exige para producir aquí, y lo que se exige </w:t>
      </w:r>
      <w:r>
        <w:rPr>
          <w:rFonts w:ascii="Times New Roman" w:hAnsi="Times New Roman" w:cs="Times New Roman"/>
          <w:sz w:val="24"/>
          <w:szCs w:val="24"/>
        </w:rPr>
        <w:t xml:space="preserve">para producir </w:t>
      </w:r>
      <w:r w:rsidRPr="00831E52">
        <w:rPr>
          <w:rFonts w:ascii="Times New Roman" w:hAnsi="Times New Roman" w:cs="Times New Roman"/>
          <w:sz w:val="24"/>
          <w:szCs w:val="24"/>
        </w:rPr>
        <w:t>los alimentos que importamos es fundamental para no favorecer l</w:t>
      </w:r>
      <w:r>
        <w:rPr>
          <w:rFonts w:ascii="Times New Roman" w:hAnsi="Times New Roman" w:cs="Times New Roman"/>
          <w:sz w:val="24"/>
          <w:szCs w:val="24"/>
        </w:rPr>
        <w:t xml:space="preserve">a competencia desleal”, afirman </w:t>
      </w:r>
      <w:r w:rsidRPr="00831E52">
        <w:rPr>
          <w:rFonts w:ascii="Times New Roman" w:hAnsi="Times New Roman" w:cs="Times New Roman"/>
          <w:sz w:val="24"/>
          <w:szCs w:val="24"/>
        </w:rPr>
        <w:t>desde la organización. “El sector agrario europeo sólo puede a</w:t>
      </w:r>
      <w:r>
        <w:rPr>
          <w:rFonts w:ascii="Times New Roman" w:hAnsi="Times New Roman" w:cs="Times New Roman"/>
          <w:sz w:val="24"/>
          <w:szCs w:val="24"/>
        </w:rPr>
        <w:t xml:space="preserve">ceptar un acuerdo que contemple </w:t>
      </w:r>
      <w:r w:rsidRPr="00831E52">
        <w:rPr>
          <w:rFonts w:ascii="Times New Roman" w:hAnsi="Times New Roman" w:cs="Times New Roman"/>
          <w:sz w:val="24"/>
          <w:szCs w:val="24"/>
        </w:rPr>
        <w:t>unas cláusulas espejo que nos sitúen a todos en igualdad de condiciones”, concluyen.</w:t>
      </w:r>
    </w:p>
    <w:p w:rsidR="0066205A" w:rsidRPr="00DE3CE2" w:rsidRDefault="0066205A" w:rsidP="0066205A">
      <w:pPr>
        <w:pStyle w:val="Ttulo1"/>
        <w:spacing w:before="0"/>
        <w:jc w:val="both"/>
        <w:rPr>
          <w:rFonts w:ascii="Times New Roman" w:hAnsi="Times New Roman" w:cs="Times New Roman"/>
          <w:b w:val="0"/>
          <w:color w:val="auto"/>
          <w:sz w:val="24"/>
          <w:szCs w:val="24"/>
        </w:rPr>
      </w:pPr>
      <w:r w:rsidRPr="00DE3CE2">
        <w:rPr>
          <w:rFonts w:ascii="Times New Roman" w:hAnsi="Times New Roman" w:cs="Times New Roman"/>
          <w:color w:val="auto"/>
          <w:sz w:val="24"/>
          <w:szCs w:val="24"/>
        </w:rPr>
        <w:t xml:space="preserve">España pierde terreno en la exportación de tomates mientras Marruecos domina el mercado europeo </w:t>
      </w:r>
      <w:r w:rsidRPr="00DE3CE2">
        <w:rPr>
          <w:rFonts w:ascii="Times New Roman" w:hAnsi="Times New Roman" w:cs="Times New Roman"/>
          <w:b w:val="0"/>
          <w:color w:val="auto"/>
          <w:sz w:val="24"/>
          <w:szCs w:val="24"/>
        </w:rPr>
        <w:t>(tradextremadura.com/feb25)</w:t>
      </w:r>
    </w:p>
    <w:p w:rsidR="0066205A" w:rsidRPr="00DE3CE2" w:rsidRDefault="0066205A" w:rsidP="0066205A">
      <w:pPr>
        <w:pStyle w:val="NormalWeb"/>
        <w:jc w:val="both"/>
      </w:pPr>
      <w:r w:rsidRPr="00DE3CE2">
        <w:t>Desde la firma del Acuerdo de Libre Comercio entre la Unión Europea y Marruecos en 2012, la agricultura española ha enfrentado una fuerte competencia. En el caso del tomate, la caída ha sido drástica: en solo diez años, la producción nacional se ha reducido un </w:t>
      </w:r>
      <w:r w:rsidRPr="00DE3CE2">
        <w:rPr>
          <w:rStyle w:val="Textoennegrita"/>
        </w:rPr>
        <w:t>30,7%</w:t>
      </w:r>
      <w:r w:rsidRPr="00DE3CE2">
        <w:t>, mientras que las exportaciones han descendido un </w:t>
      </w:r>
      <w:r w:rsidRPr="00DE3CE2">
        <w:rPr>
          <w:rStyle w:val="Textoennegrita"/>
        </w:rPr>
        <w:t>38,7%</w:t>
      </w:r>
      <w:r w:rsidRPr="00DE3CE2">
        <w:t>. Mientras tanto, Marruecos ha incrementado su presencia en el mercado europeo, logrando en 2023 superar a España en exportaciones de tomate a la UE, con un aumento del </w:t>
      </w:r>
      <w:r w:rsidRPr="00DE3CE2">
        <w:rPr>
          <w:rStyle w:val="Textoennegrita"/>
        </w:rPr>
        <w:t>42,5%</w:t>
      </w:r>
      <w:r w:rsidRPr="00DE3CE2">
        <w:t> en su volumen de ventas.</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lastRenderedPageBreak/>
        <w:t>España pierde su lugar en el mercado europeo de tomates</w:t>
      </w:r>
    </w:p>
    <w:p w:rsidR="0066205A" w:rsidRPr="00DE3CE2" w:rsidRDefault="0066205A" w:rsidP="0066205A">
      <w:pPr>
        <w:pStyle w:val="NormalWeb"/>
        <w:jc w:val="both"/>
      </w:pPr>
      <w:r w:rsidRPr="00DE3CE2">
        <w:t>Históricamente, España ha sido uno de los principales exportadores de tomate fresco a la UE, un producto de gran valor añadido. Sin embargo, en la última década, el panorama ha cambiado radicalmente.</w:t>
      </w:r>
    </w:p>
    <w:p w:rsidR="0066205A" w:rsidRPr="00DE3CE2" w:rsidRDefault="0066205A" w:rsidP="0066205A">
      <w:pPr>
        <w:pStyle w:val="NormalWeb"/>
        <w:jc w:val="both"/>
      </w:pPr>
      <w:r w:rsidRPr="00DE3CE2">
        <w:t>Según datos de 2023, España exportó </w:t>
      </w:r>
      <w:r w:rsidRPr="00DE3CE2">
        <w:rPr>
          <w:rStyle w:val="Textoennegrita"/>
        </w:rPr>
        <w:t>un 38,7% menos de tomates</w:t>
      </w:r>
      <w:r w:rsidRPr="00DE3CE2">
        <w:t> en comparación con diez años atrás. Paralelamente, Marruecos ha pasado de exportar </w:t>
      </w:r>
      <w:r w:rsidRPr="00DE3CE2">
        <w:rPr>
          <w:rStyle w:val="Textoennegrita"/>
        </w:rPr>
        <w:t>345.416 toneladas en 2014 a 492.438 toneladas en 2023</w:t>
      </w:r>
      <w:r w:rsidRPr="00DE3CE2">
        <w:t>, consolidándose como el segundo mayor proveedor de la UE después de los Países Bajos. Este cambio ha supuesto un </w:t>
      </w:r>
      <w:proofErr w:type="spellStart"/>
      <w:r w:rsidRPr="00DE3CE2">
        <w:rPr>
          <w:rStyle w:val="Textoennegrita"/>
        </w:rPr>
        <w:t>sorpasso</w:t>
      </w:r>
      <w:proofErr w:type="spellEnd"/>
      <w:r w:rsidRPr="00DE3CE2">
        <w:rPr>
          <w:rStyle w:val="Textoennegrita"/>
        </w:rPr>
        <w:t xml:space="preserve"> histórico</w:t>
      </w:r>
      <w:r w:rsidRPr="00DE3CE2">
        <w:t>, con Marruecos superando a España por primera vez en volumen de exportación.</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Condiciones desiguales de competencia</w:t>
      </w:r>
    </w:p>
    <w:p w:rsidR="0066205A" w:rsidRPr="00DE3CE2" w:rsidRDefault="0066205A" w:rsidP="0066205A">
      <w:pPr>
        <w:pStyle w:val="NormalWeb"/>
        <w:jc w:val="both"/>
      </w:pPr>
      <w:r w:rsidRPr="00DE3CE2">
        <w:t>La pérdida de competitividad del tomate español no es una simple cuestión de oferta y demanda. Tanto agricultores como organizaciones agrarias han denunciado </w:t>
      </w:r>
      <w:r w:rsidRPr="00DE3CE2">
        <w:rPr>
          <w:rStyle w:val="Textoennegrita"/>
        </w:rPr>
        <w:t>una competencia desigual entre España y Marruecos</w:t>
      </w:r>
      <w:r w:rsidRPr="00DE3CE2">
        <w:t>, debido a diferencias en costos laborales, regulaciones medioambientales y exigencias sanitarias.</w:t>
      </w:r>
    </w:p>
    <w:p w:rsidR="0066205A" w:rsidRPr="00DE3CE2" w:rsidRDefault="0066205A" w:rsidP="0066205A">
      <w:pPr>
        <w:pStyle w:val="NormalWeb"/>
        <w:jc w:val="both"/>
      </w:pPr>
      <w:r w:rsidRPr="00DE3CE2">
        <w:t>Las principales diferencias que afectan al sector son:</w:t>
      </w:r>
    </w:p>
    <w:p w:rsidR="0066205A" w:rsidRPr="00DE3CE2" w:rsidRDefault="0066205A" w:rsidP="0066205A">
      <w:pPr>
        <w:numPr>
          <w:ilvl w:val="0"/>
          <w:numId w:val="1"/>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Coste de producción:</w:t>
      </w:r>
      <w:r w:rsidRPr="00DE3CE2">
        <w:rPr>
          <w:rFonts w:ascii="Times New Roman" w:hAnsi="Times New Roman" w:cs="Times New Roman"/>
          <w:sz w:val="24"/>
          <w:szCs w:val="24"/>
        </w:rPr>
        <w:t> Mientras que en España los salarios en el sector agrícola son significativamente más altos, en Marruecos el coste de la mano de obra es mucho menor.</w:t>
      </w:r>
    </w:p>
    <w:p w:rsidR="0066205A" w:rsidRPr="00DE3CE2" w:rsidRDefault="0066205A" w:rsidP="0066205A">
      <w:pPr>
        <w:numPr>
          <w:ilvl w:val="0"/>
          <w:numId w:val="1"/>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Regulación ambiental y sanitaria:</w:t>
      </w:r>
      <w:r w:rsidRPr="00DE3CE2">
        <w:rPr>
          <w:rFonts w:ascii="Times New Roman" w:hAnsi="Times New Roman" w:cs="Times New Roman"/>
          <w:sz w:val="24"/>
          <w:szCs w:val="24"/>
        </w:rPr>
        <w:t> Los agricultores españoles deben cumplir con estrictas normativas de sostenibilidad y control fitosanitario, mientras que Marruecos no está sujeto a las mismas exigencias.</w:t>
      </w:r>
    </w:p>
    <w:p w:rsidR="0066205A" w:rsidRPr="00DE3CE2" w:rsidRDefault="0066205A" w:rsidP="0066205A">
      <w:pPr>
        <w:numPr>
          <w:ilvl w:val="0"/>
          <w:numId w:val="1"/>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Carga fiscal y burocrática:</w:t>
      </w:r>
      <w:r w:rsidRPr="00DE3CE2">
        <w:rPr>
          <w:rFonts w:ascii="Times New Roman" w:hAnsi="Times New Roman" w:cs="Times New Roman"/>
          <w:sz w:val="24"/>
          <w:szCs w:val="24"/>
        </w:rPr>
        <w:t> En España, los productores deben hacer frente a mayores impuestos y requisitos administrativos que elevan el precio final del producto.</w:t>
      </w:r>
    </w:p>
    <w:p w:rsidR="0066205A" w:rsidRPr="00DE3CE2" w:rsidRDefault="0066205A" w:rsidP="0066205A">
      <w:pPr>
        <w:pStyle w:val="NormalWeb"/>
        <w:jc w:val="both"/>
      </w:pPr>
      <w:r w:rsidRPr="00DE3CE2">
        <w:t>Como resultado, los tomates marroquíes llegan al mercado europeo a precios considerablemente más bajos que los españoles, lo que les permite ganar cuota de mercado rápidamente.</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Fraude en el precio de entrada del tomate marroquí</w:t>
      </w:r>
    </w:p>
    <w:p w:rsidR="0066205A" w:rsidRPr="00DE3CE2" w:rsidRDefault="0066205A" w:rsidP="0066205A">
      <w:pPr>
        <w:pStyle w:val="NormalWeb"/>
        <w:jc w:val="both"/>
      </w:pPr>
      <w:r w:rsidRPr="00DE3CE2">
        <w:t>El acuerdo de 2012 estableció que Marruecos puede exportar hasta </w:t>
      </w:r>
      <w:r w:rsidRPr="00DE3CE2">
        <w:rPr>
          <w:rStyle w:val="Textoennegrita"/>
        </w:rPr>
        <w:t>285.000 toneladas</w:t>
      </w:r>
      <w:r w:rsidRPr="00DE3CE2">
        <w:t> de tomate fresco libre de aranceles a la UE, pero con ciertas condiciones:</w:t>
      </w:r>
    </w:p>
    <w:p w:rsidR="0066205A" w:rsidRPr="00DE3CE2" w:rsidRDefault="0066205A" w:rsidP="0066205A">
      <w:pPr>
        <w:numPr>
          <w:ilvl w:val="0"/>
          <w:numId w:val="2"/>
        </w:numPr>
        <w:spacing w:before="100" w:beforeAutospacing="1" w:after="100" w:afterAutospacing="1" w:line="240" w:lineRule="auto"/>
        <w:jc w:val="both"/>
        <w:rPr>
          <w:rFonts w:ascii="Times New Roman" w:hAnsi="Times New Roman" w:cs="Times New Roman"/>
          <w:sz w:val="24"/>
          <w:szCs w:val="24"/>
        </w:rPr>
      </w:pPr>
      <w:r w:rsidRPr="00DE3CE2">
        <w:rPr>
          <w:rFonts w:ascii="Times New Roman" w:hAnsi="Times New Roman" w:cs="Times New Roman"/>
          <w:sz w:val="24"/>
          <w:szCs w:val="24"/>
        </w:rPr>
        <w:t>Las exportaciones sin arancel deben realizarse entre el </w:t>
      </w:r>
      <w:r w:rsidRPr="00DE3CE2">
        <w:rPr>
          <w:rStyle w:val="Textoennegrita"/>
          <w:rFonts w:ascii="Times New Roman" w:hAnsi="Times New Roman" w:cs="Times New Roman"/>
          <w:sz w:val="24"/>
          <w:szCs w:val="24"/>
        </w:rPr>
        <w:t>1 de mayo y el 31 de octubre</w:t>
      </w:r>
      <w:r w:rsidRPr="00DE3CE2">
        <w:rPr>
          <w:rFonts w:ascii="Times New Roman" w:hAnsi="Times New Roman" w:cs="Times New Roman"/>
          <w:sz w:val="24"/>
          <w:szCs w:val="24"/>
        </w:rPr>
        <w:t>.</w:t>
      </w:r>
    </w:p>
    <w:p w:rsidR="0066205A" w:rsidRPr="00DE3CE2" w:rsidRDefault="0066205A" w:rsidP="0066205A">
      <w:pPr>
        <w:numPr>
          <w:ilvl w:val="0"/>
          <w:numId w:val="2"/>
        </w:numPr>
        <w:spacing w:before="100" w:beforeAutospacing="1" w:after="100" w:afterAutospacing="1" w:line="240" w:lineRule="auto"/>
        <w:jc w:val="both"/>
        <w:rPr>
          <w:rFonts w:ascii="Times New Roman" w:hAnsi="Times New Roman" w:cs="Times New Roman"/>
          <w:sz w:val="24"/>
          <w:szCs w:val="24"/>
        </w:rPr>
      </w:pPr>
      <w:r w:rsidRPr="00DE3CE2">
        <w:rPr>
          <w:rFonts w:ascii="Times New Roman" w:hAnsi="Times New Roman" w:cs="Times New Roman"/>
          <w:sz w:val="24"/>
          <w:szCs w:val="24"/>
        </w:rPr>
        <w:t>Los tomates deben entrar a un precio </w:t>
      </w:r>
      <w:r w:rsidRPr="00DE3CE2">
        <w:rPr>
          <w:rStyle w:val="Textoennegrita"/>
          <w:rFonts w:ascii="Times New Roman" w:hAnsi="Times New Roman" w:cs="Times New Roman"/>
          <w:sz w:val="24"/>
          <w:szCs w:val="24"/>
        </w:rPr>
        <w:t>mínimo de 0,46 €/kg</w:t>
      </w:r>
      <w:r w:rsidRPr="00DE3CE2">
        <w:rPr>
          <w:rFonts w:ascii="Times New Roman" w:hAnsi="Times New Roman" w:cs="Times New Roman"/>
          <w:sz w:val="24"/>
          <w:szCs w:val="24"/>
        </w:rPr>
        <w:t> para evitar competencia desleal.</w:t>
      </w:r>
    </w:p>
    <w:p w:rsidR="0066205A" w:rsidRPr="00DE3CE2" w:rsidRDefault="0066205A" w:rsidP="0066205A">
      <w:pPr>
        <w:pStyle w:val="NormalWeb"/>
        <w:jc w:val="both"/>
      </w:pPr>
      <w:r w:rsidRPr="00DE3CE2">
        <w:t xml:space="preserve">Sin embargo, organizaciones agrarias como COAG y </w:t>
      </w:r>
      <w:proofErr w:type="spellStart"/>
      <w:r w:rsidRPr="00DE3CE2">
        <w:t>Asaja</w:t>
      </w:r>
      <w:proofErr w:type="spellEnd"/>
      <w:r w:rsidRPr="00DE3CE2">
        <w:t xml:space="preserve"> han denunciado que </w:t>
      </w:r>
      <w:r w:rsidRPr="00DE3CE2">
        <w:rPr>
          <w:rStyle w:val="Textoennegrita"/>
        </w:rPr>
        <w:t>esta norma no se cumple</w:t>
      </w:r>
      <w:r w:rsidRPr="00DE3CE2">
        <w:t>. Según datos de la FAO, en 2021 los productores marroquíes cobraban de media </w:t>
      </w:r>
      <w:r w:rsidRPr="00DE3CE2">
        <w:rPr>
          <w:rStyle w:val="Textoennegrita"/>
        </w:rPr>
        <w:t>0,23 €/kg</w:t>
      </w:r>
      <w:r w:rsidRPr="00DE3CE2">
        <w:t>, incluso menos que en 2012, cuando el precio medio era de </w:t>
      </w:r>
      <w:r w:rsidRPr="00DE3CE2">
        <w:rPr>
          <w:rStyle w:val="Textoennegrita"/>
        </w:rPr>
        <w:t>0,25 €/kg</w:t>
      </w:r>
      <w:r w:rsidRPr="00DE3CE2">
        <w:t>.</w:t>
      </w:r>
    </w:p>
    <w:p w:rsidR="0066205A" w:rsidRPr="00DE3CE2" w:rsidRDefault="0066205A" w:rsidP="0066205A">
      <w:pPr>
        <w:pStyle w:val="NormalWeb"/>
        <w:jc w:val="both"/>
      </w:pPr>
      <w:r w:rsidRPr="00DE3CE2">
        <w:t>El problema radica en que los controles en frontera no son efectivos. En 2015, la Junta de Andalucía demostró que en un periodo de solo quince días entraron en España </w:t>
      </w:r>
      <w:r w:rsidRPr="00DE3CE2">
        <w:rPr>
          <w:rStyle w:val="Textoennegrita"/>
        </w:rPr>
        <w:t xml:space="preserve">10.777 </w:t>
      </w:r>
      <w:r w:rsidRPr="00DE3CE2">
        <w:rPr>
          <w:rStyle w:val="Textoennegrita"/>
        </w:rPr>
        <w:lastRenderedPageBreak/>
        <w:t>toneladas de tomates marroquíes por debajo del precio mínimo</w:t>
      </w:r>
      <w:r w:rsidRPr="00DE3CE2">
        <w:t>, lo que confirma un </w:t>
      </w:r>
      <w:r w:rsidRPr="00DE3CE2">
        <w:rPr>
          <w:rStyle w:val="Textoennegrita"/>
        </w:rPr>
        <w:t>fraude sistemático</w:t>
      </w:r>
      <w:r w:rsidRPr="00DE3CE2">
        <w:t> en la importación.</w:t>
      </w:r>
    </w:p>
    <w:p w:rsidR="0066205A" w:rsidRPr="00DE3CE2" w:rsidRDefault="0066205A" w:rsidP="0066205A">
      <w:pPr>
        <w:pStyle w:val="NormalWeb"/>
        <w:jc w:val="both"/>
      </w:pPr>
      <w:r w:rsidRPr="00DE3CE2">
        <w:t>Además, COAG ha alertado sobre </w:t>
      </w:r>
      <w:r w:rsidRPr="00DE3CE2">
        <w:rPr>
          <w:rStyle w:val="Textoennegrita"/>
        </w:rPr>
        <w:t>graves deficiencias en el control de los contingentes</w:t>
      </w:r>
      <w:r w:rsidRPr="00DE3CE2">
        <w:t>, ya que:</w:t>
      </w:r>
    </w:p>
    <w:p w:rsidR="0066205A" w:rsidRPr="00DE3CE2" w:rsidRDefault="0066205A" w:rsidP="0066205A">
      <w:pPr>
        <w:numPr>
          <w:ilvl w:val="0"/>
          <w:numId w:val="3"/>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No se diferencian las variedades de tomate en el cálculo del precio de entrada</w:t>
      </w:r>
      <w:r w:rsidRPr="00DE3CE2">
        <w:rPr>
          <w:rFonts w:ascii="Times New Roman" w:hAnsi="Times New Roman" w:cs="Times New Roman"/>
          <w:sz w:val="24"/>
          <w:szCs w:val="24"/>
        </w:rPr>
        <w:t xml:space="preserve">, lo que permite que partidas con tomates </w:t>
      </w:r>
      <w:proofErr w:type="spellStart"/>
      <w:r w:rsidRPr="00DE3CE2">
        <w:rPr>
          <w:rFonts w:ascii="Times New Roman" w:hAnsi="Times New Roman" w:cs="Times New Roman"/>
          <w:sz w:val="24"/>
          <w:szCs w:val="24"/>
        </w:rPr>
        <w:t>cherry</w:t>
      </w:r>
      <w:proofErr w:type="spellEnd"/>
      <w:r w:rsidRPr="00DE3CE2">
        <w:rPr>
          <w:rFonts w:ascii="Times New Roman" w:hAnsi="Times New Roman" w:cs="Times New Roman"/>
          <w:sz w:val="24"/>
          <w:szCs w:val="24"/>
        </w:rPr>
        <w:t xml:space="preserve"> (más caros) enmascaren la importación de tomate redondo (más barato).</w:t>
      </w:r>
    </w:p>
    <w:p w:rsidR="0066205A" w:rsidRPr="00DE3CE2" w:rsidRDefault="0066205A" w:rsidP="0066205A">
      <w:pPr>
        <w:numPr>
          <w:ilvl w:val="0"/>
          <w:numId w:val="3"/>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El proceso de recopilación de datos aduaneros es lento</w:t>
      </w:r>
      <w:r w:rsidRPr="00DE3CE2">
        <w:rPr>
          <w:rFonts w:ascii="Times New Roman" w:hAnsi="Times New Roman" w:cs="Times New Roman"/>
          <w:sz w:val="24"/>
          <w:szCs w:val="24"/>
        </w:rPr>
        <w:t>, tardando más de dos meses en actualizarse, lo que permite la entrada de toneladas adicionales sin arancel una vez superado el cupo.</w:t>
      </w:r>
    </w:p>
    <w:p w:rsidR="0066205A" w:rsidRPr="00DE3CE2" w:rsidRDefault="0066205A" w:rsidP="0066205A">
      <w:pPr>
        <w:pStyle w:val="NormalWeb"/>
        <w:jc w:val="both"/>
      </w:pPr>
      <w:r w:rsidRPr="00DE3CE2">
        <w:t>Como resultado, COAG estima que desde 2020 </w:t>
      </w:r>
      <w:r w:rsidRPr="00DE3CE2">
        <w:rPr>
          <w:rStyle w:val="Textoennegrita"/>
        </w:rPr>
        <w:t>se han defraudado 71,7 millones de euros</w:t>
      </w:r>
      <w:r w:rsidRPr="00DE3CE2">
        <w:t> a las arcas comunitarias debido a la falta de control en las importaciones marroquíes.</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El impacto del Sahara Occidental en el acuerdo</w:t>
      </w:r>
    </w:p>
    <w:p w:rsidR="0066205A" w:rsidRPr="00DE3CE2" w:rsidRDefault="0066205A" w:rsidP="0066205A">
      <w:pPr>
        <w:pStyle w:val="NormalWeb"/>
        <w:jc w:val="both"/>
      </w:pPr>
      <w:r w:rsidRPr="00DE3CE2">
        <w:t>En octubre de 2024, el Tribunal de Justicia de la Unión Europea (TJUE) emitió un fallo crucial: los productos agrícolas del </w:t>
      </w:r>
      <w:r w:rsidRPr="00DE3CE2">
        <w:rPr>
          <w:rStyle w:val="Textoennegrita"/>
        </w:rPr>
        <w:t>Sahara Occidental</w:t>
      </w:r>
      <w:r w:rsidRPr="00DE3CE2">
        <w:t> no pueden beneficiarse del Acuerdo de Libre Comercio con Marruecos, ya que este territorio no pertenece a Rabat y la UE nunca consultó a los saharauis antes de incluirlos en el pacto.</w:t>
      </w:r>
    </w:p>
    <w:p w:rsidR="0066205A" w:rsidRPr="00DE3CE2" w:rsidRDefault="0066205A" w:rsidP="0066205A">
      <w:pPr>
        <w:pStyle w:val="NormalWeb"/>
        <w:jc w:val="both"/>
      </w:pPr>
      <w:r w:rsidRPr="00DE3CE2">
        <w:t>Este fallo supone un desafío diplomático, ya que Marruecos se niega a aceptar la exclusión del Sahara del acuerdo comercial. Aunque la UE ha dado </w:t>
      </w:r>
      <w:r w:rsidRPr="00DE3CE2">
        <w:rPr>
          <w:rStyle w:val="Textoennegrita"/>
        </w:rPr>
        <w:t>un plazo de 12 meses</w:t>
      </w:r>
      <w:r w:rsidRPr="00DE3CE2">
        <w:t> para aplicar la sentencia, los agricultores españoles exigen que se haga de inmediato, para evitar que continúe la entrada de productos saharauis con ventajas arancelarias indebidas.</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Los agricultores españoles exigen respuestas</w:t>
      </w:r>
    </w:p>
    <w:p w:rsidR="0066205A" w:rsidRPr="00DE3CE2" w:rsidRDefault="0066205A" w:rsidP="0066205A">
      <w:pPr>
        <w:pStyle w:val="NormalWeb"/>
        <w:jc w:val="both"/>
      </w:pPr>
      <w:r w:rsidRPr="00DE3CE2">
        <w:t>Ante la crisis del tomate español y el crecimiento de Marruecos en el mercado europeo, las organizaciones agrarias han intensificado la presión sobre las instituciones comunitarias.</w:t>
      </w:r>
    </w:p>
    <w:p w:rsidR="0066205A" w:rsidRPr="00DE3CE2" w:rsidRDefault="0066205A" w:rsidP="0066205A">
      <w:pPr>
        <w:numPr>
          <w:ilvl w:val="0"/>
          <w:numId w:val="4"/>
        </w:numPr>
        <w:spacing w:before="100" w:beforeAutospacing="1" w:after="100" w:afterAutospacing="1" w:line="240" w:lineRule="auto"/>
        <w:jc w:val="both"/>
        <w:rPr>
          <w:rFonts w:ascii="Times New Roman" w:hAnsi="Times New Roman" w:cs="Times New Roman"/>
          <w:sz w:val="24"/>
          <w:szCs w:val="24"/>
        </w:rPr>
      </w:pPr>
      <w:r w:rsidRPr="00DE3CE2">
        <w:rPr>
          <w:rStyle w:val="Textoennegrita"/>
          <w:rFonts w:ascii="Times New Roman" w:hAnsi="Times New Roman" w:cs="Times New Roman"/>
          <w:sz w:val="24"/>
          <w:szCs w:val="24"/>
        </w:rPr>
        <w:t>COAG ha anunciado acciones legales</w:t>
      </w:r>
      <w:r w:rsidRPr="00DE3CE2">
        <w:rPr>
          <w:rFonts w:ascii="Times New Roman" w:hAnsi="Times New Roman" w:cs="Times New Roman"/>
          <w:sz w:val="24"/>
          <w:szCs w:val="24"/>
        </w:rPr>
        <w:t> contra importadores que estén cometiendo fraude en la entrada de tomate marroquí.</w:t>
      </w:r>
    </w:p>
    <w:p w:rsidR="0066205A" w:rsidRPr="00DE3CE2" w:rsidRDefault="0066205A" w:rsidP="0066205A">
      <w:pPr>
        <w:numPr>
          <w:ilvl w:val="0"/>
          <w:numId w:val="4"/>
        </w:numPr>
        <w:spacing w:before="100" w:beforeAutospacing="1" w:after="100" w:afterAutospacing="1" w:line="240" w:lineRule="auto"/>
        <w:jc w:val="both"/>
        <w:rPr>
          <w:rFonts w:ascii="Times New Roman" w:hAnsi="Times New Roman" w:cs="Times New Roman"/>
          <w:sz w:val="24"/>
          <w:szCs w:val="24"/>
        </w:rPr>
      </w:pPr>
      <w:proofErr w:type="spellStart"/>
      <w:r w:rsidRPr="00DE3CE2">
        <w:rPr>
          <w:rStyle w:val="Textoennegrita"/>
          <w:rFonts w:ascii="Times New Roman" w:hAnsi="Times New Roman" w:cs="Times New Roman"/>
          <w:sz w:val="24"/>
          <w:szCs w:val="24"/>
        </w:rPr>
        <w:t>Asaja</w:t>
      </w:r>
      <w:proofErr w:type="spellEnd"/>
      <w:r w:rsidRPr="00DE3CE2">
        <w:rPr>
          <w:rStyle w:val="Textoennegrita"/>
          <w:rFonts w:ascii="Times New Roman" w:hAnsi="Times New Roman" w:cs="Times New Roman"/>
          <w:sz w:val="24"/>
          <w:szCs w:val="24"/>
        </w:rPr>
        <w:t xml:space="preserve"> se ha reunido con el comisario de Agricultura de la UE</w:t>
      </w:r>
      <w:r w:rsidRPr="00DE3CE2">
        <w:rPr>
          <w:rFonts w:ascii="Times New Roman" w:hAnsi="Times New Roman" w:cs="Times New Roman"/>
          <w:sz w:val="24"/>
          <w:szCs w:val="24"/>
        </w:rPr>
        <w:t> para exigir mayor control en el cumplimiento de los cupos de importación y la aplicación inmediata del fallo sobre el Sahara.</w:t>
      </w:r>
    </w:p>
    <w:p w:rsidR="0066205A" w:rsidRPr="00DE3CE2" w:rsidRDefault="0066205A" w:rsidP="0066205A">
      <w:pPr>
        <w:numPr>
          <w:ilvl w:val="0"/>
          <w:numId w:val="4"/>
        </w:numPr>
        <w:spacing w:before="100" w:beforeAutospacing="1" w:after="100" w:afterAutospacing="1" w:line="240" w:lineRule="auto"/>
        <w:jc w:val="both"/>
        <w:rPr>
          <w:rFonts w:ascii="Times New Roman" w:hAnsi="Times New Roman" w:cs="Times New Roman"/>
          <w:sz w:val="24"/>
          <w:szCs w:val="24"/>
        </w:rPr>
      </w:pPr>
      <w:proofErr w:type="spellStart"/>
      <w:r w:rsidRPr="00DE3CE2">
        <w:rPr>
          <w:rStyle w:val="Textoennegrita"/>
          <w:rFonts w:ascii="Times New Roman" w:hAnsi="Times New Roman" w:cs="Times New Roman"/>
          <w:sz w:val="24"/>
          <w:szCs w:val="24"/>
        </w:rPr>
        <w:t>Fepex</w:t>
      </w:r>
      <w:proofErr w:type="spellEnd"/>
      <w:r w:rsidRPr="00DE3CE2">
        <w:rPr>
          <w:rStyle w:val="Textoennegrita"/>
          <w:rFonts w:ascii="Times New Roman" w:hAnsi="Times New Roman" w:cs="Times New Roman"/>
          <w:sz w:val="24"/>
          <w:szCs w:val="24"/>
        </w:rPr>
        <w:t xml:space="preserve"> ha trasladado sus preocupaciones a la Comisión Europea</w:t>
      </w:r>
      <w:r w:rsidRPr="00DE3CE2">
        <w:rPr>
          <w:rFonts w:ascii="Times New Roman" w:hAnsi="Times New Roman" w:cs="Times New Roman"/>
          <w:sz w:val="24"/>
          <w:szCs w:val="24"/>
        </w:rPr>
        <w:t>, alertando sobre la amenaza que supone este escenario para los agricultores españoles.</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El temor ante el acuerdo UE-Mercosur</w:t>
      </w:r>
    </w:p>
    <w:p w:rsidR="0066205A" w:rsidRPr="00DE3CE2" w:rsidRDefault="0066205A" w:rsidP="0066205A">
      <w:pPr>
        <w:pStyle w:val="NormalWeb"/>
        <w:jc w:val="both"/>
      </w:pPr>
      <w:r w:rsidRPr="00DE3CE2">
        <w:t>La firma del acuerdo agrícola con Marruecos ha dejado un precedente preocupante para el sector primario europeo. Ahora, la Comisión Europea acelera las negociaciones para </w:t>
      </w:r>
      <w:r w:rsidRPr="00DE3CE2">
        <w:rPr>
          <w:rStyle w:val="Textoennegrita"/>
        </w:rPr>
        <w:t>un tratado de libre comercio con los países del Mercosur (Brasil, Argentina, Paraguay y Uruguay)</w:t>
      </w:r>
      <w:r w:rsidRPr="00DE3CE2">
        <w:t>, lo que ha generado una fuerte oposición por parte de los agricultores europeos.</w:t>
      </w:r>
    </w:p>
    <w:p w:rsidR="0066205A" w:rsidRPr="00DE3CE2" w:rsidRDefault="0066205A" w:rsidP="0066205A">
      <w:pPr>
        <w:pStyle w:val="NormalWeb"/>
        <w:jc w:val="both"/>
      </w:pPr>
      <w:r w:rsidRPr="00DE3CE2">
        <w:t>Las preocupaciones son similares a las del caso marroquí: </w:t>
      </w:r>
      <w:r w:rsidRPr="00DE3CE2">
        <w:rPr>
          <w:rStyle w:val="Textoennegrita"/>
        </w:rPr>
        <w:t>costes de producción más bajos, menores regulaciones ambientales y sanitarias, y riesgo de competencia desleal</w:t>
      </w:r>
      <w:r w:rsidRPr="00DE3CE2">
        <w:t xml:space="preserve">. Los </w:t>
      </w:r>
      <w:r w:rsidRPr="00DE3CE2">
        <w:lastRenderedPageBreak/>
        <w:t>productores españoles temen que, si el acuerdo con Marruecos ya ha provocado una caída del 40% en las exportaciones de tomate, un pacto con Mercosur podría agravar aún más la crisis del sector.</w:t>
      </w:r>
    </w:p>
    <w:p w:rsidR="0066205A" w:rsidRPr="00DE3CE2" w:rsidRDefault="0066205A" w:rsidP="0066205A">
      <w:pPr>
        <w:pStyle w:val="Ttulo3"/>
        <w:spacing w:before="0" w:line="240" w:lineRule="auto"/>
        <w:jc w:val="both"/>
        <w:rPr>
          <w:rFonts w:ascii="Times New Roman" w:hAnsi="Times New Roman" w:cs="Times New Roman"/>
          <w:color w:val="auto"/>
          <w:sz w:val="24"/>
          <w:szCs w:val="24"/>
        </w:rPr>
      </w:pPr>
      <w:r w:rsidRPr="00DE3CE2">
        <w:rPr>
          <w:rStyle w:val="Textoennegrita"/>
          <w:rFonts w:ascii="Times New Roman" w:hAnsi="Times New Roman" w:cs="Times New Roman"/>
          <w:b/>
          <w:bCs/>
          <w:color w:val="auto"/>
          <w:sz w:val="24"/>
          <w:szCs w:val="24"/>
        </w:rPr>
        <w:t>Un sector en lucha por su supervivencia</w:t>
      </w:r>
    </w:p>
    <w:p w:rsidR="0066205A" w:rsidRPr="00DE3CE2" w:rsidRDefault="0066205A" w:rsidP="0066205A">
      <w:pPr>
        <w:pStyle w:val="NormalWeb"/>
        <w:jc w:val="both"/>
      </w:pPr>
      <w:r w:rsidRPr="00DE3CE2">
        <w:t>El mercado del tomate en la UE ha cambiado radicalmente en los últimos diez años. Marruecos ha pasado de ser un competidor menor a convertirse en el segundo mayor proveedor de tomates de Europa, superando a España. La caída de la producción nacional, las condiciones desiguales de competencia y la falta de control en las importaciones han puesto en jaque a los agricultores españoles.</w:t>
      </w:r>
    </w:p>
    <w:p w:rsidR="0066205A" w:rsidRPr="00DE3CE2" w:rsidRDefault="0066205A" w:rsidP="0066205A">
      <w:pPr>
        <w:pStyle w:val="NormalWeb"/>
        <w:jc w:val="both"/>
      </w:pPr>
      <w:r w:rsidRPr="00DE3CE2">
        <w:t>Ahora, con la posible firma del acuerdo UE-Mercosur, el sector teme que la historia se repita. Mientras los productores luchan por defender sus derechos, el futuro de la agricultura española dependerá de las decisiones que tome la Comisión Europea en los próximos meses.</w:t>
      </w:r>
    </w:p>
    <w:p w:rsidR="0066205A" w:rsidRPr="00DE3CE2" w:rsidRDefault="0066205A" w:rsidP="0066205A">
      <w:pPr>
        <w:rPr>
          <w:rFonts w:ascii="Georgia" w:hAnsi="Georgia"/>
        </w:rPr>
      </w:pPr>
      <w:r w:rsidRPr="00DE3CE2">
        <w:rPr>
          <w:rFonts w:ascii="Georgia" w:hAnsi="Georgia"/>
          <w:noProof/>
          <w:lang w:val="en-GB" w:eastAsia="zh-CN"/>
        </w:rPr>
        <w:drawing>
          <wp:inline distT="0" distB="0" distL="0" distR="0">
            <wp:extent cx="5829300" cy="1911350"/>
            <wp:effectExtent l="0" t="0" r="0" b="0"/>
            <wp:docPr id="113" name="Imagen 113" descr="https://www.tradextremadura.com/wp-content/uploads/2025/02/outp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3" descr="https://www.tradextremadura.com/wp-content/uploads/2025/02/output.pn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300" cy="1911350"/>
                    </a:xfrm>
                    <a:prstGeom prst="rect">
                      <a:avLst/>
                    </a:prstGeom>
                    <a:noFill/>
                    <a:ln>
                      <a:noFill/>
                    </a:ln>
                  </pic:spPr>
                </pic:pic>
              </a:graphicData>
            </a:graphic>
          </wp:inline>
        </w:drawing>
      </w:r>
    </w:p>
    <w:p w:rsidR="0066205A" w:rsidRPr="00DE3CE2" w:rsidRDefault="0066205A" w:rsidP="0066205A">
      <w:pPr>
        <w:shd w:val="clear" w:color="auto" w:fill="FFFFFF"/>
        <w:spacing w:after="0" w:line="240" w:lineRule="auto"/>
        <w:jc w:val="both"/>
        <w:outlineLvl w:val="0"/>
        <w:rPr>
          <w:rFonts w:ascii="Times New Roman" w:eastAsia="Times New Roman" w:hAnsi="Times New Roman" w:cs="Times New Roman"/>
          <w:bCs/>
          <w:kern w:val="36"/>
          <w:sz w:val="24"/>
          <w:szCs w:val="24"/>
          <w:lang w:eastAsia="es-ES"/>
        </w:rPr>
      </w:pPr>
      <w:r w:rsidRPr="00DE3CE2">
        <w:rPr>
          <w:rFonts w:ascii="Times New Roman" w:eastAsia="Times New Roman" w:hAnsi="Times New Roman" w:cs="Times New Roman"/>
          <w:b/>
          <w:bCs/>
          <w:kern w:val="36"/>
          <w:sz w:val="24"/>
          <w:szCs w:val="24"/>
          <w:lang w:eastAsia="es-ES"/>
        </w:rPr>
        <w:t xml:space="preserve">Comparativa del valor del tomate producido en España, Holanda, Marruecos y Turquía </w:t>
      </w:r>
      <w:r w:rsidRPr="00DE3CE2">
        <w:rPr>
          <w:rFonts w:ascii="Times New Roman" w:eastAsia="Times New Roman" w:hAnsi="Times New Roman" w:cs="Times New Roman"/>
          <w:bCs/>
          <w:kern w:val="36"/>
          <w:sz w:val="24"/>
          <w:szCs w:val="24"/>
          <w:lang w:eastAsia="es-ES"/>
        </w:rPr>
        <w:t>(</w:t>
      </w:r>
      <w:proofErr w:type="spellStart"/>
      <w:r w:rsidRPr="00DE3CE2">
        <w:rPr>
          <w:rFonts w:ascii="Times New Roman" w:eastAsia="Times New Roman" w:hAnsi="Times New Roman" w:cs="Times New Roman"/>
          <w:bCs/>
          <w:kern w:val="36"/>
          <w:sz w:val="24"/>
          <w:szCs w:val="24"/>
          <w:lang w:eastAsia="es-ES"/>
        </w:rPr>
        <w:t>Hortoinfo</w:t>
      </w:r>
      <w:proofErr w:type="spellEnd"/>
      <w:r w:rsidRPr="00DE3CE2">
        <w:rPr>
          <w:rFonts w:ascii="Times New Roman" w:eastAsia="Times New Roman" w:hAnsi="Times New Roman" w:cs="Times New Roman"/>
          <w:bCs/>
          <w:kern w:val="36"/>
          <w:sz w:val="24"/>
          <w:szCs w:val="24"/>
          <w:lang w:eastAsia="es-ES"/>
        </w:rPr>
        <w:t>.- 19/1/24)</w:t>
      </w:r>
    </w:p>
    <w:p w:rsidR="0066205A" w:rsidRPr="00DE3CE2" w:rsidRDefault="0066205A" w:rsidP="0066205A">
      <w:pPr>
        <w:shd w:val="clear" w:color="auto" w:fill="FFFFFF"/>
        <w:spacing w:after="0" w:line="240" w:lineRule="auto"/>
        <w:jc w:val="both"/>
        <w:textAlignment w:val="top"/>
        <w:rPr>
          <w:rFonts w:ascii="Times New Roman" w:eastAsia="Times New Roman" w:hAnsi="Times New Roman" w:cs="Times New Roman"/>
          <w:sz w:val="24"/>
          <w:szCs w:val="24"/>
          <w:lang w:eastAsia="es-ES"/>
        </w:rPr>
      </w:pPr>
    </w:p>
    <w:p w:rsidR="0066205A" w:rsidRPr="00DE3CE2" w:rsidRDefault="0066205A" w:rsidP="0066205A">
      <w:pPr>
        <w:shd w:val="clear" w:color="auto" w:fill="FFFFFF"/>
        <w:spacing w:after="0"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b/>
          <w:bCs/>
          <w:sz w:val="24"/>
          <w:szCs w:val="24"/>
          <w:lang w:eastAsia="es-ES"/>
        </w:rPr>
        <w:t>El valor de la producción turca de tomate supera en un 185’09% que la española. A su vez la de España es un 103’28 % mayor que la de Holanda y un 334’72% superior a la de Marruecos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 xml:space="preserve">El valor total del pimiento producido en Turquía es un 185’09 por ciento mayor que el que se produce en España y éste a su vez es un 103’28 por ciento superior al de Países Bajos (Holanda) y supera en un 334’72 por ciento al obtenido por los productores de Marruecos, según refleja la comparativa realizada por </w:t>
      </w:r>
      <w:proofErr w:type="spellStart"/>
      <w:r w:rsidRPr="00DE3CE2">
        <w:rPr>
          <w:rFonts w:ascii="Times New Roman" w:eastAsia="Times New Roman" w:hAnsi="Times New Roman" w:cs="Times New Roman"/>
          <w:sz w:val="24"/>
          <w:szCs w:val="24"/>
          <w:lang w:eastAsia="es-ES"/>
        </w:rPr>
        <w:t>Hortoinfo</w:t>
      </w:r>
      <w:proofErr w:type="spellEnd"/>
      <w:r w:rsidRPr="00DE3CE2">
        <w:rPr>
          <w:rFonts w:ascii="Times New Roman" w:eastAsia="Times New Roman" w:hAnsi="Times New Roman" w:cs="Times New Roman"/>
          <w:sz w:val="24"/>
          <w:szCs w:val="24"/>
          <w:lang w:eastAsia="es-ES"/>
        </w:rPr>
        <w:t xml:space="preserve"> con datos procedentes de FAOSTAT, el organismo de estadística de la Organización de las Naciones Unidas para la Alimentación y la Agricultura (FAO).</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 xml:space="preserve">Para realizar esta comparativa en </w:t>
      </w:r>
      <w:proofErr w:type="spellStart"/>
      <w:r w:rsidRPr="00DE3CE2">
        <w:rPr>
          <w:rFonts w:ascii="Times New Roman" w:eastAsia="Times New Roman" w:hAnsi="Times New Roman" w:cs="Times New Roman"/>
          <w:sz w:val="24"/>
          <w:szCs w:val="24"/>
          <w:lang w:eastAsia="es-ES"/>
        </w:rPr>
        <w:t>Hortoinfo</w:t>
      </w:r>
      <w:proofErr w:type="spellEnd"/>
      <w:r w:rsidRPr="00DE3CE2">
        <w:rPr>
          <w:rFonts w:ascii="Times New Roman" w:eastAsia="Times New Roman" w:hAnsi="Times New Roman" w:cs="Times New Roman"/>
          <w:sz w:val="24"/>
          <w:szCs w:val="24"/>
          <w:lang w:eastAsia="es-ES"/>
        </w:rPr>
        <w:t xml:space="preserve"> hemos barajado los datos del precio por kilo pagado a los productores en cada país y los kilos producidos en 2022, último año en que la FAO ofrece datos sobre la producción mundial de tomate, datos que aparecen expresados en dórales USA, por lo que los hemos convertido a euros para facilitar la comprensión del lector, al cambio medio de 2022 de 0’9 euros por cada dólar.</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noProof/>
          <w:sz w:val="24"/>
          <w:szCs w:val="24"/>
          <w:lang w:val="en-GB" w:eastAsia="zh-CN"/>
        </w:rPr>
        <w:lastRenderedPageBreak/>
        <w:drawing>
          <wp:inline distT="0" distB="0" distL="0" distR="0">
            <wp:extent cx="5683250" cy="2997200"/>
            <wp:effectExtent l="0" t="0" r="0" b="0"/>
            <wp:docPr id="115" name="Imagen 115" descr="https://hortoinfo.es/wp-content/uploads/2024/01/comparativa-valor-produccion-mundial-tomate-2022-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hortoinfo.es/wp-content/uploads/2024/01/comparativa-valor-produccion-mundial-tomate-2022-grafico.jp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2997200"/>
                    </a:xfrm>
                    <a:prstGeom prst="rect">
                      <a:avLst/>
                    </a:prstGeom>
                    <a:noFill/>
                    <a:ln>
                      <a:noFill/>
                    </a:ln>
                  </pic:spPr>
                </pic:pic>
              </a:graphicData>
            </a:graphic>
          </wp:inline>
        </w:drawing>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En el citado año, España produjo un volumen de tomate de 3.392’15 millones de kilos, teniendo en cuenta las producciones de invernadero y al aire libre, que se pagaron al productor a un precio medio de 0’44 euros por kilo lo que nos arroja un valor total de 1.479’15 millones de euros.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noProof/>
          <w:sz w:val="24"/>
          <w:szCs w:val="24"/>
          <w:lang w:val="en-GB" w:eastAsia="zh-CN"/>
        </w:rPr>
        <w:drawing>
          <wp:inline distT="0" distB="0" distL="0" distR="0">
            <wp:extent cx="5734050" cy="2279650"/>
            <wp:effectExtent l="0" t="0" r="0" b="6350"/>
            <wp:docPr id="114" name="Imagen 114" descr="https://hortoinfo.es/wp-content/uploads/2024/01/comparativa-valor-produccion-mundial-tomate-2022-cua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ortoinfo.es/wp-content/uploads/2024/01/comparativa-valor-produccion-mundial-tomate-2022-cuadro.jp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2279650"/>
                    </a:xfrm>
                    <a:prstGeom prst="rect">
                      <a:avLst/>
                    </a:prstGeom>
                    <a:noFill/>
                    <a:ln>
                      <a:noFill/>
                    </a:ln>
                  </pic:spPr>
                </pic:pic>
              </a:graphicData>
            </a:graphic>
          </wp:inline>
        </w:drawing>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Turquía supera a España por el valor de su producción de tomate gracias a una extensiva producción tomatera en ese país, con un volumen de 13.095’26 millones de kilos que sus productores cobraron a un precio medio de 0’32 euros por kilo, dando un valor total de 4.216’93 millones de euros.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En el caso de Marruecos, su producción fue en el año 2022 de 1.259’34 millones de kilos que se pagaron a los productores a un precio medio de 0’27 euros por kilo según la FAO, con un valor total de esas producciones de 340’25 millones de euros.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La producción de Holanda en el año analizado fue de 802’15 millones de kilos de tomate que sus agricultores cobraron a un precio medio de 0’91 euros por kilo al ser la práctica totalidad cultivada en invernadero, alcanzando un valor total de 727’64 millones de euros.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b/>
          <w:sz w:val="24"/>
          <w:szCs w:val="24"/>
          <w:lang w:eastAsia="es-ES"/>
        </w:rPr>
        <w:lastRenderedPageBreak/>
        <w:t xml:space="preserve">Marruecos, líder en exportación de tomates en el mercado europeo </w:t>
      </w:r>
      <w:r w:rsidRPr="00DE3CE2">
        <w:rPr>
          <w:rFonts w:ascii="Times New Roman" w:eastAsia="Times New Roman" w:hAnsi="Times New Roman" w:cs="Times New Roman"/>
          <w:sz w:val="24"/>
          <w:szCs w:val="24"/>
          <w:lang w:eastAsia="es-ES"/>
        </w:rPr>
        <w:t>(elfarodeceuta.es - 29/5/24)</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Por primera vez supera a España con un volumen de más de 650 toneladas de este producto agrícola durante la presente temporada</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A pesar de la sequía, Marruecos ha superado a España como principal proveedor de tomates a la Unión Europea, convirtiéndose oficialmente en el mayor exportador a países europeos.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recoge “</w:t>
      </w:r>
      <w:proofErr w:type="spellStart"/>
      <w:r>
        <w:rPr>
          <w:rFonts w:ascii="Times New Roman" w:eastAsia="Times New Roman" w:hAnsi="Times New Roman" w:cs="Times New Roman"/>
          <w:sz w:val="24"/>
          <w:szCs w:val="24"/>
          <w:lang w:eastAsia="es-ES"/>
        </w:rPr>
        <w:t>HortoInfo</w:t>
      </w:r>
      <w:proofErr w:type="spellEnd"/>
      <w:r>
        <w:rPr>
          <w:rFonts w:ascii="Times New Roman" w:eastAsia="Times New Roman" w:hAnsi="Times New Roman" w:cs="Times New Roman"/>
          <w:sz w:val="24"/>
          <w:szCs w:val="24"/>
          <w:lang w:eastAsia="es-ES"/>
        </w:rPr>
        <w:t>”</w:t>
      </w:r>
      <w:r w:rsidRPr="00DE3CE2">
        <w:rPr>
          <w:rFonts w:ascii="Times New Roman" w:eastAsia="Times New Roman" w:hAnsi="Times New Roman" w:cs="Times New Roman"/>
          <w:sz w:val="24"/>
          <w:szCs w:val="24"/>
          <w:lang w:eastAsia="es-ES"/>
        </w:rPr>
        <w:t xml:space="preserve">, diario digital español de actualidad hortofrutícola, basado en el último informe de </w:t>
      </w:r>
      <w:proofErr w:type="spellStart"/>
      <w:r w:rsidRPr="00DE3CE2">
        <w:rPr>
          <w:rFonts w:ascii="Times New Roman" w:eastAsia="Times New Roman" w:hAnsi="Times New Roman" w:cs="Times New Roman"/>
          <w:sz w:val="24"/>
          <w:szCs w:val="24"/>
          <w:lang w:eastAsia="es-ES"/>
        </w:rPr>
        <w:t>Eurostat</w:t>
      </w:r>
      <w:proofErr w:type="spellEnd"/>
      <w:r w:rsidRPr="00DE3CE2">
        <w:rPr>
          <w:rFonts w:ascii="Times New Roman" w:eastAsia="Times New Roman" w:hAnsi="Times New Roman" w:cs="Times New Roman"/>
          <w:sz w:val="24"/>
          <w:szCs w:val="24"/>
          <w:lang w:eastAsia="es-ES"/>
        </w:rPr>
        <w:t>, demostró que el volumen de tomates vendidos por Marruecos en los mercados de la UE durante los tres primeros meses de este año alcanzó los 210,24 toneladas de kilogramos, lo que representa el 31,61% del total de tomates vendidos en la UE, un aumento de 14 toneladas de kilogramos en comparación con el mismo período de 2023.</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 xml:space="preserve">Las exportaciones españolas al resto de países de la UE alcanzaron </w:t>
      </w:r>
      <w:proofErr w:type="gramStart"/>
      <w:r w:rsidRPr="00DE3CE2">
        <w:rPr>
          <w:rFonts w:ascii="Times New Roman" w:eastAsia="Times New Roman" w:hAnsi="Times New Roman" w:cs="Times New Roman"/>
          <w:sz w:val="24"/>
          <w:szCs w:val="24"/>
          <w:lang w:eastAsia="es-ES"/>
        </w:rPr>
        <w:t>los</w:t>
      </w:r>
      <w:proofErr w:type="gramEnd"/>
      <w:r w:rsidRPr="00DE3CE2">
        <w:rPr>
          <w:rFonts w:ascii="Times New Roman" w:eastAsia="Times New Roman" w:hAnsi="Times New Roman" w:cs="Times New Roman"/>
          <w:sz w:val="24"/>
          <w:szCs w:val="24"/>
          <w:lang w:eastAsia="es-ES"/>
        </w:rPr>
        <w:t xml:space="preserve"> 176,52 toneladas de kilogramos, el 25,7% del total, representando así un descenso de 52,62 toneladas de kilogramos respecto al mismo periodo del año anterior, cayendo al segundo puesto en favor de Marruecos.</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En el informe destaca que la diferencia de exportación entre Marruecos y España se ha ido reduciendo desde 2015, cuando la diferencia alcanzó el 154% a favor de España, antes de que la cifra se redujera durante el primer trimestre del año pasado hasta el 12%, hasta superar a España por primera vez en el presente curso año y alcanza un diferencial del 19%.</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 xml:space="preserve">Durante el primer trimestre de 2024, los países de la UE importaron un total de 686,77 toneladas de kilogramos de tomates, una disminución del 14,18% en comparación con el mismo período del año pasado, por valor de 1.301,02 millones de euros a un precio medio de 1,89 euros por kilogramo, según informa la plataforma East </w:t>
      </w:r>
      <w:proofErr w:type="spellStart"/>
      <w:r w:rsidRPr="00DE3CE2">
        <w:rPr>
          <w:rFonts w:ascii="Times New Roman" w:eastAsia="Times New Roman" w:hAnsi="Times New Roman" w:cs="Times New Roman"/>
          <w:sz w:val="24"/>
          <w:szCs w:val="24"/>
          <w:lang w:eastAsia="es-ES"/>
        </w:rPr>
        <w:t>Fruit</w:t>
      </w:r>
      <w:proofErr w:type="spellEnd"/>
      <w:r w:rsidRPr="00DE3CE2">
        <w:rPr>
          <w:rFonts w:ascii="Times New Roman" w:eastAsia="Times New Roman" w:hAnsi="Times New Roman" w:cs="Times New Roman"/>
          <w:sz w:val="24"/>
          <w:szCs w:val="24"/>
          <w:lang w:eastAsia="es-ES"/>
        </w:rPr>
        <w:t>.</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Durante los últimos años, la sequía ha supuesto un gran problema para los campos de cultivo en territorio marroquí, lo que ha llevado al aumento de precios de gran parte de los productos agrícolas del mercado nacional y, por ello, la facturación de la presente temporada ha batido récord.</w:t>
      </w:r>
    </w:p>
    <w:p w:rsidR="0066205A" w:rsidRPr="00DE3CE2" w:rsidRDefault="0066205A" w:rsidP="0066205A">
      <w:pPr>
        <w:shd w:val="clear" w:color="auto" w:fill="FFFFFF"/>
        <w:spacing w:after="255" w:line="240" w:lineRule="auto"/>
        <w:jc w:val="both"/>
        <w:rPr>
          <w:rFonts w:ascii="Times New Roman" w:eastAsia="Times New Roman" w:hAnsi="Times New Roman" w:cs="Times New Roman"/>
          <w:sz w:val="24"/>
          <w:szCs w:val="24"/>
          <w:lang w:eastAsia="es-ES"/>
        </w:rPr>
      </w:pPr>
      <w:r w:rsidRPr="00DE3CE2">
        <w:rPr>
          <w:rFonts w:ascii="Times New Roman" w:eastAsia="Times New Roman" w:hAnsi="Times New Roman" w:cs="Times New Roman"/>
          <w:sz w:val="24"/>
          <w:szCs w:val="24"/>
          <w:lang w:eastAsia="es-ES"/>
        </w:rPr>
        <w:t>En la lista de países europeos que tiene mayor importación de tomates de origen marroquí, se encuentra Francia en primera posición, acaparando más de la mitad del volumen de la exportación, seguido del Reino Unido con el 16%, Holanda con el 12% y España con un 6%.</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b/>
          <w:sz w:val="24"/>
          <w:szCs w:val="24"/>
        </w:rPr>
        <w:t xml:space="preserve">En 10 años España y Holanda han bajado la producción de tomate un -19%, Marruecos sube un 17%, Turquía un 12% y Francia un 8% </w:t>
      </w:r>
      <w:r w:rsidRPr="00DE3CE2">
        <w:rPr>
          <w:rFonts w:ascii="Times New Roman" w:hAnsi="Times New Roman" w:cs="Times New Roman"/>
          <w:sz w:val="24"/>
          <w:szCs w:val="24"/>
        </w:rPr>
        <w:t>(</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.- 24/1/25)</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Así lo indica la comparativa realizada por </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xml:space="preserve"> utilizando datos de FAOSTAT, que arrojan una producción de tomate en Turquía durante 2023 de 13.300 millones de kilos, de 3.968 en España, de 1.444 en Marruecos y de 656 millones de kilos en Francia</w:t>
      </w:r>
    </w:p>
    <w:p w:rsidR="0066205A" w:rsidRPr="00DE3CE2" w:rsidRDefault="0066205A" w:rsidP="0066205A">
      <w:pPr>
        <w:spacing w:line="240" w:lineRule="auto"/>
        <w:jc w:val="both"/>
        <w:rPr>
          <w:rFonts w:ascii="Times New Roman" w:hAnsi="Times New Roman" w:cs="Times New Roman"/>
          <w:sz w:val="24"/>
          <w:szCs w:val="24"/>
        </w:rPr>
      </w:pPr>
      <w:r w:rsidRPr="00DE3CE2">
        <w:rPr>
          <w:noProof/>
          <w:lang w:val="en-GB" w:eastAsia="zh-CN"/>
        </w:rPr>
        <w:lastRenderedPageBreak/>
        <w:drawing>
          <wp:inline distT="0" distB="0" distL="0" distR="0">
            <wp:extent cx="5731510" cy="3817186"/>
            <wp:effectExtent l="0" t="0" r="2540" b="0"/>
            <wp:docPr id="117" name="Imagen 117" descr="https://hortoinfo.es/wp-content/uploads/2025/01/comparativa-produccion-tomate-2014-2023-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ortoinfo.es/wp-content/uploads/2025/01/comparativa-produccion-tomate-2014-2023-grafico.jp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17186"/>
                    </a:xfrm>
                    <a:prstGeom prst="rect">
                      <a:avLst/>
                    </a:prstGeom>
                    <a:noFill/>
                    <a:ln>
                      <a:noFill/>
                    </a:ln>
                  </pic:spPr>
                </pic:pic>
              </a:graphicData>
            </a:graphic>
          </wp:inline>
        </w:drawing>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En la década comprendida entre los años 2014 y 2023 España ha reducido su producción de tomate en fresco en un -18,83 por ciento y Países Bajos (Holanda) un -19,93 por ciento, mientras han crecido los volúmenes de esa hortaliza producidos en Marruecos en un +17,36 por ciento, en un +12,24 por ciento en Turquía y de un +7,90 por ciento en Francia, según refleja la comparativa realizada por </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xml:space="preserve"> con datos procedentes de FAOSTAT, el organismo de estadística de la Organización de las Naciones Unidas para la Alimentación y la Agricultura (FAO).</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El año 2023 es el último del que FAOSTAT ofrece los datos de producción en cada país del mundo. En </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xml:space="preserve"> hemos realizado la comparación de las producciones entre España y los países que compiten con el tomate español en su principal mercado, el de la Unión Europea.</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Según FAOSTAT, los productores de tomate de España comenzaron la serie histórica que analiza </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xml:space="preserve"> con unos volúmenes de tomate producido en el año 2014 de 4.888,88 millones de kilos, cerrando en 2023 con una cantidad de 3.968,46 millones de kilos.</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En el caso de Holanda comenzó la serie en 2014 con una producción de 900 millones de kilos para cerrar en 2023 con 726 millones de kilos.</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La producción de tomate en Turquía alcanzó en 2014 los 11.850 millones de kilos para llegar en 2023 a un volumen producido de 13.300 millones de kilos.</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Marruecos aumentó su producción en el periodo analizado desde los 1.230,95 millones de kilos producidos en 2014 hasta los 1.444,68 millones de kilos que los productores marroquíes consiguieron en el año 2023.</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En el caso de Francia, sus productores de tomate comenzaron en 2014 con unos volúmenes de tomate en fresco producido en sus explotaciones agrarias de 608,14 millones de kilos para subir en 2023 hasta los 656,19 millones de kilos.</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b/>
          <w:sz w:val="24"/>
          <w:szCs w:val="24"/>
        </w:rPr>
        <w:lastRenderedPageBreak/>
        <w:t xml:space="preserve">Apicultores de España, Francia y Portugal se manifestarán el día 28 por la importación de falsa miel </w:t>
      </w:r>
      <w:r w:rsidRPr="00DE3CE2">
        <w:rPr>
          <w:rFonts w:ascii="Times New Roman" w:hAnsi="Times New Roman" w:cs="Times New Roman"/>
          <w:sz w:val="24"/>
          <w:szCs w:val="24"/>
        </w:rPr>
        <w:t>(</w:t>
      </w:r>
      <w:proofErr w:type="spellStart"/>
      <w:r w:rsidRPr="00DE3CE2">
        <w:rPr>
          <w:rFonts w:ascii="Times New Roman" w:hAnsi="Times New Roman" w:cs="Times New Roman"/>
          <w:sz w:val="24"/>
          <w:szCs w:val="24"/>
        </w:rPr>
        <w:t>Hortoinfo</w:t>
      </w:r>
      <w:proofErr w:type="spellEnd"/>
      <w:r w:rsidRPr="00DE3CE2">
        <w:rPr>
          <w:rFonts w:ascii="Times New Roman" w:hAnsi="Times New Roman" w:cs="Times New Roman"/>
          <w:sz w:val="24"/>
          <w:szCs w:val="24"/>
        </w:rPr>
        <w:t>.- 24/1/25)</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Recorrerán calles de Madrid, París y Lisboa por la avalancha de siropes y sucedáneos de miel en los lineales de las grandes cadenas de distribución europeas y la permisividad de las administraciones</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Bajo el lema “Apicultores y apicultoras europeas contra el fraude. Los jarabes fabricados no son miel”, el sector apícola de la Coordinadora de Organizaciones de Agricultores y Ganaderos (COAG) ha convocado un acto de protesta el próximo 28 de enero, a partir de las 11:00h, frente a la sede de la UE en Madrid.</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El acto se desarrollará también de forma simultánea en París y Lisboa, en el contexto del frente impulsado el pasado diciembre con apicultores de Francia (Unión Nacional de Apicultores franceses UNAF) y Portugal (Federación Nacional de Apicultores Portugueses FNAP), para luchar contra el fraude masivo en el sector </w:t>
      </w:r>
      <w:proofErr w:type="spellStart"/>
      <w:r w:rsidRPr="00DE3CE2">
        <w:rPr>
          <w:rFonts w:ascii="Times New Roman" w:hAnsi="Times New Roman" w:cs="Times New Roman"/>
          <w:sz w:val="24"/>
          <w:szCs w:val="24"/>
        </w:rPr>
        <w:t>mielero</w:t>
      </w:r>
      <w:proofErr w:type="spellEnd"/>
      <w:r w:rsidRPr="00DE3CE2">
        <w:rPr>
          <w:rFonts w:ascii="Times New Roman" w:hAnsi="Times New Roman" w:cs="Times New Roman"/>
          <w:sz w:val="24"/>
          <w:szCs w:val="24"/>
        </w:rPr>
        <w:t>.</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La avalancha de siropes y sucedáneos de miel en los lineales de las grandes cadenas de distribución europeas, unida a la permisividad de las administraciones, está dinamitando los esfuerzos de los apicultores y apicultoras profesionales por ofrecer un producto de alta calidad, sano y sostenible. “La UE y el Gobierno español tienen que actuar de inmediato; reforzando los controles en frontera, validando los métodos de análisis y prohibiendo la ultrafiltración”, ha subrayado Pedro </w:t>
      </w:r>
      <w:proofErr w:type="spellStart"/>
      <w:r w:rsidRPr="00DE3CE2">
        <w:rPr>
          <w:rFonts w:ascii="Times New Roman" w:hAnsi="Times New Roman" w:cs="Times New Roman"/>
          <w:sz w:val="24"/>
          <w:szCs w:val="24"/>
        </w:rPr>
        <w:t>Loscertales</w:t>
      </w:r>
      <w:proofErr w:type="spellEnd"/>
      <w:r w:rsidRPr="00DE3CE2">
        <w:rPr>
          <w:rFonts w:ascii="Times New Roman" w:hAnsi="Times New Roman" w:cs="Times New Roman"/>
          <w:sz w:val="24"/>
          <w:szCs w:val="24"/>
        </w:rPr>
        <w:t>, responsable del sector apícola de COAG.</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Desde </w:t>
      </w:r>
      <w:proofErr w:type="spellStart"/>
      <w:r w:rsidRPr="00DE3CE2">
        <w:rPr>
          <w:rFonts w:ascii="Times New Roman" w:hAnsi="Times New Roman" w:cs="Times New Roman"/>
          <w:sz w:val="24"/>
          <w:szCs w:val="24"/>
        </w:rPr>
        <w:t>Coag</w:t>
      </w:r>
      <w:proofErr w:type="spellEnd"/>
      <w:r w:rsidRPr="00DE3CE2">
        <w:rPr>
          <w:rFonts w:ascii="Times New Roman" w:hAnsi="Times New Roman" w:cs="Times New Roman"/>
          <w:sz w:val="24"/>
          <w:szCs w:val="24"/>
        </w:rPr>
        <w:t xml:space="preserve"> recuerdan que la Comisión Europea publicó en marzo del año pasado un informe realizado conjuntamente entre la OLAF (Oficina Europea de Lucha contra el Fraude), el JRC (Centro Común de Investigación de la Unión Europea) y la DG SANTE (Dirección General de Salud y Seguridad Alimentaria de la Comisión Europea), en el que se presentaron los resultados de un plan de controles llevado a cabo en frontera a cientos de importaciones de miel durante 2021 y 2022. Las conclusiones del informe, en base a las técnicas analíticas empleadas en la investigación, es demoledora: un 46% de las muestras europeas analizadas fueron fraudulentas y un 66% de las empresas importadoras controladas tuvieron, al menos, un resultado positivo. En el caso de España, los porcentajes se elevan a un 51% de importaciones con producto fraudulento y un 85% de empresas importadoras con, al menos, un resultado positivo.</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COAG señala que lleva años haciendo un seguimiento exhaustivo del mercado de la miel y las importaciones realizadas por la industria española y europea, y advirtiendo de que el precio de determinados productos importados y comercializados en España es incompatible con su etiquetado como “miel” en el mercado. “Esta investigación de la Comisión viene a confirmar nuestras sospechas y advertencias: que la presencia masiva de siropes y sucedáneos de miel llevan años distorsionando el mercado y presionando artificialmente los precios de la miel española a la baja”, afirman.</w:t>
      </w:r>
    </w:p>
    <w:p w:rsidR="0066205A" w:rsidRPr="00DE3CE2" w:rsidRDefault="0066205A" w:rsidP="0066205A">
      <w:pPr>
        <w:spacing w:line="240" w:lineRule="auto"/>
        <w:jc w:val="both"/>
        <w:rPr>
          <w:rFonts w:ascii="Times New Roman" w:hAnsi="Times New Roman" w:cs="Times New Roman"/>
          <w:sz w:val="24"/>
          <w:szCs w:val="24"/>
        </w:rPr>
      </w:pPr>
      <w:r w:rsidRPr="00DE3CE2">
        <w:rPr>
          <w:rFonts w:ascii="Times New Roman" w:hAnsi="Times New Roman" w:cs="Times New Roman"/>
          <w:sz w:val="24"/>
          <w:szCs w:val="24"/>
        </w:rPr>
        <w:t xml:space="preserve">“Esta es una realidad inasumible para un sector que está apostando, cada vez más, por las producciones sostenibles y de calidad, así como por adaptarse a unos efectos del cambio climático devastadores para las abejas y para nuestra actividad”, ha declarado Pedro </w:t>
      </w:r>
      <w:proofErr w:type="spellStart"/>
      <w:r w:rsidRPr="00DE3CE2">
        <w:rPr>
          <w:rFonts w:ascii="Times New Roman" w:hAnsi="Times New Roman" w:cs="Times New Roman"/>
          <w:sz w:val="24"/>
          <w:szCs w:val="24"/>
        </w:rPr>
        <w:t>Loscertales</w:t>
      </w:r>
      <w:proofErr w:type="spellEnd"/>
      <w:r w:rsidRPr="00DE3CE2">
        <w:rPr>
          <w:rFonts w:ascii="Times New Roman" w:hAnsi="Times New Roman" w:cs="Times New Roman"/>
          <w:sz w:val="24"/>
          <w:szCs w:val="24"/>
        </w:rPr>
        <w:t xml:space="preserve">, responsable de sector apícola de COAG, agregando que “ante las evidencias, las autoridades comunitarias y nacionales no pueden taparse los ojos y permitir ese comercio de miel fraudulenta, que ha desplazado nuestra miel de los puntos de venta de las cadenas de distribución españoles y europeas. No sólo está en juego el futuro de un sector profesional, </w:t>
      </w:r>
      <w:r w:rsidRPr="00DE3CE2">
        <w:rPr>
          <w:rFonts w:ascii="Times New Roman" w:hAnsi="Times New Roman" w:cs="Times New Roman"/>
          <w:sz w:val="24"/>
          <w:szCs w:val="24"/>
        </w:rPr>
        <w:lastRenderedPageBreak/>
        <w:t xml:space="preserve">sino que Europa se juega la polinización de campos y cultivos y todos sus beneficios asociados a la alimentación y la biodiversidad”, ha subrayado </w:t>
      </w:r>
      <w:proofErr w:type="spellStart"/>
      <w:r w:rsidRPr="00DE3CE2">
        <w:rPr>
          <w:rFonts w:ascii="Times New Roman" w:hAnsi="Times New Roman" w:cs="Times New Roman"/>
          <w:sz w:val="24"/>
          <w:szCs w:val="24"/>
        </w:rPr>
        <w:t>Loscertales</w:t>
      </w:r>
      <w:proofErr w:type="spellEnd"/>
      <w:r w:rsidRPr="00DE3CE2">
        <w:rPr>
          <w:rFonts w:ascii="Times New Roman" w:hAnsi="Times New Roman" w:cs="Times New Roman"/>
          <w:sz w:val="24"/>
          <w:szCs w:val="24"/>
        </w:rPr>
        <w:t>.</w:t>
      </w:r>
    </w:p>
    <w:p w:rsidR="0066205A" w:rsidRPr="00DE3CE2" w:rsidRDefault="0066205A" w:rsidP="0066205A">
      <w:pPr>
        <w:spacing w:line="240" w:lineRule="auto"/>
        <w:jc w:val="both"/>
        <w:rPr>
          <w:rFonts w:ascii="Times New Roman" w:hAnsi="Times New Roman" w:cs="Times New Roman"/>
          <w:b/>
          <w:sz w:val="24"/>
          <w:szCs w:val="24"/>
        </w:rPr>
      </w:pPr>
      <w:r w:rsidRPr="00DE3CE2">
        <w:rPr>
          <w:rFonts w:ascii="Times New Roman" w:hAnsi="Times New Roman" w:cs="Times New Roman"/>
          <w:b/>
          <w:sz w:val="24"/>
          <w:szCs w:val="24"/>
        </w:rPr>
        <w:t>El “diario” de la vaca</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b/>
          <w:sz w:val="24"/>
          <w:szCs w:val="24"/>
        </w:rPr>
        <w:t>El Gobierno aprueba la norma que establece la voluntariedad del cuaderno digital de explotación</w:t>
      </w:r>
      <w:r>
        <w:rPr>
          <w:rFonts w:ascii="Times New Roman" w:hAnsi="Times New Roman" w:cs="Times New Roman"/>
          <w:sz w:val="24"/>
          <w:szCs w:val="24"/>
        </w:rPr>
        <w:t>(</w:t>
      </w:r>
      <w:proofErr w:type="spellStart"/>
      <w:r w:rsidRPr="008F1CD9">
        <w:rPr>
          <w:rFonts w:ascii="Times New Roman" w:hAnsi="Times New Roman" w:cs="Times New Roman"/>
          <w:sz w:val="24"/>
          <w:szCs w:val="24"/>
        </w:rPr>
        <w:t>Hortoinfo</w:t>
      </w:r>
      <w:proofErr w:type="spellEnd"/>
      <w:r w:rsidRPr="008F1CD9">
        <w:rPr>
          <w:rFonts w:ascii="Times New Roman" w:hAnsi="Times New Roman" w:cs="Times New Roman"/>
          <w:sz w:val="24"/>
          <w:szCs w:val="24"/>
        </w:rPr>
        <w:t>.- 22/01/2025</w:t>
      </w:r>
      <w:r>
        <w:rPr>
          <w:rFonts w:ascii="Times New Roman" w:hAnsi="Times New Roman" w:cs="Times New Roman"/>
          <w:sz w:val="24"/>
          <w:szCs w:val="24"/>
        </w:rPr>
        <w:t>)</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Estaba previsto que comenzara a ser obligatorio a partir del 1 de septiembre de 2024, con una entrada en vigor escalonada y dejaba exentas a determinadas explotaciones por su pequeño tamaño, pero ya pasa a ser voluntario con efectos retroactivos desde el 1 de julio de 2023</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El Boletín Oficial del Estado ha publicado con fecha 22 de enero de 2025 el real decreto aprobado por el Consejo de Ministros, que modifica diversa normativa sobre el sistema de información de las explotaciones agrarias para introducir el carácter voluntario de la utilización del cuaderno digital de explotación.</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Desde el Ministerio de Agricultura, Pesca y Alimentación señalan que esta iniciativa forma parte de las 43 medidas comprometidas por el Gobierno el pasado mes de abril, para dar respuesta a las preocupaciones de agricultores y ganaderos expresadas en las movilizaciones de los primeros meses de 2024.</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El Real Decreto 1054/2022 de 27 de septiembre, que regula el Sistema de información de Explotaciones Agrícolas y Ganaderas y de la producción agraria,  así como el Registro autonómico de explotaciones agrícolas y el cuaderno digital de explotación agrícola que ahora se modifica, preveía que el empleo del cuaderno digital de explotación agrícola comenzara a ser obligatorio a partir del 1 de septiembre de 2024, con una entrada en vigor escalonada, y dejaba exentas a determinadas explotaciones por su pequeño tamaño.</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Sin embargo, se ha modificado el mencionado real decreto para cambiar el enfoque en el uso del cuaderno digital de explotación, que pasa a ser voluntario de manera temporal y hasta el próximo periodo de programación del Plan Estratégico de la Política Agraria Común (PAC), a partir de 2027.</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Así, los agricultores que, conforme a la normativa de productos fitosanitarios, fertilizantes o intervenciones de la PAC deban cumplimentar un cuaderno de explotación, podrán elegir si prefieren que éste sea mediante la utilización de medios electrónicos o en soporte de papel.</w:t>
      </w:r>
    </w:p>
    <w:p w:rsidR="0066205A" w:rsidRPr="008F1CD9"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Esta modificación tiene implicación en otras normas conexas relativas al uso sostenible de productos fitosanitarios, y en concreto en el Real Decreto 1311/2012, de 14 de septiembre y el Real Decreto 9/2015, de 16 de enero.</w:t>
      </w:r>
    </w:p>
    <w:p w:rsidR="0066205A" w:rsidRDefault="0066205A" w:rsidP="0066205A">
      <w:pPr>
        <w:spacing w:line="240" w:lineRule="auto"/>
        <w:jc w:val="both"/>
        <w:rPr>
          <w:rFonts w:ascii="Times New Roman" w:hAnsi="Times New Roman" w:cs="Times New Roman"/>
          <w:sz w:val="24"/>
          <w:szCs w:val="24"/>
        </w:rPr>
      </w:pPr>
      <w:r w:rsidRPr="008F1CD9">
        <w:rPr>
          <w:rFonts w:ascii="Times New Roman" w:hAnsi="Times New Roman" w:cs="Times New Roman"/>
          <w:sz w:val="24"/>
          <w:szCs w:val="24"/>
        </w:rPr>
        <w:t>La entrada en vigor de la voluntariedad del uso del cuaderno digital se hace de manera retroactiva a 1 de julio de 2023, para evitar algún tipo de perjuicio a los agricultores que pudiera derivarse del retraso de la publicación de la norma.</w:t>
      </w:r>
    </w:p>
    <w:p w:rsidR="0066205A" w:rsidRPr="002A0E12" w:rsidRDefault="0066205A" w:rsidP="0066205A">
      <w:pPr>
        <w:pStyle w:val="Ttulo1"/>
        <w:shd w:val="clear" w:color="auto" w:fill="FFFFFF"/>
        <w:spacing w:before="0"/>
        <w:jc w:val="both"/>
        <w:rPr>
          <w:rFonts w:ascii="Times New Roman" w:hAnsi="Times New Roman" w:cs="Times New Roman"/>
          <w:color w:val="313131"/>
          <w:sz w:val="24"/>
          <w:szCs w:val="24"/>
        </w:rPr>
      </w:pPr>
      <w:r w:rsidRPr="002A0E12">
        <w:rPr>
          <w:rFonts w:ascii="Times New Roman" w:hAnsi="Times New Roman" w:cs="Times New Roman"/>
          <w:color w:val="313131"/>
          <w:sz w:val="24"/>
          <w:szCs w:val="24"/>
        </w:rPr>
        <w:t xml:space="preserve">Comercializadores hortofrutícolas de España y la UE reclaman la aplicación de las sentencias sobre el Sáhara </w:t>
      </w:r>
      <w:r w:rsidRPr="002A0E12">
        <w:rPr>
          <w:rFonts w:ascii="Times New Roman" w:hAnsi="Times New Roman" w:cs="Times New Roman"/>
          <w:b w:val="0"/>
          <w:color w:val="313131"/>
          <w:sz w:val="24"/>
          <w:szCs w:val="24"/>
        </w:rPr>
        <w:t>(</w:t>
      </w:r>
      <w:proofErr w:type="spellStart"/>
      <w:r w:rsidRPr="002A0E12">
        <w:rPr>
          <w:rFonts w:ascii="Times New Roman" w:hAnsi="Times New Roman" w:cs="Times New Roman"/>
          <w:b w:val="0"/>
          <w:color w:val="313131"/>
          <w:sz w:val="24"/>
          <w:szCs w:val="24"/>
        </w:rPr>
        <w:t>Hortoinfo</w:t>
      </w:r>
      <w:proofErr w:type="spellEnd"/>
      <w:r w:rsidRPr="002A0E12">
        <w:rPr>
          <w:rFonts w:ascii="Times New Roman" w:hAnsi="Times New Roman" w:cs="Times New Roman"/>
          <w:b w:val="0"/>
          <w:color w:val="313131"/>
          <w:sz w:val="24"/>
          <w:szCs w:val="24"/>
        </w:rPr>
        <w:t>.- 22/1/25)</w:t>
      </w:r>
    </w:p>
    <w:p w:rsidR="0066205A" w:rsidRPr="008F1CD9" w:rsidRDefault="0066205A" w:rsidP="0066205A">
      <w:pPr>
        <w:pStyle w:val="Ttulo1"/>
        <w:shd w:val="clear" w:color="auto" w:fill="FFFFFF"/>
        <w:spacing w:before="0"/>
        <w:jc w:val="both"/>
        <w:rPr>
          <w:color w:val="313131"/>
          <w:sz w:val="24"/>
          <w:szCs w:val="24"/>
        </w:rPr>
      </w:pPr>
    </w:p>
    <w:p w:rsidR="0066205A" w:rsidRDefault="0066205A" w:rsidP="0066205A">
      <w:pPr>
        <w:pStyle w:val="NormalWeb"/>
        <w:shd w:val="clear" w:color="auto" w:fill="FFFFFF"/>
        <w:spacing w:before="0" w:beforeAutospacing="0" w:after="0" w:afterAutospacing="0"/>
        <w:jc w:val="both"/>
        <w:rPr>
          <w:rStyle w:val="Textoennegrita"/>
          <w:b w:val="0"/>
          <w:color w:val="313131"/>
        </w:rPr>
      </w:pPr>
      <w:r w:rsidRPr="008F1CD9">
        <w:rPr>
          <w:rStyle w:val="Textoennegrita"/>
          <w:b w:val="0"/>
          <w:color w:val="313131"/>
        </w:rPr>
        <w:t>Apuntan a las causas de la pérdida de competitividad del tomate español con respecto a producciones de terceros países: diferencia de costes laborales, muchos menos requisitos fitosanitarios y medioambientales, así como una falta de control de las importaciones y cumplimiento de aranceles</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lastRenderedPageBreak/>
        <w:t>Responsables de la Federación Española de Asociaciones de Productores Exportadores de Frutas, Hortalizas, Flores y Plantas vivas (FEPEX), encabezados por el presidente del Comité de Tomate, Juan Jesús Lara, de la Asociación de Organizaciones de Productores de Frutas y Hortalizas de Almería (COEXPHAL) integrada en la Federación, y de la Asociación Futas y Hortalizas Europa (EUCOFE, se han reunido en Bruselas con responsables de la Dirección General de Agricultura de la Comisión Europea, con el fin de trasladarles la grave situación del sector productor y exportador de tomate español y demandar una aplicación eficaz de las dos sentencias del Tribunal de Justicia de la UE (TJUE) sobre el Sahara Occidental, que deberían suponer la exclusión del tomate producido en el Sahara de las concesiones arancelarias recogidas en el Acuerdo de Asociación con Marruecos y el establecimiento de medidas de identificación del origen.</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xml:space="preserve">Desde FEPEX señalan que durante la reunión se explicaron a la DG </w:t>
      </w:r>
      <w:proofErr w:type="spellStart"/>
      <w:r w:rsidRPr="008F1CD9">
        <w:rPr>
          <w:color w:val="313131"/>
        </w:rPr>
        <w:t>Agri</w:t>
      </w:r>
      <w:proofErr w:type="spellEnd"/>
      <w:r w:rsidRPr="008F1CD9">
        <w:rPr>
          <w:color w:val="313131"/>
        </w:rPr>
        <w:t xml:space="preserve"> las diferentes causas de la pérdida de competitividad del tomate español, con respecto a producciones de terceros países, como son la diferencia de costes laborales, muchos menos requisitos fitosanitarios y medioambientales, así como una falta de control de las importaciones y cumplimiento de aranceles.</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El 4 de octubre de 2024, el TJUE dictó dos importantes sentencias que afectan directamente al comercio de productos agrícolas, que han sido valoradas positivamente por el sector agrupado en FEPEX, ya que establecen dos medidas que contribuirían a corregir una situación que favorece a Marruecos y compromete la sostenibilidad de la producción del tomate europeo:</w:t>
      </w:r>
    </w:p>
    <w:p w:rsidR="0066205A" w:rsidRPr="008F1CD9" w:rsidRDefault="0066205A" w:rsidP="0066205A">
      <w:pPr>
        <w:numPr>
          <w:ilvl w:val="0"/>
          <w:numId w:val="5"/>
        </w:numPr>
        <w:shd w:val="clear" w:color="auto" w:fill="FFFFFF"/>
        <w:spacing w:after="0" w:line="240" w:lineRule="auto"/>
        <w:ind w:left="0"/>
        <w:jc w:val="both"/>
        <w:rPr>
          <w:rFonts w:ascii="Times New Roman" w:hAnsi="Times New Roman" w:cs="Times New Roman"/>
          <w:color w:val="313131"/>
          <w:sz w:val="24"/>
          <w:szCs w:val="24"/>
        </w:rPr>
      </w:pPr>
      <w:r w:rsidRPr="008F1CD9">
        <w:rPr>
          <w:rFonts w:ascii="Times New Roman" w:hAnsi="Times New Roman" w:cs="Times New Roman"/>
          <w:color w:val="313131"/>
          <w:sz w:val="24"/>
          <w:szCs w:val="24"/>
          <w:u w:val="single"/>
        </w:rPr>
        <w:t>Anulación de las Preferencias Arancelarias</w:t>
      </w:r>
      <w:r w:rsidRPr="008F1CD9">
        <w:rPr>
          <w:rFonts w:ascii="Times New Roman" w:hAnsi="Times New Roman" w:cs="Times New Roman"/>
          <w:color w:val="313131"/>
          <w:sz w:val="24"/>
          <w:szCs w:val="24"/>
        </w:rPr>
        <w:t>. Se excluyen las producciones agrícolas del Sahara Occidental de las preferencias arancelarias concedidas a Marruecos bajo el Acuerdo de Asociación. A partir del 4 de octubre de 2025, estas producciones estarán sujetas a un régimen aduanero distinto, incluyendo derechos ad valoren y precios de entrada ajustado.</w:t>
      </w:r>
    </w:p>
    <w:p w:rsidR="0066205A" w:rsidRDefault="0066205A" w:rsidP="0066205A">
      <w:pPr>
        <w:numPr>
          <w:ilvl w:val="0"/>
          <w:numId w:val="5"/>
        </w:numPr>
        <w:shd w:val="clear" w:color="auto" w:fill="FFFFFF"/>
        <w:spacing w:after="0" w:line="240" w:lineRule="auto"/>
        <w:ind w:left="0"/>
        <w:jc w:val="both"/>
        <w:rPr>
          <w:rFonts w:ascii="Times New Roman" w:hAnsi="Times New Roman" w:cs="Times New Roman"/>
          <w:color w:val="313131"/>
          <w:sz w:val="24"/>
          <w:szCs w:val="24"/>
        </w:rPr>
      </w:pPr>
      <w:r w:rsidRPr="008F1CD9">
        <w:rPr>
          <w:rFonts w:ascii="Times New Roman" w:hAnsi="Times New Roman" w:cs="Times New Roman"/>
          <w:color w:val="313131"/>
          <w:sz w:val="24"/>
          <w:szCs w:val="24"/>
          <w:u w:val="single"/>
        </w:rPr>
        <w:t>Identificación de Origen</w:t>
      </w:r>
      <w:r w:rsidRPr="008F1CD9">
        <w:rPr>
          <w:rFonts w:ascii="Times New Roman" w:hAnsi="Times New Roman" w:cs="Times New Roman"/>
          <w:color w:val="313131"/>
          <w:sz w:val="24"/>
          <w:szCs w:val="24"/>
        </w:rPr>
        <w:t>. La segunda sentencia establece que productos como el tomate producido en el Sahara Occidental deben indicar su origen, tanto en la importación como en la venta al consumidor.</w:t>
      </w:r>
    </w:p>
    <w:p w:rsidR="0066205A" w:rsidRPr="008F1CD9" w:rsidRDefault="0066205A" w:rsidP="0066205A">
      <w:pPr>
        <w:numPr>
          <w:ilvl w:val="0"/>
          <w:numId w:val="5"/>
        </w:numPr>
        <w:shd w:val="clear" w:color="auto" w:fill="FFFFFF"/>
        <w:spacing w:after="0" w:line="240" w:lineRule="auto"/>
        <w:ind w:left="0"/>
        <w:jc w:val="both"/>
        <w:rPr>
          <w:rFonts w:ascii="Times New Roman" w:hAnsi="Times New Roman" w:cs="Times New Roman"/>
          <w:color w:val="313131"/>
          <w:sz w:val="24"/>
          <w:szCs w:val="24"/>
        </w:rPr>
      </w:pPr>
    </w:p>
    <w:p w:rsidR="0066205A" w:rsidRDefault="0066205A" w:rsidP="0066205A">
      <w:pPr>
        <w:pStyle w:val="NormalWeb"/>
        <w:shd w:val="clear" w:color="auto" w:fill="FFFFFF"/>
        <w:spacing w:before="0" w:beforeAutospacing="0" w:after="0" w:afterAutospacing="0"/>
        <w:jc w:val="both"/>
        <w:rPr>
          <w:rStyle w:val="Textoennegrita"/>
          <w:color w:val="313131"/>
        </w:rPr>
      </w:pPr>
      <w:r w:rsidRPr="008F1CD9">
        <w:rPr>
          <w:rStyle w:val="Textoennegrita"/>
          <w:color w:val="313131"/>
        </w:rPr>
        <w:t>Impacto en el mercado europeo de tomate</w:t>
      </w:r>
    </w:p>
    <w:p w:rsidR="0066205A" w:rsidRPr="008F1CD9" w:rsidRDefault="0066205A" w:rsidP="0066205A">
      <w:pPr>
        <w:pStyle w:val="NormalWeb"/>
        <w:shd w:val="clear" w:color="auto" w:fill="FFFFFF"/>
        <w:spacing w:before="0" w:beforeAutospacing="0" w:after="0" w:afterAutospacing="0"/>
        <w:jc w:val="both"/>
        <w:rPr>
          <w:color w:val="313131"/>
        </w:rPr>
      </w:pP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El sector del tomate en la Unión Europea (UE) ha sufrido una significativa pérdida de competitividad en la última década, por diferentes razones:</w:t>
      </w:r>
    </w:p>
    <w:p w:rsidR="0066205A" w:rsidRPr="008F1CD9" w:rsidRDefault="0066205A" w:rsidP="0066205A">
      <w:pPr>
        <w:pStyle w:val="NormalWeb"/>
        <w:shd w:val="clear" w:color="auto" w:fill="FFFFFF"/>
        <w:spacing w:before="0" w:beforeAutospacing="0" w:after="0" w:afterAutospacing="0"/>
        <w:jc w:val="both"/>
        <w:rPr>
          <w:color w:val="313131"/>
        </w:rPr>
      </w:pPr>
      <w:r w:rsidRPr="008F1CD9">
        <w:rPr>
          <w:color w:val="313131"/>
        </w:rPr>
        <w:t>* </w:t>
      </w:r>
      <w:r w:rsidRPr="008F1CD9">
        <w:rPr>
          <w:color w:val="313131"/>
          <w:u w:val="single"/>
        </w:rPr>
        <w:t>Descenso en la producción y exportación</w:t>
      </w:r>
      <w:r w:rsidRPr="008F1CD9">
        <w:rPr>
          <w:color w:val="313131"/>
        </w:rPr>
        <w:t>. Desde 2014, la producción de tomate fresco en España ha caído un 30,71%, mientras que las exportaciones han disminuido un 38,73%. Este declive contrasta con el crecimiento sostenido de las exportaciones de terceros países.</w:t>
      </w:r>
    </w:p>
    <w:p w:rsidR="0066205A" w:rsidRDefault="0066205A" w:rsidP="0066205A">
      <w:pPr>
        <w:pStyle w:val="NormalWeb"/>
        <w:shd w:val="clear" w:color="auto" w:fill="FFFFFF"/>
        <w:spacing w:before="0" w:beforeAutospacing="0" w:after="0" w:afterAutospacing="0"/>
        <w:jc w:val="both"/>
        <w:rPr>
          <w:color w:val="313131"/>
        </w:rPr>
      </w:pPr>
      <w:r w:rsidRPr="008F1CD9">
        <w:rPr>
          <w:color w:val="313131"/>
        </w:rPr>
        <w:t>* </w:t>
      </w:r>
      <w:r w:rsidRPr="008F1CD9">
        <w:rPr>
          <w:color w:val="313131"/>
          <w:u w:val="single"/>
        </w:rPr>
        <w:t>Aumento de las importaciones de Marruecos</w:t>
      </w:r>
      <w:r w:rsidRPr="008F1CD9">
        <w:rPr>
          <w:color w:val="313131"/>
        </w:rPr>
        <w:t>. En el mismo periodo, las importaciones de tomates marroquíes a la UE aumentaron un 42,5%, evidenciando el desplazamiento de los productos europeos en el mercado.</w:t>
      </w:r>
    </w:p>
    <w:p w:rsidR="0066205A" w:rsidRPr="008F1CD9" w:rsidRDefault="0066205A" w:rsidP="0066205A">
      <w:pPr>
        <w:pStyle w:val="NormalWeb"/>
        <w:shd w:val="clear" w:color="auto" w:fill="FFFFFF"/>
        <w:spacing w:before="0" w:beforeAutospacing="0" w:after="0" w:afterAutospacing="0"/>
        <w:jc w:val="both"/>
        <w:rPr>
          <w:color w:val="313131"/>
        </w:rPr>
      </w:pPr>
    </w:p>
    <w:p w:rsidR="0066205A" w:rsidRDefault="0066205A" w:rsidP="0066205A">
      <w:pPr>
        <w:pStyle w:val="NormalWeb"/>
        <w:shd w:val="clear" w:color="auto" w:fill="FFFFFF"/>
        <w:spacing w:before="0" w:beforeAutospacing="0" w:after="0" w:afterAutospacing="0"/>
        <w:jc w:val="both"/>
        <w:rPr>
          <w:rStyle w:val="Textoennegrita"/>
          <w:color w:val="313131"/>
        </w:rPr>
      </w:pPr>
      <w:r w:rsidRPr="008F1CD9">
        <w:rPr>
          <w:rStyle w:val="Textoennegrita"/>
          <w:color w:val="313131"/>
        </w:rPr>
        <w:t>Deficiencias en la aplicación del Acuerdo UE-Marruecos</w:t>
      </w:r>
    </w:p>
    <w:p w:rsidR="0066205A" w:rsidRPr="008F1CD9" w:rsidRDefault="0066205A" w:rsidP="0066205A">
      <w:pPr>
        <w:pStyle w:val="NormalWeb"/>
        <w:shd w:val="clear" w:color="auto" w:fill="FFFFFF"/>
        <w:spacing w:before="0" w:beforeAutospacing="0" w:after="0" w:afterAutospacing="0"/>
        <w:jc w:val="both"/>
        <w:rPr>
          <w:color w:val="313131"/>
        </w:rPr>
      </w:pP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El Protocolo Agrícola del Acuerdo UE-Marruecos incluye salvaguardas diseñadas para proteger al sector europeo, como el sistema de precios de entrada y medidas de cooperación. Sin embargo, su implementación ha sido ineficaz, permitiendo la expansión de las exportaciones marroquíes.</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lastRenderedPageBreak/>
        <w:t xml:space="preserve">Además, la modificación en 2014 del método para calcular el valor de importación distorsionó el mercado, al incluir categorías de tomate más caras (tomate </w:t>
      </w:r>
      <w:proofErr w:type="spellStart"/>
      <w:r w:rsidRPr="008F1CD9">
        <w:rPr>
          <w:color w:val="313131"/>
        </w:rPr>
        <w:t>cherry</w:t>
      </w:r>
      <w:proofErr w:type="spellEnd"/>
      <w:r w:rsidRPr="008F1CD9">
        <w:rPr>
          <w:color w:val="313131"/>
        </w:rPr>
        <w:t>) que no reflejan el precio real de los tomates redondos, los más sensibles en la UE.</w:t>
      </w:r>
    </w:p>
    <w:p w:rsidR="0066205A" w:rsidRDefault="0066205A" w:rsidP="0066205A">
      <w:pPr>
        <w:pStyle w:val="NormalWeb"/>
        <w:shd w:val="clear" w:color="auto" w:fill="FFFFFF"/>
        <w:spacing w:before="0" w:beforeAutospacing="0" w:after="0" w:afterAutospacing="0"/>
        <w:jc w:val="both"/>
        <w:rPr>
          <w:rStyle w:val="Textoennegrita"/>
          <w:color w:val="313131"/>
        </w:rPr>
      </w:pPr>
      <w:r w:rsidRPr="008F1CD9">
        <w:rPr>
          <w:rStyle w:val="Textoennegrita"/>
          <w:color w:val="313131"/>
        </w:rPr>
        <w:t>Demandas del sector</w:t>
      </w:r>
    </w:p>
    <w:p w:rsidR="0066205A" w:rsidRPr="008F1CD9" w:rsidRDefault="0066205A" w:rsidP="0066205A">
      <w:pPr>
        <w:pStyle w:val="NormalWeb"/>
        <w:shd w:val="clear" w:color="auto" w:fill="FFFFFF"/>
        <w:spacing w:before="0" w:beforeAutospacing="0" w:after="0" w:afterAutospacing="0"/>
        <w:jc w:val="both"/>
        <w:rPr>
          <w:color w:val="313131"/>
        </w:rPr>
      </w:pP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Durante la reunión, FEPEX y EUCOFEL demandaron a la Comisión Europea:</w:t>
      </w:r>
    </w:p>
    <w:p w:rsidR="0066205A" w:rsidRDefault="0066205A" w:rsidP="0066205A">
      <w:pPr>
        <w:shd w:val="clear" w:color="auto" w:fill="FFFFFF"/>
        <w:spacing w:after="0" w:line="240" w:lineRule="auto"/>
        <w:jc w:val="both"/>
        <w:rPr>
          <w:rFonts w:ascii="Times New Roman" w:hAnsi="Times New Roman" w:cs="Times New Roman"/>
          <w:color w:val="313131"/>
          <w:sz w:val="24"/>
          <w:szCs w:val="24"/>
          <w:u w:val="single"/>
        </w:rPr>
      </w:pPr>
      <w:r>
        <w:rPr>
          <w:rFonts w:ascii="Times New Roman" w:hAnsi="Times New Roman" w:cs="Times New Roman"/>
          <w:color w:val="313131"/>
          <w:sz w:val="24"/>
          <w:szCs w:val="24"/>
          <w:u w:val="single"/>
        </w:rPr>
        <w:t xml:space="preserve">1. </w:t>
      </w:r>
      <w:r w:rsidRPr="008F1CD9">
        <w:rPr>
          <w:rFonts w:ascii="Times New Roman" w:hAnsi="Times New Roman" w:cs="Times New Roman"/>
          <w:color w:val="313131"/>
          <w:sz w:val="24"/>
          <w:szCs w:val="24"/>
          <w:u w:val="single"/>
        </w:rPr>
        <w:t>La implementación Efectiva de las Sentencias del TJUE, lo que supondría</w:t>
      </w:r>
    </w:p>
    <w:p w:rsidR="0066205A" w:rsidRPr="00DE3CE2" w:rsidRDefault="0066205A" w:rsidP="0066205A">
      <w:pPr>
        <w:shd w:val="clear" w:color="auto" w:fill="FFFFFF"/>
        <w:spacing w:after="0" w:line="240" w:lineRule="auto"/>
        <w:jc w:val="both"/>
        <w:rPr>
          <w:rFonts w:ascii="Times New Roman" w:hAnsi="Times New Roman" w:cs="Times New Roman"/>
          <w:color w:val="313131"/>
          <w:sz w:val="24"/>
          <w:szCs w:val="24"/>
        </w:rPr>
      </w:pP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Excluir los productos del Sahara Occidental de las preferencias arancelarias.</w:t>
      </w:r>
    </w:p>
    <w:p w:rsidR="0066205A" w:rsidRDefault="0066205A" w:rsidP="0066205A">
      <w:pPr>
        <w:pStyle w:val="NormalWeb"/>
        <w:shd w:val="clear" w:color="auto" w:fill="FFFFFF"/>
        <w:spacing w:before="0" w:beforeAutospacing="0" w:after="255" w:afterAutospacing="0"/>
        <w:jc w:val="both"/>
        <w:rPr>
          <w:color w:val="313131"/>
        </w:rPr>
      </w:pPr>
      <w:r w:rsidRPr="008F1CD9">
        <w:rPr>
          <w:color w:val="313131"/>
        </w:rPr>
        <w:t>* Garantizar la identificación y el control del origen de estos productos.</w:t>
      </w:r>
    </w:p>
    <w:p w:rsidR="0066205A" w:rsidRPr="008F1CD9" w:rsidRDefault="0066205A" w:rsidP="0066205A">
      <w:pPr>
        <w:pStyle w:val="NormalWeb"/>
        <w:shd w:val="clear" w:color="auto" w:fill="FFFFFF"/>
        <w:spacing w:before="0" w:beforeAutospacing="0" w:after="255" w:afterAutospacing="0"/>
        <w:jc w:val="both"/>
        <w:rPr>
          <w:color w:val="313131"/>
        </w:rPr>
      </w:pPr>
      <w:r>
        <w:rPr>
          <w:color w:val="313131"/>
          <w:u w:val="single"/>
        </w:rPr>
        <w:t xml:space="preserve">2. </w:t>
      </w:r>
      <w:r w:rsidRPr="008F1CD9">
        <w:rPr>
          <w:color w:val="313131"/>
          <w:u w:val="single"/>
        </w:rPr>
        <w:t>La revisión del Acuerdo UE-Marruecos, en concreto:</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Ajustar los precios de entrada para reflejar las realidades del mercado.</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Limitar temporalmente las importaciones desde Marruecos mientras se logran condiciones equitativas.</w:t>
      </w:r>
    </w:p>
    <w:p w:rsidR="0066205A" w:rsidRDefault="0066205A" w:rsidP="0066205A">
      <w:pPr>
        <w:shd w:val="clear" w:color="auto" w:fill="FFFFFF"/>
        <w:spacing w:after="0" w:line="240" w:lineRule="auto"/>
        <w:jc w:val="both"/>
        <w:rPr>
          <w:rFonts w:ascii="Times New Roman" w:hAnsi="Times New Roman" w:cs="Times New Roman"/>
          <w:color w:val="313131"/>
          <w:sz w:val="24"/>
          <w:szCs w:val="24"/>
          <w:u w:val="single"/>
        </w:rPr>
      </w:pPr>
      <w:r>
        <w:rPr>
          <w:rFonts w:ascii="Times New Roman" w:hAnsi="Times New Roman" w:cs="Times New Roman"/>
          <w:color w:val="313131"/>
          <w:sz w:val="24"/>
          <w:szCs w:val="24"/>
          <w:u w:val="single"/>
        </w:rPr>
        <w:t xml:space="preserve">3. </w:t>
      </w:r>
      <w:r w:rsidRPr="008F1CD9">
        <w:rPr>
          <w:rFonts w:ascii="Times New Roman" w:hAnsi="Times New Roman" w:cs="Times New Roman"/>
          <w:color w:val="313131"/>
          <w:sz w:val="24"/>
          <w:szCs w:val="24"/>
          <w:u w:val="single"/>
        </w:rPr>
        <w:t>Una mayor transparencia y cooperación</w:t>
      </w:r>
    </w:p>
    <w:p w:rsidR="0066205A" w:rsidRPr="00DE3CE2" w:rsidRDefault="0066205A" w:rsidP="0066205A">
      <w:pPr>
        <w:shd w:val="clear" w:color="auto" w:fill="FFFFFF"/>
        <w:spacing w:after="0" w:line="240" w:lineRule="auto"/>
        <w:jc w:val="both"/>
        <w:rPr>
          <w:rFonts w:ascii="Times New Roman" w:hAnsi="Times New Roman" w:cs="Times New Roman"/>
          <w:color w:val="313131"/>
          <w:sz w:val="24"/>
          <w:szCs w:val="24"/>
        </w:rPr>
      </w:pP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Reforzando los mecanismos de recopilación de datos sobre precios de importación.</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 Estableciendo medidas claras para garantizar la sostenibilidad y supervivencia del sector europeo del tomate.</w:t>
      </w:r>
    </w:p>
    <w:p w:rsidR="0066205A" w:rsidRPr="008F1CD9" w:rsidRDefault="0066205A" w:rsidP="0066205A">
      <w:pPr>
        <w:pStyle w:val="NormalWeb"/>
        <w:shd w:val="clear" w:color="auto" w:fill="FFFFFF"/>
        <w:spacing w:before="0" w:beforeAutospacing="0" w:after="255" w:afterAutospacing="0"/>
        <w:jc w:val="both"/>
        <w:rPr>
          <w:color w:val="313131"/>
        </w:rPr>
      </w:pPr>
      <w:r w:rsidRPr="008F1CD9">
        <w:rPr>
          <w:color w:val="313131"/>
        </w:rPr>
        <w:t>La reunión concluyó con el compromiso de seguir manteniendo el contacto para continuar analizando la evolución del mercado del tomate europeo.</w:t>
      </w:r>
    </w:p>
    <w:p w:rsidR="0066205A" w:rsidRDefault="0066205A" w:rsidP="0066205A">
      <w:pPr>
        <w:pStyle w:val="NormalWeb"/>
        <w:shd w:val="clear" w:color="auto" w:fill="FFFFFF"/>
        <w:spacing w:before="0" w:beforeAutospacing="0" w:after="255" w:afterAutospacing="0"/>
        <w:jc w:val="both"/>
        <w:rPr>
          <w:color w:val="313131"/>
        </w:rPr>
      </w:pPr>
      <w:r w:rsidRPr="008F1CD9">
        <w:rPr>
          <w:color w:val="313131"/>
        </w:rPr>
        <w:t xml:space="preserve">Los participantes han sido el presidente del Comité de Tomate de FEPEX, comité en el que están representadas las asociaciones de las principales zonas de producción españolas, Juan Jesús Lara Cruz, que también es director de la cooperativa CASI;  José María Pozancos Gómez-Escolar, director general de FEPEX;  Luis Miguel Fernández Sierra, director de la Asociación de Organizaciones de Productores de Frutas y Hortalizas de Almería, COEXPHAL; Luis Martín </w:t>
      </w:r>
      <w:proofErr w:type="spellStart"/>
      <w:r w:rsidRPr="008F1CD9">
        <w:rPr>
          <w:color w:val="313131"/>
        </w:rPr>
        <w:t>Martín</w:t>
      </w:r>
      <w:proofErr w:type="spellEnd"/>
      <w:r w:rsidRPr="008F1CD9">
        <w:rPr>
          <w:color w:val="313131"/>
        </w:rPr>
        <w:t>, director técnico de FEPEX  y Beatriz Aguado, secretaria general de EUCOFEL.</w:t>
      </w:r>
    </w:p>
    <w:p w:rsidR="0066205A" w:rsidRPr="00B268A3" w:rsidRDefault="0066205A" w:rsidP="0066205A">
      <w:pPr>
        <w:pStyle w:val="NormalWeb"/>
        <w:shd w:val="clear" w:color="auto" w:fill="FFFFFF"/>
        <w:spacing w:after="255"/>
        <w:jc w:val="both"/>
        <w:rPr>
          <w:color w:val="313131"/>
        </w:rPr>
      </w:pPr>
      <w:proofErr w:type="spellStart"/>
      <w:r w:rsidRPr="00B268A3">
        <w:rPr>
          <w:b/>
          <w:color w:val="313131"/>
        </w:rPr>
        <w:t>Coag</w:t>
      </w:r>
      <w:proofErr w:type="spellEnd"/>
      <w:r w:rsidRPr="00B268A3">
        <w:rPr>
          <w:b/>
          <w:color w:val="313131"/>
        </w:rPr>
        <w:t xml:space="preserve"> anuncia que llevará a los tribunales por fraude fiscal a los importadores de tomate procedente de Marruecos</w:t>
      </w:r>
      <w:r>
        <w:rPr>
          <w:color w:val="313131"/>
        </w:rPr>
        <w:t>(</w:t>
      </w:r>
      <w:proofErr w:type="spellStart"/>
      <w:r>
        <w:rPr>
          <w:color w:val="313131"/>
        </w:rPr>
        <w:t>Hortoinfo</w:t>
      </w:r>
      <w:proofErr w:type="spellEnd"/>
      <w:r>
        <w:rPr>
          <w:color w:val="313131"/>
        </w:rPr>
        <w:t>.- 17/1/</w:t>
      </w:r>
      <w:r w:rsidRPr="00B268A3">
        <w:rPr>
          <w:color w:val="313131"/>
        </w:rPr>
        <w:t>25</w:t>
      </w:r>
      <w:r>
        <w:rPr>
          <w:color w:val="313131"/>
        </w:rPr>
        <w:t>)</w:t>
      </w:r>
    </w:p>
    <w:p w:rsidR="0066205A" w:rsidRPr="00B268A3" w:rsidRDefault="0066205A" w:rsidP="0066205A">
      <w:pPr>
        <w:pStyle w:val="NormalWeb"/>
        <w:shd w:val="clear" w:color="auto" w:fill="FFFFFF"/>
        <w:spacing w:after="255"/>
        <w:jc w:val="both"/>
        <w:rPr>
          <w:color w:val="313131"/>
        </w:rPr>
      </w:pPr>
      <w:r w:rsidRPr="00B268A3">
        <w:rPr>
          <w:color w:val="313131"/>
        </w:rPr>
        <w:t>La organización agraria destaca que desde 2019 Marruecos ha excedido en unas 230.000 toneladas al año el límite que está exento de tasas dentro del acuerdo de libre comercio con la UE, por lo que la cantidad defraudada podría superar los 71 millones de euros</w:t>
      </w:r>
    </w:p>
    <w:p w:rsidR="0066205A" w:rsidRPr="00B268A3" w:rsidRDefault="0066205A" w:rsidP="0066205A">
      <w:pPr>
        <w:pStyle w:val="NormalWeb"/>
        <w:shd w:val="clear" w:color="auto" w:fill="FFFFFF"/>
        <w:spacing w:after="255"/>
        <w:jc w:val="both"/>
        <w:rPr>
          <w:color w:val="313131"/>
        </w:rPr>
      </w:pPr>
      <w:r w:rsidRPr="00B268A3">
        <w:rPr>
          <w:color w:val="313131"/>
        </w:rPr>
        <w:t>La Coordinadora de Organizaciones de Agricultores y Ganaderos (COAG) ha anunciado que va a emprender acciones legales por fraude fiscal contra los i</w:t>
      </w:r>
      <w:r>
        <w:rPr>
          <w:color w:val="313131"/>
        </w:rPr>
        <w:t>mportadores de tomate marroquí.</w:t>
      </w:r>
    </w:p>
    <w:p w:rsidR="0066205A" w:rsidRPr="00B268A3" w:rsidRDefault="0066205A" w:rsidP="0066205A">
      <w:pPr>
        <w:pStyle w:val="NormalWeb"/>
        <w:shd w:val="clear" w:color="auto" w:fill="FFFFFF"/>
        <w:spacing w:after="255"/>
        <w:jc w:val="both"/>
        <w:rPr>
          <w:color w:val="313131"/>
        </w:rPr>
      </w:pPr>
      <w:r w:rsidRPr="00B268A3">
        <w:rPr>
          <w:color w:val="313131"/>
        </w:rPr>
        <w:lastRenderedPageBreak/>
        <w:t xml:space="preserve">Así lo ha afirmado el responsable del sector de frutas y hortalizas de COAG, Andrés Góngora, durante el seminario web o </w:t>
      </w:r>
      <w:proofErr w:type="spellStart"/>
      <w:r w:rsidRPr="00B268A3">
        <w:rPr>
          <w:color w:val="313131"/>
        </w:rPr>
        <w:t>webinario</w:t>
      </w:r>
      <w:proofErr w:type="spellEnd"/>
      <w:r w:rsidRPr="00B268A3">
        <w:rPr>
          <w:color w:val="313131"/>
        </w:rPr>
        <w:t xml:space="preserve"> (</w:t>
      </w:r>
      <w:proofErr w:type="spellStart"/>
      <w:r w:rsidRPr="00B268A3">
        <w:rPr>
          <w:color w:val="313131"/>
        </w:rPr>
        <w:t>webinar</w:t>
      </w:r>
      <w:proofErr w:type="spellEnd"/>
      <w:r w:rsidRPr="00B268A3">
        <w:rPr>
          <w:color w:val="313131"/>
        </w:rPr>
        <w:t xml:space="preserve"> en inglés) informativo sobre las implicaciones de la sentencia del Tribunal de Justicia de la UE, que declara ilegal el acuerdo de libre comercio entre la UE y Marruecos por incluir los territo</w:t>
      </w:r>
      <w:r>
        <w:rPr>
          <w:color w:val="313131"/>
        </w:rPr>
        <w:t>rios del Sáhara Occidental.</w:t>
      </w:r>
    </w:p>
    <w:p w:rsidR="0066205A" w:rsidRPr="00B268A3" w:rsidRDefault="0066205A" w:rsidP="0066205A">
      <w:pPr>
        <w:pStyle w:val="NormalWeb"/>
        <w:shd w:val="clear" w:color="auto" w:fill="FFFFFF"/>
        <w:spacing w:after="255"/>
        <w:jc w:val="both"/>
        <w:rPr>
          <w:color w:val="313131"/>
        </w:rPr>
      </w:pPr>
      <w:r w:rsidRPr="00B268A3">
        <w:rPr>
          <w:color w:val="313131"/>
        </w:rPr>
        <w:t>Desde la organización agraria señalan que el análisis realizado por sus servicios técnicos muestra claramente que las importaciones marroquíes han superado con creces la cuota de 285.000 toneladas al año de tomate libre de impuestos, a un precio mínimo de 0,46 euros el kilo, que recoge el citado acuerdo, asegurando que “desde 2019 Marruecos habría excedido en unas 230.000 toneladas al año el lí</w:t>
      </w:r>
      <w:r>
        <w:rPr>
          <w:color w:val="313131"/>
        </w:rPr>
        <w:t>mite que está exento de tasas”.</w:t>
      </w:r>
    </w:p>
    <w:p w:rsidR="0066205A" w:rsidRPr="00B268A3" w:rsidRDefault="0066205A" w:rsidP="0066205A">
      <w:pPr>
        <w:pStyle w:val="NormalWeb"/>
        <w:shd w:val="clear" w:color="auto" w:fill="FFFFFF"/>
        <w:spacing w:after="255"/>
        <w:jc w:val="both"/>
        <w:rPr>
          <w:color w:val="313131"/>
        </w:rPr>
      </w:pPr>
      <w:r w:rsidRPr="00B268A3">
        <w:rPr>
          <w:color w:val="313131"/>
        </w:rPr>
        <w:t xml:space="preserve">“Los cálculos de nuestra investigación muestran que las empresas que importan tomate de Marruecos tendrían que haber pagado 71,7 millones de euros a España en los últimos cinco años por el excedente de tomate que han introducido en el mercado europeo, en torno a los 14 millones de euros anuales”, ha precisado Góngora, quien ha añadido que “las cuentas son lo más benevolentes posible con Marruecos, ya que las cantidades que proceden del Sáhara Occidental deberían ingresar en la UE sin las condiciones preferenciales establecidas para Marruecos, lo que haría aumentar las cifras estimadas”. Ver las notas técnicas del cálculo realizado por </w:t>
      </w:r>
      <w:proofErr w:type="spellStart"/>
      <w:r w:rsidRPr="00B268A3">
        <w:rPr>
          <w:color w:val="313131"/>
        </w:rPr>
        <w:t>Coag</w:t>
      </w:r>
      <w:proofErr w:type="spellEnd"/>
      <w:r w:rsidRPr="00B268A3">
        <w:rPr>
          <w:color w:val="313131"/>
        </w:rPr>
        <w:t xml:space="preserve"> al pie de la información.</w:t>
      </w:r>
    </w:p>
    <w:p w:rsidR="0066205A" w:rsidRPr="00B268A3" w:rsidRDefault="0066205A" w:rsidP="0066205A">
      <w:pPr>
        <w:pStyle w:val="NormalWeb"/>
        <w:shd w:val="clear" w:color="auto" w:fill="FFFFFF"/>
        <w:spacing w:after="255"/>
        <w:jc w:val="both"/>
        <w:rPr>
          <w:color w:val="313131"/>
        </w:rPr>
      </w:pPr>
      <w:r w:rsidRPr="00B268A3">
        <w:rPr>
          <w:color w:val="313131"/>
        </w:rPr>
        <w:t>El responsable de COAG ha denunciado lo que entiende por “complicidad de la UE como de los gobiernos español y francés”.</w:t>
      </w:r>
    </w:p>
    <w:p w:rsidR="0066205A" w:rsidRPr="00B268A3" w:rsidRDefault="0066205A" w:rsidP="0066205A">
      <w:pPr>
        <w:pStyle w:val="NormalWeb"/>
        <w:shd w:val="clear" w:color="auto" w:fill="FFFFFF"/>
        <w:spacing w:after="255"/>
        <w:jc w:val="both"/>
        <w:rPr>
          <w:color w:val="313131"/>
        </w:rPr>
      </w:pPr>
      <w:r w:rsidRPr="00B268A3">
        <w:rPr>
          <w:color w:val="313131"/>
        </w:rPr>
        <w:t>Góngora afirma que “durante los últimos 10 años, COAG ha pedido de forma reiterada tanto a la Comisión Europea como a los ministerios de Agricultura, Economía y Hacienda, las cantidades liquidadas por las importaciones agrícolas de Marruecos en materia de tasas arancelarias y no ha recibido respuestas aclaratorias al respecto”, indicando que “hemos preguntado a la Comisión Europea por el asunto, pero la institución se remite a que es competencia de cada Estado Miembro controlar las tasas arancelarias. Por su parte, el Ministerio de Agricultura, Pesca y Alimentación nos ha redirigido a los ministerios de Economía y Hacienda, que lo único que nos han dado es el silenci</w:t>
      </w:r>
      <w:r>
        <w:rPr>
          <w:color w:val="313131"/>
        </w:rPr>
        <w:t>o por respuesta”, ha precisado.</w:t>
      </w:r>
    </w:p>
    <w:p w:rsidR="0066205A" w:rsidRPr="00B268A3" w:rsidRDefault="0066205A" w:rsidP="0066205A">
      <w:pPr>
        <w:pStyle w:val="NormalWeb"/>
        <w:shd w:val="clear" w:color="auto" w:fill="FFFFFF"/>
        <w:spacing w:after="255"/>
        <w:jc w:val="both"/>
        <w:rPr>
          <w:color w:val="313131"/>
        </w:rPr>
      </w:pPr>
      <w:r w:rsidRPr="00B268A3">
        <w:rPr>
          <w:color w:val="313131"/>
        </w:rPr>
        <w:t xml:space="preserve">Respecto a la sentencia del Tribunal de Justicia de la UE que declara ilegal el acuerdo de libre comercio con Marruecos, el responsable de Frutas y Hortalizas de COAG, ha pedido que la aplicación de esa sentencia </w:t>
      </w:r>
      <w:proofErr w:type="gramStart"/>
      <w:r w:rsidRPr="00B268A3">
        <w:rPr>
          <w:color w:val="313131"/>
        </w:rPr>
        <w:t>debe</w:t>
      </w:r>
      <w:proofErr w:type="gramEnd"/>
      <w:r w:rsidRPr="00B268A3">
        <w:rPr>
          <w:color w:val="313131"/>
        </w:rPr>
        <w:t xml:space="preserve"> ser inmediata, sin periodos de gracia. “Los agricultores y agricultoras europeos no hemos tenido ese periodo de gracia y sufrimos día a día la competencia desleal de las importaciones bajo las condic</w:t>
      </w:r>
      <w:r>
        <w:rPr>
          <w:color w:val="313131"/>
        </w:rPr>
        <w:t>iones perniciosas del Acuerdo”.</w:t>
      </w:r>
    </w:p>
    <w:p w:rsidR="0066205A" w:rsidRPr="00B268A3" w:rsidRDefault="0066205A" w:rsidP="0066205A">
      <w:pPr>
        <w:pStyle w:val="NormalWeb"/>
        <w:shd w:val="clear" w:color="auto" w:fill="FFFFFF"/>
        <w:spacing w:after="255"/>
        <w:jc w:val="both"/>
        <w:rPr>
          <w:color w:val="313131"/>
        </w:rPr>
      </w:pPr>
      <w:r w:rsidRPr="00B268A3">
        <w:rPr>
          <w:color w:val="313131"/>
        </w:rPr>
        <w:t xml:space="preserve">Góngora ha añadido que “si la sentencia ha dictaminado que el acuerdo no es legal, la UE no puede cerrar los ojos y mantener 12 meses más en vigor un acuerdo ilegal, sólo para favorecer a determinadas empresas transnacionales, mientras los productores continuamos perdiendo </w:t>
      </w:r>
      <w:r>
        <w:rPr>
          <w:color w:val="313131"/>
        </w:rPr>
        <w:t>rentabilidad y desapareciendo”.</w:t>
      </w:r>
    </w:p>
    <w:p w:rsidR="0066205A" w:rsidRPr="00B268A3" w:rsidRDefault="0066205A" w:rsidP="0066205A">
      <w:pPr>
        <w:pStyle w:val="NormalWeb"/>
        <w:shd w:val="clear" w:color="auto" w:fill="FFFFFF"/>
        <w:spacing w:after="255"/>
        <w:jc w:val="both"/>
        <w:rPr>
          <w:color w:val="313131"/>
        </w:rPr>
      </w:pPr>
      <w:r w:rsidRPr="00B268A3">
        <w:rPr>
          <w:color w:val="313131"/>
        </w:rPr>
        <w:t>COAG también ha reclamado que el gobierno español se posicione a favor de los productores agrarios, dado que son los más perjudicados por el acuerdo de liberalización comercial entre la UE y Marruecos, y presione en la UE para la anulación del mismo y para eliminar los graves efectos que tie</w:t>
      </w:r>
      <w:r>
        <w:rPr>
          <w:color w:val="313131"/>
        </w:rPr>
        <w:t>ne sobre nuestras producciones.</w:t>
      </w:r>
    </w:p>
    <w:p w:rsidR="0066205A" w:rsidRPr="00B268A3" w:rsidRDefault="0066205A" w:rsidP="0066205A">
      <w:pPr>
        <w:pStyle w:val="NormalWeb"/>
        <w:shd w:val="clear" w:color="auto" w:fill="FFFFFF"/>
        <w:spacing w:after="255"/>
        <w:jc w:val="both"/>
        <w:rPr>
          <w:color w:val="313131"/>
        </w:rPr>
      </w:pPr>
      <w:r w:rsidRPr="00B268A3">
        <w:rPr>
          <w:color w:val="313131"/>
        </w:rPr>
        <w:lastRenderedPageBreak/>
        <w:t>Notas técnicas sobre el cálculo sobre las importaciones</w:t>
      </w:r>
      <w:r>
        <w:rPr>
          <w:color w:val="313131"/>
        </w:rPr>
        <w:t xml:space="preserve"> de tomate de Marruecos</w:t>
      </w:r>
    </w:p>
    <w:p w:rsidR="0066205A" w:rsidRPr="00B268A3" w:rsidRDefault="0066205A" w:rsidP="0066205A">
      <w:pPr>
        <w:pStyle w:val="NormalWeb"/>
        <w:shd w:val="clear" w:color="auto" w:fill="FFFFFF"/>
        <w:spacing w:after="255"/>
        <w:jc w:val="both"/>
        <w:rPr>
          <w:color w:val="313131"/>
        </w:rPr>
      </w:pPr>
      <w:r w:rsidRPr="00B268A3">
        <w:rPr>
          <w:color w:val="313131"/>
        </w:rPr>
        <w:t>Se consideran las cantidades exportadas fuera del contingente establecido entre octubre y mayo, sumadas a los volúmenes que entran en los meses de verano, y tomando en consideración los precios unitarios medios determinados por las autoridades comunitarias para ambos periodos, los envíos procedentes de este origen tendrían que satisfacer 14.340.500 € en impuestos en l</w:t>
      </w:r>
      <w:r>
        <w:rPr>
          <w:color w:val="313131"/>
        </w:rPr>
        <w:t>as aduanas de la Unión Europea.</w:t>
      </w:r>
    </w:p>
    <w:p w:rsidR="0066205A" w:rsidRPr="00B268A3" w:rsidRDefault="0066205A" w:rsidP="0066205A">
      <w:pPr>
        <w:pStyle w:val="NormalWeb"/>
        <w:shd w:val="clear" w:color="auto" w:fill="FFFFFF"/>
        <w:spacing w:after="255"/>
        <w:jc w:val="both"/>
        <w:rPr>
          <w:color w:val="313131"/>
        </w:rPr>
      </w:pPr>
      <w:r w:rsidRPr="00B268A3">
        <w:rPr>
          <w:color w:val="313131"/>
        </w:rPr>
        <w:t xml:space="preserve">Estos cálculos se han realizado tomando como fuente las estadísticas de la UE, ofrecidas por </w:t>
      </w:r>
      <w:proofErr w:type="spellStart"/>
      <w:r w:rsidRPr="00B268A3">
        <w:rPr>
          <w:color w:val="313131"/>
        </w:rPr>
        <w:t>Eurostat</w:t>
      </w:r>
      <w:proofErr w:type="spellEnd"/>
      <w:r w:rsidRPr="00B268A3">
        <w:rPr>
          <w:color w:val="313131"/>
        </w:rPr>
        <w:t>, para las campañas 2019/20 hasta la 2023/24. Es decir, que en el periodo de cálculo las empresas que realizan exportaciones al mercado comunitario deberían haber pagado 71,</w:t>
      </w:r>
      <w:r>
        <w:rPr>
          <w:color w:val="313131"/>
        </w:rPr>
        <w:t>702.500 € a las arcas de la UE.</w:t>
      </w:r>
    </w:p>
    <w:p w:rsidR="0066205A" w:rsidRDefault="0066205A" w:rsidP="0066205A">
      <w:pPr>
        <w:pStyle w:val="NormalWeb"/>
        <w:shd w:val="clear" w:color="auto" w:fill="FFFFFF"/>
        <w:spacing w:before="0" w:beforeAutospacing="0" w:after="255" w:afterAutospacing="0"/>
        <w:jc w:val="both"/>
        <w:rPr>
          <w:color w:val="313131"/>
        </w:rPr>
      </w:pPr>
      <w:r w:rsidRPr="00B268A3">
        <w:rPr>
          <w:color w:val="313131"/>
        </w:rPr>
        <w:t xml:space="preserve">Esta cuantificación asume que las cantidades que introduce Marruecos dentro del contingente preferencial de 285.000 </w:t>
      </w:r>
      <w:proofErr w:type="spellStart"/>
      <w:r w:rsidRPr="00B268A3">
        <w:rPr>
          <w:color w:val="313131"/>
        </w:rPr>
        <w:t>tn</w:t>
      </w:r>
      <w:proofErr w:type="spellEnd"/>
      <w:r w:rsidRPr="00B268A3">
        <w:rPr>
          <w:color w:val="313131"/>
        </w:rPr>
        <w:t xml:space="preserve"> entre octubre y mayo están libres de impuestos en frontera y sin tener en cuenta que las cantidades que proceden del Sáhara Occidental deberían ingresar en la UE sin las condiciones preferenciales establecidas para Marruecos, lo que haría aumentar las cifras estimadas.</w:t>
      </w:r>
    </w:p>
    <w:p w:rsidR="0066205A" w:rsidRDefault="0066205A" w:rsidP="0066205A">
      <w:pPr>
        <w:spacing w:line="240" w:lineRule="auto"/>
        <w:jc w:val="both"/>
        <w:rPr>
          <w:rFonts w:ascii="Times New Roman" w:hAnsi="Times New Roman" w:cs="Times New Roman"/>
          <w:sz w:val="24"/>
          <w:szCs w:val="24"/>
        </w:rPr>
      </w:pPr>
      <w:r w:rsidRPr="00CB0FA7">
        <w:rPr>
          <w:rFonts w:ascii="Times New Roman" w:hAnsi="Times New Roman" w:cs="Times New Roman"/>
          <w:b/>
          <w:sz w:val="24"/>
          <w:szCs w:val="24"/>
        </w:rPr>
        <w:t>La agricultura europea</w:t>
      </w:r>
      <w:r>
        <w:rPr>
          <w:rFonts w:ascii="Times New Roman" w:hAnsi="Times New Roman" w:cs="Times New Roman"/>
          <w:sz w:val="24"/>
          <w:szCs w:val="24"/>
        </w:rPr>
        <w:t xml:space="preserve"> - COPA-COGECA (Febrero 2025)</w:t>
      </w:r>
    </w:p>
    <w:p w:rsidR="0066205A" w:rsidRDefault="0066205A" w:rsidP="0066205A">
      <w:pPr>
        <w:spacing w:line="240" w:lineRule="auto"/>
        <w:jc w:val="both"/>
        <w:rPr>
          <w:rFonts w:ascii="Times New Roman" w:hAnsi="Times New Roman" w:cs="Times New Roman"/>
          <w:sz w:val="24"/>
          <w:szCs w:val="24"/>
        </w:rPr>
      </w:pPr>
    </w:p>
    <w:p w:rsidR="0066205A" w:rsidRDefault="0066205A" w:rsidP="0066205A">
      <w:pPr>
        <w:spacing w:line="240" w:lineRule="auto"/>
        <w:jc w:val="both"/>
        <w:rPr>
          <w:rFonts w:ascii="Times New Roman" w:hAnsi="Times New Roman" w:cs="Times New Roman"/>
          <w:sz w:val="24"/>
          <w:szCs w:val="24"/>
        </w:rPr>
      </w:pPr>
      <w:r w:rsidRPr="00CB0FA7">
        <w:rPr>
          <w:rFonts w:ascii="Times New Roman" w:hAnsi="Times New Roman" w:cs="Times New Roman"/>
          <w:noProof/>
          <w:sz w:val="24"/>
          <w:szCs w:val="24"/>
          <w:lang w:val="en-GB" w:eastAsia="zh-CN"/>
        </w:rPr>
        <w:drawing>
          <wp:inline distT="0" distB="0" distL="0" distR="0">
            <wp:extent cx="5730506" cy="2940050"/>
            <wp:effectExtent l="0" t="0" r="381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940565"/>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577BF5">
        <w:rPr>
          <w:rFonts w:ascii="Times New Roman" w:hAnsi="Times New Roman" w:cs="Times New Roman"/>
          <w:noProof/>
          <w:sz w:val="24"/>
          <w:szCs w:val="24"/>
          <w:lang w:val="en-GB" w:eastAsia="zh-CN"/>
        </w:rPr>
        <w:lastRenderedPageBreak/>
        <w:drawing>
          <wp:inline distT="0" distB="0" distL="0" distR="0">
            <wp:extent cx="5734050" cy="26797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678513"/>
                    </a:xfrm>
                    <a:prstGeom prst="rect">
                      <a:avLst/>
                    </a:prstGeom>
                  </pic:spPr>
                </pic:pic>
              </a:graphicData>
            </a:graphic>
          </wp:inline>
        </w:drawing>
      </w:r>
      <w:r w:rsidRPr="00577BF5">
        <w:rPr>
          <w:rFonts w:ascii="Times New Roman" w:hAnsi="Times New Roman" w:cs="Times New Roman"/>
          <w:noProof/>
          <w:sz w:val="24"/>
          <w:szCs w:val="24"/>
          <w:lang w:val="en-GB" w:eastAsia="zh-CN"/>
        </w:rPr>
        <w:drawing>
          <wp:inline distT="0" distB="0" distL="0" distR="0">
            <wp:extent cx="5729458" cy="3613150"/>
            <wp:effectExtent l="0" t="0" r="508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614444"/>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577BF5">
        <w:rPr>
          <w:rFonts w:ascii="Times New Roman" w:hAnsi="Times New Roman" w:cs="Times New Roman"/>
          <w:noProof/>
          <w:sz w:val="24"/>
          <w:szCs w:val="24"/>
          <w:lang w:val="en-GB" w:eastAsia="zh-CN"/>
        </w:rPr>
        <w:lastRenderedPageBreak/>
        <w:drawing>
          <wp:inline distT="0" distB="0" distL="0" distR="0">
            <wp:extent cx="5731510" cy="3992462"/>
            <wp:effectExtent l="0" t="0" r="2540"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992462"/>
                    </a:xfrm>
                    <a:prstGeom prst="rect">
                      <a:avLst/>
                    </a:prstGeom>
                  </pic:spPr>
                </pic:pic>
              </a:graphicData>
            </a:graphic>
          </wp:inline>
        </w:drawing>
      </w:r>
    </w:p>
    <w:p w:rsidR="0066205A" w:rsidRPr="00CD18F1" w:rsidRDefault="0066205A" w:rsidP="0066205A">
      <w:pPr>
        <w:spacing w:line="240" w:lineRule="auto"/>
        <w:jc w:val="both"/>
        <w:rPr>
          <w:rFonts w:ascii="Times New Roman" w:hAnsi="Times New Roman" w:cs="Times New Roman"/>
          <w:b/>
          <w:sz w:val="24"/>
          <w:szCs w:val="24"/>
        </w:rPr>
      </w:pPr>
      <w:r w:rsidRPr="00CD18F1">
        <w:rPr>
          <w:rFonts w:ascii="Times New Roman" w:hAnsi="Times New Roman" w:cs="Times New Roman"/>
          <w:b/>
          <w:sz w:val="24"/>
          <w:szCs w:val="24"/>
        </w:rPr>
        <w:t>Comercio internacional</w:t>
      </w:r>
    </w:p>
    <w:p w:rsidR="0066205A" w:rsidRPr="002578F5" w:rsidRDefault="0066205A" w:rsidP="0066205A">
      <w:pPr>
        <w:pStyle w:val="Ttulo2"/>
        <w:spacing w:before="0" w:after="375"/>
        <w:jc w:val="both"/>
        <w:rPr>
          <w:rFonts w:ascii="Times New Roman" w:hAnsi="Times New Roman" w:cs="Times New Roman"/>
          <w:bCs w:val="0"/>
          <w:color w:val="auto"/>
          <w:sz w:val="24"/>
          <w:szCs w:val="24"/>
        </w:rPr>
      </w:pPr>
      <w:r w:rsidRPr="002578F5">
        <w:rPr>
          <w:rFonts w:ascii="Times New Roman" w:hAnsi="Times New Roman" w:cs="Times New Roman"/>
          <w:bCs w:val="0"/>
          <w:color w:val="auto"/>
          <w:sz w:val="24"/>
          <w:szCs w:val="24"/>
        </w:rPr>
        <w:t>Qué hacemos</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Preservar las normas europeas</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Hoy en día, nos sentimos orgullosos de poder producir una variada gama de alimentos, cumpliendo con los más elevados estándares de producción agrícola del mundo. La PAC ha hecho posible el desarrollo del mercado único más integrado del mundo, con los más altos estándares de seguridad de los alimentos, medio ambiente y salud y bienestar animal. Los agricultores europeos han tenido siempre especial cuidado en preservar estas normas en todas las negociaciones internacionales.</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Contribuir al bienestar y al crecimiento</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También nos sentimos orgullosos de contribuir de forma positiva al bienestar en Europa. No en vano, el sector agroalimentario de la UE representa un tercio de la balanza comercial neta de Europa, que equivalía a 21 000 millones EUR en 2017. Asimismo, añadimos valor gracias a nuestra condición de primer importador de bienes escasos en Europa.</w:t>
      </w:r>
    </w:p>
    <w:p w:rsidR="0066205A" w:rsidRPr="002578F5" w:rsidRDefault="0066205A" w:rsidP="0066205A">
      <w:pPr>
        <w:pStyle w:val="Ttulo2"/>
        <w:spacing w:before="0" w:after="375"/>
        <w:jc w:val="both"/>
        <w:rPr>
          <w:rFonts w:ascii="Times New Roman" w:hAnsi="Times New Roman" w:cs="Times New Roman"/>
          <w:bCs w:val="0"/>
          <w:color w:val="auto"/>
          <w:sz w:val="24"/>
          <w:szCs w:val="24"/>
        </w:rPr>
      </w:pPr>
      <w:bookmarkStart w:id="1" w:name="b454"/>
      <w:bookmarkEnd w:id="1"/>
      <w:r w:rsidRPr="002578F5">
        <w:rPr>
          <w:rFonts w:ascii="Times New Roman" w:hAnsi="Times New Roman" w:cs="Times New Roman"/>
          <w:bCs w:val="0"/>
          <w:color w:val="auto"/>
          <w:sz w:val="24"/>
          <w:szCs w:val="24"/>
        </w:rPr>
        <w:lastRenderedPageBreak/>
        <w:t>Qué defendemos</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Oportunidades comerciales</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Nuestra preferencia es optar por un enfoque multilateral, ya que constituye la mejor opción para abordar los aspectos comerciales de la agricultura. Al mismo tiempo, apoyamos los esfuerzos dirigidos a mantener un sistema comercial abierto, transparente y de carácter multilateral, regido por una serie de normas. A través de la OMC, debemos crear un entorno internacional de relaciones comerciales más predecible. Desde siempre, y a pesar de los escollos, apoyamos el programa de comercio (bilateral) de Europa. A la vista de las oportunidades existentes, debemos intensificar las negociaciones en torno a las normas de producción y la soste</w:t>
      </w:r>
      <w:r>
        <w:t>nibilidad en todos los ámbitos -</w:t>
      </w:r>
      <w:r w:rsidRPr="00CD18F1">
        <w:t>eco</w:t>
      </w:r>
      <w:r>
        <w:t>nómico, medioambiental y social-</w:t>
      </w:r>
      <w:r w:rsidRPr="00CD18F1">
        <w:t>. Estas son las razones por las cuales apoyamos en su momento el TTIP y los tratados comerciales con Canadá, México y Japón. Los acuerdos comerciales han de tener un enfoque equilibrado respecto a la cadena agroalimentaria, es decir, deben cubrir la cadena de suministro alimentario en su conjunto y respetar nuestras normas y el modelo de producción europeo.</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Vigilancia y seguridad</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No podemos aceptar, bajo ninguna circunstancia, que se rebajen los estándares europeos ni que se penalice en el mercado a los agricultores que cumplen con ellos. Las exportaciones no son el objetivo en sí, sino que deberían generar una plusvalía que se traduzca en beneficios para los agricultores y las cooperativas agrarias. Esto es posible si se respetan ciertas condiciones apropiadas.</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La búsqueda de nuevos mercados</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 xml:space="preserve">Las negociaciones en torno al </w:t>
      </w:r>
      <w:proofErr w:type="spellStart"/>
      <w:r w:rsidRPr="00CD18F1">
        <w:t>brexit</w:t>
      </w:r>
      <w:proofErr w:type="spellEnd"/>
      <w:r w:rsidRPr="00CD18F1">
        <w:t xml:space="preserve"> han sido una prioridad en la agenda política, tanto para los agricultores como para las cooperativas agrarias. A nuestro parecer, Europa y el Reino Unido deberían mantener en el futuro una estrecha relación, sin desavenencias, a fin de evitar consecuencias perjudiciales para los agricultores y las cooperativas agrarias de ambas partes. Ante esta situación, es necesario hallar nuevos mercados para la agricultura europea. Por esta razón, hemos respaldado la agenda comercial de la Comisión Europea en los últimos años.</w:t>
      </w:r>
    </w:p>
    <w:p w:rsidR="0066205A" w:rsidRPr="00CD18F1" w:rsidRDefault="0066205A" w:rsidP="0066205A">
      <w:pPr>
        <w:spacing w:line="240" w:lineRule="auto"/>
        <w:jc w:val="both"/>
        <w:rPr>
          <w:rFonts w:ascii="Times New Roman" w:hAnsi="Times New Roman" w:cs="Times New Roman"/>
          <w:sz w:val="24"/>
          <w:szCs w:val="24"/>
        </w:rPr>
      </w:pPr>
      <w:bookmarkStart w:id="2" w:name="b455"/>
      <w:bookmarkEnd w:id="2"/>
      <w:r w:rsidRPr="00CD18F1">
        <w:rPr>
          <w:rFonts w:ascii="Times New Roman" w:hAnsi="Times New Roman" w:cs="Times New Roman"/>
          <w:b/>
          <w:bCs/>
          <w:sz w:val="24"/>
          <w:szCs w:val="24"/>
        </w:rPr>
        <w:t>Qué exigimos</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Acuerdos comerciales equilibrados</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 xml:space="preserve">La reforma de la OMC es importante a fin de crear un marco general para el comercio internacional, así como para evitar una distorsión de la competencia y aportar una estructura jurídica que permita gestionar las reclamaciones con transparencia. En cuanto a las ambiciones de la agenda comercial europea (a saber, Australia, Nueva Zelanda, Mercosur e Indonesia, entre otros), apoyamos los esfuerzos conducentes a encontrar nuevos mercados, </w:t>
      </w:r>
      <w:r w:rsidRPr="00CD18F1">
        <w:lastRenderedPageBreak/>
        <w:t>especialmente en aquellas regiones del mundo en rápido crecimiento. Sin embargo, consideramos que los acuerdos han de ser mesurados en lo relativo al ámbito agrícola.</w:t>
      </w:r>
    </w:p>
    <w:p w:rsidR="0066205A" w:rsidRPr="00CD18F1"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Respetar las exigencias europeas</w:t>
      </w:r>
    </w:p>
    <w:p w:rsidR="0066205A" w:rsidRPr="00CD18F1" w:rsidRDefault="0066205A" w:rsidP="0066205A"/>
    <w:p w:rsidR="0066205A" w:rsidRPr="00CD18F1" w:rsidRDefault="0066205A" w:rsidP="0066205A">
      <w:pPr>
        <w:pStyle w:val="NormalWeb"/>
        <w:spacing w:before="0" w:beforeAutospacing="0" w:after="450" w:afterAutospacing="0"/>
        <w:jc w:val="both"/>
      </w:pPr>
      <w:r w:rsidRPr="00CD18F1">
        <w:t>Los acuerdos deben cubrir la integralidad de la cadena alimentaria, incluir las barreras arancelarias y no arancelarias y respetar las indicaciones geográficas. Además, deben reconocer a la UE como una única entidad y aceptar el principio de regionalización, así como respetar las normas y el modelo de producción europeos. Con respecto a las negociaciones con el Mercosur, consideramos que la oferta de acceso al mercado que se ha presentado es demasiado ambiciosa y que han de tomarse en consideración los compromisos relativos al cambio climático y a los ODS.</w:t>
      </w:r>
    </w:p>
    <w:p w:rsidR="0066205A" w:rsidRDefault="0066205A" w:rsidP="0066205A">
      <w:pPr>
        <w:pStyle w:val="Ttulo3"/>
        <w:spacing w:before="0" w:line="240" w:lineRule="auto"/>
        <w:jc w:val="both"/>
        <w:rPr>
          <w:rFonts w:ascii="Times New Roman" w:hAnsi="Times New Roman" w:cs="Times New Roman"/>
          <w:color w:val="auto"/>
          <w:sz w:val="24"/>
          <w:szCs w:val="24"/>
        </w:rPr>
      </w:pPr>
      <w:r w:rsidRPr="00CD18F1">
        <w:rPr>
          <w:rFonts w:ascii="Times New Roman" w:hAnsi="Times New Roman" w:cs="Times New Roman"/>
          <w:color w:val="auto"/>
          <w:sz w:val="24"/>
          <w:szCs w:val="24"/>
        </w:rPr>
        <w:t>Valor añadido para los agricultores</w:t>
      </w:r>
    </w:p>
    <w:p w:rsidR="0066205A" w:rsidRPr="00DE3CE2" w:rsidRDefault="0066205A" w:rsidP="0066205A"/>
    <w:p w:rsidR="0066205A" w:rsidRPr="00CD18F1" w:rsidRDefault="0066205A" w:rsidP="0066205A">
      <w:pPr>
        <w:pStyle w:val="NormalWeb"/>
        <w:spacing w:before="0" w:beforeAutospacing="0" w:after="450" w:afterAutospacing="0"/>
        <w:jc w:val="both"/>
      </w:pPr>
      <w:r w:rsidRPr="00CD18F1">
        <w:t>Por último, exigimos que los tratados de libre comercio se apliquen de forma apropiada, incluyendo una evaluación y una comunicación proactiva sobre los beneficios de los acuerdos comerciales. El objetivo no son las exportaciones como tal, sino crear un valor añadido que se traduciría en beneficios para los agricultores y las cooperativas agrarias.</w:t>
      </w:r>
    </w:p>
    <w:p w:rsidR="0066205A" w:rsidRPr="00CD18F1" w:rsidRDefault="0066205A" w:rsidP="0066205A">
      <w:pPr>
        <w:pStyle w:val="NormalWeb"/>
        <w:spacing w:before="0" w:beforeAutospacing="0" w:after="450" w:afterAutospacing="0"/>
        <w:jc w:val="both"/>
        <w:rPr>
          <w:b/>
        </w:rPr>
      </w:pPr>
      <w:r w:rsidRPr="00CD18F1">
        <w:rPr>
          <w:b/>
        </w:rPr>
        <w:t>El mercado y la calidad</w:t>
      </w:r>
    </w:p>
    <w:p w:rsidR="0066205A" w:rsidRPr="00CD18F1" w:rsidRDefault="0066205A" w:rsidP="0066205A">
      <w:pPr>
        <w:pStyle w:val="NormalWeb"/>
        <w:spacing w:after="450"/>
        <w:jc w:val="both"/>
        <w:rPr>
          <w:b/>
        </w:rPr>
      </w:pPr>
      <w:r w:rsidRPr="00CD18F1">
        <w:rPr>
          <w:b/>
        </w:rPr>
        <w:t>Qué hacemos</w:t>
      </w:r>
    </w:p>
    <w:p w:rsidR="0066205A" w:rsidRPr="00CD18F1" w:rsidRDefault="0066205A" w:rsidP="0066205A">
      <w:pPr>
        <w:pStyle w:val="NormalWeb"/>
        <w:spacing w:after="450"/>
        <w:jc w:val="both"/>
        <w:rPr>
          <w:b/>
        </w:rPr>
      </w:pPr>
      <w:r w:rsidRPr="00CD18F1">
        <w:rPr>
          <w:b/>
        </w:rPr>
        <w:t>Informar al consumidor</w:t>
      </w:r>
    </w:p>
    <w:p w:rsidR="0066205A" w:rsidRPr="00CD18F1" w:rsidRDefault="0066205A" w:rsidP="0066205A">
      <w:pPr>
        <w:pStyle w:val="NormalWeb"/>
        <w:spacing w:after="450"/>
        <w:jc w:val="both"/>
      </w:pPr>
      <w:r w:rsidRPr="00CD18F1">
        <w:t>El consumidor europeo desea obtener cada vez más información sobre los alimentos que consume y sus expectativas han aumentado. En este sentido, la calidad se ha convertido en un concepto más amplio que engloba distintos elementos como la tradición, el origen, el saber hacer, el bienestar animal, la huella de carbono o los efectos para la salud. La selección de un producto agrícola va más allá del mero producto.</w:t>
      </w:r>
    </w:p>
    <w:p w:rsidR="0066205A" w:rsidRPr="00CD18F1" w:rsidRDefault="0066205A" w:rsidP="0066205A">
      <w:pPr>
        <w:pStyle w:val="NormalWeb"/>
        <w:spacing w:after="450"/>
        <w:jc w:val="both"/>
        <w:rPr>
          <w:b/>
        </w:rPr>
      </w:pPr>
      <w:r w:rsidRPr="00CD18F1">
        <w:rPr>
          <w:b/>
        </w:rPr>
        <w:t>Garantizar la inocuidad de los alimentos al consumidor</w:t>
      </w:r>
    </w:p>
    <w:p w:rsidR="0066205A" w:rsidRPr="00CD18F1" w:rsidRDefault="0066205A" w:rsidP="0066205A">
      <w:pPr>
        <w:pStyle w:val="NormalWeb"/>
        <w:spacing w:before="0" w:beforeAutospacing="0" w:after="450" w:afterAutospacing="0"/>
        <w:jc w:val="both"/>
      </w:pPr>
      <w:r w:rsidRPr="00CD18F1">
        <w:t>La política de seguridad alimentaria de la UE garantiza la seguridad de los alimentos a lo largo de toda la cadena de producción, desde la granja hasta el consumidor final. Garantiza los más altos estándares de seguridad alimentaria en el mundo (Legislación alimentaria general). Todos los días, los productores de la UE respetan una amplia gama de normas (sobre higiene, plaguicidas, residuos, bienestar animal, etc.), lo que garantiza a los consumidores alimentos seguros, nutritivos, sostenibles y respetuosos con el medio ambiente.</w:t>
      </w:r>
    </w:p>
    <w:p w:rsidR="0066205A" w:rsidRPr="00CD18F1" w:rsidRDefault="0066205A" w:rsidP="0066205A">
      <w:pPr>
        <w:spacing w:line="240" w:lineRule="auto"/>
        <w:jc w:val="both"/>
        <w:rPr>
          <w:rFonts w:ascii="Times New Roman" w:hAnsi="Times New Roman" w:cs="Times New Roman"/>
          <w:b/>
          <w:sz w:val="24"/>
          <w:szCs w:val="24"/>
        </w:rPr>
      </w:pPr>
      <w:r w:rsidRPr="00CD18F1">
        <w:rPr>
          <w:rFonts w:ascii="Times New Roman" w:hAnsi="Times New Roman" w:cs="Times New Roman"/>
          <w:b/>
          <w:sz w:val="24"/>
          <w:szCs w:val="24"/>
        </w:rPr>
        <w:t>Qué exigimos</w:t>
      </w:r>
    </w:p>
    <w:p w:rsidR="0066205A" w:rsidRPr="00CD18F1" w:rsidRDefault="0066205A" w:rsidP="0066205A">
      <w:pPr>
        <w:spacing w:line="240" w:lineRule="auto"/>
        <w:jc w:val="both"/>
        <w:rPr>
          <w:rFonts w:ascii="Times New Roman" w:hAnsi="Times New Roman" w:cs="Times New Roman"/>
          <w:b/>
          <w:sz w:val="24"/>
          <w:szCs w:val="24"/>
        </w:rPr>
      </w:pPr>
      <w:r w:rsidRPr="00CD18F1">
        <w:rPr>
          <w:rFonts w:ascii="Times New Roman" w:hAnsi="Times New Roman" w:cs="Times New Roman"/>
          <w:b/>
          <w:sz w:val="24"/>
          <w:szCs w:val="24"/>
        </w:rPr>
        <w:t>Una política de calidad</w:t>
      </w:r>
    </w:p>
    <w:p w:rsidR="0066205A" w:rsidRPr="00CD18F1" w:rsidRDefault="0066205A" w:rsidP="0066205A">
      <w:pPr>
        <w:spacing w:line="240" w:lineRule="auto"/>
        <w:jc w:val="both"/>
        <w:rPr>
          <w:rFonts w:ascii="Times New Roman" w:hAnsi="Times New Roman" w:cs="Times New Roman"/>
          <w:sz w:val="24"/>
          <w:szCs w:val="24"/>
        </w:rPr>
      </w:pPr>
      <w:r w:rsidRPr="00CD18F1">
        <w:rPr>
          <w:rFonts w:ascii="Times New Roman" w:hAnsi="Times New Roman" w:cs="Times New Roman"/>
          <w:sz w:val="24"/>
          <w:szCs w:val="24"/>
        </w:rPr>
        <w:lastRenderedPageBreak/>
        <w:t>Exhortamos a las instituciones europeas a mantener una política europea fuerte en materia de calidad de los productos agrícolas. Los productos agrícolas europeos son de sobra conocidos por su calidad; esto debería seguir constituyendo uno de los objetivos estratégicos de nuestra Polí</w:t>
      </w:r>
      <w:r>
        <w:rPr>
          <w:rFonts w:ascii="Times New Roman" w:hAnsi="Times New Roman" w:cs="Times New Roman"/>
          <w:sz w:val="24"/>
          <w:szCs w:val="24"/>
        </w:rPr>
        <w:t>tica Agrícola Común.</w:t>
      </w:r>
    </w:p>
    <w:p w:rsidR="0066205A" w:rsidRPr="00CD18F1" w:rsidRDefault="0066205A" w:rsidP="0066205A">
      <w:pPr>
        <w:spacing w:line="240" w:lineRule="auto"/>
        <w:jc w:val="both"/>
        <w:rPr>
          <w:rFonts w:ascii="Times New Roman" w:hAnsi="Times New Roman" w:cs="Times New Roman"/>
          <w:b/>
          <w:sz w:val="24"/>
          <w:szCs w:val="24"/>
        </w:rPr>
      </w:pPr>
      <w:r w:rsidRPr="00CD18F1">
        <w:rPr>
          <w:rFonts w:ascii="Times New Roman" w:hAnsi="Times New Roman" w:cs="Times New Roman"/>
          <w:b/>
          <w:sz w:val="24"/>
          <w:szCs w:val="24"/>
        </w:rPr>
        <w:t>La protección de los productos de la UE</w:t>
      </w:r>
    </w:p>
    <w:p w:rsidR="0066205A" w:rsidRDefault="0066205A" w:rsidP="0066205A">
      <w:pPr>
        <w:spacing w:line="240" w:lineRule="auto"/>
        <w:jc w:val="both"/>
        <w:rPr>
          <w:rFonts w:ascii="Times New Roman" w:hAnsi="Times New Roman" w:cs="Times New Roman"/>
          <w:sz w:val="24"/>
          <w:szCs w:val="24"/>
        </w:rPr>
      </w:pPr>
      <w:r w:rsidRPr="00CD18F1">
        <w:rPr>
          <w:rFonts w:ascii="Times New Roman" w:hAnsi="Times New Roman" w:cs="Times New Roman"/>
          <w:sz w:val="24"/>
          <w:szCs w:val="24"/>
        </w:rPr>
        <w:t>Los agricultores europeos y sus cooperativas opinan que es esencial reforzar nuestro sistema de indicaciones geográficas (IG) y su protección internacional, así como el sistema de agricultura ecológica. Al mismo tiempo, deben mantenerse las normas de comercialización y las denominaciones de venta existentes, así como las normas de etiquetado y denominaciones claras.</w:t>
      </w:r>
    </w:p>
    <w:p w:rsidR="0066205A" w:rsidRPr="00CD18F1" w:rsidRDefault="0066205A" w:rsidP="0066205A">
      <w:pPr>
        <w:spacing w:line="240" w:lineRule="auto"/>
        <w:jc w:val="both"/>
        <w:rPr>
          <w:rFonts w:ascii="Times New Roman" w:hAnsi="Times New Roman" w:cs="Times New Roman"/>
          <w:b/>
          <w:sz w:val="24"/>
          <w:szCs w:val="24"/>
        </w:rPr>
      </w:pPr>
      <w:r w:rsidRPr="00CD18F1">
        <w:rPr>
          <w:rFonts w:ascii="Times New Roman" w:hAnsi="Times New Roman" w:cs="Times New Roman"/>
          <w:b/>
          <w:sz w:val="24"/>
          <w:szCs w:val="24"/>
        </w:rPr>
        <w:t>Prestar mayor atención a las importaciones</w:t>
      </w:r>
    </w:p>
    <w:p w:rsidR="0066205A" w:rsidRDefault="0066205A" w:rsidP="0066205A">
      <w:pPr>
        <w:spacing w:line="240" w:lineRule="auto"/>
        <w:jc w:val="both"/>
        <w:rPr>
          <w:rFonts w:ascii="Times New Roman" w:hAnsi="Times New Roman" w:cs="Times New Roman"/>
          <w:sz w:val="24"/>
          <w:szCs w:val="24"/>
        </w:rPr>
      </w:pPr>
      <w:r w:rsidRPr="00CD18F1">
        <w:rPr>
          <w:rFonts w:ascii="Times New Roman" w:hAnsi="Times New Roman" w:cs="Times New Roman"/>
          <w:sz w:val="24"/>
          <w:szCs w:val="24"/>
        </w:rPr>
        <w:t>La UE es el primer importador de alimentos del mundo. Por esta razón, es necesario evaluar cuidadosamente el impacto de los acuerdos comerciales con terceros países para garantizar que no se afloje el cinturón de seguridad para los consumidores y para evitar que los agricultores de la UE sean víctimas de la competencia desleal debido a las diferentes normas de producción y a lo</w:t>
      </w:r>
      <w:r>
        <w:rPr>
          <w:rFonts w:ascii="Times New Roman" w:hAnsi="Times New Roman" w:cs="Times New Roman"/>
          <w:sz w:val="24"/>
          <w:szCs w:val="24"/>
        </w:rPr>
        <w:t>s</w:t>
      </w:r>
      <w:r w:rsidRPr="00CD18F1">
        <w:rPr>
          <w:rFonts w:ascii="Times New Roman" w:hAnsi="Times New Roman" w:cs="Times New Roman"/>
          <w:sz w:val="24"/>
          <w:szCs w:val="24"/>
        </w:rPr>
        <w:t xml:space="preserve"> menores costes de producción fuera de la UE.</w:t>
      </w:r>
    </w:p>
    <w:p w:rsidR="0066205A" w:rsidRPr="009F103E" w:rsidRDefault="0066205A" w:rsidP="0066205A">
      <w:pPr>
        <w:spacing w:line="240" w:lineRule="auto"/>
        <w:jc w:val="both"/>
        <w:rPr>
          <w:rStyle w:val="CCType"/>
          <w:rFonts w:ascii="Times New Roman" w:hAnsi="Times New Roman" w:cs="Times New Roman"/>
          <w:sz w:val="24"/>
          <w:szCs w:val="24"/>
        </w:rPr>
      </w:pPr>
      <w:r w:rsidRPr="009F103E">
        <w:rPr>
          <w:rStyle w:val="CCType"/>
          <w:rFonts w:ascii="Times New Roman" w:hAnsi="Times New Roman" w:cs="Times New Roman"/>
          <w:sz w:val="24"/>
          <w:szCs w:val="24"/>
        </w:rPr>
        <w:t>Comunicado conjunto</w:t>
      </w:r>
      <w:r>
        <w:rPr>
          <w:rStyle w:val="CCType"/>
          <w:rFonts w:ascii="Times New Roman" w:hAnsi="Times New Roman" w:cs="Times New Roman"/>
          <w:sz w:val="24"/>
          <w:szCs w:val="24"/>
        </w:rPr>
        <w:t xml:space="preserve"> (Bruselas </w:t>
      </w:r>
      <w:r w:rsidRPr="009F103E">
        <w:rPr>
          <w:rStyle w:val="CCType"/>
          <w:rFonts w:ascii="Times New Roman" w:hAnsi="Times New Roman" w:cs="Times New Roman"/>
          <w:sz w:val="24"/>
          <w:szCs w:val="24"/>
        </w:rPr>
        <w:t>- 22 de octubre de 2024</w:t>
      </w:r>
      <w:r>
        <w:rPr>
          <w:rStyle w:val="CCType"/>
          <w:rFonts w:ascii="Times New Roman" w:hAnsi="Times New Roman" w:cs="Times New Roman"/>
          <w:sz w:val="24"/>
          <w:szCs w:val="24"/>
        </w:rPr>
        <w:t>)</w:t>
      </w:r>
    </w:p>
    <w:p w:rsidR="0066205A" w:rsidRPr="009F103E" w:rsidRDefault="0066205A" w:rsidP="0066205A">
      <w:pPr>
        <w:spacing w:line="240" w:lineRule="auto"/>
        <w:jc w:val="both"/>
        <w:rPr>
          <w:rFonts w:ascii="Times New Roman" w:hAnsi="Times New Roman" w:cs="Times New Roman"/>
          <w:sz w:val="24"/>
          <w:szCs w:val="24"/>
        </w:rPr>
      </w:pPr>
      <w:r w:rsidRPr="009F103E">
        <w:rPr>
          <w:rFonts w:ascii="Times New Roman" w:hAnsi="Times New Roman" w:cs="Times New Roman"/>
          <w:bCs/>
          <w:sz w:val="24"/>
          <w:szCs w:val="24"/>
        </w:rPr>
        <w:t>El acuerdo</w:t>
      </w:r>
      <w:r>
        <w:rPr>
          <w:rFonts w:ascii="Times New Roman" w:hAnsi="Times New Roman" w:cs="Times New Roman"/>
          <w:bCs/>
          <w:sz w:val="24"/>
          <w:szCs w:val="24"/>
        </w:rPr>
        <w:t xml:space="preserve"> entre la UE y el Mercosur: un “fondo de compensación”</w:t>
      </w:r>
      <w:r w:rsidRPr="009F103E">
        <w:rPr>
          <w:rFonts w:ascii="Times New Roman" w:hAnsi="Times New Roman" w:cs="Times New Roman"/>
          <w:bCs/>
          <w:sz w:val="24"/>
          <w:szCs w:val="24"/>
        </w:rPr>
        <w:t xml:space="preserve"> para los productores agropecuarios que inspira más preocupación que confianza</w:t>
      </w:r>
    </w:p>
    <w:p w:rsidR="0066205A" w:rsidRPr="009F103E" w:rsidRDefault="0066205A" w:rsidP="0066205A">
      <w:pPr>
        <w:spacing w:line="240" w:lineRule="auto"/>
        <w:jc w:val="both"/>
        <w:rPr>
          <w:rFonts w:ascii="Times New Roman" w:hAnsi="Times New Roman" w:cs="Times New Roman"/>
          <w:bCs/>
          <w:sz w:val="24"/>
          <w:szCs w:val="24"/>
        </w:rPr>
      </w:pPr>
      <w:r w:rsidRPr="009F103E">
        <w:rPr>
          <w:rFonts w:ascii="Times New Roman" w:hAnsi="Times New Roman" w:cs="Times New Roman"/>
          <w:sz w:val="24"/>
          <w:szCs w:val="24"/>
        </w:rPr>
        <w:t>Según se acercan las reuniones del G20 en Río de Janeiro y con ellas la posible conclusión de acuerdo entre la UE y el Mercosur, ha surgido en Bruselas una propuesta: crear un «fondo de compensación» para apaciguar a los agricultores europeos.</w:t>
      </w:r>
      <w:r w:rsidRPr="009F103E">
        <w:rPr>
          <w:rFonts w:ascii="Times New Roman" w:hAnsi="Times New Roman" w:cs="Times New Roman"/>
          <w:bCs/>
          <w:sz w:val="24"/>
          <w:szCs w:val="24"/>
        </w:rPr>
        <w:t xml:space="preserve"> Desde nuestros sectores, esto se percibe como un parche rápido y no como una verdadera solución, ya que no aborda las preocupaciones más importantes que suscitan los términos actuales del acuerdo, a saber, las repercusiones en los sectores sensibles o la falta de reciprocidad en cuanto a las normas de producción.</w:t>
      </w:r>
    </w:p>
    <w:p w:rsidR="0066205A" w:rsidRPr="009F103E" w:rsidRDefault="0066205A" w:rsidP="0066205A">
      <w:pPr>
        <w:spacing w:line="240" w:lineRule="auto"/>
        <w:jc w:val="both"/>
        <w:rPr>
          <w:rFonts w:ascii="Times New Roman" w:hAnsi="Times New Roman" w:cs="Times New Roman"/>
          <w:sz w:val="24"/>
          <w:szCs w:val="24"/>
        </w:rPr>
      </w:pPr>
      <w:r w:rsidRPr="009F103E">
        <w:rPr>
          <w:rFonts w:ascii="Times New Roman" w:hAnsi="Times New Roman" w:cs="Times New Roman"/>
          <w:sz w:val="24"/>
          <w:szCs w:val="24"/>
        </w:rPr>
        <w:t xml:space="preserve">El sector agroalimentario europeo se opone firmemente al acuerdo entre la UE y el Mercosur pues lo consideran anticuado e incoherente. Este acuerdo facilitaría la importación al mercado europeo de productos agroalimentarios que distan mucho de cumplir con las normas que sí se imponen a los productores y fabricantes europeos, por ejemplo, el uso de productos fitosanitarios o la legislación laboral y en materia de bienestar animal. Por ello, incluso antes de que se confirme la nueva configuración de la Comisión, esto dejaría una mancha indeleble en el inicio del segundo mandato de la Sra. Úrsula von </w:t>
      </w:r>
      <w:proofErr w:type="spellStart"/>
      <w:r w:rsidRPr="009F103E">
        <w:rPr>
          <w:rFonts w:ascii="Times New Roman" w:hAnsi="Times New Roman" w:cs="Times New Roman"/>
          <w:sz w:val="24"/>
          <w:szCs w:val="24"/>
        </w:rPr>
        <w:t>der</w:t>
      </w:r>
      <w:proofErr w:type="spellEnd"/>
      <w:r w:rsidRPr="009F103E">
        <w:rPr>
          <w:rFonts w:ascii="Times New Roman" w:hAnsi="Times New Roman" w:cs="Times New Roman"/>
          <w:sz w:val="24"/>
          <w:szCs w:val="24"/>
        </w:rPr>
        <w:t xml:space="preserve"> </w:t>
      </w:r>
      <w:proofErr w:type="spellStart"/>
      <w:r w:rsidRPr="009F103E">
        <w:rPr>
          <w:rFonts w:ascii="Times New Roman" w:hAnsi="Times New Roman" w:cs="Times New Roman"/>
          <w:sz w:val="24"/>
          <w:szCs w:val="24"/>
        </w:rPr>
        <w:t>Leyen</w:t>
      </w:r>
      <w:proofErr w:type="spellEnd"/>
      <w:r w:rsidRPr="009F103E">
        <w:rPr>
          <w:rFonts w:ascii="Times New Roman" w:hAnsi="Times New Roman" w:cs="Times New Roman"/>
          <w:sz w:val="24"/>
          <w:szCs w:val="24"/>
        </w:rPr>
        <w:t xml:space="preserve">. </w:t>
      </w:r>
    </w:p>
    <w:p w:rsidR="0066205A" w:rsidRPr="009F103E" w:rsidRDefault="0066205A" w:rsidP="0066205A">
      <w:pPr>
        <w:spacing w:line="240" w:lineRule="auto"/>
        <w:jc w:val="both"/>
        <w:rPr>
          <w:rFonts w:ascii="Times New Roman" w:hAnsi="Times New Roman" w:cs="Times New Roman"/>
          <w:sz w:val="24"/>
          <w:szCs w:val="24"/>
        </w:rPr>
      </w:pPr>
      <w:r w:rsidRPr="009F103E">
        <w:rPr>
          <w:rFonts w:ascii="Times New Roman" w:hAnsi="Times New Roman" w:cs="Times New Roman"/>
          <w:sz w:val="24"/>
          <w:szCs w:val="24"/>
        </w:rPr>
        <w:t xml:space="preserve">Como respuesta a estas críticas, la Comisión propone constituir un «fondo de compensación» para los agricultores europeos, algo que solo puede entenderse como una provocación. Un «cheque de compensación» no resuelve ninguno de los problemas de este acuerdo: problemas denunciados desde nuestros sectores y también por gran parte de la opinión pública europea, incluidos los representantes de los consumidores, los sindicatos y las organizaciones medioambientales. Todos ellos señalan la necesidad de alcanzar una verdadera reciprocidad para las normas de producción y de sensibilizar sobre el riesgo que puedan conllevar, ya que pueden llegar a favorecer la degradación medioambiental y la pérdida de la biodiversidad en los países en cuestión. </w:t>
      </w:r>
    </w:p>
    <w:p w:rsidR="0066205A" w:rsidRPr="009F103E" w:rsidRDefault="0066205A" w:rsidP="0066205A">
      <w:pPr>
        <w:spacing w:line="240" w:lineRule="auto"/>
        <w:jc w:val="both"/>
        <w:rPr>
          <w:rFonts w:ascii="Times New Roman" w:hAnsi="Times New Roman" w:cs="Times New Roman"/>
          <w:sz w:val="24"/>
          <w:szCs w:val="24"/>
        </w:rPr>
      </w:pPr>
      <w:r w:rsidRPr="009F103E">
        <w:rPr>
          <w:rFonts w:ascii="Times New Roman" w:hAnsi="Times New Roman" w:cs="Times New Roman"/>
          <w:sz w:val="24"/>
          <w:szCs w:val="24"/>
        </w:rPr>
        <w:lastRenderedPageBreak/>
        <w:t>En conclusión, en lugar de entorpecer el debate con este tipo de propuestas, la Comisión debería tomarse en serio las conclusiones acerca del comercio de productos agroalimentarios, que emanan del informe del diálogo estratégico sobre el futuro de la agricultura de la UE. En ellas se destaca la importancia de que la comisión «emprenda una revisión exhaustiva de sus estrategias de negociación», así como la necesidad de que se logre un mayor nivel de reciprocidad. Cualquier otro enfoque pondría en jaque a nuestros sectores, ya debilitados por culpa del complejo contexto climático y económico, y podría acabar reavivando las tensiones expresadas desde el sector agrario</w:t>
      </w:r>
      <w:r>
        <w:rPr>
          <w:rFonts w:ascii="Times New Roman" w:hAnsi="Times New Roman" w:cs="Times New Roman"/>
          <w:sz w:val="24"/>
          <w:szCs w:val="24"/>
        </w:rPr>
        <w:t xml:space="preserve"> europeo a principios de 2024. </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vanish/>
          <w:color w:val="auto"/>
          <w:sz w:val="24"/>
          <w:szCs w:val="24"/>
        </w:rPr>
        <w:t>Top of Form</w:t>
      </w:r>
      <w:r w:rsidRPr="009F103E">
        <w:rPr>
          <w:rFonts w:ascii="Times New Roman" w:hAnsi="Times New Roman" w:cs="Times New Roman"/>
          <w:color w:val="auto"/>
          <w:sz w:val="24"/>
          <w:szCs w:val="24"/>
        </w:rPr>
        <w:t>En nombre de las organizaciones que figuran a continuación:</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AVEC</w:t>
      </w:r>
      <w:r w:rsidRPr="009F103E">
        <w:rPr>
          <w:rFonts w:ascii="Times New Roman" w:hAnsi="Times New Roman" w:cs="Times New Roman"/>
          <w:color w:val="auto"/>
          <w:sz w:val="24"/>
          <w:szCs w:val="24"/>
        </w:rPr>
        <w:t>: Asociación de transformadores y comercio avícolas para los países de la UE</w:t>
      </w:r>
      <w:r w:rsidRPr="009F103E">
        <w:rPr>
          <w:rFonts w:ascii="Times New Roman" w:hAnsi="Times New Roman" w:cs="Times New Roman"/>
          <w:color w:val="auto"/>
          <w:sz w:val="24"/>
          <w:szCs w:val="24"/>
        </w:rPr>
        <w:tab/>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CEFS</w:t>
      </w:r>
      <w:r w:rsidRPr="009F103E">
        <w:rPr>
          <w:rFonts w:ascii="Times New Roman" w:hAnsi="Times New Roman" w:cs="Times New Roman"/>
          <w:color w:val="auto"/>
          <w:sz w:val="24"/>
          <w:szCs w:val="24"/>
        </w:rPr>
        <w:t>: Asociación europea de fabricantes de azúcar</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CEPM</w:t>
      </w:r>
      <w:r w:rsidRPr="009F103E">
        <w:rPr>
          <w:rFonts w:ascii="Times New Roman" w:hAnsi="Times New Roman" w:cs="Times New Roman"/>
          <w:color w:val="auto"/>
          <w:sz w:val="24"/>
          <w:szCs w:val="24"/>
        </w:rPr>
        <w:t>: Confederación europea de productores de maíz</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CIBE</w:t>
      </w:r>
      <w:r w:rsidRPr="009F103E">
        <w:rPr>
          <w:rFonts w:ascii="Times New Roman" w:hAnsi="Times New Roman" w:cs="Times New Roman"/>
          <w:color w:val="auto"/>
          <w:sz w:val="24"/>
          <w:szCs w:val="24"/>
        </w:rPr>
        <w:t>: Confederación internacional de cultivadores de remolacha europeos</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COPA-COGECA</w:t>
      </w:r>
      <w:r w:rsidRPr="009F103E">
        <w:rPr>
          <w:rFonts w:ascii="Times New Roman" w:hAnsi="Times New Roman" w:cs="Times New Roman"/>
          <w:color w:val="auto"/>
          <w:sz w:val="24"/>
          <w:szCs w:val="24"/>
        </w:rPr>
        <w:t>: la voz unida de los agricultores y sus cooperativas en la Unión Europea</w:t>
      </w:r>
    </w:p>
    <w:p w:rsidR="0066205A" w:rsidRPr="009F103E" w:rsidRDefault="0066205A" w:rsidP="0066205A">
      <w:pPr>
        <w:pStyle w:val="CCDocBody"/>
        <w:spacing w:line="240" w:lineRule="auto"/>
        <w:rPr>
          <w:rFonts w:ascii="Times New Roman" w:hAnsi="Times New Roman" w:cs="Times New Roman"/>
          <w:color w:val="auto"/>
          <w:sz w:val="24"/>
          <w:szCs w:val="24"/>
        </w:rPr>
      </w:pPr>
      <w:r w:rsidRPr="009F103E">
        <w:rPr>
          <w:rFonts w:ascii="Times New Roman" w:hAnsi="Times New Roman" w:cs="Times New Roman"/>
          <w:bCs/>
          <w:color w:val="auto"/>
          <w:sz w:val="24"/>
          <w:szCs w:val="24"/>
        </w:rPr>
        <w:t>EUWEP</w:t>
      </w:r>
      <w:r w:rsidRPr="009F103E">
        <w:rPr>
          <w:rFonts w:ascii="Times New Roman" w:hAnsi="Times New Roman" w:cs="Times New Roman"/>
          <w:color w:val="auto"/>
          <w:sz w:val="24"/>
          <w:szCs w:val="24"/>
        </w:rPr>
        <w:t>: Unión europea de mayoristas de huevos, ovoproductos, aves de corral y animales de caza</w:t>
      </w:r>
    </w:p>
    <w:p w:rsidR="0066205A" w:rsidRPr="00370318" w:rsidRDefault="0066205A" w:rsidP="0066205A">
      <w:pPr>
        <w:spacing w:line="240" w:lineRule="auto"/>
        <w:jc w:val="both"/>
        <w:rPr>
          <w:rStyle w:val="CCType"/>
          <w:rFonts w:ascii="Times New Roman" w:hAnsi="Times New Roman" w:cs="Times New Roman"/>
          <w:b w:val="0"/>
          <w:sz w:val="24"/>
          <w:szCs w:val="24"/>
        </w:rPr>
      </w:pPr>
      <w:r w:rsidRPr="00370318">
        <w:rPr>
          <w:rStyle w:val="CCType"/>
          <w:rFonts w:ascii="Times New Roman" w:hAnsi="Times New Roman" w:cs="Times New Roman"/>
          <w:sz w:val="24"/>
          <w:szCs w:val="24"/>
        </w:rPr>
        <w:t>Comunicado</w:t>
      </w:r>
      <w:r>
        <w:rPr>
          <w:rStyle w:val="CCType"/>
          <w:rFonts w:ascii="Times New Roman" w:hAnsi="Times New Roman" w:cs="Times New Roman"/>
          <w:sz w:val="24"/>
          <w:szCs w:val="24"/>
        </w:rPr>
        <w:t xml:space="preserve"> de Prensa (Bruselas - </w:t>
      </w:r>
      <w:r w:rsidRPr="00370318">
        <w:rPr>
          <w:rStyle w:val="CCType"/>
          <w:rFonts w:ascii="Times New Roman" w:hAnsi="Times New Roman" w:cs="Times New Roman"/>
          <w:sz w:val="24"/>
          <w:szCs w:val="24"/>
        </w:rPr>
        <w:t>29 de noviembre de 2024</w:t>
      </w:r>
      <w:r>
        <w:rPr>
          <w:rStyle w:val="CCType"/>
          <w:rFonts w:ascii="Times New Roman" w:hAnsi="Times New Roman" w:cs="Times New Roman"/>
          <w:sz w:val="24"/>
          <w:szCs w:val="24"/>
        </w:rPr>
        <w:t>)</w:t>
      </w:r>
    </w:p>
    <w:p w:rsidR="0066205A" w:rsidRPr="00370318" w:rsidRDefault="0066205A" w:rsidP="0066205A">
      <w:pPr>
        <w:spacing w:line="240" w:lineRule="auto"/>
        <w:jc w:val="both"/>
        <w:rPr>
          <w:rStyle w:val="CCSubtitle"/>
          <w:rFonts w:ascii="Times New Roman" w:hAnsi="Times New Roman" w:cs="Times New Roman"/>
          <w:b w:val="0"/>
          <w:sz w:val="24"/>
          <w:szCs w:val="24"/>
        </w:rPr>
      </w:pPr>
      <w:r w:rsidRPr="00370318">
        <w:rPr>
          <w:rFonts w:ascii="Times New Roman" w:hAnsi="Times New Roman" w:cs="Times New Roman"/>
          <w:sz w:val="24"/>
          <w:szCs w:val="24"/>
        </w:rPr>
        <w:t xml:space="preserve">Los </w:t>
      </w:r>
      <w:proofErr w:type="spellStart"/>
      <w:r w:rsidRPr="00370318">
        <w:rPr>
          <w:rFonts w:ascii="Times New Roman" w:hAnsi="Times New Roman" w:cs="Times New Roman"/>
          <w:sz w:val="24"/>
          <w:szCs w:val="24"/>
        </w:rPr>
        <w:t>Praesidia</w:t>
      </w:r>
      <w:proofErr w:type="spellEnd"/>
      <w:r w:rsidRPr="00370318">
        <w:rPr>
          <w:rFonts w:ascii="Times New Roman" w:hAnsi="Times New Roman" w:cs="Times New Roman"/>
          <w:sz w:val="24"/>
          <w:szCs w:val="24"/>
        </w:rPr>
        <w:t xml:space="preserve"> del Copa y de la </w:t>
      </w:r>
      <w:proofErr w:type="spellStart"/>
      <w:r w:rsidRPr="00370318">
        <w:rPr>
          <w:rFonts w:ascii="Times New Roman" w:hAnsi="Times New Roman" w:cs="Times New Roman"/>
          <w:sz w:val="24"/>
          <w:szCs w:val="24"/>
        </w:rPr>
        <w:t>Cogeca</w:t>
      </w:r>
      <w:proofErr w:type="spellEnd"/>
      <w:r w:rsidRPr="00370318">
        <w:rPr>
          <w:rFonts w:ascii="Times New Roman" w:hAnsi="Times New Roman" w:cs="Times New Roman"/>
          <w:sz w:val="24"/>
          <w:szCs w:val="24"/>
        </w:rPr>
        <w:t xml:space="preserve"> corroboran una creciente tensión y oposición al acuerdo comercial entre la UE y el Mercosur</w:t>
      </w:r>
    </w:p>
    <w:p w:rsidR="0066205A" w:rsidRPr="00370318" w:rsidRDefault="0066205A" w:rsidP="0066205A">
      <w:pPr>
        <w:spacing w:line="240" w:lineRule="auto"/>
        <w:jc w:val="both"/>
        <w:rPr>
          <w:rStyle w:val="CCNormal"/>
          <w:rFonts w:ascii="Times New Roman" w:eastAsiaTheme="majorEastAsia" w:hAnsi="Times New Roman" w:cs="Times New Roman"/>
          <w:sz w:val="24"/>
          <w:szCs w:val="24"/>
        </w:rPr>
      </w:pPr>
      <w:r w:rsidRPr="00370318">
        <w:rPr>
          <w:rFonts w:ascii="Times New Roman" w:hAnsi="Times New Roman" w:cs="Times New Roman"/>
          <w:sz w:val="24"/>
          <w:szCs w:val="24"/>
        </w:rPr>
        <w:t xml:space="preserve">Mientras siguen en marcha y en pleno impulso las negociaciones del tratado comercial entre la UE y el Mercosur, el Copa y la </w:t>
      </w:r>
      <w:proofErr w:type="spellStart"/>
      <w:r w:rsidRPr="00370318">
        <w:rPr>
          <w:rFonts w:ascii="Times New Roman" w:hAnsi="Times New Roman" w:cs="Times New Roman"/>
          <w:sz w:val="24"/>
          <w:szCs w:val="24"/>
        </w:rPr>
        <w:t>Cogeca</w:t>
      </w:r>
      <w:proofErr w:type="spellEnd"/>
      <w:r w:rsidRPr="00370318">
        <w:rPr>
          <w:rFonts w:ascii="Times New Roman" w:hAnsi="Times New Roman" w:cs="Times New Roman"/>
          <w:sz w:val="24"/>
          <w:szCs w:val="24"/>
        </w:rPr>
        <w:t xml:space="preserve"> celebraron las reuniones de sus </w:t>
      </w:r>
      <w:proofErr w:type="spellStart"/>
      <w:r w:rsidRPr="00370318">
        <w:rPr>
          <w:rFonts w:ascii="Times New Roman" w:hAnsi="Times New Roman" w:cs="Times New Roman"/>
          <w:sz w:val="24"/>
          <w:szCs w:val="24"/>
        </w:rPr>
        <w:t>Praesidia</w:t>
      </w:r>
      <w:proofErr w:type="spellEnd"/>
      <w:r w:rsidRPr="00370318">
        <w:rPr>
          <w:rFonts w:ascii="Times New Roman" w:hAnsi="Times New Roman" w:cs="Times New Roman"/>
          <w:sz w:val="24"/>
          <w:szCs w:val="24"/>
        </w:rPr>
        <w:t xml:space="preserve"> el jueves y el viernes en Bruselas. El comisario electo de Agricultura y Alimentación, </w:t>
      </w:r>
      <w:proofErr w:type="spellStart"/>
      <w:r w:rsidRPr="00370318">
        <w:rPr>
          <w:rFonts w:ascii="Times New Roman" w:hAnsi="Times New Roman" w:cs="Times New Roman"/>
          <w:sz w:val="24"/>
          <w:szCs w:val="24"/>
        </w:rPr>
        <w:t>Christophe</w:t>
      </w:r>
      <w:proofErr w:type="spellEnd"/>
      <w:r w:rsidRPr="00370318">
        <w:rPr>
          <w:rFonts w:ascii="Times New Roman" w:hAnsi="Times New Roman" w:cs="Times New Roman"/>
          <w:sz w:val="24"/>
          <w:szCs w:val="24"/>
        </w:rPr>
        <w:t xml:space="preserve"> </w:t>
      </w:r>
      <w:proofErr w:type="spellStart"/>
      <w:r w:rsidRPr="00370318">
        <w:rPr>
          <w:rFonts w:ascii="Times New Roman" w:hAnsi="Times New Roman" w:cs="Times New Roman"/>
          <w:sz w:val="24"/>
          <w:szCs w:val="24"/>
        </w:rPr>
        <w:t>Hansen</w:t>
      </w:r>
      <w:proofErr w:type="spellEnd"/>
      <w:r w:rsidRPr="00370318">
        <w:rPr>
          <w:rFonts w:ascii="Times New Roman" w:hAnsi="Times New Roman" w:cs="Times New Roman"/>
          <w:sz w:val="24"/>
          <w:szCs w:val="24"/>
        </w:rPr>
        <w:t>, que asistió en persona a la casa europea de los agricultores y las cooperativas agrarias, pudo escuchar de primera mano que se vive una tensión generalizada en el sector, cuya oposición a las negociaciones actuales es, además, unánime.</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 xml:space="preserve">La firma de un tratado comercial con los países del Mercosur durante el inicio del mandato de la nueva Comisión sería un gran varapalo para el sector agropecuario de la UE.  Esta decisión también sería totalmente disonante con respecto a la primacía del diálogo que viene defendiendo la presidenta </w:t>
      </w:r>
      <w:proofErr w:type="spellStart"/>
      <w:r w:rsidRPr="00370318">
        <w:rPr>
          <w:rStyle w:val="CCNormal"/>
          <w:rFonts w:ascii="Times New Roman" w:hAnsi="Times New Roman" w:cs="Times New Roman"/>
          <w:sz w:val="24"/>
          <w:szCs w:val="24"/>
        </w:rPr>
        <w:t>Ursula</w:t>
      </w:r>
      <w:proofErr w:type="spellEnd"/>
      <w:r w:rsidRPr="00370318">
        <w:rPr>
          <w:rStyle w:val="CCNormal"/>
          <w:rFonts w:ascii="Times New Roman" w:hAnsi="Times New Roman" w:cs="Times New Roman"/>
          <w:sz w:val="24"/>
          <w:szCs w:val="24"/>
        </w:rPr>
        <w:t xml:space="preserve"> von </w:t>
      </w:r>
      <w:proofErr w:type="spellStart"/>
      <w:r w:rsidRPr="00370318">
        <w:rPr>
          <w:rStyle w:val="CCNormal"/>
          <w:rFonts w:ascii="Times New Roman" w:hAnsi="Times New Roman" w:cs="Times New Roman"/>
          <w:sz w:val="24"/>
          <w:szCs w:val="24"/>
        </w:rPr>
        <w:t>der</w:t>
      </w:r>
      <w:proofErr w:type="spellEnd"/>
      <w:r w:rsidRPr="00370318">
        <w:rPr>
          <w:rStyle w:val="CCNormal"/>
          <w:rFonts w:ascii="Times New Roman" w:hAnsi="Times New Roman" w:cs="Times New Roman"/>
          <w:sz w:val="24"/>
          <w:szCs w:val="24"/>
        </w:rPr>
        <w:t xml:space="preserve"> </w:t>
      </w:r>
      <w:proofErr w:type="spellStart"/>
      <w:r w:rsidRPr="00370318">
        <w:rPr>
          <w:rStyle w:val="CCNormal"/>
          <w:rFonts w:ascii="Times New Roman" w:hAnsi="Times New Roman" w:cs="Times New Roman"/>
          <w:sz w:val="24"/>
          <w:szCs w:val="24"/>
        </w:rPr>
        <w:t>Leyen</w:t>
      </w:r>
      <w:proofErr w:type="spellEnd"/>
      <w:r w:rsidRPr="00370318">
        <w:rPr>
          <w:rStyle w:val="CCNormal"/>
          <w:rFonts w:ascii="Times New Roman" w:hAnsi="Times New Roman" w:cs="Times New Roman"/>
          <w:sz w:val="24"/>
          <w:szCs w:val="24"/>
        </w:rPr>
        <w:t xml:space="preserve"> en su planteamiento político. </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 xml:space="preserve">Durante las mencionadas reuniones, los representantes del sector agropecuario de toda la Unión Europea expresaron alto y claro su gran preocupación por este acuerdo, ya que la sección referente al sector agropecuario presenta un claro desequilibrio económico, además de una divergencia de normas nada equitativa y, en suma, supone una amenaza transcendental para el modelo agropecuario europeo, debido a los efectos acumulativos de los demás tratados comerciales. Los agricultores, los ganaderos y las cooperativas de la UE garantizan desde siempre el cumplimiento de las normas de seguridad e inocuidad que protegen a 500 millones de consumidores. Razón por la cual, en su versión actual, ningún mecanismo de compensación ni de emergencia puede hacer que este acuerdo sea aceptable. </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lastRenderedPageBreak/>
        <w:t xml:space="preserve">Además de la actual preocupación de los agricultores y ganaderos de la UE por las exiguas cosechas en numerosos Estados miembros, es imposible ignorar que nuestros productores tendrán que realizar importantes  esfuerzos para avanzar en nuestras relaciones comerciales con Ucrania y afrontar las tensiones comerciales con China en la actualidad.  </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 xml:space="preserve">Como bien recalcamos en la </w:t>
      </w:r>
      <w:hyperlink r:id="rId72" w:history="1">
        <w:r w:rsidRPr="002A0E12">
          <w:rPr>
            <w:rStyle w:val="Hipervnculo"/>
            <w:rFonts w:ascii="Times New Roman" w:hAnsi="Times New Roman" w:cs="Times New Roman"/>
            <w:color w:val="auto"/>
            <w:sz w:val="24"/>
            <w:szCs w:val="24"/>
          </w:rPr>
          <w:t>carta abierta</w:t>
        </w:r>
      </w:hyperlink>
      <w:r w:rsidRPr="00370318">
        <w:rPr>
          <w:rStyle w:val="CCNormal"/>
          <w:rFonts w:ascii="Times New Roman" w:hAnsi="Times New Roman" w:cs="Times New Roman"/>
          <w:sz w:val="24"/>
          <w:szCs w:val="24"/>
        </w:rPr>
        <w:t xml:space="preserve"> dirigida a la presidenta von </w:t>
      </w:r>
      <w:proofErr w:type="spellStart"/>
      <w:r w:rsidRPr="00370318">
        <w:rPr>
          <w:rStyle w:val="CCNormal"/>
          <w:rFonts w:ascii="Times New Roman" w:hAnsi="Times New Roman" w:cs="Times New Roman"/>
          <w:sz w:val="24"/>
          <w:szCs w:val="24"/>
        </w:rPr>
        <w:t>der</w:t>
      </w:r>
      <w:proofErr w:type="spellEnd"/>
      <w:r w:rsidRPr="00370318">
        <w:rPr>
          <w:rStyle w:val="CCNormal"/>
          <w:rFonts w:ascii="Times New Roman" w:hAnsi="Times New Roman" w:cs="Times New Roman"/>
          <w:sz w:val="24"/>
          <w:szCs w:val="24"/>
        </w:rPr>
        <w:t xml:space="preserve"> </w:t>
      </w:r>
      <w:proofErr w:type="spellStart"/>
      <w:r w:rsidRPr="00370318">
        <w:rPr>
          <w:rStyle w:val="CCNormal"/>
          <w:rFonts w:ascii="Times New Roman" w:hAnsi="Times New Roman" w:cs="Times New Roman"/>
          <w:sz w:val="24"/>
          <w:szCs w:val="24"/>
        </w:rPr>
        <w:t>Leyen</w:t>
      </w:r>
      <w:proofErr w:type="spellEnd"/>
      <w:r w:rsidRPr="00370318">
        <w:rPr>
          <w:rStyle w:val="CCNormal"/>
          <w:rFonts w:ascii="Times New Roman" w:hAnsi="Times New Roman" w:cs="Times New Roman"/>
          <w:sz w:val="24"/>
          <w:szCs w:val="24"/>
        </w:rPr>
        <w:t xml:space="preserve"> y a los jefes de Estado, los agricultores, los ganaderos y las cooperativas agrarias nunca respaldarán un acuerdo comercial desequilibrado y perjudicial para el medio ambiente. Las iniciativas y manifestaciones que se están multiplicando por toda Europa no harán más que intensificarse. </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 xml:space="preserve">El 9 de diciembre, los presidentes del Copa y de la </w:t>
      </w:r>
      <w:proofErr w:type="spellStart"/>
      <w:r w:rsidRPr="00370318">
        <w:rPr>
          <w:rStyle w:val="CCNormal"/>
          <w:rFonts w:ascii="Times New Roman" w:hAnsi="Times New Roman" w:cs="Times New Roman"/>
          <w:sz w:val="24"/>
          <w:szCs w:val="24"/>
        </w:rPr>
        <w:t>Cogeca</w:t>
      </w:r>
      <w:proofErr w:type="spellEnd"/>
      <w:r w:rsidRPr="00370318">
        <w:rPr>
          <w:rStyle w:val="CCNormal"/>
          <w:rFonts w:ascii="Times New Roman" w:hAnsi="Times New Roman" w:cs="Times New Roman"/>
          <w:sz w:val="24"/>
          <w:szCs w:val="24"/>
        </w:rPr>
        <w:t>, junto a los demás miembros de la Presidencia, se darán cita en Bruselas para reunirse con la Presidencia del Consejo de la UE y los ministros de Agricultura, con el fin de hacer oír alto y claro la oposición del sector agropecuario.</w:t>
      </w:r>
    </w:p>
    <w:p w:rsidR="0066205A" w:rsidRPr="00370318" w:rsidRDefault="0066205A" w:rsidP="0066205A">
      <w:pPr>
        <w:spacing w:line="240" w:lineRule="auto"/>
        <w:jc w:val="both"/>
        <w:rPr>
          <w:rFonts w:ascii="Times New Roman" w:hAnsi="Times New Roman" w:cs="Times New Roman"/>
          <w:sz w:val="24"/>
          <w:szCs w:val="24"/>
        </w:rPr>
      </w:pPr>
      <w:r w:rsidRPr="00370318">
        <w:rPr>
          <w:rStyle w:val="CCNormal"/>
          <w:rFonts w:ascii="Times New Roman" w:hAnsi="Times New Roman" w:cs="Times New Roman"/>
          <w:sz w:val="24"/>
          <w:szCs w:val="24"/>
        </w:rPr>
        <w:t xml:space="preserve">El jueves pasado, a unos pocos días de entrar en funciones, el futuro comisario </w:t>
      </w:r>
      <w:proofErr w:type="spellStart"/>
      <w:r w:rsidRPr="00370318">
        <w:rPr>
          <w:rStyle w:val="CCNormal"/>
          <w:rFonts w:ascii="Times New Roman" w:hAnsi="Times New Roman" w:cs="Times New Roman"/>
          <w:sz w:val="24"/>
          <w:szCs w:val="24"/>
        </w:rPr>
        <w:t>Christophe</w:t>
      </w:r>
      <w:proofErr w:type="spellEnd"/>
      <w:r w:rsidRPr="00370318">
        <w:rPr>
          <w:rStyle w:val="CCNormal"/>
          <w:rFonts w:ascii="Times New Roman" w:hAnsi="Times New Roman" w:cs="Times New Roman"/>
          <w:sz w:val="24"/>
          <w:szCs w:val="24"/>
        </w:rPr>
        <w:t xml:space="preserve"> </w:t>
      </w:r>
      <w:proofErr w:type="spellStart"/>
      <w:r w:rsidRPr="00370318">
        <w:rPr>
          <w:rStyle w:val="CCNormal"/>
          <w:rFonts w:ascii="Times New Roman" w:hAnsi="Times New Roman" w:cs="Times New Roman"/>
          <w:sz w:val="24"/>
          <w:szCs w:val="24"/>
        </w:rPr>
        <w:t>Hansen</w:t>
      </w:r>
      <w:proofErr w:type="spellEnd"/>
      <w:r w:rsidRPr="00370318">
        <w:rPr>
          <w:rStyle w:val="CCNormal"/>
          <w:rFonts w:ascii="Times New Roman" w:hAnsi="Times New Roman" w:cs="Times New Roman"/>
          <w:sz w:val="24"/>
          <w:szCs w:val="24"/>
        </w:rPr>
        <w:t xml:space="preserve"> mantuvo un debate con los representantes del Copa y de la </w:t>
      </w:r>
      <w:proofErr w:type="spellStart"/>
      <w:r w:rsidRPr="00370318">
        <w:rPr>
          <w:rStyle w:val="CCNormal"/>
          <w:rFonts w:ascii="Times New Roman" w:hAnsi="Times New Roman" w:cs="Times New Roman"/>
          <w:sz w:val="24"/>
          <w:szCs w:val="24"/>
        </w:rPr>
        <w:t>Cogeca</w:t>
      </w:r>
      <w:proofErr w:type="spellEnd"/>
      <w:r w:rsidRPr="00370318">
        <w:rPr>
          <w:rStyle w:val="CCNormal"/>
          <w:rFonts w:ascii="Times New Roman" w:hAnsi="Times New Roman" w:cs="Times New Roman"/>
          <w:sz w:val="24"/>
          <w:szCs w:val="24"/>
        </w:rPr>
        <w:t xml:space="preserve"> acerca de este asunto trascendental y escuchó las expectativas de la comunidad agropecuaria respecto a la «Visión para el futuro de la agricultura y la alimentación» que la Comisión se ha comprometido a elaborar en los cien primeros días de su mandato. El Copa y la </w:t>
      </w:r>
      <w:proofErr w:type="spellStart"/>
      <w:r w:rsidRPr="00370318">
        <w:rPr>
          <w:rStyle w:val="CCNormal"/>
          <w:rFonts w:ascii="Times New Roman" w:hAnsi="Times New Roman" w:cs="Times New Roman"/>
          <w:sz w:val="24"/>
          <w:szCs w:val="24"/>
        </w:rPr>
        <w:t>Cogeca</w:t>
      </w:r>
      <w:proofErr w:type="spellEnd"/>
      <w:r w:rsidRPr="00370318">
        <w:rPr>
          <w:rStyle w:val="CCNormal"/>
          <w:rFonts w:ascii="Times New Roman" w:hAnsi="Times New Roman" w:cs="Times New Roman"/>
          <w:sz w:val="24"/>
          <w:szCs w:val="24"/>
        </w:rPr>
        <w:t xml:space="preserve"> se implicarán de lleno en esta iniciativa decisiva para aportar perspectivas de futuro y previsibilidad al sector; para ello, presentarán sus propias propuestas en las próximas semanas.</w:t>
      </w:r>
    </w:p>
    <w:p w:rsidR="0066205A" w:rsidRPr="00370318" w:rsidRDefault="0066205A" w:rsidP="0066205A">
      <w:pPr>
        <w:spacing w:line="240" w:lineRule="auto"/>
        <w:jc w:val="both"/>
        <w:rPr>
          <w:rStyle w:val="CCType"/>
          <w:rFonts w:ascii="Times New Roman" w:hAnsi="Times New Roman" w:cs="Times New Roman"/>
          <w:b w:val="0"/>
          <w:sz w:val="24"/>
          <w:szCs w:val="24"/>
        </w:rPr>
      </w:pPr>
      <w:r w:rsidRPr="00370318">
        <w:rPr>
          <w:rStyle w:val="CCType"/>
          <w:rFonts w:ascii="Times New Roman" w:hAnsi="Times New Roman" w:cs="Times New Roman"/>
          <w:sz w:val="24"/>
          <w:szCs w:val="24"/>
        </w:rPr>
        <w:t>Comunicado de prensa</w:t>
      </w:r>
      <w:r>
        <w:rPr>
          <w:rStyle w:val="CCType"/>
          <w:rFonts w:ascii="Times New Roman" w:hAnsi="Times New Roman" w:cs="Times New Roman"/>
          <w:sz w:val="24"/>
          <w:szCs w:val="24"/>
        </w:rPr>
        <w:t xml:space="preserve"> (Bruselas - </w:t>
      </w:r>
      <w:r w:rsidRPr="00370318">
        <w:rPr>
          <w:rStyle w:val="CCType"/>
          <w:rFonts w:ascii="Times New Roman" w:hAnsi="Times New Roman" w:cs="Times New Roman"/>
          <w:sz w:val="24"/>
          <w:szCs w:val="24"/>
        </w:rPr>
        <w:t>6 de diciembre de 2024</w:t>
      </w:r>
      <w:r>
        <w:rPr>
          <w:rStyle w:val="CCType"/>
          <w:rFonts w:ascii="Times New Roman" w:hAnsi="Times New Roman" w:cs="Times New Roman"/>
          <w:sz w:val="24"/>
          <w:szCs w:val="24"/>
        </w:rPr>
        <w:t>)</w:t>
      </w:r>
    </w:p>
    <w:p w:rsidR="0066205A" w:rsidRPr="00370318" w:rsidRDefault="0066205A" w:rsidP="0066205A">
      <w:pPr>
        <w:spacing w:line="240" w:lineRule="auto"/>
        <w:jc w:val="both"/>
        <w:rPr>
          <w:rStyle w:val="CCType"/>
          <w:rFonts w:ascii="Times New Roman" w:hAnsi="Times New Roman" w:cs="Times New Roman"/>
          <w:b w:val="0"/>
          <w:sz w:val="24"/>
          <w:szCs w:val="24"/>
        </w:rPr>
      </w:pPr>
      <w:r w:rsidRPr="00370318">
        <w:rPr>
          <w:rStyle w:val="CCType"/>
          <w:rFonts w:ascii="Times New Roman" w:hAnsi="Times New Roman" w:cs="Times New Roman"/>
          <w:sz w:val="24"/>
          <w:szCs w:val="24"/>
        </w:rPr>
        <w:t>La comunidad agropecuaria de la UE se niega a pagar la factura del tratado comercial entre la UE y el Mercosur</w:t>
      </w:r>
    </w:p>
    <w:p w:rsidR="0066205A" w:rsidRPr="00370318" w:rsidRDefault="0066205A" w:rsidP="0066205A">
      <w:pPr>
        <w:spacing w:line="240" w:lineRule="auto"/>
        <w:jc w:val="both"/>
        <w:rPr>
          <w:rFonts w:ascii="Times New Roman" w:hAnsi="Times New Roman" w:cs="Times New Roman"/>
          <w:sz w:val="24"/>
          <w:szCs w:val="24"/>
        </w:rPr>
      </w:pPr>
      <w:r w:rsidRPr="00370318">
        <w:rPr>
          <w:rStyle w:val="CCSubtitle"/>
          <w:rFonts w:ascii="Times New Roman" w:hAnsi="Times New Roman" w:cs="Times New Roman"/>
          <w:sz w:val="24"/>
          <w:szCs w:val="24"/>
        </w:rPr>
        <w:t xml:space="preserve">Los temores de la comunidad agropecuaria se han cumplido hoy, pues la Comisión Europea, en nombre de la UE, y los funcionarios representantes del Mercosur han cerrado un nuevo acuerdo respecto al tratado comercial bilateral que une a ambos bloques. Si los Estados miembro y el Parlamento Europeo lo validan, este acuerdo acarreará consecuencias de gran calado para la comunidad agropecuaria de toda Europa, además de perjudicar a los 450 millones de consumidores de la Unión Europea. El Copa y la </w:t>
      </w:r>
      <w:proofErr w:type="spellStart"/>
      <w:r w:rsidRPr="00370318">
        <w:rPr>
          <w:rStyle w:val="CCSubtitle"/>
          <w:rFonts w:ascii="Times New Roman" w:hAnsi="Times New Roman" w:cs="Times New Roman"/>
          <w:sz w:val="24"/>
          <w:szCs w:val="24"/>
        </w:rPr>
        <w:t>Cogeca</w:t>
      </w:r>
      <w:proofErr w:type="spellEnd"/>
      <w:r w:rsidRPr="00370318">
        <w:rPr>
          <w:rStyle w:val="CCSubtitle"/>
          <w:rFonts w:ascii="Times New Roman" w:hAnsi="Times New Roman" w:cs="Times New Roman"/>
          <w:sz w:val="24"/>
          <w:szCs w:val="24"/>
        </w:rPr>
        <w:t xml:space="preserve"> anunciamos un acto simbólico en Bruselas el lunes.</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Hace años que venimos manifestando nuestra categórica oposición a este acuerdo comercial desfasado y problemático. Entendemos que es necesario que la UE afiance sus relaciones comerciales en el contexto geopolítico actual, pero no a cualquier coste. El sector agropecuario de la UE es todavía especialmente vulnerable a las concesiones realizadas en el desequilibrado capítulo referente a la agricultura. Los sectores sensibles como el de la carne de vacuno, la carne de ave de corral, el azúcar, el etanol y el arroz se enfrentan a un riesgo considerable de sufrir una saturación del mercado y pérdidas de ingresos debido a la afluencia de productos a bajo coste procedentes de los países del Mercosur. Este tratado comercial agravará la presión económica que ya soportan numerosos agricultores y ganaderos que lidian constantemente con los elevados precios de los insumos y las difíciles condiciones climáticas.</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La realidad es sobrecogedora: los países del Mercosur no han de cumplir con las normas de producción que se exigen a la agricultura de la UE, ya sea en lo relativo a los productos fitosanitarios, al bienestar animal o a las prácticas sostenibles. Los países del Mercosur cumplen con normas laborales y de seguridad</w:t>
      </w:r>
      <w:r>
        <w:rPr>
          <w:rStyle w:val="CCNormal"/>
          <w:rFonts w:ascii="Times New Roman" w:hAnsi="Times New Roman" w:cs="Times New Roman"/>
          <w:sz w:val="24"/>
          <w:szCs w:val="24"/>
        </w:rPr>
        <w:t>,</w:t>
      </w:r>
      <w:r w:rsidRPr="00370318">
        <w:rPr>
          <w:rStyle w:val="CCNormal"/>
          <w:rFonts w:ascii="Times New Roman" w:hAnsi="Times New Roman" w:cs="Times New Roman"/>
          <w:sz w:val="24"/>
          <w:szCs w:val="24"/>
        </w:rPr>
        <w:t xml:space="preserve"> más laxas, por lo que pueden producir a un </w:t>
      </w:r>
      <w:r w:rsidRPr="00370318">
        <w:rPr>
          <w:rStyle w:val="CCNormal"/>
          <w:rFonts w:ascii="Times New Roman" w:hAnsi="Times New Roman" w:cs="Times New Roman"/>
          <w:sz w:val="24"/>
          <w:szCs w:val="24"/>
        </w:rPr>
        <w:lastRenderedPageBreak/>
        <w:t>menor coste, lo que genera una competencia desleal con respecto a los productores de la UE. La Comisión Europea actúa de forma incoherente. En la legislatura anterior, la Comisión multiplicó las restricciones y normativas aplicables a nuestros productores y ahora, apenas iniciado su segundo mandato, da prioridad a este acuerdo injusto.</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Style w:val="CCNormal"/>
          <w:rFonts w:ascii="Times New Roman" w:hAnsi="Times New Roman" w:cs="Times New Roman"/>
          <w:sz w:val="24"/>
          <w:szCs w:val="24"/>
        </w:rPr>
        <w:t>El protocolo adicional en materia de sostenibilidad, que se les remitió a los países del Mercosur en marzo de 2023, no estaba a la altura de las expectativas. Además, en su respuesta de septiembre de 2023, el Mercosur dejó patente su falta de ambición y de compromiso para cumplir siquiera convenios internacionales elementales o medidas de sostenibilidad vinculantes. El fracaso a la hora de abordar la sostenibilidad ha avivado la oposición a este acuerdo, no solo por parte de los productores agropecuarios sino también de los sindicatos, las ONG ecologistas y las organizaciones de consumidores.</w:t>
      </w:r>
    </w:p>
    <w:p w:rsidR="0066205A" w:rsidRPr="00370318" w:rsidRDefault="0066205A" w:rsidP="0066205A">
      <w:pPr>
        <w:spacing w:line="240" w:lineRule="auto"/>
        <w:jc w:val="both"/>
        <w:rPr>
          <w:rStyle w:val="CCNormal"/>
          <w:rFonts w:ascii="Times New Roman" w:hAnsi="Times New Roman" w:cs="Times New Roman"/>
          <w:sz w:val="24"/>
          <w:szCs w:val="24"/>
        </w:rPr>
      </w:pPr>
      <w:r w:rsidRPr="00370318">
        <w:rPr>
          <w:rFonts w:ascii="Times New Roman" w:hAnsi="Times New Roman" w:cs="Times New Roman"/>
          <w:sz w:val="24"/>
          <w:szCs w:val="24"/>
        </w:rPr>
        <w:t xml:space="preserve">El presidente del Copa, </w:t>
      </w:r>
      <w:proofErr w:type="spellStart"/>
      <w:r w:rsidRPr="00370318">
        <w:rPr>
          <w:rFonts w:ascii="Times New Roman" w:hAnsi="Times New Roman" w:cs="Times New Roman"/>
          <w:sz w:val="24"/>
          <w:szCs w:val="24"/>
        </w:rPr>
        <w:t>MassimilianoGiansanti</w:t>
      </w:r>
      <w:proofErr w:type="spellEnd"/>
      <w:r w:rsidRPr="00370318">
        <w:rPr>
          <w:rFonts w:ascii="Times New Roman" w:hAnsi="Times New Roman" w:cs="Times New Roman"/>
          <w:sz w:val="24"/>
          <w:szCs w:val="24"/>
        </w:rPr>
        <w:t xml:space="preserve">, ha reaccionado a esta noticia con las siguientes declaraciones: </w:t>
      </w:r>
      <w:r>
        <w:rPr>
          <w:rFonts w:ascii="Times New Roman" w:hAnsi="Times New Roman" w:cs="Times New Roman"/>
          <w:iCs/>
          <w:sz w:val="24"/>
          <w:szCs w:val="24"/>
        </w:rPr>
        <w:t>“</w:t>
      </w:r>
      <w:r w:rsidRPr="00370318">
        <w:rPr>
          <w:rFonts w:ascii="Times New Roman" w:hAnsi="Times New Roman" w:cs="Times New Roman"/>
          <w:iCs/>
          <w:sz w:val="24"/>
          <w:szCs w:val="24"/>
        </w:rPr>
        <w:t xml:space="preserve">La Comisión transmite un mensaje harto preocupante a los millones de agricultores y ganaderos de toda Europa antes incluso de haber presentado su “visión para el futuro de la agricultura”. Esta situación es particularmente preocupante porque nos hallamos en una fase sumamente delicada de recuperación del diálogo entre los productores agrarios y las instituciones europeas. Los Estados miembro y el Parlamento Europeo deben ahora cuestionar los términos de este acuerdo con contundencia y trabajar en aras de una solución que garantice un planteamiento equitativo y equilibrado para proteger el modelo agropecuario de la UE. </w:t>
      </w:r>
      <w:r w:rsidRPr="00370318">
        <w:rPr>
          <w:rFonts w:ascii="Times New Roman" w:hAnsi="Times New Roman" w:cs="Times New Roman"/>
          <w:sz w:val="24"/>
          <w:szCs w:val="24"/>
        </w:rPr>
        <w:t>A partir del lunes iniciaremos nuestra movilización, intercambiaremos pareceres con los ministros y los eurodiputados y llevaremos a cabo un acto sorpresivo</w:t>
      </w:r>
      <w:r>
        <w:rPr>
          <w:rFonts w:ascii="Times New Roman" w:hAnsi="Times New Roman" w:cs="Times New Roman"/>
          <w:sz w:val="24"/>
          <w:szCs w:val="24"/>
        </w:rPr>
        <w:t xml:space="preserve"> en Bruselas, frente al Consejo”</w:t>
      </w:r>
      <w:r w:rsidRPr="00370318">
        <w:rPr>
          <w:rFonts w:ascii="Times New Roman" w:hAnsi="Times New Roman" w:cs="Times New Roman"/>
          <w:sz w:val="24"/>
          <w:szCs w:val="24"/>
        </w:rPr>
        <w:t>.</w:t>
      </w:r>
    </w:p>
    <w:p w:rsidR="0066205A" w:rsidRPr="00370318" w:rsidRDefault="0066205A" w:rsidP="0066205A">
      <w:pPr>
        <w:spacing w:line="240" w:lineRule="auto"/>
        <w:jc w:val="both"/>
        <w:rPr>
          <w:rFonts w:ascii="Times New Roman" w:hAnsi="Times New Roman" w:cs="Times New Roman"/>
          <w:sz w:val="24"/>
          <w:szCs w:val="24"/>
        </w:rPr>
      </w:pPr>
      <w:r w:rsidRPr="00370318">
        <w:rPr>
          <w:rStyle w:val="CCNormal"/>
          <w:rFonts w:ascii="Times New Roman" w:hAnsi="Times New Roman" w:cs="Times New Roman"/>
          <w:sz w:val="24"/>
          <w:szCs w:val="24"/>
        </w:rPr>
        <w:t xml:space="preserve">El presidente de la </w:t>
      </w:r>
      <w:proofErr w:type="spellStart"/>
      <w:r w:rsidRPr="00370318">
        <w:rPr>
          <w:rStyle w:val="CCNormal"/>
          <w:rFonts w:ascii="Times New Roman" w:hAnsi="Times New Roman" w:cs="Times New Roman"/>
          <w:sz w:val="24"/>
          <w:szCs w:val="24"/>
        </w:rPr>
        <w:t>Cogeca</w:t>
      </w:r>
      <w:proofErr w:type="spellEnd"/>
      <w:r w:rsidRPr="00370318">
        <w:rPr>
          <w:rStyle w:val="CCNormal"/>
          <w:rFonts w:ascii="Times New Roman" w:hAnsi="Times New Roman" w:cs="Times New Roman"/>
          <w:sz w:val="24"/>
          <w:szCs w:val="24"/>
        </w:rPr>
        <w:t xml:space="preserve">, </w:t>
      </w:r>
      <w:proofErr w:type="spellStart"/>
      <w:r w:rsidRPr="00370318">
        <w:rPr>
          <w:rStyle w:val="CCNormal"/>
          <w:rFonts w:ascii="Times New Roman" w:hAnsi="Times New Roman" w:cs="Times New Roman"/>
          <w:sz w:val="24"/>
          <w:szCs w:val="24"/>
        </w:rPr>
        <w:t>Lennart</w:t>
      </w:r>
      <w:proofErr w:type="spellEnd"/>
      <w:r w:rsidRPr="00370318">
        <w:rPr>
          <w:rStyle w:val="CCNormal"/>
          <w:rFonts w:ascii="Times New Roman" w:hAnsi="Times New Roman" w:cs="Times New Roman"/>
          <w:sz w:val="24"/>
          <w:szCs w:val="24"/>
        </w:rPr>
        <w:t xml:space="preserve"> </w:t>
      </w:r>
      <w:proofErr w:type="spellStart"/>
      <w:r w:rsidRPr="00370318">
        <w:rPr>
          <w:rStyle w:val="CCNormal"/>
          <w:rFonts w:ascii="Times New Roman" w:hAnsi="Times New Roman" w:cs="Times New Roman"/>
          <w:sz w:val="24"/>
          <w:szCs w:val="24"/>
        </w:rPr>
        <w:t>Nilson</w:t>
      </w:r>
      <w:proofErr w:type="spellEnd"/>
      <w:r w:rsidRPr="00370318">
        <w:rPr>
          <w:rStyle w:val="CCNormal"/>
          <w:rFonts w:ascii="Times New Roman" w:hAnsi="Times New Roman" w:cs="Times New Roman"/>
          <w:sz w:val="24"/>
          <w:szCs w:val="24"/>
        </w:rPr>
        <w:t xml:space="preserve">, ha añadido que </w:t>
      </w:r>
      <w:r>
        <w:rPr>
          <w:rFonts w:ascii="Times New Roman" w:hAnsi="Times New Roman" w:cs="Times New Roman"/>
          <w:sz w:val="24"/>
          <w:szCs w:val="24"/>
        </w:rPr>
        <w:t>“</w:t>
      </w:r>
      <w:r w:rsidRPr="00370318">
        <w:rPr>
          <w:rFonts w:ascii="Times New Roman" w:hAnsi="Times New Roman" w:cs="Times New Roman"/>
          <w:sz w:val="24"/>
          <w:szCs w:val="24"/>
        </w:rPr>
        <w:t xml:space="preserve">los agricultores y las cooperativas agrarias de la UE no se oponen al comercio, sino que abogan por tratados comerciales equitativos, equilibrados y ambientalmente sostenibles. El tratado entre la UE y el Mercosur en su versión actual no cumple con tales principios y se usa al sector agropecuario como una moneda de cambio en beneficio de otras industrias. Desde la </w:t>
      </w:r>
      <w:proofErr w:type="spellStart"/>
      <w:r w:rsidRPr="00370318">
        <w:rPr>
          <w:rFonts w:ascii="Times New Roman" w:hAnsi="Times New Roman" w:cs="Times New Roman"/>
          <w:sz w:val="24"/>
          <w:szCs w:val="24"/>
        </w:rPr>
        <w:t>Cogeca</w:t>
      </w:r>
      <w:proofErr w:type="spellEnd"/>
      <w:r w:rsidRPr="00370318">
        <w:rPr>
          <w:rFonts w:ascii="Times New Roman" w:hAnsi="Times New Roman" w:cs="Times New Roman"/>
          <w:sz w:val="24"/>
          <w:szCs w:val="24"/>
        </w:rPr>
        <w:t xml:space="preserve"> también instamos a los Estados miembros de la UE y al Parlamento Europeo a posicionarse rotunda</w:t>
      </w:r>
      <w:r>
        <w:rPr>
          <w:rFonts w:ascii="Times New Roman" w:hAnsi="Times New Roman" w:cs="Times New Roman"/>
          <w:sz w:val="24"/>
          <w:szCs w:val="24"/>
        </w:rPr>
        <w:t>mente en contra de este acuerdo”</w:t>
      </w:r>
      <w:r w:rsidRPr="00370318">
        <w:rPr>
          <w:rFonts w:ascii="Times New Roman" w:hAnsi="Times New Roman" w:cs="Times New Roman"/>
          <w:sz w:val="24"/>
          <w:szCs w:val="24"/>
        </w:rPr>
        <w:t>.</w:t>
      </w:r>
    </w:p>
    <w:p w:rsidR="0066205A" w:rsidRDefault="0066205A" w:rsidP="0066205A">
      <w:pPr>
        <w:pStyle w:val="CCDocBody"/>
        <w:spacing w:line="240" w:lineRule="auto"/>
        <w:rPr>
          <w:rFonts w:ascii="Times New Roman" w:hAnsi="Times New Roman" w:cs="Times New Roman"/>
          <w:color w:val="auto"/>
          <w:sz w:val="24"/>
          <w:szCs w:val="24"/>
        </w:rPr>
      </w:pPr>
      <w:r>
        <w:rPr>
          <w:rFonts w:ascii="Times New Roman" w:hAnsi="Times New Roman" w:cs="Times New Roman"/>
          <w:noProof/>
          <w:color w:val="auto"/>
          <w:sz w:val="24"/>
          <w:szCs w:val="24"/>
          <w:lang w:val="en-GB" w:eastAsia="zh-CN"/>
        </w:rPr>
        <w:drawing>
          <wp:inline distT="0" distB="0" distL="0" distR="0">
            <wp:extent cx="5670550" cy="308610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0550" cy="3086100"/>
                    </a:xfrm>
                    <a:prstGeom prst="rect">
                      <a:avLst/>
                    </a:prstGeom>
                    <a:noFill/>
                    <a:ln>
                      <a:noFill/>
                    </a:ln>
                  </pic:spPr>
                </pic:pic>
              </a:graphicData>
            </a:graphic>
          </wp:inline>
        </w:drawing>
      </w:r>
    </w:p>
    <w:p w:rsidR="0066205A" w:rsidRDefault="0066205A" w:rsidP="0066205A">
      <w:pPr>
        <w:pStyle w:val="CCDocBody"/>
        <w:spacing w:line="240" w:lineRule="auto"/>
        <w:rPr>
          <w:rFonts w:ascii="Times New Roman" w:hAnsi="Times New Roman" w:cs="Times New Roman"/>
          <w:color w:val="auto"/>
          <w:sz w:val="24"/>
          <w:szCs w:val="24"/>
        </w:rPr>
      </w:pP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drawing>
          <wp:inline distT="0" distB="0" distL="0" distR="0">
            <wp:extent cx="5727699" cy="3721100"/>
            <wp:effectExtent l="0" t="0" r="698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723576"/>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drawing>
          <wp:inline distT="0" distB="0" distL="0" distR="0">
            <wp:extent cx="5734050" cy="27241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72294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drawing>
          <wp:inline distT="0" distB="0" distL="0" distR="0">
            <wp:extent cx="5715000" cy="806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808780"/>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lastRenderedPageBreak/>
        <w:drawing>
          <wp:inline distT="0" distB="0" distL="0" distR="0">
            <wp:extent cx="5530850" cy="4064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534621" cy="4066771"/>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drawing>
          <wp:inline distT="0" distB="0" distL="0" distR="0">
            <wp:extent cx="5581650" cy="464185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582429" cy="4642498"/>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lastRenderedPageBreak/>
        <w:drawing>
          <wp:inline distT="0" distB="0" distL="0" distR="0">
            <wp:extent cx="5658640" cy="388674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58640" cy="3886743"/>
                    </a:xfrm>
                    <a:prstGeom prst="rect">
                      <a:avLst/>
                    </a:prstGeom>
                  </pic:spPr>
                </pic:pic>
              </a:graphicData>
            </a:graphic>
          </wp:inline>
        </w:drawing>
      </w:r>
    </w:p>
    <w:p w:rsidR="0066205A" w:rsidRDefault="0066205A" w:rsidP="0066205A">
      <w:pPr>
        <w:spacing w:line="240" w:lineRule="auto"/>
        <w:jc w:val="both"/>
        <w:rPr>
          <w:rFonts w:ascii="Times New Roman" w:hAnsi="Times New Roman" w:cs="Times New Roman"/>
          <w:sz w:val="24"/>
          <w:szCs w:val="24"/>
        </w:rPr>
      </w:pPr>
      <w:r w:rsidRPr="00CF4215">
        <w:rPr>
          <w:rFonts w:ascii="Times New Roman" w:hAnsi="Times New Roman" w:cs="Times New Roman"/>
          <w:noProof/>
          <w:sz w:val="24"/>
          <w:szCs w:val="24"/>
          <w:lang w:val="en-GB" w:eastAsia="zh-CN"/>
        </w:rPr>
        <w:drawing>
          <wp:inline distT="0" distB="0" distL="0" distR="0">
            <wp:extent cx="5731510" cy="4175552"/>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175552"/>
                    </a:xfrm>
                    <a:prstGeom prst="rect">
                      <a:avLst/>
                    </a:prstGeom>
                  </pic:spPr>
                </pic:pic>
              </a:graphicData>
            </a:graphic>
          </wp:inline>
        </w:drawing>
      </w:r>
    </w:p>
    <w:p w:rsidR="00FA3DFB" w:rsidRDefault="0066205A" w:rsidP="0066205A">
      <w:r w:rsidRPr="00CF4215">
        <w:rPr>
          <w:rFonts w:ascii="Times New Roman" w:hAnsi="Times New Roman" w:cs="Times New Roman"/>
          <w:noProof/>
          <w:sz w:val="24"/>
          <w:szCs w:val="24"/>
          <w:lang w:val="en-GB" w:eastAsia="zh-CN"/>
        </w:rPr>
        <w:lastRenderedPageBreak/>
        <w:drawing>
          <wp:inline distT="0" distB="0" distL="0" distR="0">
            <wp:extent cx="5727699" cy="4667250"/>
            <wp:effectExtent l="0" t="0" r="698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4670355"/>
                    </a:xfrm>
                    <a:prstGeom prst="rect">
                      <a:avLst/>
                    </a:prstGeom>
                  </pic:spPr>
                </pic:pic>
              </a:graphicData>
            </a:graphic>
          </wp:inline>
        </w:drawing>
      </w:r>
      <w:r w:rsidRPr="00CF4215">
        <w:rPr>
          <w:rFonts w:ascii="Times New Roman" w:hAnsi="Times New Roman" w:cs="Times New Roman"/>
          <w:noProof/>
          <w:sz w:val="24"/>
          <w:szCs w:val="24"/>
          <w:lang w:val="en-GB" w:eastAsia="zh-CN"/>
        </w:rPr>
        <w:drawing>
          <wp:inline distT="0" distB="0" distL="0" distR="0">
            <wp:extent cx="4838700" cy="410845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838700" cy="4108450"/>
                    </a:xfrm>
                    <a:prstGeom prst="rect">
                      <a:avLst/>
                    </a:prstGeom>
                  </pic:spPr>
                </pic:pic>
              </a:graphicData>
            </a:graphic>
          </wp:inline>
        </w:drawing>
      </w:r>
    </w:p>
    <w:sectPr w:rsidR="00FA3DFB" w:rsidSect="00BE7CF4">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Montserrat Light">
    <w:altName w:val="Times New Roman"/>
    <w:charset w:val="00"/>
    <w:family w:val="auto"/>
    <w:pitch w:val="variable"/>
    <w:sig w:usb0="00000001" w:usb1="00000003" w:usb2="00000000" w:usb3="00000000" w:csb0="00000197" w:csb1="00000000"/>
  </w:font>
  <w:font w:name="Montserrat">
    <w:altName w:val="Times New Roman"/>
    <w:panose1 w:val="02000505000000020004"/>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70721"/>
    <w:multiLevelType w:val="multilevel"/>
    <w:tmpl w:val="78B41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EE23DE"/>
    <w:multiLevelType w:val="multilevel"/>
    <w:tmpl w:val="54DE3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02367D6"/>
    <w:multiLevelType w:val="multilevel"/>
    <w:tmpl w:val="95A0AF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438C023E"/>
    <w:multiLevelType w:val="multilevel"/>
    <w:tmpl w:val="46F6B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A1601F6"/>
    <w:multiLevelType w:val="multilevel"/>
    <w:tmpl w:val="AF4C7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66205A"/>
    <w:rsid w:val="0066205A"/>
    <w:rsid w:val="00AB1D08"/>
    <w:rsid w:val="00BE7CF4"/>
    <w:rsid w:val="00FA3DFB"/>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05A"/>
  </w:style>
  <w:style w:type="paragraph" w:styleId="Ttulo1">
    <w:name w:val="heading 1"/>
    <w:basedOn w:val="Normal"/>
    <w:next w:val="Normal"/>
    <w:link w:val="Ttulo1Car"/>
    <w:uiPriority w:val="9"/>
    <w:qFormat/>
    <w:rsid w:val="006620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66205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66205A"/>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6205A"/>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66205A"/>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66205A"/>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66205A"/>
    <w:rPr>
      <w:color w:val="0000FF"/>
      <w:u w:val="single"/>
    </w:rPr>
  </w:style>
  <w:style w:type="paragraph" w:styleId="NormalWeb">
    <w:name w:val="Normal (Web)"/>
    <w:basedOn w:val="Normal"/>
    <w:uiPriority w:val="99"/>
    <w:unhideWhenUsed/>
    <w:rsid w:val="0066205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66205A"/>
    <w:rPr>
      <w:b/>
      <w:bCs/>
    </w:rPr>
  </w:style>
  <w:style w:type="paragraph" w:customStyle="1" w:styleId="Default">
    <w:name w:val="Default"/>
    <w:rsid w:val="0066205A"/>
    <w:pPr>
      <w:autoSpaceDE w:val="0"/>
      <w:autoSpaceDN w:val="0"/>
      <w:adjustRightInd w:val="0"/>
      <w:spacing w:after="0" w:line="240" w:lineRule="auto"/>
    </w:pPr>
    <w:rPr>
      <w:rFonts w:ascii="EC Square Sans Pro" w:hAnsi="EC Square Sans Pro" w:cs="EC Square Sans Pro"/>
      <w:color w:val="000000"/>
      <w:sz w:val="24"/>
      <w:szCs w:val="24"/>
    </w:rPr>
  </w:style>
  <w:style w:type="character" w:customStyle="1" w:styleId="CCDocBodyChar">
    <w:name w:val="CC Doc Body Char"/>
    <w:basedOn w:val="Fuentedeprrafopredeter"/>
    <w:link w:val="CCDocBody"/>
    <w:semiHidden/>
    <w:locked/>
    <w:rsid w:val="0066205A"/>
    <w:rPr>
      <w:rFonts w:ascii="Montserrat Light" w:hAnsi="Montserrat Light"/>
      <w:color w:val="595959" w:themeColor="text1" w:themeTint="A6"/>
      <w:shd w:val="clear" w:color="auto" w:fill="FFFFFF"/>
    </w:rPr>
  </w:style>
  <w:style w:type="paragraph" w:customStyle="1" w:styleId="CCDocBody">
    <w:name w:val="CC Doc Body"/>
    <w:basedOn w:val="NormalWeb"/>
    <w:link w:val="CCDocBodyChar"/>
    <w:semiHidden/>
    <w:qFormat/>
    <w:locked/>
    <w:rsid w:val="0066205A"/>
    <w:pPr>
      <w:shd w:val="clear" w:color="auto" w:fill="FFFFFF"/>
      <w:spacing w:before="0" w:beforeAutospacing="0" w:line="276" w:lineRule="auto"/>
      <w:jc w:val="both"/>
    </w:pPr>
    <w:rPr>
      <w:rFonts w:ascii="Montserrat Light" w:eastAsiaTheme="minorHAnsi" w:hAnsi="Montserrat Light" w:cstheme="minorBidi"/>
      <w:color w:val="595959" w:themeColor="text1" w:themeTint="A6"/>
      <w:sz w:val="22"/>
      <w:szCs w:val="22"/>
      <w:lang w:eastAsia="en-US"/>
    </w:rPr>
  </w:style>
  <w:style w:type="character" w:customStyle="1" w:styleId="CCType">
    <w:name w:val="CC Type"/>
    <w:uiPriority w:val="1"/>
    <w:qFormat/>
    <w:rsid w:val="0066205A"/>
    <w:rPr>
      <w:rFonts w:ascii="Montserrat" w:hAnsi="Montserrat" w:hint="default"/>
      <w:b/>
      <w:bCs/>
      <w:color w:val="CA6D05"/>
      <w:sz w:val="36"/>
    </w:rPr>
  </w:style>
  <w:style w:type="character" w:customStyle="1" w:styleId="CCNormal">
    <w:name w:val="CC Normal"/>
    <w:uiPriority w:val="1"/>
    <w:qFormat/>
    <w:rsid w:val="0066205A"/>
    <w:rPr>
      <w:rFonts w:ascii="Montserrat" w:hAnsi="Montserrat" w:hint="default"/>
      <w:color w:val="4A442A" w:themeColor="background2" w:themeShade="40"/>
      <w:sz w:val="22"/>
    </w:rPr>
  </w:style>
  <w:style w:type="character" w:customStyle="1" w:styleId="CCSubtitle">
    <w:name w:val="CC Subtitle"/>
    <w:basedOn w:val="Fuentedeprrafopredeter"/>
    <w:uiPriority w:val="1"/>
    <w:qFormat/>
    <w:rsid w:val="0066205A"/>
    <w:rPr>
      <w:rFonts w:ascii="Montserrat" w:hAnsi="Montserrat" w:hint="default"/>
      <w:b/>
      <w:bCs w:val="0"/>
      <w:color w:val="7F7F7F" w:themeColor="text1" w:themeTint="80"/>
      <w:sz w:val="22"/>
    </w:rPr>
  </w:style>
  <w:style w:type="paragraph" w:styleId="Textodeglobo">
    <w:name w:val="Balloon Text"/>
    <w:basedOn w:val="Normal"/>
    <w:link w:val="TextodegloboCar"/>
    <w:uiPriority w:val="99"/>
    <w:semiHidden/>
    <w:unhideWhenUsed/>
    <w:rsid w:val="0066205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6205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05A"/>
  </w:style>
  <w:style w:type="paragraph" w:styleId="Ttulo1">
    <w:name w:val="heading 1"/>
    <w:basedOn w:val="Normal"/>
    <w:next w:val="Normal"/>
    <w:link w:val="Ttulo1Car"/>
    <w:uiPriority w:val="9"/>
    <w:qFormat/>
    <w:rsid w:val="006620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66205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66205A"/>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6205A"/>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66205A"/>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66205A"/>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66205A"/>
    <w:rPr>
      <w:color w:val="0000FF"/>
      <w:u w:val="single"/>
    </w:rPr>
  </w:style>
  <w:style w:type="paragraph" w:styleId="NormalWeb">
    <w:name w:val="Normal (Web)"/>
    <w:basedOn w:val="Normal"/>
    <w:uiPriority w:val="99"/>
    <w:unhideWhenUsed/>
    <w:rsid w:val="0066205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66205A"/>
    <w:rPr>
      <w:b/>
      <w:bCs/>
    </w:rPr>
  </w:style>
  <w:style w:type="paragraph" w:customStyle="1" w:styleId="Default">
    <w:name w:val="Default"/>
    <w:rsid w:val="0066205A"/>
    <w:pPr>
      <w:autoSpaceDE w:val="0"/>
      <w:autoSpaceDN w:val="0"/>
      <w:adjustRightInd w:val="0"/>
      <w:spacing w:after="0" w:line="240" w:lineRule="auto"/>
    </w:pPr>
    <w:rPr>
      <w:rFonts w:ascii="EC Square Sans Pro" w:hAnsi="EC Square Sans Pro" w:cs="EC Square Sans Pro"/>
      <w:color w:val="000000"/>
      <w:sz w:val="24"/>
      <w:szCs w:val="24"/>
    </w:rPr>
  </w:style>
  <w:style w:type="character" w:customStyle="1" w:styleId="CCDocBodyChar">
    <w:name w:val="CC Doc Body Char"/>
    <w:basedOn w:val="Fuentedeprrafopredeter"/>
    <w:link w:val="CCDocBody"/>
    <w:semiHidden/>
    <w:locked/>
    <w:rsid w:val="0066205A"/>
    <w:rPr>
      <w:rFonts w:ascii="Montserrat Light" w:hAnsi="Montserrat Light"/>
      <w:color w:val="595959" w:themeColor="text1" w:themeTint="A6"/>
      <w:shd w:val="clear" w:color="auto" w:fill="FFFFFF"/>
    </w:rPr>
  </w:style>
  <w:style w:type="paragraph" w:customStyle="1" w:styleId="CCDocBody">
    <w:name w:val="CC Doc Body"/>
    <w:basedOn w:val="NormalWeb"/>
    <w:link w:val="CCDocBodyChar"/>
    <w:semiHidden/>
    <w:qFormat/>
    <w:locked/>
    <w:rsid w:val="0066205A"/>
    <w:pPr>
      <w:shd w:val="clear" w:color="auto" w:fill="FFFFFF"/>
      <w:spacing w:before="0" w:beforeAutospacing="0" w:line="276" w:lineRule="auto"/>
      <w:jc w:val="both"/>
    </w:pPr>
    <w:rPr>
      <w:rFonts w:ascii="Montserrat Light" w:eastAsiaTheme="minorHAnsi" w:hAnsi="Montserrat Light" w:cstheme="minorBidi"/>
      <w:color w:val="595959" w:themeColor="text1" w:themeTint="A6"/>
      <w:sz w:val="22"/>
      <w:szCs w:val="22"/>
      <w:lang w:eastAsia="en-US"/>
    </w:rPr>
  </w:style>
  <w:style w:type="character" w:customStyle="1" w:styleId="CCType">
    <w:name w:val="CC Type"/>
    <w:uiPriority w:val="1"/>
    <w:qFormat/>
    <w:rsid w:val="0066205A"/>
    <w:rPr>
      <w:rFonts w:ascii="Montserrat" w:hAnsi="Montserrat" w:hint="default"/>
      <w:b/>
      <w:bCs/>
      <w:color w:val="CA6D05"/>
      <w:sz w:val="36"/>
    </w:rPr>
  </w:style>
  <w:style w:type="character" w:customStyle="1" w:styleId="CCNormal">
    <w:name w:val="CC Normal"/>
    <w:uiPriority w:val="1"/>
    <w:qFormat/>
    <w:rsid w:val="0066205A"/>
    <w:rPr>
      <w:rFonts w:ascii="Montserrat" w:hAnsi="Montserrat" w:hint="default"/>
      <w:color w:val="4A442A" w:themeColor="background2" w:themeShade="40"/>
      <w:sz w:val="22"/>
    </w:rPr>
  </w:style>
  <w:style w:type="character" w:customStyle="1" w:styleId="CCSubtitle">
    <w:name w:val="CC Subtitle"/>
    <w:basedOn w:val="Fuentedeprrafopredeter"/>
    <w:uiPriority w:val="1"/>
    <w:qFormat/>
    <w:rsid w:val="0066205A"/>
    <w:rPr>
      <w:rFonts w:ascii="Montserrat" w:hAnsi="Montserrat" w:hint="default"/>
      <w:b/>
      <w:bCs w:val="0"/>
      <w:color w:val="7F7F7F" w:themeColor="text1" w:themeTint="80"/>
      <w:sz w:val="22"/>
    </w:rPr>
  </w:style>
  <w:style w:type="paragraph" w:styleId="Textodeglobo">
    <w:name w:val="Balloon Text"/>
    <w:basedOn w:val="Normal"/>
    <w:link w:val="TextodegloboCar"/>
    <w:uiPriority w:val="99"/>
    <w:semiHidden/>
    <w:unhideWhenUsed/>
    <w:rsid w:val="0066205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6205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1.png"/><Relationship Id="rId84" Type="http://schemas.openxmlformats.org/officeDocument/2006/relationships/theme" Target="theme/theme1.xml"/><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jpe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7.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2.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hyperlink" Target="https://copa-cogeca.eu/press-releases" TargetMode="External"/><Relationship Id="rId80" Type="http://schemas.openxmlformats.org/officeDocument/2006/relationships/image" Target="media/image75.png"/><Relationship Id="rId85" Type="http://schemas.microsoft.com/office/2007/relationships/stylesWithEffects" Target="stylesWithEffects.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jpe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0.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jpeg"/><Relationship Id="rId73" Type="http://schemas.openxmlformats.org/officeDocument/2006/relationships/image" Target="media/image68.emf"/><Relationship Id="rId78" Type="http://schemas.openxmlformats.org/officeDocument/2006/relationships/image" Target="media/image73.png"/><Relationship Id="rId81" Type="http://schemas.openxmlformats.org/officeDocument/2006/relationships/image" Target="media/image7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54</Pages>
  <Words>9159</Words>
  <Characters>52212</Characters>
  <Application>Microsoft Office Word</Application>
  <DocSecurity>0</DocSecurity>
  <Lines>435</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61249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2</cp:revision>
  <dcterms:created xsi:type="dcterms:W3CDTF">2025-03-07T14:32:00Z</dcterms:created>
  <dcterms:modified xsi:type="dcterms:W3CDTF">2025-06-21T14:32:00Z</dcterms:modified>
</cp:coreProperties>
</file>