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0E9B" w:rsidRDefault="009F0E9B" w:rsidP="009F0E9B">
      <w:pPr>
        <w:spacing w:line="240" w:lineRule="auto"/>
        <w:jc w:val="both"/>
        <w:rPr>
          <w:rFonts w:ascii="Times New Roman" w:hAnsi="Times New Roman" w:cs="Times New Roman"/>
          <w:b/>
          <w:sz w:val="24"/>
          <w:szCs w:val="24"/>
        </w:rPr>
      </w:pPr>
      <w:r w:rsidRPr="009F0E9B">
        <w:rPr>
          <w:rFonts w:ascii="Times New Roman" w:hAnsi="Times New Roman" w:cs="Times New Roman"/>
          <w:b/>
          <w:sz w:val="24"/>
          <w:szCs w:val="24"/>
        </w:rPr>
        <w:t>Paper -</w:t>
      </w:r>
      <w:r>
        <w:rPr>
          <w:rFonts w:ascii="Times New Roman" w:hAnsi="Times New Roman" w:cs="Times New Roman"/>
          <w:sz w:val="24"/>
          <w:szCs w:val="24"/>
        </w:rPr>
        <w:t xml:space="preserve"> </w:t>
      </w:r>
      <w:r w:rsidRPr="00AD6BA0">
        <w:rPr>
          <w:rFonts w:ascii="Times New Roman" w:hAnsi="Times New Roman" w:cs="Times New Roman"/>
          <w:b/>
          <w:sz w:val="24"/>
          <w:szCs w:val="24"/>
        </w:rPr>
        <w:t>Acu</w:t>
      </w:r>
      <w:r w:rsidR="00A75B69">
        <w:rPr>
          <w:rFonts w:ascii="Times New Roman" w:hAnsi="Times New Roman" w:cs="Times New Roman"/>
          <w:b/>
          <w:sz w:val="24"/>
          <w:szCs w:val="24"/>
        </w:rPr>
        <w:t xml:space="preserve">erdo </w:t>
      </w:r>
      <w:r>
        <w:rPr>
          <w:rFonts w:ascii="Times New Roman" w:hAnsi="Times New Roman" w:cs="Times New Roman"/>
          <w:b/>
          <w:sz w:val="24"/>
          <w:szCs w:val="24"/>
        </w:rPr>
        <w:t>Unión Europea</w:t>
      </w:r>
      <w:r w:rsidR="00A75B69">
        <w:rPr>
          <w:rFonts w:ascii="Times New Roman" w:hAnsi="Times New Roman" w:cs="Times New Roman"/>
          <w:b/>
          <w:sz w:val="24"/>
          <w:szCs w:val="24"/>
        </w:rPr>
        <w:t xml:space="preserve"> - Mercosur</w:t>
      </w:r>
      <w:r>
        <w:rPr>
          <w:rFonts w:ascii="Times New Roman" w:hAnsi="Times New Roman" w:cs="Times New Roman"/>
          <w:b/>
          <w:sz w:val="24"/>
          <w:szCs w:val="24"/>
        </w:rPr>
        <w:t xml:space="preserve"> (y</w:t>
      </w:r>
      <w:r w:rsidRPr="00AD6BA0">
        <w:rPr>
          <w:rFonts w:ascii="Times New Roman" w:hAnsi="Times New Roman" w:cs="Times New Roman"/>
          <w:b/>
          <w:sz w:val="24"/>
          <w:szCs w:val="24"/>
        </w:rPr>
        <w:t xml:space="preserve"> los brócolis de la ira)</w:t>
      </w:r>
    </w:p>
    <w:p w:rsidR="009F0E9B" w:rsidRPr="00434092" w:rsidRDefault="009F0E9B" w:rsidP="009F0E9B">
      <w:pPr>
        <w:spacing w:line="240" w:lineRule="auto"/>
        <w:jc w:val="both"/>
        <w:rPr>
          <w:rFonts w:ascii="Times New Roman" w:hAnsi="Times New Roman" w:cs="Times New Roman"/>
          <w:b/>
          <w:sz w:val="24"/>
          <w:szCs w:val="24"/>
        </w:rPr>
      </w:pPr>
      <w:r w:rsidRPr="00AD6BA0">
        <w:rPr>
          <w:rFonts w:ascii="Times New Roman" w:hAnsi="Times New Roman" w:cs="Times New Roman"/>
          <w:b/>
          <w:noProof/>
          <w:sz w:val="24"/>
          <w:szCs w:val="24"/>
          <w:lang w:eastAsia="es-ES"/>
        </w:rPr>
        <w:drawing>
          <wp:inline distT="0" distB="0" distL="0" distR="0" wp14:anchorId="56CCEE1B" wp14:editId="0ED76D09">
            <wp:extent cx="5731510" cy="3242345"/>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242345"/>
                    </a:xfrm>
                    <a:prstGeom prst="rect">
                      <a:avLst/>
                    </a:prstGeom>
                  </pic:spPr>
                </pic:pic>
              </a:graphicData>
            </a:graphic>
          </wp:inline>
        </w:drawing>
      </w:r>
      <w:r w:rsidRPr="00AD6BA0">
        <w:rPr>
          <w:rFonts w:ascii="Times New Roman" w:hAnsi="Times New Roman" w:cs="Times New Roman"/>
          <w:sz w:val="24"/>
          <w:szCs w:val="24"/>
        </w:rPr>
        <w:t>Agricultores arrojan tomates durante una concentración el 14 de febrero</w:t>
      </w:r>
      <w:r w:rsidR="00AC48BF">
        <w:rPr>
          <w:rFonts w:ascii="Times New Roman" w:hAnsi="Times New Roman" w:cs="Times New Roman"/>
          <w:sz w:val="24"/>
          <w:szCs w:val="24"/>
        </w:rPr>
        <w:t xml:space="preserve"> de 2025</w:t>
      </w:r>
      <w:r w:rsidRPr="00AD6BA0">
        <w:rPr>
          <w:rFonts w:ascii="Times New Roman" w:hAnsi="Times New Roman" w:cs="Times New Roman"/>
          <w:sz w:val="24"/>
          <w:szCs w:val="24"/>
        </w:rPr>
        <w:t xml:space="preserve"> en el puerto de Motril (Granada), en protesta por la competencia </w:t>
      </w:r>
      <w:r w:rsidR="00AC48BF">
        <w:rPr>
          <w:rFonts w:ascii="Times New Roman" w:hAnsi="Times New Roman" w:cs="Times New Roman"/>
          <w:sz w:val="24"/>
          <w:szCs w:val="24"/>
        </w:rPr>
        <w:t xml:space="preserve">de los tomates marroquís </w:t>
      </w:r>
    </w:p>
    <w:p w:rsidR="009F0E9B" w:rsidRPr="00305BCC" w:rsidRDefault="009F0E9B" w:rsidP="009F0E9B">
      <w:pPr>
        <w:spacing w:line="240" w:lineRule="auto"/>
        <w:jc w:val="both"/>
        <w:rPr>
          <w:rFonts w:ascii="Times New Roman" w:hAnsi="Times New Roman" w:cs="Times New Roman"/>
          <w:sz w:val="24"/>
          <w:szCs w:val="24"/>
        </w:rPr>
      </w:pPr>
      <w:r w:rsidRPr="00305BCC">
        <w:rPr>
          <w:rFonts w:ascii="Times New Roman" w:hAnsi="Times New Roman" w:cs="Times New Roman"/>
          <w:sz w:val="24"/>
          <w:szCs w:val="24"/>
        </w:rPr>
        <w:t>Los agricultores luchan contra un mercado desregulado que importa productos agrarios de terceros países a bajo precio. Las producciones extracomunitarias no cumplen la normativa interna y representan una contradicción e hipocresía en la actuación política de la Unión Europea”, han destacado las tres organizaciones. Los trabajadores del sector aseguran que la “competencia desleal” pone en jaque la viabilidad de “miles de explotaciones”, tanto en España c</w:t>
      </w:r>
      <w:r>
        <w:rPr>
          <w:rFonts w:ascii="Times New Roman" w:hAnsi="Times New Roman" w:cs="Times New Roman"/>
          <w:sz w:val="24"/>
          <w:szCs w:val="24"/>
        </w:rPr>
        <w:t>omo en el resto del continente.</w:t>
      </w:r>
    </w:p>
    <w:p w:rsidR="00393954" w:rsidRDefault="009F0E9B" w:rsidP="00393954">
      <w:pPr>
        <w:spacing w:line="240" w:lineRule="auto"/>
        <w:jc w:val="both"/>
        <w:rPr>
          <w:rFonts w:ascii="Times New Roman" w:hAnsi="Times New Roman" w:cs="Times New Roman"/>
          <w:sz w:val="24"/>
          <w:szCs w:val="24"/>
        </w:rPr>
      </w:pPr>
      <w:r w:rsidRPr="00305BCC">
        <w:rPr>
          <w:rFonts w:ascii="Times New Roman" w:hAnsi="Times New Roman" w:cs="Times New Roman"/>
          <w:sz w:val="24"/>
          <w:szCs w:val="24"/>
        </w:rPr>
        <w:t>Los agricultores critican el empeño de Bruselas por cerrar más acuerdos de libre comercio con terceros, mientras se “agudizan” los problemas de los trabajadores europeos. Asaja, COAG y UPA reclaman la “paralización de las negociaciones” con otros países para poner freno a convenios como el MERCOSUR, que afecta principalmente a las relaciones con Argentina, Brasil, Paraguay y Uruguay. Las asociaciones también piden la no ratificación del acuerdo con Nueva Zelanda y el cese de las conversaciones con Chile, Kenia, México, India y Australia. Además, los trabajadores del campo piden aumentar los controles en la frontera con Marruecos para garantizar que los productos importados cumplen con las normativas internas.</w:t>
      </w:r>
    </w:p>
    <w:p w:rsidR="00B22EA2" w:rsidRP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b/>
          <w:sz w:val="24"/>
          <w:szCs w:val="24"/>
        </w:rPr>
        <w:t>Nota</w:t>
      </w:r>
      <w:r w:rsidRPr="00B22EA2">
        <w:rPr>
          <w:rFonts w:ascii="Times New Roman" w:hAnsi="Times New Roman" w:cs="Times New Roman"/>
          <w:sz w:val="24"/>
          <w:szCs w:val="24"/>
        </w:rPr>
        <w:t>: ¿Por qué algunos agricultores se oponen al acuerdo? (Fuente: Euronews - 27/11/24)</w:t>
      </w:r>
    </w:p>
    <w:p w:rsidR="00B22EA2" w:rsidRP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sz w:val="24"/>
          <w:szCs w:val="24"/>
        </w:rPr>
        <w:t xml:space="preserve">Los agricultores europeos, especialmente en Francia, temen que la afluencia de productos sudamericanos sature sus mercados y perjudique a la agricultura local. Un año después de un masivo movimiento de protesta de los agricultores europeos, ha estallado otra ronda de protestas en todo el continente, y muchos afirman que la reducción de los aranceles o de los contingentes libres de impuestos para los productos sudamericanos podría ser fatal para ellos. </w:t>
      </w:r>
    </w:p>
    <w:p w:rsidR="00B22EA2" w:rsidRP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sz w:val="24"/>
          <w:szCs w:val="24"/>
        </w:rPr>
        <w:t xml:space="preserve">Por ejemplo, 99.000 toneladas de carne de vacuno se enfrentarían a un arancel reducido de sólo el 7,5%, mientras que 180.000 toneladas de aves de corral entrarían libres de impuestos. </w:t>
      </w:r>
      <w:r w:rsidRPr="00B22EA2">
        <w:rPr>
          <w:rFonts w:ascii="Times New Roman" w:hAnsi="Times New Roman" w:cs="Times New Roman"/>
          <w:sz w:val="24"/>
          <w:szCs w:val="24"/>
        </w:rPr>
        <w:lastRenderedPageBreak/>
        <w:t>Según la Comisión Europea, esto representa menos del 2% del consumo anual de carne de vacuno de la UE.</w:t>
      </w:r>
    </w:p>
    <w:p w:rsidR="00B22EA2" w:rsidRP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sz w:val="24"/>
          <w:szCs w:val="24"/>
        </w:rPr>
        <w:t>Los países de Mercosur tienen menores costes laborales y normativas menos estrictas</w:t>
      </w:r>
    </w:p>
    <w:p w:rsidR="00B22EA2" w:rsidRP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sz w:val="24"/>
          <w:szCs w:val="24"/>
        </w:rPr>
        <w:t>Los ganaderos sostienen que no pueden competir con los productores sudamericanos, que se benefician de menores costes laborales, explotaciones más grandes y normativas menos estrictas en prácticas como el uso de hormonas de crecimiento en comparación con las normas de la UE.</w:t>
      </w:r>
    </w:p>
    <w:p w:rsidR="00B22EA2" w:rsidRDefault="00B22EA2" w:rsidP="00B22EA2">
      <w:pPr>
        <w:spacing w:line="240" w:lineRule="auto"/>
        <w:jc w:val="both"/>
        <w:rPr>
          <w:rFonts w:ascii="Times New Roman" w:hAnsi="Times New Roman" w:cs="Times New Roman"/>
          <w:sz w:val="24"/>
          <w:szCs w:val="24"/>
        </w:rPr>
      </w:pPr>
      <w:r w:rsidRPr="00B22EA2">
        <w:rPr>
          <w:rFonts w:ascii="Times New Roman" w:hAnsi="Times New Roman" w:cs="Times New Roman"/>
          <w:sz w:val="24"/>
          <w:szCs w:val="24"/>
        </w:rPr>
        <w:t>En octubre, una auditoría de la Comisión Europea concluyó que Brasil, el mayor exportador mundial de carne de vacuno, no puede garantizar que sus exportaciones a la UE estén libres de la hormona del crecimiento "estradiol 17-β", prohibida en Europa desde hace décadas.</w:t>
      </w:r>
    </w:p>
    <w:p w:rsidR="00CE266A" w:rsidRPr="00BF42D2" w:rsidRDefault="00CE266A" w:rsidP="00B22EA2">
      <w:pPr>
        <w:spacing w:line="240" w:lineRule="auto"/>
        <w:jc w:val="both"/>
        <w:rPr>
          <w:rFonts w:ascii="Times New Roman" w:hAnsi="Times New Roman" w:cs="Times New Roman"/>
          <w:b/>
          <w:sz w:val="24"/>
          <w:szCs w:val="24"/>
        </w:rPr>
      </w:pPr>
      <w:r w:rsidRPr="00BF42D2">
        <w:rPr>
          <w:rFonts w:ascii="Times New Roman" w:hAnsi="Times New Roman" w:cs="Times New Roman"/>
          <w:b/>
          <w:sz w:val="24"/>
          <w:szCs w:val="24"/>
        </w:rPr>
        <w:t xml:space="preserve">Nota I: Prolegómeno del escrito </w:t>
      </w:r>
      <w:r w:rsidRPr="00BF42D2">
        <w:rPr>
          <w:rFonts w:ascii="Times New Roman" w:hAnsi="Times New Roman" w:cs="Times New Roman"/>
          <w:sz w:val="24"/>
          <w:szCs w:val="24"/>
        </w:rPr>
        <w:t>(para no sorprender la buena fe de los lectores)</w:t>
      </w:r>
      <w:r w:rsidRPr="00BF42D2">
        <w:rPr>
          <w:rFonts w:ascii="Times New Roman" w:hAnsi="Times New Roman" w:cs="Times New Roman"/>
          <w:b/>
          <w:sz w:val="24"/>
          <w:szCs w:val="24"/>
        </w:rPr>
        <w:t xml:space="preserve"> </w:t>
      </w:r>
    </w:p>
    <w:p w:rsidR="0076134F" w:rsidRPr="00BF42D2" w:rsidRDefault="0076134F" w:rsidP="0076134F">
      <w:pPr>
        <w:spacing w:line="240" w:lineRule="auto"/>
        <w:jc w:val="both"/>
        <w:rPr>
          <w:rFonts w:ascii="Times New Roman" w:hAnsi="Times New Roman" w:cs="Times New Roman"/>
          <w:b/>
          <w:sz w:val="24"/>
          <w:szCs w:val="24"/>
        </w:rPr>
      </w:pPr>
      <w:r w:rsidRPr="00BF42D2">
        <w:rPr>
          <w:rFonts w:ascii="Times New Roman" w:hAnsi="Times New Roman" w:cs="Times New Roman"/>
          <w:b/>
          <w:sz w:val="24"/>
          <w:szCs w:val="24"/>
        </w:rPr>
        <w:t>La capacidad que posee un país de ser dueño de su destino, no se adquiere en los supermercados</w:t>
      </w:r>
    </w:p>
    <w:p w:rsidR="0076134F" w:rsidRPr="00BF42D2" w:rsidRDefault="0076134F" w:rsidP="0076134F">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A Europa se le fue el ayer y el mañana no le llega. Las “instituciones europeas”</w:t>
      </w:r>
      <w:r w:rsidR="00C206C0" w:rsidRPr="00BF42D2">
        <w:rPr>
          <w:rFonts w:ascii="Times New Roman" w:hAnsi="Times New Roman" w:cs="Times New Roman"/>
          <w:sz w:val="24"/>
          <w:szCs w:val="24"/>
        </w:rPr>
        <w:t>, están llevando a la UE a u</w:t>
      </w:r>
      <w:r w:rsidRPr="00BF42D2">
        <w:rPr>
          <w:rFonts w:ascii="Times New Roman" w:hAnsi="Times New Roman" w:cs="Times New Roman"/>
          <w:sz w:val="24"/>
          <w:szCs w:val="24"/>
        </w:rPr>
        <w:t>n</w:t>
      </w:r>
      <w:r w:rsidR="00C206C0" w:rsidRPr="00BF42D2">
        <w:rPr>
          <w:rFonts w:ascii="Times New Roman" w:hAnsi="Times New Roman" w:cs="Times New Roman"/>
          <w:sz w:val="24"/>
          <w:szCs w:val="24"/>
        </w:rPr>
        <w:t xml:space="preserve"> proceso de</w:t>
      </w:r>
      <w:r w:rsidRPr="00BF42D2">
        <w:rPr>
          <w:rFonts w:ascii="Times New Roman" w:hAnsi="Times New Roman" w:cs="Times New Roman"/>
          <w:sz w:val="24"/>
          <w:szCs w:val="24"/>
        </w:rPr>
        <w:t xml:space="preserve"> sui</w:t>
      </w:r>
      <w:r w:rsidR="00C206C0" w:rsidRPr="00BF42D2">
        <w:rPr>
          <w:rFonts w:ascii="Times New Roman" w:hAnsi="Times New Roman" w:cs="Times New Roman"/>
          <w:sz w:val="24"/>
          <w:szCs w:val="24"/>
        </w:rPr>
        <w:t>cidio asistido (con ayuda del “apparatchik”</w:t>
      </w:r>
      <w:r w:rsidRPr="00BF42D2">
        <w:rPr>
          <w:rFonts w:ascii="Times New Roman" w:hAnsi="Times New Roman" w:cs="Times New Roman"/>
          <w:sz w:val="24"/>
          <w:szCs w:val="24"/>
        </w:rPr>
        <w:t xml:space="preserve"> de Bruselas).</w:t>
      </w:r>
    </w:p>
    <w:p w:rsidR="0076134F" w:rsidRPr="00BF42D2" w:rsidRDefault="0076134F" w:rsidP="0076134F">
      <w:pPr>
        <w:spacing w:line="240" w:lineRule="auto"/>
        <w:jc w:val="both"/>
        <w:rPr>
          <w:rFonts w:ascii="Times New Roman" w:hAnsi="Times New Roman" w:cs="Times New Roman"/>
          <w:sz w:val="24"/>
          <w:szCs w:val="24"/>
        </w:rPr>
      </w:pPr>
      <w:r w:rsidRPr="00BF42D2">
        <w:rPr>
          <w:rFonts w:ascii="Times New Roman" w:hAnsi="Times New Roman" w:cs="Times New Roman"/>
          <w:b/>
          <w:sz w:val="24"/>
          <w:szCs w:val="24"/>
        </w:rPr>
        <w:t>Enmienda a la totalidad</w:t>
      </w:r>
      <w:r w:rsidRPr="00BF42D2">
        <w:rPr>
          <w:rFonts w:ascii="Times New Roman" w:hAnsi="Times New Roman" w:cs="Times New Roman"/>
          <w:sz w:val="24"/>
          <w:szCs w:val="24"/>
        </w:rPr>
        <w:t>: en busca de la competitividad perdida, recuperar la libertad de empresa, dejar de “salvar” la vida de los europeos, del planeta, y del hermano bicho.</w:t>
      </w:r>
    </w:p>
    <w:p w:rsidR="00C206C0" w:rsidRPr="00BF42D2" w:rsidRDefault="0076134F" w:rsidP="0076134F">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Hay que despojar a la burocracia europea de sus complejos, de su resignación</w:t>
      </w:r>
      <w:r w:rsidR="001A667E" w:rsidRPr="00BF42D2">
        <w:rPr>
          <w:rFonts w:ascii="Times New Roman" w:hAnsi="Times New Roman" w:cs="Times New Roman"/>
          <w:sz w:val="24"/>
          <w:szCs w:val="24"/>
        </w:rPr>
        <w:t>,</w:t>
      </w:r>
      <w:r w:rsidRPr="00BF42D2">
        <w:rPr>
          <w:rFonts w:ascii="Times New Roman" w:hAnsi="Times New Roman" w:cs="Times New Roman"/>
          <w:sz w:val="24"/>
          <w:szCs w:val="24"/>
        </w:rPr>
        <w:t xml:space="preserve"> y de sus egoísmos: Burocracia </w:t>
      </w:r>
      <w:r w:rsidR="00C206C0" w:rsidRPr="00BF42D2">
        <w:rPr>
          <w:rFonts w:ascii="Times New Roman" w:hAnsi="Times New Roman" w:cs="Times New Roman"/>
          <w:sz w:val="24"/>
          <w:szCs w:val="24"/>
        </w:rPr>
        <w:t xml:space="preserve">compulsiva - Peso regulatorio </w:t>
      </w:r>
      <w:r w:rsidRPr="00BF42D2">
        <w:rPr>
          <w:rFonts w:ascii="Times New Roman" w:hAnsi="Times New Roman" w:cs="Times New Roman"/>
          <w:sz w:val="24"/>
          <w:szCs w:val="24"/>
        </w:rPr>
        <w:t>- Fanatismo climático - Reglamentar la vida de los europeos - Agenda 2030 - Pacto Verde - Europa sostenible - Biodiversidad - Restauración de la naturaleza -  Estrategia De la Granja a la Mesa - El Diario de la vaca - Next generation</w:t>
      </w:r>
      <w:r w:rsidR="001A667E" w:rsidRPr="00BF42D2">
        <w:rPr>
          <w:rFonts w:ascii="Times New Roman" w:hAnsi="Times New Roman" w:cs="Times New Roman"/>
          <w:sz w:val="24"/>
          <w:szCs w:val="24"/>
        </w:rPr>
        <w:t xml:space="preserve"> - Plan Marshall para la Inteligencia Artificial</w:t>
      </w:r>
      <w:r w:rsidR="00C206C0" w:rsidRPr="00BF42D2">
        <w:rPr>
          <w:rFonts w:ascii="Times New Roman" w:hAnsi="Times New Roman" w:cs="Times New Roman"/>
          <w:sz w:val="24"/>
          <w:szCs w:val="24"/>
        </w:rPr>
        <w:t>…</w:t>
      </w:r>
    </w:p>
    <w:p w:rsidR="00C206C0" w:rsidRPr="00BF42D2" w:rsidRDefault="00C206C0" w:rsidP="0076134F">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Hay que evitar que la Unión Europea termine siendo </w:t>
      </w:r>
      <w:r w:rsidR="0076134F" w:rsidRPr="00BF42D2">
        <w:rPr>
          <w:rFonts w:ascii="Times New Roman" w:hAnsi="Times New Roman" w:cs="Times New Roman"/>
          <w:sz w:val="24"/>
          <w:szCs w:val="24"/>
        </w:rPr>
        <w:t>“un comunismo sin planificación, y un capitalismo sin mercado” (inventar el azúcar salado, soplar y sorber a la vez, subir y bajar la escalera al mismo tiempo, hacer una tortilla sin romper los huevos, estar “medio” embarazada…)</w:t>
      </w:r>
      <w:r w:rsidRPr="00BF42D2">
        <w:rPr>
          <w:rFonts w:ascii="Times New Roman" w:hAnsi="Times New Roman" w:cs="Times New Roman"/>
          <w:sz w:val="24"/>
          <w:szCs w:val="24"/>
        </w:rPr>
        <w:t>.</w:t>
      </w:r>
      <w:r w:rsidR="0076134F" w:rsidRPr="00BF42D2">
        <w:rPr>
          <w:rFonts w:ascii="Times New Roman" w:hAnsi="Times New Roman" w:cs="Times New Roman"/>
          <w:sz w:val="24"/>
          <w:szCs w:val="24"/>
        </w:rPr>
        <w:t xml:space="preserve"> </w:t>
      </w:r>
      <w:r w:rsidRPr="00BF42D2">
        <w:rPr>
          <w:rFonts w:ascii="Times New Roman" w:hAnsi="Times New Roman" w:cs="Times New Roman"/>
          <w:sz w:val="24"/>
          <w:szCs w:val="24"/>
        </w:rPr>
        <w:t xml:space="preserve"> </w:t>
      </w:r>
      <w:r w:rsidR="00CE266A" w:rsidRPr="00BF42D2">
        <w:rPr>
          <w:rFonts w:ascii="Times New Roman" w:hAnsi="Times New Roman" w:cs="Times New Roman"/>
          <w:sz w:val="24"/>
          <w:szCs w:val="24"/>
        </w:rPr>
        <w:t>“Lo que no puede ser, no puede ser, y además es imposible” (frase atribuida a Rafael Guerra, el torero del ingenio, o a Charles Maurice de Talleyrand. Ustedes eligen)</w:t>
      </w:r>
    </w:p>
    <w:p w:rsidR="0076134F" w:rsidRPr="00BF42D2" w:rsidRDefault="00C206C0" w:rsidP="0076134F">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Hay que restablecer la competitividad perdida eliminando todas las restricciones a las actividades productivas  (el tsunami de obligaciones).</w:t>
      </w:r>
      <w:r w:rsidR="001A667E" w:rsidRPr="00BF42D2">
        <w:rPr>
          <w:rFonts w:ascii="Times New Roman" w:hAnsi="Times New Roman" w:cs="Times New Roman"/>
          <w:sz w:val="24"/>
          <w:szCs w:val="24"/>
        </w:rPr>
        <w:t xml:space="preserve"> Hay que dejar a los agricultores que planten hasta en la</w:t>
      </w:r>
      <w:r w:rsidR="00860E6B" w:rsidRPr="00BF42D2">
        <w:rPr>
          <w:rFonts w:ascii="Times New Roman" w:hAnsi="Times New Roman" w:cs="Times New Roman"/>
          <w:sz w:val="24"/>
          <w:szCs w:val="24"/>
        </w:rPr>
        <w:t>s</w:t>
      </w:r>
      <w:r w:rsidR="001A667E" w:rsidRPr="00BF42D2">
        <w:rPr>
          <w:rFonts w:ascii="Times New Roman" w:hAnsi="Times New Roman" w:cs="Times New Roman"/>
          <w:sz w:val="24"/>
          <w:szCs w:val="24"/>
        </w:rPr>
        <w:t xml:space="preserve"> maceta</w:t>
      </w:r>
      <w:r w:rsidR="00860E6B" w:rsidRPr="00BF42D2">
        <w:rPr>
          <w:rFonts w:ascii="Times New Roman" w:hAnsi="Times New Roman" w:cs="Times New Roman"/>
          <w:sz w:val="24"/>
          <w:szCs w:val="24"/>
        </w:rPr>
        <w:t>s</w:t>
      </w:r>
      <w:r w:rsidR="001A667E" w:rsidRPr="00BF42D2">
        <w:rPr>
          <w:rFonts w:ascii="Times New Roman" w:hAnsi="Times New Roman" w:cs="Times New Roman"/>
          <w:sz w:val="24"/>
          <w:szCs w:val="24"/>
        </w:rPr>
        <w:t>, a los ganaderos</w:t>
      </w:r>
      <w:r w:rsidR="00860E6B" w:rsidRPr="00BF42D2">
        <w:rPr>
          <w:rFonts w:ascii="Times New Roman" w:hAnsi="Times New Roman" w:cs="Times New Roman"/>
          <w:sz w:val="24"/>
          <w:szCs w:val="24"/>
        </w:rPr>
        <w:t xml:space="preserve"> que lle</w:t>
      </w:r>
      <w:r w:rsidR="00990658" w:rsidRPr="00BF42D2">
        <w:rPr>
          <w:rFonts w:ascii="Times New Roman" w:hAnsi="Times New Roman" w:cs="Times New Roman"/>
          <w:sz w:val="24"/>
          <w:szCs w:val="24"/>
        </w:rPr>
        <w:t>ven</w:t>
      </w:r>
      <w:r w:rsidR="00F13779" w:rsidRPr="00BF42D2">
        <w:rPr>
          <w:rFonts w:ascii="Times New Roman" w:hAnsi="Times New Roman" w:cs="Times New Roman"/>
          <w:sz w:val="24"/>
          <w:szCs w:val="24"/>
        </w:rPr>
        <w:t xml:space="preserve"> a pastar a</w:t>
      </w:r>
      <w:r w:rsidR="00990658" w:rsidRPr="00BF42D2">
        <w:rPr>
          <w:rFonts w:ascii="Times New Roman" w:hAnsi="Times New Roman" w:cs="Times New Roman"/>
          <w:sz w:val="24"/>
          <w:szCs w:val="24"/>
        </w:rPr>
        <w:t xml:space="preserve"> sus vacas donde quieran</w:t>
      </w:r>
      <w:r w:rsidR="001A667E" w:rsidRPr="00BF42D2">
        <w:rPr>
          <w:rFonts w:ascii="Times New Roman" w:hAnsi="Times New Roman" w:cs="Times New Roman"/>
          <w:sz w:val="24"/>
          <w:szCs w:val="24"/>
        </w:rPr>
        <w:t>, y a los pescadores que lance</w:t>
      </w:r>
      <w:r w:rsidR="00990658" w:rsidRPr="00BF42D2">
        <w:rPr>
          <w:rFonts w:ascii="Times New Roman" w:hAnsi="Times New Roman" w:cs="Times New Roman"/>
          <w:sz w:val="24"/>
          <w:szCs w:val="24"/>
        </w:rPr>
        <w:t>n sus redes</w:t>
      </w:r>
      <w:r w:rsidR="001A667E" w:rsidRPr="00BF42D2">
        <w:rPr>
          <w:rFonts w:ascii="Times New Roman" w:hAnsi="Times New Roman" w:cs="Times New Roman"/>
          <w:sz w:val="24"/>
          <w:szCs w:val="24"/>
        </w:rPr>
        <w:t xml:space="preserve"> hasta en los charcos que deja</w:t>
      </w:r>
      <w:r w:rsidR="00F13779" w:rsidRPr="00BF42D2">
        <w:rPr>
          <w:rFonts w:ascii="Times New Roman" w:hAnsi="Times New Roman" w:cs="Times New Roman"/>
          <w:sz w:val="24"/>
          <w:szCs w:val="24"/>
        </w:rPr>
        <w:t xml:space="preserve"> la lluvia. Volver al origen.</w:t>
      </w:r>
    </w:p>
    <w:p w:rsidR="0076134F" w:rsidRPr="00BF42D2" w:rsidRDefault="0076134F" w:rsidP="0076134F">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Por supuesto, el 9% de la población mundial que representa la UE, nada puede</w:t>
      </w:r>
      <w:r w:rsidR="001A667E" w:rsidRPr="00BF42D2">
        <w:rPr>
          <w:rFonts w:ascii="Times New Roman" w:hAnsi="Times New Roman" w:cs="Times New Roman"/>
          <w:sz w:val="24"/>
          <w:szCs w:val="24"/>
        </w:rPr>
        <w:t xml:space="preserve"> hacer</w:t>
      </w:r>
      <w:r w:rsidRPr="00BF42D2">
        <w:rPr>
          <w:rFonts w:ascii="Times New Roman" w:hAnsi="Times New Roman" w:cs="Times New Roman"/>
          <w:sz w:val="24"/>
          <w:szCs w:val="24"/>
        </w:rPr>
        <w:t xml:space="preserve"> contra la huella de carbono del otro 91% y que, como tiene más niños y la energía más barata, seguirá aumentando esa diferencia, de población y de producción, que ha hundido Europa. Y la clave es</w:t>
      </w:r>
      <w:r w:rsidR="00990658" w:rsidRPr="00BF42D2">
        <w:rPr>
          <w:rFonts w:ascii="Times New Roman" w:hAnsi="Times New Roman" w:cs="Times New Roman"/>
          <w:sz w:val="24"/>
          <w:szCs w:val="24"/>
        </w:rPr>
        <w:t>tá en</w:t>
      </w:r>
      <w:r w:rsidRPr="00BF42D2">
        <w:rPr>
          <w:rFonts w:ascii="Times New Roman" w:hAnsi="Times New Roman" w:cs="Times New Roman"/>
          <w:sz w:val="24"/>
          <w:szCs w:val="24"/>
        </w:rPr>
        <w:t xml:space="preserve"> la dictadura ecologista.</w:t>
      </w:r>
      <w:r w:rsidR="001A667E" w:rsidRPr="00BF42D2">
        <w:rPr>
          <w:rFonts w:ascii="Times New Roman" w:hAnsi="Times New Roman" w:cs="Times New Roman"/>
          <w:sz w:val="24"/>
          <w:szCs w:val="24"/>
        </w:rPr>
        <w:t xml:space="preserve"> </w:t>
      </w:r>
      <w:r w:rsidR="00860E6B" w:rsidRPr="00BF42D2">
        <w:rPr>
          <w:rFonts w:ascii="Times New Roman" w:hAnsi="Times New Roman" w:cs="Times New Roman"/>
          <w:sz w:val="24"/>
          <w:szCs w:val="24"/>
        </w:rPr>
        <w:t>Hay que abolir la tiranía de los salvadores del planeta.</w:t>
      </w:r>
    </w:p>
    <w:p w:rsidR="00B37F2D" w:rsidRPr="00BF42D2" w:rsidRDefault="00B37F2D" w:rsidP="00393954">
      <w:pPr>
        <w:pStyle w:val="NormalWeb"/>
        <w:spacing w:before="240" w:beforeAutospacing="0"/>
        <w:jc w:val="both"/>
        <w:rPr>
          <w:b/>
        </w:rPr>
      </w:pPr>
      <w:r w:rsidRPr="00BF42D2">
        <w:rPr>
          <w:b/>
        </w:rPr>
        <w:t>Nota</w:t>
      </w:r>
      <w:r w:rsidR="00CE266A" w:rsidRPr="00BF42D2">
        <w:rPr>
          <w:b/>
        </w:rPr>
        <w:t xml:space="preserve"> II</w:t>
      </w:r>
      <w:r w:rsidRPr="00BF42D2">
        <w:t xml:space="preserve">: </w:t>
      </w:r>
      <w:r w:rsidRPr="00BF42D2">
        <w:rPr>
          <w:b/>
        </w:rPr>
        <w:t>El dolor de los demás</w:t>
      </w:r>
    </w:p>
    <w:p w:rsidR="00860E6B" w:rsidRPr="00BF42D2" w:rsidRDefault="00B37F2D" w:rsidP="00393954">
      <w:pPr>
        <w:pStyle w:val="NormalWeb"/>
        <w:spacing w:before="240" w:beforeAutospacing="0"/>
        <w:jc w:val="both"/>
      </w:pPr>
      <w:r w:rsidRPr="00BF42D2">
        <w:t>A</w:t>
      </w:r>
      <w:r w:rsidR="00255C73" w:rsidRPr="00BF42D2">
        <w:t>unque</w:t>
      </w:r>
      <w:r w:rsidRPr="00BF42D2">
        <w:t xml:space="preserve"> mucha de la información, y datos estadísticos, utilizados a lo largo del Paper corresponden al</w:t>
      </w:r>
      <w:r w:rsidR="00255C73" w:rsidRPr="00BF42D2">
        <w:t xml:space="preserve"> campo español</w:t>
      </w:r>
      <w:r w:rsidRPr="00BF42D2">
        <w:t>,</w:t>
      </w:r>
      <w:r w:rsidR="00255C73" w:rsidRPr="00BF42D2">
        <w:t xml:space="preserve"> pueden general</w:t>
      </w:r>
      <w:r w:rsidRPr="00BF42D2">
        <w:t>izarse a todo el sector primario</w:t>
      </w:r>
      <w:r w:rsidR="00255C73" w:rsidRPr="00BF42D2">
        <w:t xml:space="preserve"> europeo</w:t>
      </w:r>
      <w:r w:rsidRPr="00BF42D2">
        <w:t>. El peso regulato</w:t>
      </w:r>
      <w:r w:rsidR="00703485" w:rsidRPr="00BF42D2">
        <w:t xml:space="preserve">rio, es idéntico. La competencia asimétrica, es igual. El dilema sobre si Europa debe “morir” con agradecimiento, es único. </w:t>
      </w:r>
      <w:r w:rsidR="005969E9" w:rsidRPr="00BF42D2">
        <w:t>El botón del pánico, es obvio</w:t>
      </w:r>
      <w:r w:rsidR="00703485" w:rsidRPr="00BF42D2">
        <w:t>. Ustedes juzgarán.</w:t>
      </w:r>
    </w:p>
    <w:p w:rsidR="00434092" w:rsidRPr="00860E6B" w:rsidRDefault="00434092" w:rsidP="00393954">
      <w:pPr>
        <w:pStyle w:val="NormalWeb"/>
        <w:spacing w:before="240" w:beforeAutospacing="0"/>
        <w:jc w:val="both"/>
        <w:rPr>
          <w:color w:val="FF0000"/>
        </w:rPr>
      </w:pPr>
      <w:r w:rsidRPr="0075181A">
        <w:rPr>
          <w:b/>
        </w:rPr>
        <w:lastRenderedPageBreak/>
        <w:t>- Introducción</w:t>
      </w:r>
      <w:r>
        <w:rPr>
          <w:b/>
        </w:rPr>
        <w:t>: el pliegue del tiempo (triste, solitario, y final)</w:t>
      </w:r>
    </w:p>
    <w:p w:rsidR="00434092" w:rsidRPr="0075181A" w:rsidRDefault="00434092" w:rsidP="00434092">
      <w:pPr>
        <w:spacing w:line="240" w:lineRule="auto"/>
        <w:jc w:val="both"/>
        <w:rPr>
          <w:rFonts w:ascii="Times New Roman" w:hAnsi="Times New Roman" w:cs="Times New Roman"/>
          <w:b/>
          <w:sz w:val="24"/>
          <w:szCs w:val="24"/>
        </w:rPr>
      </w:pPr>
      <w:r w:rsidRPr="00D40B3D">
        <w:rPr>
          <w:rFonts w:ascii="Times New Roman" w:hAnsi="Times New Roman" w:cs="Times New Roman"/>
          <w:noProof/>
          <w:sz w:val="24"/>
          <w:szCs w:val="24"/>
          <w:lang w:eastAsia="es-ES"/>
        </w:rPr>
        <w:drawing>
          <wp:inline distT="0" distB="0" distL="0" distR="0" wp14:anchorId="29F9168D" wp14:editId="53E2F910">
            <wp:extent cx="5734029" cy="428625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4284367"/>
                    </a:xfrm>
                    <a:prstGeom prst="rect">
                      <a:avLst/>
                    </a:prstGeom>
                  </pic:spPr>
                </pic:pic>
              </a:graphicData>
            </a:graphic>
          </wp:inline>
        </w:drawing>
      </w:r>
      <w:r w:rsidRPr="00D40B3D">
        <w:rPr>
          <w:rFonts w:ascii="Times New Roman" w:hAnsi="Times New Roman" w:cs="Times New Roman"/>
          <w:sz w:val="24"/>
          <w:szCs w:val="24"/>
        </w:rPr>
        <w:t>El demonio con una bruja, en un grabado antiguo</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En el ensayo Política y el Idioma Inglés, George Orwell nos avisaba de que “si el pensamiento corrompe el lenguaje, el lenguaje también puede corromper el pensamiento”. Esa idea fue la que le llevó a desarrollar el concepto de Neolengua en su novela 1984, en la que enseña cómo el lenguaje tiene el poder de enmascarar la verdad y engañar al público. El lenguaje se convierte en una herramienta de intoxicación y manipulación.</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Se ha insultado hasta el escarnio al sector primario, se han demonizado sus sistemas y beneficios, se han introducido rigideces ecológicas, operativas, y laborales, propias de los planes quinquenales soviéticos (Gosplan) y se ha regulado el comercio y la economía europea hasta el paroxismo. Bienvenidos al infierno reglamentarista europeo.</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El acaparamiento político de las instituciones, la corrupción, la demagogia y la creación de realidades paralelas para disfrazar de formas democráticas decisiones que esconden todo lo contrario... Son partes de un todo. </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Hay algunas “tractoradas”… hay algunos “chalecos amarillos”… pero la queja solo es eso, corrientes latentes instaladas en complejos, temores, inseguridades… que tranquilizan su conciencia con la teoría de que Europa es una red de seguridad, de que no todo dura para siempre, de que hay contrapesos. Pero no pasa nada.</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No se animan (aún) a reconocer que el aparato burocrático de Bruselas es una compleja maquinaria de ingeniería ideológico-social que responde a una detallada planificación para la deconstrucción del sistema vigente. Que en el nombre del Planeta, los derechos humanos, el </w:t>
      </w:r>
      <w:r w:rsidRPr="00BF42D2">
        <w:rPr>
          <w:rFonts w:ascii="Times New Roman" w:hAnsi="Times New Roman" w:cs="Times New Roman"/>
          <w:sz w:val="24"/>
          <w:szCs w:val="24"/>
        </w:rPr>
        <w:lastRenderedPageBreak/>
        <w:t>multilateralismo, las fronteras</w:t>
      </w:r>
      <w:r w:rsidR="003A53AF">
        <w:rPr>
          <w:rFonts w:ascii="Times New Roman" w:hAnsi="Times New Roman" w:cs="Times New Roman"/>
          <w:sz w:val="24"/>
          <w:szCs w:val="24"/>
        </w:rPr>
        <w:t xml:space="preserve"> abiertas, el multicultu</w:t>
      </w:r>
      <w:r w:rsidRPr="00BF42D2">
        <w:rPr>
          <w:rFonts w:ascii="Times New Roman" w:hAnsi="Times New Roman" w:cs="Times New Roman"/>
          <w:sz w:val="24"/>
          <w:szCs w:val="24"/>
        </w:rPr>
        <w:t xml:space="preserve">ralismo, la ideología woke, la cultura de la cancelación, o el comportamiento políticamente correcto, están “fusilando” a Europa.  </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Nunca pasa nada porque se ha consumado ese riesgo de aburrimiento propio de las sociedades del ocio acomodadas en su rutina y capaces de ensimismarse en su aburguesamiento. Y entonces, todo abuso, a base de repetirse, se relativiza y normaliza. Es el ‘síndrome de la nevera llena’ lo que apaga el efecto acción-reacción, lo que conduce a la indolencia y a una abulia colectiva basada en el “ya cambiará”.</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La Unión Europea (en manos, y pies, de quienes dicen dirigirla -¿o llevarla a paredón de fusilamiento?-) ha entregado su sector industrial a China (a cambio de unos autitos, que ya ha dejado de comprar, y comienza a venderle); ha entregado su sector servicios a los EEUU (mutando en una economía de camareros para atender a los turistas de los países ricos -americanos, chinos, japoneses,</w:t>
      </w:r>
      <w:r w:rsidR="00860E6B" w:rsidRPr="00BF42D2">
        <w:rPr>
          <w:rFonts w:ascii="Times New Roman" w:hAnsi="Times New Roman" w:cs="Times New Roman"/>
          <w:sz w:val="24"/>
          <w:szCs w:val="24"/>
        </w:rPr>
        <w:t xml:space="preserve"> rusos,</w:t>
      </w:r>
      <w:r w:rsidRPr="00BF42D2">
        <w:rPr>
          <w:rFonts w:ascii="Times New Roman" w:hAnsi="Times New Roman" w:cs="Times New Roman"/>
          <w:sz w:val="24"/>
          <w:szCs w:val="24"/>
        </w:rPr>
        <w:t xml:space="preserve"> árabes…- pedalear para Deliveroo, conducir vehículos para Uber, alquilar parte de su casa para Airbnb, o hacer paquetes para Amazon) mientras las grandes empresas tecnológicas de Silicon Valley, abducen, espían, trafican, intoxican, y manipulan, en régimen de monopolio, a los súbditos europeos); y ahora acelera la entrega del sector primario (la seguridad alimentaria, a terceros países -emergentes o sumergentes-, en forma unilateral, no recíproca, desequilibrada, descontrolada, asimétrica (y podría seguir agregando despropósitos)… ¿a cambio de qué?</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Con la “nueva” Comisión Europea (enero 2025), entramos en la última fase: conseguir el adormecimiento social, el aburrimiento frente al cúmulo de abusos, el hastío de tantas “primeras veces”. Se trata de que cada vuelta de tuerca al sistema sea más de lo mismo, que genere abulia, una anomia social, un adocenamiento sociológico. Los “grandes bonetes” de Bruselas, ya no tratan de convencer a nadie. Quieren una rendición por indolencia colectiva, por resignación soportable. Se han propuesto que cada súbdito europeo encuentre su hueco en el desmontaje de la Unión preguntándose aquello de “¿cuándo alguien hará algo?” </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Las “instituciones europeas” avanzan en esa desoladora percepción de rebaño automatizado, de sociedad post-pandémica atribulada, individualista, líquida y desestructurada. Tan anclada en la corrección política de lo woke, tan desganada y estabulada, que ya solo se limita a asumir un doble paradigma: los que se resignan a que este comportamiento antieuropeo es una anomalía pasajera cuyo fin ya llegará, y los que creen que es la pócima universalista que curará a los europeos del ombliguismo regional (</w:t>
      </w:r>
      <w:r w:rsidR="00860E6B" w:rsidRPr="00BF42D2">
        <w:rPr>
          <w:rFonts w:ascii="Times New Roman" w:hAnsi="Times New Roman" w:cs="Times New Roman"/>
          <w:sz w:val="24"/>
          <w:szCs w:val="24"/>
        </w:rPr>
        <w:t xml:space="preserve">de una </w:t>
      </w:r>
      <w:r w:rsidRPr="00BF42D2">
        <w:rPr>
          <w:rFonts w:ascii="Times New Roman" w:hAnsi="Times New Roman" w:cs="Times New Roman"/>
          <w:sz w:val="24"/>
          <w:szCs w:val="24"/>
        </w:rPr>
        <w:t>Europa para los europeos).</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Miembros de la Comisión Europea (con von der poni, a la cabeza): Absolutistas vocacionales entregados a la magia de sus validos…  se están ganando a pulso uno de los momentos más bajos de la Unión Europea (tal vez, escribiendo la “crónica de una muerte anunciada”). Traiciones inconfesables… Abdicaciones vergonzosas… Sumisiones imperdonables…  están convirtiendo a la Unión Europea en un solar de difícil rescate futuro. ¡Vaya legado!   </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“de todos los gobiernos a los cuales he servido, no hay ninguno de quien haya recibido yo más de lo que he dado; que no he abandonado a ninguno antes que él se hubiera abandonado a sí mismo; que no he puesto los intereses de ningún partido, ni los míos personales, ni los de mis allegados, en contrapeso con los verdaderos intereses de Francia, los que a su vez, nunca he creído en oposición con los verdaderos intereses de Europa” (Charles-Maurice de Talleyrand-Périgord, más conocido como Talleyrand)</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¿Alguno de los “grandes bonetes” de la Comisión Europea (del Parlamento Europeo y/o del Consejo Europeo), podría escribir de sí lo mismo? Siempre remando a favor del yo, mí, me, </w:t>
      </w:r>
      <w:r w:rsidRPr="00BF42D2">
        <w:rPr>
          <w:rFonts w:ascii="Times New Roman" w:hAnsi="Times New Roman" w:cs="Times New Roman"/>
          <w:sz w:val="24"/>
          <w:szCs w:val="24"/>
        </w:rPr>
        <w:lastRenderedPageBreak/>
        <w:t xml:space="preserve">conmigo; nunca mirando por los supremos intereses de Europa. Solo dedicados a seguir en el poder para dar continuidad al negocio propio (personal, de su banda, o de sus capos). </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Pero contra el manoseo del “proyecto europeo” (el de los padres fundadores de la Unión: Jean Monnet, Robert Schuman, Konrad Adenauer, Alcide De Gasperi y Paul-Henri Spaak), somnolencia. ¿Que por qué no ocurre nada? Porque</w:t>
      </w:r>
      <w:r w:rsidR="00FD67B2" w:rsidRPr="00BF42D2">
        <w:rPr>
          <w:rFonts w:ascii="Times New Roman" w:hAnsi="Times New Roman" w:cs="Times New Roman"/>
          <w:sz w:val="24"/>
          <w:szCs w:val="24"/>
        </w:rPr>
        <w:t xml:space="preserve"> los europeos dejan</w:t>
      </w:r>
      <w:r w:rsidRPr="00BF42D2">
        <w:rPr>
          <w:rFonts w:ascii="Times New Roman" w:hAnsi="Times New Roman" w:cs="Times New Roman"/>
          <w:sz w:val="24"/>
          <w:szCs w:val="24"/>
        </w:rPr>
        <w:t xml:space="preserve"> que no ocurra nada.</w:t>
      </w:r>
    </w:p>
    <w:p w:rsidR="00434092" w:rsidRPr="00BF42D2" w:rsidRDefault="00434092" w:rsidP="00434092">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Nunca pasa nada porque se ha consumado ese riesgo de aburrimiento propio de las sociedades del ocio acomodadas en su rutina y capaces de ensimismarse en su aburguesamiento. Y entonces, todo abuso, a base de repetirse, se</w:t>
      </w:r>
      <w:r w:rsidR="00990658" w:rsidRPr="00BF42D2">
        <w:rPr>
          <w:rFonts w:ascii="Times New Roman" w:hAnsi="Times New Roman" w:cs="Times New Roman"/>
          <w:sz w:val="24"/>
          <w:szCs w:val="24"/>
        </w:rPr>
        <w:t xml:space="preserve"> relativiza y normaliza. Es el “síndrome de la nevera llena”</w:t>
      </w:r>
      <w:r w:rsidRPr="00BF42D2">
        <w:rPr>
          <w:rFonts w:ascii="Times New Roman" w:hAnsi="Times New Roman" w:cs="Times New Roman"/>
          <w:sz w:val="24"/>
          <w:szCs w:val="24"/>
        </w:rPr>
        <w:t xml:space="preserve"> lo que apaga el efecto acción-reacción, lo que conduce a la indolencia y a una abulia colectiva basada en el “ya cambiará”.</w:t>
      </w:r>
    </w:p>
    <w:p w:rsidR="00434092" w:rsidRPr="00AE3AE7" w:rsidRDefault="00434092" w:rsidP="004340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3AE7">
        <w:rPr>
          <w:rFonts w:ascii="Times New Roman" w:hAnsi="Times New Roman" w:cs="Times New Roman"/>
          <w:sz w:val="24"/>
          <w:szCs w:val="24"/>
          <w:u w:val="single"/>
        </w:rPr>
        <w:t>Declaración de la Presidenta Von der Leyen con ocasión de la reunión de dirigentes del Mercosur</w:t>
      </w:r>
      <w:r>
        <w:rPr>
          <w:rFonts w:ascii="Times New Roman" w:hAnsi="Times New Roman" w:cs="Times New Roman"/>
          <w:sz w:val="24"/>
          <w:szCs w:val="24"/>
        </w:rPr>
        <w:t xml:space="preserve"> (Comisión Europea - </w:t>
      </w:r>
      <w:r w:rsidRPr="00AE3AE7">
        <w:rPr>
          <w:rFonts w:ascii="Times New Roman" w:hAnsi="Times New Roman" w:cs="Times New Roman"/>
          <w:b/>
          <w:sz w:val="24"/>
          <w:szCs w:val="24"/>
        </w:rPr>
        <w:t>6/12/24</w:t>
      </w:r>
      <w:r>
        <w:rPr>
          <w:rFonts w:ascii="Times New Roman" w:hAnsi="Times New Roman" w:cs="Times New Roman"/>
          <w:sz w:val="24"/>
          <w:szCs w:val="24"/>
        </w:rPr>
        <w:t>)</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Señoras y señores:</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Hoy hemos alcanzado todo un hito histórico. Permítanme que empiece manifestando mi agradecimiento a los negociadores principales por su dedicación y su determinación. Han trabajado infatigablemente, a lo largo de muchos años, en busca de un acuerdo ambicioso y equilibrado, y lo han conseguido. El vínculo entre Europa y los países del Mercosur es, sin duda alguna, uno de los más fuertes del mundo. Un vínculo arraigado en la confianza y enriquecido por un legado común que abarca siglos de aprendizaje y crecimiento mutuos. De hecho, hace exactamente 30 años, en 1994, mi predecesor Jacques Delors se encontraba aquí mismo, en Montevideo. Se reunió, estimado Luis, con su padre, a la sazón presidente de Uruguay. Ambos compartían una audaz visión; una visión de una integración más profunda, no solo dentro de Europa y del Mercosur, sino también entre ambas Partes. Hoy, en Montevideo, estamos convirtiendo esa visión en realidad. Estamos consolidando esta excepcional asociación de una forma hasta ahora desconocida y, con ello, estamos enviando un claro y pote</w:t>
      </w:r>
      <w:r>
        <w:rPr>
          <w:rFonts w:ascii="Times New Roman" w:hAnsi="Times New Roman" w:cs="Times New Roman"/>
          <w:sz w:val="24"/>
          <w:szCs w:val="24"/>
        </w:rPr>
        <w:t>nte mensaje al resto del mundo.</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En primer lugar, en un mundo que cada vez es más conflictivo, demostramos que las democracias pueden apoyarse las unas en las otras. Este acuerdo no es solamente una oportunidad económica, sino, además, una necesidad política. Somos socios afines, convencidos de que la apertura y la cooperación son los auténticos motores del progreso y la prosperidad. Sé que hay fuertes vientos soplando en la dirección opuesta, hacia el aislamiento y la fragmentación. Pero este acuerdo es nuestra clara respuesta: nos mantenemos unidos, com</w:t>
      </w:r>
      <w:r>
        <w:rPr>
          <w:rFonts w:ascii="Times New Roman" w:hAnsi="Times New Roman" w:cs="Times New Roman"/>
          <w:sz w:val="24"/>
          <w:szCs w:val="24"/>
        </w:rPr>
        <w:t>o socios, en la escena mundial.</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En segundo lugar, enviamos un mensaje a los ciudadanos y las empresas de nuestras regiones: este acuerdo se ha fraguado en defensa de sus intereses, se ha elaborado en su beneficio. Significa lo sig</w:t>
      </w:r>
      <w:r w:rsidR="00990658">
        <w:rPr>
          <w:rFonts w:ascii="Times New Roman" w:hAnsi="Times New Roman" w:cs="Times New Roman"/>
          <w:sz w:val="24"/>
          <w:szCs w:val="24"/>
        </w:rPr>
        <w:t>uiente: más puestos de trabajo -de calidad-</w:t>
      </w:r>
      <w:r w:rsidRPr="00AE3AE7">
        <w:rPr>
          <w:rFonts w:ascii="Times New Roman" w:hAnsi="Times New Roman" w:cs="Times New Roman"/>
          <w:sz w:val="24"/>
          <w:szCs w:val="24"/>
        </w:rPr>
        <w:t>, más opciones y mejores precios. La Unión Europea y el Mercosur configuran una de las mayores asociaciones comerciales y de inversión jamás vistas en el mundo. Estamos eliminando barreras y abriendo la puerta a las inversiones. Estamos creando un mercado de más de 700 millones de consumidores. Esta asociación reforzará cadenas de valor enteras; desarrollará industrias estratégicas; apoyará la innovación y creará empleo y valor</w:t>
      </w:r>
      <w:r>
        <w:rPr>
          <w:rFonts w:ascii="Times New Roman" w:hAnsi="Times New Roman" w:cs="Times New Roman"/>
          <w:sz w:val="24"/>
          <w:szCs w:val="24"/>
        </w:rPr>
        <w:t>es a ambos lados del Atlántico.</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En tercer lugar, estamos mostrando al mundo que el comercio puede y debe guiarse por valores. Los acuerdos comerciales son algo más que simples marcos económicos: son una forma de construir comunidades de valores compartidos. El Acuerdo UE-Mercosur refleja </w:t>
      </w:r>
      <w:r w:rsidRPr="00AE3AE7">
        <w:rPr>
          <w:rFonts w:ascii="Times New Roman" w:hAnsi="Times New Roman" w:cs="Times New Roman"/>
          <w:sz w:val="24"/>
          <w:szCs w:val="24"/>
        </w:rPr>
        <w:lastRenderedPageBreak/>
        <w:t>nuestro firme compromiso con el Acuerdo de París y con la lucha contra la deforestación. Los esfuerzos del presidente Lula por proteger la Amazonia son tan bienvenidos como necesarios. Pero preservar la Amazonia es una responsabilidad compartida de toda la humanidad. Este acuerdo garantiza que las inversiones respeten el extraordinario, aunque frágil, p</w:t>
      </w:r>
      <w:r>
        <w:rPr>
          <w:rFonts w:ascii="Times New Roman" w:hAnsi="Times New Roman" w:cs="Times New Roman"/>
          <w:sz w:val="24"/>
          <w:szCs w:val="24"/>
        </w:rPr>
        <w:t>atrimonio natural del Mercosur.</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Mi cuarto mensaje es que, desde el punto de vista económico, se trata de un acuerdo beneficioso para todas las partes. Europa es ya uno de los principales socios comerciales y de inversión del Mercosur. Así que ya saben cómo trabajamos juntos: nuestro lema es la equidad y el respeto mutuo. El Acuerdo UE-Mercosur aportará importantes beneficios a los consumidores y las empresas de ambas Partes; propiciará las inversiones europeas en industrias estratégicas en todos los países del Mercosur, como la minería sostenible, las energías renovables y los productos forestales sostenibles, por citar solo algunos ejemplos. Además, facilitará la inversión en sectores que repercuten directamente en la vida cotidiana de las personas. Por ejemplo, la extensión de la red eléctrica a las zonas rurales y remotas y el avance de la di</w:t>
      </w:r>
      <w:r>
        <w:rPr>
          <w:rFonts w:ascii="Times New Roman" w:hAnsi="Times New Roman" w:cs="Times New Roman"/>
          <w:sz w:val="24"/>
          <w:szCs w:val="24"/>
        </w:rPr>
        <w:t>gitalización en toda la región.</w:t>
      </w:r>
    </w:p>
    <w:p w:rsidR="00434092" w:rsidRPr="00AE3AE7"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Por último, permítanme que me dirija a mis conciudadanos europeos: este acuerdo es sumamente beneficioso para Europa. En </w:t>
      </w:r>
      <w:r w:rsidR="00BF42D2">
        <w:rPr>
          <w:rFonts w:ascii="Times New Roman" w:hAnsi="Times New Roman" w:cs="Times New Roman"/>
          <w:sz w:val="24"/>
          <w:szCs w:val="24"/>
        </w:rPr>
        <w:t>la actualidad, 60 000 empresas -</w:t>
      </w:r>
      <w:r w:rsidRPr="00AE3AE7">
        <w:rPr>
          <w:rFonts w:ascii="Times New Roman" w:hAnsi="Times New Roman" w:cs="Times New Roman"/>
          <w:sz w:val="24"/>
          <w:szCs w:val="24"/>
        </w:rPr>
        <w:t>30 000 de las cuales s</w:t>
      </w:r>
      <w:r w:rsidR="00BF42D2">
        <w:rPr>
          <w:rFonts w:ascii="Times New Roman" w:hAnsi="Times New Roman" w:cs="Times New Roman"/>
          <w:sz w:val="24"/>
          <w:szCs w:val="24"/>
        </w:rPr>
        <w:t>on pequeñas y medianas empresas-</w:t>
      </w:r>
      <w:r w:rsidRPr="00AE3AE7">
        <w:rPr>
          <w:rFonts w:ascii="Times New Roman" w:hAnsi="Times New Roman" w:cs="Times New Roman"/>
          <w:sz w:val="24"/>
          <w:szCs w:val="24"/>
        </w:rPr>
        <w:t xml:space="preserve"> exportan al Mercosur. Se beneficiarán de aranceles reducidos, procedimientos aduaneros simplificados y acceso preferencial a algunas materias primas fundamentales. Estas ventajas generarán enormes oportunidades de negocio. Y ahora, me dirijo a nuestros agricultores: les hemos escuchado, hemos tomado buena nota de sus preocupaciones y hemos actuado al respecto. Este acuerdo incluye sólidas salvaguardias para proteger sus medios de subsistencia. El Acuerdo UE-Mercosur es el mayor acuerdo jamás alcanzado en lo que respecta a la protección de los productos alimenticios y las bebidas de la UE: ampara a 350 indicaciones geográficas de la UE. Además, nuestras normas sanitarias y alimentarias europeas siguen siendo intocables. Esta es la realidad: la realidad de un acuerdo que ahorrará a las empresas de la UE derechos de exportación por valor de 4 000 millones de euros al año, ampliando al mismo tiempo nuestros mercados y abriendo nuevas oportunidades de crecim</w:t>
      </w:r>
      <w:r>
        <w:rPr>
          <w:rFonts w:ascii="Times New Roman" w:hAnsi="Times New Roman" w:cs="Times New Roman"/>
          <w:sz w:val="24"/>
          <w:szCs w:val="24"/>
        </w:rPr>
        <w:t>iento y empleo en ambas Partes.</w:t>
      </w:r>
    </w:p>
    <w:p w:rsidR="00BF42D2"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Quiero dar las gracias al presidente Lacalle Pou por acoger esta Cumbre y reunirnos aquí, en Montevideo. Hoy es un buen día para el Mercosur, un buen día para Europa y un momento histórico para nuestro futuro común. Toda una generación dedicó su esfuerzo, su visión y su determinación a hacer realidad este acuerdo. Ahora nos corresponde a nosotros honrar este legado. Velemos porque este acuerdo cumpla sus promesas y esté al servicio</w:t>
      </w:r>
      <w:r>
        <w:rPr>
          <w:rFonts w:ascii="Times New Roman" w:hAnsi="Times New Roman" w:cs="Times New Roman"/>
          <w:sz w:val="24"/>
          <w:szCs w:val="24"/>
        </w:rPr>
        <w:t xml:space="preserve"> de las generaciones venideras.</w:t>
      </w:r>
      <w:r w:rsidR="003D2125">
        <w:rPr>
          <w:rFonts w:ascii="Times New Roman" w:hAnsi="Times New Roman" w:cs="Times New Roman"/>
          <w:sz w:val="24"/>
          <w:szCs w:val="24"/>
        </w:rPr>
        <w:t xml:space="preserve"> </w:t>
      </w:r>
    </w:p>
    <w:p w:rsidR="00141CC3" w:rsidRDefault="00434092" w:rsidP="00434092">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Muchas gracias.</w:t>
      </w:r>
      <w:r w:rsidR="00FD67B2">
        <w:rPr>
          <w:rFonts w:ascii="Times New Roman" w:hAnsi="Times New Roman" w:cs="Times New Roman"/>
          <w:sz w:val="24"/>
          <w:szCs w:val="24"/>
        </w:rPr>
        <w:t xml:space="preserve">          </w:t>
      </w:r>
    </w:p>
    <w:p w:rsidR="003D2125" w:rsidRPr="00BF42D2" w:rsidRDefault="00141CC3" w:rsidP="00141CC3">
      <w:pPr>
        <w:spacing w:line="240" w:lineRule="auto"/>
        <w:jc w:val="both"/>
        <w:rPr>
          <w:rFonts w:ascii="Times New Roman" w:hAnsi="Times New Roman" w:cs="Times New Roman"/>
          <w:b/>
          <w:sz w:val="24"/>
          <w:szCs w:val="24"/>
        </w:rPr>
      </w:pPr>
      <w:r w:rsidRPr="00BF42D2">
        <w:rPr>
          <w:rFonts w:ascii="Times New Roman" w:hAnsi="Times New Roman" w:cs="Times New Roman"/>
          <w:b/>
          <w:sz w:val="24"/>
          <w:szCs w:val="24"/>
        </w:rPr>
        <w:t>Nota</w:t>
      </w:r>
      <w:r w:rsidRPr="00BF42D2">
        <w:rPr>
          <w:rFonts w:ascii="Times New Roman" w:hAnsi="Times New Roman" w:cs="Times New Roman"/>
          <w:sz w:val="24"/>
          <w:szCs w:val="24"/>
        </w:rPr>
        <w:t>: ¿</w:t>
      </w:r>
      <w:r w:rsidRPr="00BF42D2">
        <w:rPr>
          <w:rFonts w:ascii="Times New Roman" w:hAnsi="Times New Roman" w:cs="Times New Roman"/>
          <w:b/>
          <w:sz w:val="24"/>
          <w:szCs w:val="24"/>
        </w:rPr>
        <w:t>a verlas venir</w:t>
      </w:r>
      <w:r w:rsidR="00990658" w:rsidRPr="00BF42D2">
        <w:rPr>
          <w:rFonts w:ascii="Times New Roman" w:hAnsi="Times New Roman" w:cs="Times New Roman"/>
          <w:b/>
          <w:sz w:val="24"/>
          <w:szCs w:val="24"/>
        </w:rPr>
        <w:t>,</w:t>
      </w:r>
      <w:r w:rsidRPr="00BF42D2">
        <w:rPr>
          <w:rFonts w:ascii="Times New Roman" w:hAnsi="Times New Roman" w:cs="Times New Roman"/>
          <w:b/>
          <w:sz w:val="24"/>
          <w:szCs w:val="24"/>
        </w:rPr>
        <w:t xml:space="preserve"> o más de los mismo? </w:t>
      </w:r>
    </w:p>
    <w:p w:rsidR="00141CC3" w:rsidRPr="00BF42D2" w:rsidRDefault="00141CC3" w:rsidP="00141CC3">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“La reelegida Ursula Von der Leyen ha sido decepcionante, incapaz de ofrecer ninguna alternativa al estancamiento económico, que es hijo de esa parálisis política e ideológica que hace de la UE el enfermo de la economía mundial. Ursula tenía un poni para sus nenes al que mató un lobo, luctuoso imprevisto que le hizo matizar su idea sobre la fiera. Lo que no ha cambiado es su capacidad de hacer el ridículo: para plantar cara a Trump, citó como socios comerciales antes que a América a China y la India, a la que viaja la nueva dirección de la UE, que es la de siempre. O sea, que la UE aspira a convertirse en una confederaci</w:t>
      </w:r>
      <w:r w:rsidR="00BF42D2" w:rsidRPr="00BF42D2">
        <w:rPr>
          <w:rFonts w:ascii="Times New Roman" w:hAnsi="Times New Roman" w:cs="Times New Roman"/>
          <w:sz w:val="24"/>
          <w:szCs w:val="24"/>
        </w:rPr>
        <w:t>ón de países BRICS”... (F.</w:t>
      </w:r>
      <w:r w:rsidRPr="00BF42D2">
        <w:rPr>
          <w:rFonts w:ascii="Times New Roman" w:hAnsi="Times New Roman" w:cs="Times New Roman"/>
          <w:sz w:val="24"/>
          <w:szCs w:val="24"/>
        </w:rPr>
        <w:t xml:space="preserve"> Jiménez Losantos - Libertad Digital - 26/1/25 - “A propósito de Davos”)</w:t>
      </w:r>
    </w:p>
    <w:p w:rsidR="002C21CA" w:rsidRPr="00240828" w:rsidRDefault="002C21CA" w:rsidP="002C21CA">
      <w:pPr>
        <w:jc w:val="both"/>
        <w:rPr>
          <w:rFonts w:ascii="Times New Roman" w:hAnsi="Times New Roman" w:cs="Times New Roman"/>
          <w:b/>
          <w:sz w:val="24"/>
          <w:szCs w:val="24"/>
        </w:rPr>
      </w:pPr>
      <w:r w:rsidRPr="00240828">
        <w:rPr>
          <w:rFonts w:ascii="Times New Roman" w:hAnsi="Times New Roman" w:cs="Times New Roman"/>
          <w:b/>
          <w:sz w:val="24"/>
          <w:szCs w:val="24"/>
        </w:rPr>
        <w:lastRenderedPageBreak/>
        <w:t xml:space="preserve">- </w:t>
      </w:r>
      <w:r>
        <w:rPr>
          <w:rFonts w:ascii="Times New Roman" w:hAnsi="Times New Roman" w:cs="Times New Roman"/>
          <w:b/>
          <w:sz w:val="24"/>
          <w:szCs w:val="24"/>
        </w:rPr>
        <w:t>“Sectarius vulgari</w:t>
      </w:r>
      <w:r w:rsidRPr="00240828">
        <w:rPr>
          <w:rFonts w:ascii="Times New Roman" w:hAnsi="Times New Roman" w:cs="Times New Roman"/>
          <w:b/>
          <w:sz w:val="24"/>
          <w:szCs w:val="24"/>
        </w:rPr>
        <w:t>s</w:t>
      </w:r>
      <w:r>
        <w:rPr>
          <w:rFonts w:ascii="Times New Roman" w:hAnsi="Times New Roman" w:cs="Times New Roman"/>
          <w:b/>
          <w:sz w:val="24"/>
          <w:szCs w:val="24"/>
        </w:rPr>
        <w:t>” (antes</w:t>
      </w:r>
      <w:r w:rsidR="00255C73">
        <w:rPr>
          <w:rFonts w:ascii="Times New Roman" w:hAnsi="Times New Roman" w:cs="Times New Roman"/>
          <w:b/>
          <w:sz w:val="24"/>
          <w:szCs w:val="24"/>
        </w:rPr>
        <w:t>,</w:t>
      </w:r>
      <w:r>
        <w:rPr>
          <w:rFonts w:ascii="Times New Roman" w:hAnsi="Times New Roman" w:cs="Times New Roman"/>
          <w:b/>
          <w:sz w:val="24"/>
          <w:szCs w:val="24"/>
        </w:rPr>
        <w:t xml:space="preserve"> se decía que la UE era un gigante económico, y un enano político… ahora, el “apparatc</w:t>
      </w:r>
      <w:r w:rsidR="003E00CD">
        <w:rPr>
          <w:rFonts w:ascii="Times New Roman" w:hAnsi="Times New Roman" w:cs="Times New Roman"/>
          <w:b/>
          <w:sz w:val="24"/>
          <w:szCs w:val="24"/>
        </w:rPr>
        <w:t>hik” de Bruselas, ha logrado la</w:t>
      </w:r>
      <w:r w:rsidR="00FD67B2">
        <w:rPr>
          <w:rFonts w:ascii="Times New Roman" w:hAnsi="Times New Roman" w:cs="Times New Roman"/>
          <w:b/>
          <w:sz w:val="24"/>
          <w:szCs w:val="24"/>
        </w:rPr>
        <w:t xml:space="preserve"> </w:t>
      </w:r>
      <w:r>
        <w:rPr>
          <w:rFonts w:ascii="Times New Roman" w:hAnsi="Times New Roman" w:cs="Times New Roman"/>
          <w:b/>
          <w:sz w:val="24"/>
          <w:szCs w:val="24"/>
        </w:rPr>
        <w:t>UE</w:t>
      </w:r>
      <w:r w:rsidR="003E00CD">
        <w:rPr>
          <w:rFonts w:ascii="Times New Roman" w:hAnsi="Times New Roman" w:cs="Times New Roman"/>
          <w:b/>
          <w:sz w:val="24"/>
          <w:szCs w:val="24"/>
        </w:rPr>
        <w:t xml:space="preserve"> sea</w:t>
      </w:r>
      <w:r>
        <w:rPr>
          <w:rFonts w:ascii="Times New Roman" w:hAnsi="Times New Roman" w:cs="Times New Roman"/>
          <w:b/>
          <w:sz w:val="24"/>
          <w:szCs w:val="24"/>
        </w:rPr>
        <w:t xml:space="preserve"> “insignificante”</w:t>
      </w:r>
      <w:r w:rsidR="003E00CD">
        <w:rPr>
          <w:rFonts w:ascii="Times New Roman" w:hAnsi="Times New Roman" w:cs="Times New Roman"/>
          <w:b/>
          <w:sz w:val="24"/>
          <w:szCs w:val="24"/>
        </w:rPr>
        <w:t>)</w:t>
      </w:r>
    </w:p>
    <w:p w:rsidR="002C21CA" w:rsidRDefault="002C21CA" w:rsidP="002C21CA">
      <w:r>
        <w:rPr>
          <w:noProof/>
          <w:lang w:eastAsia="es-ES"/>
        </w:rPr>
        <w:drawing>
          <wp:inline distT="0" distB="0" distL="0" distR="0" wp14:anchorId="196433FE" wp14:editId="342B6161">
            <wp:extent cx="5727700" cy="3194050"/>
            <wp:effectExtent l="0" t="0" r="6350" b="6350"/>
            <wp:docPr id="116" name="Imagen 116" descr="https://copa-cogeca.eu/Content/Images/Who%20will%20pay%20the%20bill%20EU-mercos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copa-cogeca.eu/Content/Images/Who%20will%20pay%20the%20bill%20EU-mercosu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196175"/>
                    </a:xfrm>
                    <a:prstGeom prst="rect">
                      <a:avLst/>
                    </a:prstGeom>
                    <a:noFill/>
                    <a:ln>
                      <a:noFill/>
                    </a:ln>
                  </pic:spPr>
                </pic:pic>
              </a:graphicData>
            </a:graphic>
          </wp:inline>
        </w:drawing>
      </w:r>
    </w:p>
    <w:p w:rsidR="00990658"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D6BA0">
        <w:rPr>
          <w:rFonts w:ascii="Times New Roman" w:hAnsi="Times New Roman" w:cs="Times New Roman"/>
          <w:sz w:val="24"/>
          <w:szCs w:val="24"/>
        </w:rPr>
        <w:t>¿</w:t>
      </w:r>
      <w:r w:rsidRPr="00AD6BA0">
        <w:rPr>
          <w:rFonts w:ascii="Times New Roman" w:hAnsi="Times New Roman" w:cs="Times New Roman"/>
          <w:sz w:val="24"/>
          <w:szCs w:val="24"/>
          <w:u w:val="single"/>
        </w:rPr>
        <w:t>Es rentable el campo español? La subida de precios en origen y las subvenciones impulsan el sector tras años de pérdidas</w:t>
      </w:r>
      <w:r>
        <w:rPr>
          <w:rFonts w:ascii="Times New Roman" w:hAnsi="Times New Roman" w:cs="Times New Roman"/>
          <w:sz w:val="24"/>
          <w:szCs w:val="24"/>
        </w:rPr>
        <w:t xml:space="preserve"> (infobae - </w:t>
      </w:r>
      <w:r w:rsidRPr="00AD6BA0">
        <w:rPr>
          <w:rFonts w:ascii="Times New Roman" w:hAnsi="Times New Roman" w:cs="Times New Roman"/>
          <w:b/>
          <w:sz w:val="24"/>
          <w:szCs w:val="24"/>
        </w:rPr>
        <w:t>19/2/24</w:t>
      </w:r>
      <w:r>
        <w:rPr>
          <w:rFonts w:ascii="Times New Roman" w:hAnsi="Times New Roman" w:cs="Times New Roman"/>
          <w:sz w:val="24"/>
          <w:szCs w:val="24"/>
        </w:rPr>
        <w:t>)</w:t>
      </w:r>
    </w:p>
    <w:p w:rsidR="002C21CA" w:rsidRPr="00AD6BA0"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D6BA0">
        <w:rPr>
          <w:rFonts w:ascii="Times New Roman" w:hAnsi="Times New Roman" w:cs="Times New Roman"/>
          <w:sz w:val="24"/>
          <w:szCs w:val="24"/>
        </w:rPr>
        <w:t>Cristina Dolz</w:t>
      </w:r>
      <w:r>
        <w:rPr>
          <w:rFonts w:ascii="Times New Roman" w:hAnsi="Times New Roman" w:cs="Times New Roman"/>
          <w:sz w:val="24"/>
          <w:szCs w:val="24"/>
        </w:rPr>
        <w:t>)</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El estallido del malestar del campo se ha producido tras un año de buenas cifras globales en lo económico, aunque la situación es muy heterogénea por sectores. Determinados cultivos se han visto afectados por la sequía y por la competencia de los productos de terceros países, pero otras plantaciones y explotaciones ganaderas han elevado el valor de su producción al subir los precios mientras descendían los costes. A esto se suma que las subvenciones han crecido ligeramente en los últimos años, especialmente las que proceden de la PAC.</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Según los datos de avance del Ministerio de Agricultura, la renta agraria creció hasta los 31.931,3 millones en 2023, máximo de la serie histórica (desde 1990), y supone un aumento del 11,1% respecto al año anterior. Se trata del mayor aumento interanual desde 2016 y llega después de cuatro años de pérdidas (2018, 2019, 2020 y 2022). La renta agraria es el valor generado por la producción del sector medido como la remuneración a los factores de producción (tierra, trabajo y capital). Este indicador no informa de los beneficios empresariales, pero sí de la rentabilidad del sector, incluyendo los costes de producción, de amortización, el precio de lo producido, los impuestos pagados y las subvenciones recibidas.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 xml:space="preserve">Las cantidades producidas en la agricultura y en la ganadería han disminuido en términos generales (las excepciones son las patatas, las frutas, la carne de ave y los huevos), pero la inflación y la bajada costes en la energía y los fertilizantes han paliado en gran medida el menor volumen. La compensación ha sido parcial en la agricultura, que debido al descenso del volumen producido (-11,7%) ha perdido valor (-3,4%) pese al alza de los precios (9,4%). En la ganadería la compensación ha sido total, con un aumento del valor del 13,4% debido al aumento de precios (16,3%), mientras ha </w:t>
      </w:r>
      <w:r>
        <w:rPr>
          <w:rFonts w:ascii="Times New Roman" w:hAnsi="Times New Roman" w:cs="Times New Roman"/>
          <w:sz w:val="24"/>
          <w:szCs w:val="24"/>
        </w:rPr>
        <w:t>generado menos volumen (-2,5%).</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lastRenderedPageBreak/>
        <w:t>La caída en el volumen de la agricultura ha estado motivada por un mal año hidrológico que no ha afectado de la misma manera a todos los cultivos. Paradójicamente, las producciones de secano han sido las más perjudicadas (especialmente los cereales) y no han conseguido compensar el descenso de volumen con los precios. Las plantaciones de regadío han producido niveles similares o incluso superiores y han registrado mayores precios.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El caso más claro es el de las frutas, con un aumento del 3,6% del volumen producido y una subida de precios del 12,9%, lo que da como resultado un valor un 16,9% superior. El producto vegetal que más ha caído en volumen ha sido el aceite de oliva (-58,6%), que a pesar de la subida de precios del 70,7%, ha generado un valor inferior (-29,4%).</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Una parte de este valor generado corresponde a las subvenciones, que son de dos tipos: directas a los productos y otro grupo de ayudas en el que destaca la PAC. La suma de ambas ha ascendido a 7.155 millones de euros en 2023, por lo que son el 22,4% de la renta agraria. Aunque su cuantía es mayor, su peso en la renta agraria marcó el año pasado uno de los valores más bajos del siglo debido a que el valor que se genera por la actividad agraria no subvencionada ha crecido más. En 2009, uno de los peores años de la crisis financiera, las subvenciones llegaron a representar el 32,7% de la renta agraria.</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Cabe destacar que más allá de las subvenciones directas a los productos (que ascendieron a 868 millones en 2023) la PAC favorece expresamente a ciertos cultivos. En 2022 (últimos datos disponibles) dedicó una partida específica de 288,9 millones al sector de las frutas y hortalizas y otra de 56,8 millones al cultivo del algodón. Estas ayudas han ido a parar en mayor medida a empresas grandes y competitivas que se dedican sobre todo a exportar su producción. Es el caso de Vicasol (8,9 millones) y Murgiverde (6 millones), empresas que integran toda la cadena de producción agrícola mediante agricultores asociados.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Competencia en un mundo globalizado</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Las organizaciones agrarias protestan por un conjunto de cuestiones y muchas de ellas no tienen que ver directamente con la rentabilidad: pacto verde europeo, cuaderno digital y excesiva burocracia. No obstante, dos de las principales peticiones sí inciden en lo económico: hacer un control más exhaustivo de los precios en la cadena alimentaria y, sobre todo, exigir a los productos agrarios importados “las mismas normas de producción y comercialización que en la UE”</w:t>
      </w:r>
      <w:r>
        <w:rPr>
          <w:rFonts w:ascii="Times New Roman" w:hAnsi="Times New Roman" w:cs="Times New Roman"/>
          <w:sz w:val="24"/>
          <w:szCs w:val="24"/>
        </w:rPr>
        <w:t>, detalla un comunicado de UPA.</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Esto último no es posible en el mundo globalizado actual, por lo que las exigencias de la UE (cláusulas espejo) solo limitan el uso de productos fitosanitarios, mayoritariamente, para que un producto pueda ser importado. Además, en las últimas décadas han proliferado los acuerdos de libre comercio que han liberalizado más el sector agrario.</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Al igual que en el análisis de la renta agraria, los datos globales del comercio del sector primario son positivos, lo que no significa que haya explotaciones que realmente no puedan subsistir con el tipo de producto y de producción que tienen. España exporta más productos del campo de los que importa, de manera que la balanza comercial agroalimentaria tuvo un superávit de 12.589 millones hasta noviembre. El país sale ganando en el comercio global de productos agroalimentarios al vender más caro fuera y comprar más barato a terceros países. Un claro ejemplo es el de los tomates, vendidos a 1,75€ el kg en 2022 y pagados a 1,25€ los importados.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 xml:space="preserve">Sin embargo, no todos los agricultores y ganaderos tienen la capacidad de acceder a los mercados exteriores, aunque se trata de una realidad complicada de medir en datos. Los </w:t>
      </w:r>
      <w:r w:rsidRPr="00AD6BA0">
        <w:rPr>
          <w:rFonts w:ascii="Times New Roman" w:hAnsi="Times New Roman" w:cs="Times New Roman"/>
          <w:sz w:val="24"/>
          <w:szCs w:val="24"/>
        </w:rPr>
        <w:lastRenderedPageBreak/>
        <w:t>disponibles (de la Agencia Tributaria a partir del INE) no permiten saber qué porcentaje de negocios agrarios exportan y cuáles no, solo el número de empresas agrarias que venden al exterior (2.268 en 2021).</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El Gobierno ve “preocupante” el tomate de Marruecos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Hay dos productos afectados especialmente por la competencia de terceros países: los tomates y los cereales. En 2001, España era líder en exportación de tomates, ya que poseía el 21,3% de la cuota de mercado global de este producto, pero 2021 (últimos datos disponibles en el OEC) la cuota había descendido ya al 11,4%. Lo que ha sucedido entre un año y otro es que a España le ha salido competencia, especi</w:t>
      </w:r>
      <w:r>
        <w:rPr>
          <w:rFonts w:ascii="Times New Roman" w:hAnsi="Times New Roman" w:cs="Times New Roman"/>
          <w:sz w:val="24"/>
          <w:szCs w:val="24"/>
        </w:rPr>
        <w:t>almente por parte de Marruecos.</w:t>
      </w:r>
    </w:p>
    <w:p w:rsidR="002C21CA" w:rsidRPr="00AD6BA0"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En un informe de 2022, el antiguo Ministerio de Industria y Comercio reconoce que “desde 2016 se observa una tendencia creciente y un aumento bastante preocupante de las importaciones de tomate de Marruecos tanto en valor (218 %) como en volumen (150 %)”. Según explica el ministerio, esto es debido en parte a que las preferencias arancelarias que la UE aplica a las importaciones de tomate de Marruecos basándose en el Acuerdo de Asociación son “especialmente favorables” en cuanto a los aranceles de imp</w:t>
      </w:r>
      <w:r>
        <w:rPr>
          <w:rFonts w:ascii="Times New Roman" w:hAnsi="Times New Roman" w:cs="Times New Roman"/>
          <w:sz w:val="24"/>
          <w:szCs w:val="24"/>
        </w:rPr>
        <w:t>ortación y a otras concesiones.</w:t>
      </w:r>
    </w:p>
    <w:p w:rsidR="002C21CA" w:rsidRDefault="002C21CA" w:rsidP="002C21CA">
      <w:pPr>
        <w:spacing w:line="240" w:lineRule="auto"/>
        <w:jc w:val="both"/>
        <w:rPr>
          <w:rFonts w:ascii="Times New Roman" w:hAnsi="Times New Roman" w:cs="Times New Roman"/>
          <w:sz w:val="24"/>
          <w:szCs w:val="24"/>
        </w:rPr>
      </w:pPr>
      <w:r w:rsidRPr="00AD6BA0">
        <w:rPr>
          <w:rFonts w:ascii="Times New Roman" w:hAnsi="Times New Roman" w:cs="Times New Roman"/>
          <w:sz w:val="24"/>
          <w:szCs w:val="24"/>
        </w:rPr>
        <w:t>Por otra parte, España siempre ha tenido déficit comercial en cereales, pero la retirada de aranceles al grano ucraniano desde junio de 2022 ha hundido los precios del producto español, a lo que se ha sumado la sequía. Según el Ministerio de Agricultura, las explotaciones de cereales han producido un 34,7% menos en 2023 y su precio ha caído un 23,7%, lo que da como resultado una pérdida de la mitad del valor de producción respecto a 2022. El pasado seis de febrero, en plena jornada de protestas, Agricultura publicó el listado de beneficiarios de unas ayudas extraordinarias para agricultores con cultivos de secano, arroz y tomate de industria afectados por la sequía y la guerra en Ucrania.</w:t>
      </w:r>
    </w:p>
    <w:p w:rsidR="00371DD3" w:rsidRDefault="00371DD3" w:rsidP="002C21CA">
      <w:pPr>
        <w:spacing w:line="240" w:lineRule="auto"/>
        <w:jc w:val="both"/>
        <w:rPr>
          <w:rFonts w:ascii="Times New Roman" w:hAnsi="Times New Roman" w:cs="Times New Roman"/>
          <w:sz w:val="24"/>
          <w:szCs w:val="24"/>
        </w:rPr>
      </w:pPr>
      <w:r w:rsidRPr="00371DD3">
        <w:rPr>
          <w:rFonts w:ascii="Times New Roman" w:hAnsi="Times New Roman" w:cs="Times New Roman"/>
          <w:b/>
          <w:sz w:val="24"/>
          <w:szCs w:val="24"/>
        </w:rPr>
        <w:t>Nota</w:t>
      </w:r>
      <w:r>
        <w:rPr>
          <w:rFonts w:ascii="Times New Roman" w:hAnsi="Times New Roman" w:cs="Times New Roman"/>
          <w:sz w:val="24"/>
          <w:szCs w:val="24"/>
        </w:rPr>
        <w:t xml:space="preserve">: Deslocalización agroalimentaria. </w:t>
      </w:r>
      <w:r w:rsidRPr="00371DD3">
        <w:rPr>
          <w:rFonts w:ascii="Times New Roman" w:hAnsi="Times New Roman" w:cs="Times New Roman"/>
          <w:sz w:val="24"/>
          <w:szCs w:val="24"/>
        </w:rPr>
        <w:t>La fuerte subida de los costes y el alza de los salarios y las cotizaciones sociales ha</w:t>
      </w:r>
      <w:r>
        <w:rPr>
          <w:rFonts w:ascii="Times New Roman" w:hAnsi="Times New Roman" w:cs="Times New Roman"/>
          <w:sz w:val="24"/>
          <w:szCs w:val="24"/>
        </w:rPr>
        <w:t>n</w:t>
      </w:r>
      <w:r w:rsidRPr="00371DD3">
        <w:rPr>
          <w:rFonts w:ascii="Times New Roman" w:hAnsi="Times New Roman" w:cs="Times New Roman"/>
          <w:sz w:val="24"/>
          <w:szCs w:val="24"/>
        </w:rPr>
        <w:t xml:space="preserve"> provocado que en solo tres años el número de empresas del sector que han abierto de</w:t>
      </w:r>
      <w:r>
        <w:rPr>
          <w:rFonts w:ascii="Times New Roman" w:hAnsi="Times New Roman" w:cs="Times New Roman"/>
          <w:sz w:val="24"/>
          <w:szCs w:val="24"/>
        </w:rPr>
        <w:t>legaciones en Marruecos</w:t>
      </w:r>
      <w:r w:rsidRPr="00371DD3">
        <w:rPr>
          <w:rFonts w:ascii="Times New Roman" w:hAnsi="Times New Roman" w:cs="Times New Roman"/>
          <w:sz w:val="24"/>
          <w:szCs w:val="24"/>
        </w:rPr>
        <w:t xml:space="preserve"> haya crecido un 35%. Son ya un total de 50 compañías, el 16% de las más de 300 registradas en total por el Icex.</w:t>
      </w:r>
      <w:r>
        <w:rPr>
          <w:rFonts w:ascii="Times New Roman" w:hAnsi="Times New Roman" w:cs="Times New Roman"/>
          <w:sz w:val="24"/>
          <w:szCs w:val="24"/>
        </w:rPr>
        <w:t xml:space="preserve"> </w:t>
      </w:r>
    </w:p>
    <w:p w:rsidR="00371DD3" w:rsidRDefault="00371DD3" w:rsidP="002C21CA">
      <w:pPr>
        <w:spacing w:line="240" w:lineRule="auto"/>
        <w:jc w:val="both"/>
        <w:rPr>
          <w:rFonts w:ascii="Times New Roman" w:hAnsi="Times New Roman" w:cs="Times New Roman"/>
          <w:sz w:val="24"/>
          <w:szCs w:val="24"/>
        </w:rPr>
      </w:pPr>
      <w:r w:rsidRPr="00371DD3">
        <w:rPr>
          <w:rFonts w:ascii="Times New Roman" w:hAnsi="Times New Roman" w:cs="Times New Roman"/>
          <w:sz w:val="24"/>
          <w:szCs w:val="24"/>
        </w:rPr>
        <w:t>Entre las compañías allí instaladas, entre otras muchas, hay envasadores de aceite, como Acesur, la propietaria de Coosur y La Española; Borges o Alimenter; compañías de frutas y hortalizas como Agroatlas Europa, Iberfruta, Plantas de Navarra o Agrícola Perichan; de conservas, como Garavilla o Francisco Gil Gomes; de bulbos y semillas, como Agromillora Catalana o Semillas Fito o Florimond y de maquinaria agrícola, como Internaco; de riesgo, como Nutricontrol.</w:t>
      </w:r>
    </w:p>
    <w:p w:rsidR="00371DD3" w:rsidRDefault="00BF42D2"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71DD3" w:rsidRPr="00371DD3">
        <w:rPr>
          <w:rFonts w:ascii="Times New Roman" w:hAnsi="Times New Roman" w:cs="Times New Roman"/>
          <w:sz w:val="24"/>
          <w:szCs w:val="24"/>
        </w:rPr>
        <w:t>El exceso de regulación en Europa está ahogando a muchas empresas, que ante un entorno legal más favorables y mayores facilidades están apostando por instalarse en otras áreas como el norte de Áfr</w:t>
      </w:r>
      <w:r>
        <w:rPr>
          <w:rFonts w:ascii="Times New Roman" w:hAnsi="Times New Roman" w:cs="Times New Roman"/>
          <w:sz w:val="24"/>
          <w:szCs w:val="24"/>
        </w:rPr>
        <w:t>ica, especialmente en Marruecos”</w:t>
      </w:r>
      <w:r w:rsidR="00371DD3" w:rsidRPr="00371DD3">
        <w:rPr>
          <w:rFonts w:ascii="Times New Roman" w:hAnsi="Times New Roman" w:cs="Times New Roman"/>
          <w:sz w:val="24"/>
          <w:szCs w:val="24"/>
        </w:rPr>
        <w:t xml:space="preserve">. González Soler, fundador y presidente del grupo Alibérico, que cuenta también con filiales en el país norteafricano, tiene claro que lo que está </w:t>
      </w:r>
      <w:r>
        <w:rPr>
          <w:rFonts w:ascii="Times New Roman" w:hAnsi="Times New Roman" w:cs="Times New Roman"/>
          <w:sz w:val="24"/>
          <w:szCs w:val="24"/>
        </w:rPr>
        <w:t>pasando en este momento es que “</w:t>
      </w:r>
      <w:r w:rsidR="00371DD3" w:rsidRPr="00371DD3">
        <w:rPr>
          <w:rFonts w:ascii="Times New Roman" w:hAnsi="Times New Roman" w:cs="Times New Roman"/>
          <w:sz w:val="24"/>
          <w:szCs w:val="24"/>
        </w:rPr>
        <w:t>mientras que China produce y Estados Unidos inn</w:t>
      </w:r>
      <w:r>
        <w:rPr>
          <w:rFonts w:ascii="Times New Roman" w:hAnsi="Times New Roman" w:cs="Times New Roman"/>
          <w:sz w:val="24"/>
          <w:szCs w:val="24"/>
        </w:rPr>
        <w:t>ova, Europa se dedica a regular”</w:t>
      </w:r>
      <w:r w:rsidR="00371DD3" w:rsidRPr="00371DD3">
        <w:rPr>
          <w:rFonts w:ascii="Times New Roman" w:hAnsi="Times New Roman" w:cs="Times New Roman"/>
          <w:sz w:val="24"/>
          <w:szCs w:val="24"/>
        </w:rPr>
        <w:t>.</w:t>
      </w:r>
      <w:r w:rsidR="00371DD3">
        <w:rPr>
          <w:rFonts w:ascii="Times New Roman" w:hAnsi="Times New Roman" w:cs="Times New Roman"/>
          <w:sz w:val="24"/>
          <w:szCs w:val="24"/>
        </w:rPr>
        <w:t xml:space="preserve"> (Fuente: El Economista - 3/2/24)</w:t>
      </w:r>
    </w:p>
    <w:p w:rsidR="003D2125" w:rsidRPr="00BF42D2" w:rsidRDefault="003D2125" w:rsidP="002C21CA">
      <w:pPr>
        <w:spacing w:line="240" w:lineRule="auto"/>
        <w:jc w:val="both"/>
        <w:rPr>
          <w:rFonts w:ascii="Times New Roman" w:hAnsi="Times New Roman" w:cs="Times New Roman"/>
          <w:b/>
          <w:sz w:val="24"/>
          <w:szCs w:val="24"/>
        </w:rPr>
      </w:pPr>
      <w:r w:rsidRPr="00BF42D2">
        <w:rPr>
          <w:rFonts w:ascii="Times New Roman" w:hAnsi="Times New Roman" w:cs="Times New Roman"/>
          <w:b/>
          <w:sz w:val="24"/>
          <w:szCs w:val="24"/>
        </w:rPr>
        <w:t>Un aperitivo (para ir abriendo boca)</w:t>
      </w:r>
    </w:p>
    <w:p w:rsidR="003D2125" w:rsidRPr="00BF42D2" w:rsidRDefault="003D2125" w:rsidP="002C21CA">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 xml:space="preserve">Se presentan </w:t>
      </w:r>
      <w:r w:rsidR="003E00CD" w:rsidRPr="00BF42D2">
        <w:rPr>
          <w:rFonts w:ascii="Times New Roman" w:hAnsi="Times New Roman" w:cs="Times New Roman"/>
          <w:sz w:val="24"/>
          <w:szCs w:val="24"/>
        </w:rPr>
        <w:t>s</w:t>
      </w:r>
      <w:r w:rsidRPr="00BF42D2">
        <w:rPr>
          <w:rFonts w:ascii="Times New Roman" w:hAnsi="Times New Roman" w:cs="Times New Roman"/>
          <w:sz w:val="24"/>
          <w:szCs w:val="24"/>
        </w:rPr>
        <w:t>olo unos datos</w:t>
      </w:r>
      <w:r w:rsidR="002C21CA" w:rsidRPr="00BF42D2">
        <w:rPr>
          <w:rFonts w:ascii="Times New Roman" w:hAnsi="Times New Roman" w:cs="Times New Roman"/>
          <w:sz w:val="24"/>
          <w:szCs w:val="24"/>
        </w:rPr>
        <w:t xml:space="preserve"> pre</w:t>
      </w:r>
      <w:r w:rsidR="003E00CD" w:rsidRPr="00BF42D2">
        <w:rPr>
          <w:rFonts w:ascii="Times New Roman" w:hAnsi="Times New Roman" w:cs="Times New Roman"/>
          <w:sz w:val="24"/>
          <w:szCs w:val="24"/>
        </w:rPr>
        <w:t>liminares, a modo de ejemplo… l</w:t>
      </w:r>
      <w:r w:rsidR="002C21CA" w:rsidRPr="00BF42D2">
        <w:rPr>
          <w:rFonts w:ascii="Times New Roman" w:hAnsi="Times New Roman" w:cs="Times New Roman"/>
          <w:sz w:val="24"/>
          <w:szCs w:val="24"/>
        </w:rPr>
        <w:t>uego hay más, mucho más.</w:t>
      </w:r>
      <w:r w:rsidR="003E00CD" w:rsidRPr="00BF42D2">
        <w:rPr>
          <w:rFonts w:ascii="Times New Roman" w:hAnsi="Times New Roman" w:cs="Times New Roman"/>
          <w:sz w:val="24"/>
          <w:szCs w:val="24"/>
        </w:rPr>
        <w:t xml:space="preserve"> </w:t>
      </w:r>
    </w:p>
    <w:p w:rsidR="002C21CA" w:rsidRPr="00BF42D2" w:rsidRDefault="003D2125" w:rsidP="002C21CA">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lastRenderedPageBreak/>
        <w:t>Se utiliza una</w:t>
      </w:r>
      <w:r w:rsidR="003E00CD" w:rsidRPr="00BF42D2">
        <w:rPr>
          <w:rFonts w:ascii="Times New Roman" w:hAnsi="Times New Roman" w:cs="Times New Roman"/>
          <w:sz w:val="24"/>
          <w:szCs w:val="24"/>
        </w:rPr>
        <w:t xml:space="preserve"> información</w:t>
      </w:r>
      <w:r w:rsidRPr="00BF42D2">
        <w:rPr>
          <w:rFonts w:ascii="Times New Roman" w:hAnsi="Times New Roman" w:cs="Times New Roman"/>
          <w:sz w:val="24"/>
          <w:szCs w:val="24"/>
        </w:rPr>
        <w:t xml:space="preserve"> sobre </w:t>
      </w:r>
      <w:r w:rsidRPr="00BF42D2">
        <w:rPr>
          <w:rFonts w:ascii="Times New Roman" w:hAnsi="Times New Roman" w:cs="Times New Roman"/>
          <w:b/>
          <w:sz w:val="24"/>
          <w:szCs w:val="24"/>
        </w:rPr>
        <w:t>Costes y Rentas de las Explotaciones Agrarias</w:t>
      </w:r>
      <w:r w:rsidR="003E00CD" w:rsidRPr="00BF42D2">
        <w:rPr>
          <w:rFonts w:ascii="Times New Roman" w:hAnsi="Times New Roman" w:cs="Times New Roman"/>
          <w:sz w:val="24"/>
          <w:szCs w:val="24"/>
        </w:rPr>
        <w:t xml:space="preserve"> </w:t>
      </w:r>
      <w:r w:rsidR="003E00CD" w:rsidRPr="00BF42D2">
        <w:rPr>
          <w:rFonts w:ascii="Times New Roman" w:hAnsi="Times New Roman" w:cs="Times New Roman"/>
          <w:b/>
          <w:sz w:val="24"/>
          <w:szCs w:val="24"/>
        </w:rPr>
        <w:t>de España</w:t>
      </w:r>
      <w:r w:rsidR="003E00CD" w:rsidRPr="00BF42D2">
        <w:rPr>
          <w:rFonts w:ascii="Times New Roman" w:hAnsi="Times New Roman" w:cs="Times New Roman"/>
          <w:sz w:val="24"/>
          <w:szCs w:val="24"/>
        </w:rPr>
        <w:t xml:space="preserve"> como representativa de la sit</w:t>
      </w:r>
      <w:r w:rsidRPr="00BF42D2">
        <w:rPr>
          <w:rFonts w:ascii="Times New Roman" w:hAnsi="Times New Roman" w:cs="Times New Roman"/>
          <w:sz w:val="24"/>
          <w:szCs w:val="24"/>
        </w:rPr>
        <w:t>uación general del sector europeo. Los “cursis” dirían que puede  ser considerado como</w:t>
      </w:r>
      <w:r w:rsidR="003E00CD" w:rsidRPr="00BF42D2">
        <w:rPr>
          <w:rFonts w:ascii="Times New Roman" w:hAnsi="Times New Roman" w:cs="Times New Roman"/>
          <w:sz w:val="24"/>
          <w:szCs w:val="24"/>
        </w:rPr>
        <w:t xml:space="preserve"> un “leading case”. O sea  </w:t>
      </w:r>
    </w:p>
    <w:p w:rsidR="002C21CA" w:rsidRPr="00990658" w:rsidRDefault="002C21CA" w:rsidP="002C21CA">
      <w:pPr>
        <w:spacing w:line="240" w:lineRule="auto"/>
        <w:jc w:val="both"/>
        <w:rPr>
          <w:rFonts w:ascii="Times New Roman" w:hAnsi="Times New Roman" w:cs="Times New Roman"/>
          <w:sz w:val="24"/>
          <w:szCs w:val="24"/>
        </w:rPr>
      </w:pPr>
      <w:r w:rsidRPr="00AD2E18">
        <w:rPr>
          <w:rFonts w:ascii="Times New Roman" w:hAnsi="Times New Roman" w:cs="Times New Roman"/>
          <w:b/>
          <w:sz w:val="24"/>
          <w:szCs w:val="24"/>
        </w:rPr>
        <w:t>Estudios de Costes y Rentas de las Explotaciones Agrarias (ECREA 2.0.)</w:t>
      </w:r>
      <w:r w:rsidRPr="00804B52">
        <w:rPr>
          <w:rFonts w:ascii="Times New Roman" w:hAnsi="Times New Roman" w:cs="Times New Roman"/>
          <w:sz w:val="24"/>
          <w:szCs w:val="24"/>
        </w:rPr>
        <w:t xml:space="preserve"> - Informe Metodológico Estand</w:t>
      </w:r>
      <w:r w:rsidR="00990658">
        <w:rPr>
          <w:rFonts w:ascii="Times New Roman" w:hAnsi="Times New Roman" w:cs="Times New Roman"/>
          <w:sz w:val="24"/>
          <w:szCs w:val="24"/>
        </w:rPr>
        <w:t>arizado</w:t>
      </w:r>
    </w:p>
    <w:p w:rsidR="002C21CA" w:rsidRDefault="002C21CA" w:rsidP="002C21CA">
      <w:pPr>
        <w:spacing w:line="240" w:lineRule="auto"/>
        <w:jc w:val="both"/>
        <w:rPr>
          <w:rFonts w:ascii="Times New Roman" w:hAnsi="Times New Roman" w:cs="Times New Roman"/>
          <w:sz w:val="24"/>
          <w:szCs w:val="24"/>
        </w:rPr>
      </w:pPr>
      <w:r w:rsidRPr="00305BCC">
        <w:rPr>
          <w:rFonts w:ascii="Times New Roman" w:hAnsi="Times New Roman" w:cs="Times New Roman"/>
          <w:noProof/>
          <w:sz w:val="24"/>
          <w:szCs w:val="24"/>
          <w:lang w:eastAsia="es-ES"/>
        </w:rPr>
        <w:drawing>
          <wp:inline distT="0" distB="0" distL="0" distR="0" wp14:anchorId="7F43925D" wp14:editId="5E52E89A">
            <wp:extent cx="5731510" cy="2343428"/>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343428"/>
                    </a:xfrm>
                    <a:prstGeom prst="rect">
                      <a:avLst/>
                    </a:prstGeom>
                  </pic:spPr>
                </pic:pic>
              </a:graphicData>
            </a:graphic>
          </wp:inline>
        </w:drawing>
      </w:r>
      <w:r w:rsidRPr="00804B52">
        <w:rPr>
          <w:rFonts w:ascii="Times New Roman" w:hAnsi="Times New Roman" w:cs="Times New Roman"/>
          <w:noProof/>
          <w:sz w:val="24"/>
          <w:szCs w:val="24"/>
          <w:lang w:eastAsia="es-ES"/>
        </w:rPr>
        <w:drawing>
          <wp:inline distT="0" distB="0" distL="0" distR="0" wp14:anchorId="2DB24EA9" wp14:editId="2C8086C2">
            <wp:extent cx="5676900" cy="248285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82939" cy="2485491"/>
                    </a:xfrm>
                    <a:prstGeom prst="rect">
                      <a:avLst/>
                    </a:prstGeom>
                  </pic:spPr>
                </pic:pic>
              </a:graphicData>
            </a:graphic>
          </wp:inline>
        </w:drawing>
      </w:r>
      <w:r w:rsidRPr="00804B52">
        <w:rPr>
          <w:rFonts w:ascii="Times New Roman" w:hAnsi="Times New Roman" w:cs="Times New Roman"/>
          <w:noProof/>
          <w:sz w:val="24"/>
          <w:szCs w:val="24"/>
          <w:lang w:eastAsia="es-ES"/>
        </w:rPr>
        <w:drawing>
          <wp:inline distT="0" distB="0" distL="0" distR="0" wp14:anchorId="59BE8064" wp14:editId="7C5053D7">
            <wp:extent cx="5734050" cy="239395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7137" cy="2395239"/>
                    </a:xfrm>
                    <a:prstGeom prst="rect">
                      <a:avLst/>
                    </a:prstGeom>
                  </pic:spPr>
                </pic:pic>
              </a:graphicData>
            </a:graphic>
          </wp:inline>
        </w:drawing>
      </w:r>
    </w:p>
    <w:p w:rsidR="002C21CA"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(Fuente: Red Contable Agraria Nacional. SG. Análisis, Coordinación y Estadística (Datos 2020 provisionales)</w:t>
      </w:r>
    </w:p>
    <w:p w:rsidR="002C21CA" w:rsidRDefault="002C21CA"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r w:rsidRPr="00C81F13">
        <w:rPr>
          <w:rFonts w:ascii="Times New Roman" w:hAnsi="Times New Roman" w:cs="Times New Roman"/>
          <w:noProof/>
          <w:sz w:val="24"/>
          <w:szCs w:val="24"/>
          <w:lang w:eastAsia="es-ES"/>
        </w:rPr>
        <w:drawing>
          <wp:inline distT="0" distB="0" distL="0" distR="0" wp14:anchorId="30AD654E" wp14:editId="0714211B">
            <wp:extent cx="5731510" cy="3832641"/>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832641"/>
                    </a:xfrm>
                    <a:prstGeom prst="rect">
                      <a:avLst/>
                    </a:prstGeom>
                  </pic:spPr>
                </pic:pic>
              </a:graphicData>
            </a:graphic>
          </wp:inline>
        </w:drawing>
      </w:r>
      <w:r w:rsidRPr="00C81F13">
        <w:rPr>
          <w:rFonts w:ascii="Times New Roman" w:hAnsi="Times New Roman" w:cs="Times New Roman"/>
          <w:noProof/>
          <w:sz w:val="24"/>
          <w:szCs w:val="24"/>
          <w:lang w:eastAsia="es-ES"/>
        </w:rPr>
        <w:drawing>
          <wp:inline distT="0" distB="0" distL="0" distR="0" wp14:anchorId="2A46AC07" wp14:editId="74424A41">
            <wp:extent cx="5731510" cy="3478096"/>
            <wp:effectExtent l="0" t="0" r="2540" b="825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478096"/>
                    </a:xfrm>
                    <a:prstGeom prst="rect">
                      <a:avLst/>
                    </a:prstGeom>
                  </pic:spPr>
                </pic:pic>
              </a:graphicData>
            </a:graphic>
          </wp:inline>
        </w:drawing>
      </w:r>
    </w:p>
    <w:p w:rsidR="002C21CA"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833DA3">
        <w:rPr>
          <w:rFonts w:ascii="Times New Roman" w:hAnsi="Times New Roman" w:cs="Times New Roman"/>
          <w:sz w:val="24"/>
          <w:szCs w:val="24"/>
        </w:rPr>
        <w:t>Estudios de costes de explotaciones agrícolas</w:t>
      </w:r>
      <w:r>
        <w:rPr>
          <w:rFonts w:ascii="Times New Roman" w:hAnsi="Times New Roman" w:cs="Times New Roman"/>
          <w:sz w:val="24"/>
          <w:szCs w:val="24"/>
        </w:rPr>
        <w:t xml:space="preserve"> - Año 2021)</w:t>
      </w:r>
    </w:p>
    <w:p w:rsidR="002C21CA" w:rsidRDefault="002C21CA"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p>
    <w:p w:rsidR="00990658" w:rsidRDefault="00990658" w:rsidP="002C21CA">
      <w:pPr>
        <w:spacing w:line="240" w:lineRule="auto"/>
        <w:jc w:val="both"/>
        <w:rPr>
          <w:rFonts w:ascii="Times New Roman" w:hAnsi="Times New Roman" w:cs="Times New Roman"/>
          <w:sz w:val="24"/>
          <w:szCs w:val="24"/>
        </w:rPr>
      </w:pPr>
    </w:p>
    <w:p w:rsidR="00990658" w:rsidRDefault="00990658"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r w:rsidRPr="00C81F13">
        <w:rPr>
          <w:rFonts w:ascii="Times New Roman" w:hAnsi="Times New Roman" w:cs="Times New Roman"/>
          <w:noProof/>
          <w:sz w:val="24"/>
          <w:szCs w:val="24"/>
          <w:lang w:eastAsia="es-ES"/>
        </w:rPr>
        <w:drawing>
          <wp:inline distT="0" distB="0" distL="0" distR="0" wp14:anchorId="2E2784EB" wp14:editId="3D22F507">
            <wp:extent cx="5731510" cy="4766461"/>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4766461"/>
                    </a:xfrm>
                    <a:prstGeom prst="rect">
                      <a:avLst/>
                    </a:prstGeom>
                  </pic:spPr>
                </pic:pic>
              </a:graphicData>
            </a:graphic>
          </wp:inline>
        </w:drawing>
      </w:r>
      <w:r w:rsidRPr="00833DA3">
        <w:rPr>
          <w:rFonts w:ascii="Times New Roman" w:hAnsi="Times New Roman" w:cs="Times New Roman"/>
          <w:noProof/>
          <w:sz w:val="24"/>
          <w:szCs w:val="24"/>
          <w:lang w:eastAsia="es-ES"/>
        </w:rPr>
        <w:drawing>
          <wp:inline distT="0" distB="0" distL="0" distR="0" wp14:anchorId="011ED63A" wp14:editId="170D29E4">
            <wp:extent cx="5734050" cy="2355850"/>
            <wp:effectExtent l="0" t="0" r="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8095" cy="2357512"/>
                    </a:xfrm>
                    <a:prstGeom prst="rect">
                      <a:avLst/>
                    </a:prstGeom>
                  </pic:spPr>
                </pic:pic>
              </a:graphicData>
            </a:graphic>
          </wp:inline>
        </w:drawing>
      </w:r>
    </w:p>
    <w:p w:rsidR="002C21CA"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833DA3">
        <w:rPr>
          <w:rFonts w:ascii="Times New Roman" w:hAnsi="Times New Roman" w:cs="Times New Roman"/>
          <w:sz w:val="24"/>
          <w:szCs w:val="24"/>
        </w:rPr>
        <w:t>Estudios de costes de explotaciones agrícolas</w:t>
      </w:r>
      <w:r>
        <w:rPr>
          <w:rFonts w:ascii="Times New Roman" w:hAnsi="Times New Roman" w:cs="Times New Roman"/>
          <w:sz w:val="24"/>
          <w:szCs w:val="24"/>
        </w:rPr>
        <w:t xml:space="preserve"> - Año 2021)</w:t>
      </w:r>
    </w:p>
    <w:p w:rsidR="002C21CA" w:rsidRDefault="002C21CA" w:rsidP="002C21CA">
      <w:pPr>
        <w:spacing w:line="240" w:lineRule="auto"/>
        <w:jc w:val="both"/>
        <w:rPr>
          <w:rFonts w:ascii="Times New Roman" w:hAnsi="Times New Roman" w:cs="Times New Roman"/>
          <w:sz w:val="24"/>
          <w:szCs w:val="24"/>
        </w:rPr>
      </w:pPr>
    </w:p>
    <w:p w:rsidR="00990658" w:rsidRDefault="00990658" w:rsidP="002C21CA">
      <w:pPr>
        <w:spacing w:line="240" w:lineRule="auto"/>
        <w:jc w:val="both"/>
        <w:rPr>
          <w:rFonts w:ascii="Times New Roman" w:hAnsi="Times New Roman" w:cs="Times New Roman"/>
          <w:sz w:val="24"/>
          <w:szCs w:val="24"/>
        </w:rPr>
      </w:pPr>
    </w:p>
    <w:p w:rsidR="00990658" w:rsidRDefault="00990658"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r w:rsidRPr="00833DA3">
        <w:rPr>
          <w:rFonts w:ascii="Times New Roman" w:hAnsi="Times New Roman" w:cs="Times New Roman"/>
          <w:noProof/>
          <w:sz w:val="24"/>
          <w:szCs w:val="24"/>
          <w:lang w:eastAsia="es-ES"/>
        </w:rPr>
        <w:drawing>
          <wp:inline distT="0" distB="0" distL="0" distR="0" wp14:anchorId="6F0CD9DB" wp14:editId="5B0E9D95">
            <wp:extent cx="5731510" cy="4832594"/>
            <wp:effectExtent l="0" t="0" r="254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4832594"/>
                    </a:xfrm>
                    <a:prstGeom prst="rect">
                      <a:avLst/>
                    </a:prstGeom>
                  </pic:spPr>
                </pic:pic>
              </a:graphicData>
            </a:graphic>
          </wp:inline>
        </w:drawing>
      </w:r>
      <w:r w:rsidRPr="00833DA3">
        <w:rPr>
          <w:rFonts w:ascii="Times New Roman" w:hAnsi="Times New Roman" w:cs="Times New Roman"/>
          <w:noProof/>
          <w:sz w:val="24"/>
          <w:szCs w:val="24"/>
          <w:lang w:eastAsia="es-ES"/>
        </w:rPr>
        <w:drawing>
          <wp:inline distT="0" distB="0" distL="0" distR="0" wp14:anchorId="5AC03877" wp14:editId="1B43172E">
            <wp:extent cx="5778500" cy="243840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85617" cy="2441403"/>
                    </a:xfrm>
                    <a:prstGeom prst="rect">
                      <a:avLst/>
                    </a:prstGeom>
                  </pic:spPr>
                </pic:pic>
              </a:graphicData>
            </a:graphic>
          </wp:inline>
        </w:drawing>
      </w:r>
    </w:p>
    <w:p w:rsidR="002C21CA" w:rsidRDefault="002C21CA" w:rsidP="002C21C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833DA3">
        <w:rPr>
          <w:rFonts w:ascii="Times New Roman" w:hAnsi="Times New Roman" w:cs="Times New Roman"/>
          <w:sz w:val="24"/>
          <w:szCs w:val="24"/>
        </w:rPr>
        <w:t>Estudios de costes de explotaciones agrícolas</w:t>
      </w:r>
      <w:r>
        <w:rPr>
          <w:rFonts w:ascii="Times New Roman" w:hAnsi="Times New Roman" w:cs="Times New Roman"/>
          <w:sz w:val="24"/>
          <w:szCs w:val="24"/>
        </w:rPr>
        <w:t xml:space="preserve"> - Año 2021)</w:t>
      </w:r>
    </w:p>
    <w:p w:rsidR="002C21CA" w:rsidRDefault="002C21CA"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p>
    <w:p w:rsidR="002C21CA" w:rsidRDefault="002C21CA" w:rsidP="002C21CA">
      <w:pPr>
        <w:spacing w:line="240" w:lineRule="auto"/>
        <w:jc w:val="both"/>
        <w:rPr>
          <w:rFonts w:ascii="Times New Roman" w:hAnsi="Times New Roman" w:cs="Times New Roman"/>
          <w:sz w:val="24"/>
          <w:szCs w:val="24"/>
        </w:rPr>
      </w:pPr>
    </w:p>
    <w:p w:rsidR="002C21CA" w:rsidRPr="00AD6BA0" w:rsidRDefault="002C21CA" w:rsidP="002C21CA">
      <w:pPr>
        <w:spacing w:line="240" w:lineRule="auto"/>
        <w:jc w:val="both"/>
        <w:rPr>
          <w:rFonts w:ascii="Times New Roman" w:hAnsi="Times New Roman" w:cs="Times New Roman"/>
          <w:sz w:val="24"/>
          <w:szCs w:val="24"/>
        </w:rPr>
      </w:pPr>
      <w:r w:rsidRPr="00833DA3">
        <w:rPr>
          <w:rFonts w:ascii="Times New Roman" w:hAnsi="Times New Roman" w:cs="Times New Roman"/>
          <w:noProof/>
          <w:sz w:val="24"/>
          <w:szCs w:val="24"/>
          <w:lang w:eastAsia="es-ES"/>
        </w:rPr>
        <w:lastRenderedPageBreak/>
        <w:drawing>
          <wp:inline distT="0" distB="0" distL="0" distR="0" wp14:anchorId="77DD1367" wp14:editId="773E527F">
            <wp:extent cx="5731510" cy="4767686"/>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4767686"/>
                    </a:xfrm>
                    <a:prstGeom prst="rect">
                      <a:avLst/>
                    </a:prstGeom>
                  </pic:spPr>
                </pic:pic>
              </a:graphicData>
            </a:graphic>
          </wp:inline>
        </w:drawing>
      </w:r>
      <w:r w:rsidRPr="00833DA3">
        <w:rPr>
          <w:rFonts w:ascii="Times New Roman" w:hAnsi="Times New Roman" w:cs="Times New Roman"/>
          <w:noProof/>
          <w:sz w:val="24"/>
          <w:szCs w:val="24"/>
          <w:lang w:eastAsia="es-ES"/>
        </w:rPr>
        <w:drawing>
          <wp:inline distT="0" distB="0" distL="0" distR="0" wp14:anchorId="2CEFCA8C" wp14:editId="063A32CE">
            <wp:extent cx="5734050" cy="2222500"/>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7877" cy="2223983"/>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833DA3">
        <w:rPr>
          <w:rFonts w:ascii="Times New Roman" w:hAnsi="Times New Roman" w:cs="Times New Roman"/>
          <w:sz w:val="24"/>
          <w:szCs w:val="24"/>
        </w:rPr>
        <w:t>Estudios de costes de explotaciones agrícolas</w:t>
      </w:r>
      <w:r>
        <w:rPr>
          <w:rFonts w:ascii="Times New Roman" w:hAnsi="Times New Roman" w:cs="Times New Roman"/>
          <w:sz w:val="24"/>
          <w:szCs w:val="24"/>
        </w:rPr>
        <w:t xml:space="preserve"> - Año 2021)</w:t>
      </w:r>
    </w:p>
    <w:p w:rsidR="00561947" w:rsidRPr="00BF42D2" w:rsidRDefault="00561947" w:rsidP="00561947">
      <w:pPr>
        <w:spacing w:line="240" w:lineRule="auto"/>
        <w:jc w:val="both"/>
        <w:rPr>
          <w:rFonts w:ascii="Times New Roman" w:hAnsi="Times New Roman" w:cs="Times New Roman"/>
          <w:sz w:val="24"/>
          <w:szCs w:val="24"/>
        </w:rPr>
      </w:pPr>
      <w:r w:rsidRPr="00BF42D2">
        <w:rPr>
          <w:rFonts w:ascii="Times New Roman" w:hAnsi="Times New Roman" w:cs="Times New Roman"/>
          <w:b/>
          <w:sz w:val="24"/>
          <w:szCs w:val="24"/>
        </w:rPr>
        <w:t>Nota</w:t>
      </w:r>
      <w:r w:rsidRPr="00BF42D2">
        <w:rPr>
          <w:rFonts w:ascii="Times New Roman" w:hAnsi="Times New Roman" w:cs="Times New Roman"/>
          <w:sz w:val="24"/>
          <w:szCs w:val="24"/>
        </w:rPr>
        <w:t xml:space="preserve">: a la luz de los datos anteriores (preliminares y parciales), se reitera la pregunta fundamental sobre el Acuerdo Unión Europea - Mercosur: ¿oportunidad o amenaza?  </w:t>
      </w:r>
    </w:p>
    <w:p w:rsidR="00561947" w:rsidRPr="00BF42D2" w:rsidRDefault="00561947" w:rsidP="00561947">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Y se adelanta</w:t>
      </w:r>
      <w:r w:rsidR="002F3FB0" w:rsidRPr="00BF42D2">
        <w:rPr>
          <w:rFonts w:ascii="Times New Roman" w:hAnsi="Times New Roman" w:cs="Times New Roman"/>
          <w:sz w:val="24"/>
          <w:szCs w:val="24"/>
        </w:rPr>
        <w:t xml:space="preserve"> la hipótesis de trabajo </w:t>
      </w:r>
      <w:r w:rsidRPr="00BF42D2">
        <w:rPr>
          <w:rFonts w:ascii="Times New Roman" w:hAnsi="Times New Roman" w:cs="Times New Roman"/>
          <w:sz w:val="24"/>
          <w:szCs w:val="24"/>
        </w:rPr>
        <w:t xml:space="preserve">(“políticamente incorrecta”) de este Paper: La contrarrevolución de la “simplificación”: </w:t>
      </w:r>
      <w:r w:rsidR="002F3FB0" w:rsidRPr="00BF42D2">
        <w:rPr>
          <w:rFonts w:ascii="Times New Roman" w:hAnsi="Times New Roman" w:cs="Times New Roman"/>
          <w:sz w:val="24"/>
          <w:szCs w:val="24"/>
        </w:rPr>
        <w:t>“</w:t>
      </w:r>
      <w:r w:rsidRPr="00BF42D2">
        <w:rPr>
          <w:rFonts w:ascii="Times New Roman" w:hAnsi="Times New Roman" w:cs="Times New Roman"/>
          <w:sz w:val="24"/>
          <w:szCs w:val="24"/>
        </w:rPr>
        <w:t>volver al origen</w:t>
      </w:r>
      <w:r w:rsidR="002F3FB0" w:rsidRPr="00BF42D2">
        <w:rPr>
          <w:rFonts w:ascii="Times New Roman" w:hAnsi="Times New Roman" w:cs="Times New Roman"/>
          <w:sz w:val="24"/>
          <w:szCs w:val="24"/>
        </w:rPr>
        <w:t>”</w:t>
      </w:r>
      <w:r w:rsidRPr="00BF42D2">
        <w:rPr>
          <w:rFonts w:ascii="Times New Roman" w:hAnsi="Times New Roman" w:cs="Times New Roman"/>
          <w:sz w:val="24"/>
          <w:szCs w:val="24"/>
        </w:rPr>
        <w:t xml:space="preserve">. </w:t>
      </w:r>
    </w:p>
    <w:p w:rsidR="00561947" w:rsidRPr="00BF42D2" w:rsidRDefault="002F3FB0" w:rsidP="00561947">
      <w:pPr>
        <w:spacing w:line="240" w:lineRule="auto"/>
        <w:jc w:val="both"/>
        <w:rPr>
          <w:rFonts w:ascii="Times New Roman" w:hAnsi="Times New Roman" w:cs="Times New Roman"/>
          <w:sz w:val="24"/>
          <w:szCs w:val="24"/>
        </w:rPr>
      </w:pPr>
      <w:r w:rsidRPr="00BF42D2">
        <w:rPr>
          <w:rFonts w:ascii="Times New Roman" w:hAnsi="Times New Roman" w:cs="Times New Roman"/>
          <w:sz w:val="24"/>
          <w:szCs w:val="24"/>
        </w:rPr>
        <w:t>Los que no están de acuerdo con</w:t>
      </w:r>
      <w:r w:rsidR="00DC122F" w:rsidRPr="00BF42D2">
        <w:rPr>
          <w:rFonts w:ascii="Times New Roman" w:hAnsi="Times New Roman" w:cs="Times New Roman"/>
          <w:sz w:val="24"/>
          <w:szCs w:val="24"/>
        </w:rPr>
        <w:t xml:space="preserve"> este objetivo de trabajo, pueden hacer un clic piadoso</w:t>
      </w:r>
      <w:r w:rsidRPr="00BF42D2">
        <w:rPr>
          <w:rFonts w:ascii="Times New Roman" w:hAnsi="Times New Roman" w:cs="Times New Roman"/>
          <w:sz w:val="24"/>
          <w:szCs w:val="24"/>
        </w:rPr>
        <w:t>, y quedar liber</w:t>
      </w:r>
      <w:r w:rsidR="00DC122F" w:rsidRPr="00BF42D2">
        <w:rPr>
          <w:rFonts w:ascii="Times New Roman" w:hAnsi="Times New Roman" w:cs="Times New Roman"/>
          <w:sz w:val="24"/>
          <w:szCs w:val="24"/>
        </w:rPr>
        <w:t>a</w:t>
      </w:r>
      <w:r w:rsidRPr="00BF42D2">
        <w:rPr>
          <w:rFonts w:ascii="Times New Roman" w:hAnsi="Times New Roman" w:cs="Times New Roman"/>
          <w:sz w:val="24"/>
          <w:szCs w:val="24"/>
        </w:rPr>
        <w:t>dos del suplicio… los demás, pasen y lean.</w:t>
      </w:r>
    </w:p>
    <w:p w:rsidR="003D2CC6" w:rsidRDefault="003D2CC6" w:rsidP="003D2CC6">
      <w:pPr>
        <w:spacing w:line="240" w:lineRule="auto"/>
        <w:jc w:val="both"/>
        <w:rPr>
          <w:rFonts w:ascii="Times New Roman" w:hAnsi="Times New Roman" w:cs="Times New Roman"/>
          <w:b/>
          <w:sz w:val="24"/>
          <w:szCs w:val="24"/>
        </w:rPr>
      </w:pPr>
      <w:r w:rsidRPr="00690131">
        <w:rPr>
          <w:rFonts w:ascii="Times New Roman" w:hAnsi="Times New Roman" w:cs="Times New Roman"/>
          <w:b/>
          <w:sz w:val="24"/>
          <w:szCs w:val="24"/>
        </w:rPr>
        <w:lastRenderedPageBreak/>
        <w:t xml:space="preserve">- La opinión de los que </w:t>
      </w:r>
      <w:r>
        <w:rPr>
          <w:rFonts w:ascii="Times New Roman" w:hAnsi="Times New Roman" w:cs="Times New Roman"/>
          <w:b/>
          <w:sz w:val="24"/>
          <w:szCs w:val="24"/>
        </w:rPr>
        <w:t>“sienten y padecen”</w:t>
      </w:r>
    </w:p>
    <w:p w:rsidR="003D2CC6" w:rsidRDefault="003D2CC6" w:rsidP="003D2CC6">
      <w:pPr>
        <w:spacing w:line="240" w:lineRule="auto"/>
        <w:jc w:val="both"/>
        <w:rPr>
          <w:rFonts w:ascii="Times New Roman" w:hAnsi="Times New Roman" w:cs="Times New Roman"/>
          <w:b/>
          <w:sz w:val="24"/>
          <w:szCs w:val="24"/>
        </w:rPr>
      </w:pPr>
      <w:r>
        <w:rPr>
          <w:noProof/>
          <w:lang w:eastAsia="es-ES"/>
        </w:rPr>
        <w:drawing>
          <wp:inline distT="0" distB="0" distL="0" distR="0" wp14:anchorId="36C17BC2" wp14:editId="37B58F41">
            <wp:extent cx="5731510" cy="3817620"/>
            <wp:effectExtent l="0" t="0" r="2540" b="0"/>
            <wp:docPr id="135" name="Imagen 135" descr="Thu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um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817620"/>
                    </a:xfrm>
                    <a:prstGeom prst="rect">
                      <a:avLst/>
                    </a:prstGeom>
                    <a:noFill/>
                    <a:ln>
                      <a:noFill/>
                    </a:ln>
                  </pic:spPr>
                </pic:pic>
              </a:graphicData>
            </a:graphic>
          </wp:inline>
        </w:drawing>
      </w:r>
    </w:p>
    <w:p w:rsidR="003D2CC6" w:rsidRDefault="003D2CC6" w:rsidP="003D2CC6">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Antecedentes (sobre la competencia de terceros países)</w:t>
      </w:r>
    </w:p>
    <w:p w:rsidR="003D2CC6" w:rsidRPr="003B1E48"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1E48">
        <w:rPr>
          <w:rFonts w:ascii="Times New Roman" w:hAnsi="Times New Roman" w:cs="Times New Roman"/>
          <w:sz w:val="24"/>
          <w:szCs w:val="24"/>
          <w:u w:val="single"/>
        </w:rPr>
        <w:t>Los privilegios de la UE al agronegocio en Marruecos abocarían a España a ser importador neto de tomates en 2035</w:t>
      </w:r>
      <w:r>
        <w:rPr>
          <w:rFonts w:ascii="Times New Roman" w:hAnsi="Times New Roman" w:cs="Times New Roman"/>
          <w:sz w:val="24"/>
          <w:szCs w:val="24"/>
        </w:rPr>
        <w:t xml:space="preserve"> (COAG - </w:t>
      </w:r>
      <w:r w:rsidRPr="003B1E48">
        <w:rPr>
          <w:rFonts w:ascii="Times New Roman" w:hAnsi="Times New Roman" w:cs="Times New Roman"/>
          <w:b/>
          <w:sz w:val="24"/>
          <w:szCs w:val="24"/>
        </w:rPr>
        <w:t>27/10/23</w:t>
      </w:r>
      <w:r>
        <w:rPr>
          <w:rFonts w:ascii="Times New Roman" w:hAnsi="Times New Roman" w:cs="Times New Roman"/>
          <w:sz w:val="24"/>
          <w:szCs w:val="24"/>
        </w:rPr>
        <w:t>)</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Los datos presentados por la propia Comisión Europea prevén una importante caída del 21,5% de la superficie y del 22% de la producción de tomate fresco en España hasta 2035, por la competencia desleal de la producción marroquí y turca. “Lo más grave de todo es que la Comisión es consciente de ello y no pretende poner remedio”, ha lamentado Andrés Góngora. Durante la reunión del Observatorio del Mercado del Tomate de la UE, el responsable de COAG ha reclamado medidas urgentes a nivel europeo contra la competencia desleal de las importaciones de terceros países. “¿Quiere la UE depender de Mohamed VI a la hora de elaborar sus ensaladas? A priori, resulta como mínimo inquietante”, ha subrayado Góngora.</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Madrid, 27 de octubre de 2023. La Coordinadora de Organizaciones de Agricultores y Ganaderos (COAG) ha reclamado medidas urgentes a nivel europeo contra la competencia desleal de las importaciones de terceros países en el sector del tomate. El responsable de Frutas y Hortalizas de COAG, Andrés Góngora, ha participado en la reunión del Observatorio del Mercado de Tomate de la UE y ha demandado la puesta en marcha inmediata de actuaciones que reviertan la actual indefensión en frontera frente a importaciones de países como Marruecos o Turquía y sirvan para paliar los daños en la rentabilidad de las personas productoras en España y en toda la UE.</w:t>
      </w:r>
    </w:p>
    <w:p w:rsidR="003D2CC6" w:rsidRPr="003B1E48" w:rsidRDefault="003D2CC6" w:rsidP="003D2CC6">
      <w:pPr>
        <w:spacing w:line="240" w:lineRule="auto"/>
        <w:jc w:val="both"/>
        <w:rPr>
          <w:rFonts w:ascii="Times New Roman" w:hAnsi="Times New Roman" w:cs="Times New Roman"/>
          <w:sz w:val="24"/>
          <w:szCs w:val="24"/>
        </w:rPr>
      </w:pP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lastRenderedPageBreak/>
        <w:t>COAG ha reclamado, entre otras cuestiones, la inclusión del cumplimiento de las normas europeas de producción en los acuerdos comerciales con terceros países, la revisión del sistema de precios de entrada (completamente inútil por no considerar la diferenciación entre tomate redondo de las especialidades), la reducción del contingente de tomate con beneficios arancelarios por la salida del Reino Unido de la UE y la aplicación de medidas de salvaguardia en los momentos de perturbación grave de los mercados, cosa que ocurre año tras año por las im</w:t>
      </w:r>
      <w:r>
        <w:rPr>
          <w:rFonts w:ascii="Times New Roman" w:hAnsi="Times New Roman" w:cs="Times New Roman"/>
          <w:sz w:val="24"/>
          <w:szCs w:val="24"/>
        </w:rPr>
        <w:t>portaciones de terceros países.</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Esta misma semana, el gobierno de Marruecos anunciaba que va a subvencionar la producción de tomate, junto a la de cebollas y patatas, con entre el 50 y el 70% de su valor. En concreto, la producción de tomates recibirá un apoyo de entre 3.600 y 6.300 euros por hectárea. Además, las empresas productoras alauitas se verán beneficiadas de una subvención a los fertilizantes nitrogenados de 200 millones de euros y de la movilización de 600.000 toneladas de fertilizantes fosfatados. Esto se suma al fuerte impulso del Gobierno marroquí a sus producciones hortofrutícolas a través del Plan Marruecos Verde y del Plan Generación Green, así como por la incorporación fraudulenta de las producciones del Sahara Occidental como propias a efectos de beneficiarse de las concesiones arancelarias. “Mientras aquí nos dedicamos a desregular la entrada de producto de terceros países, nuestros competidores refuerzan las ayudas a la agroexportación, con medidas que caerían en la ilegalidad, ahondando más en el dumping comercial frente a la producción europea de tomate”, ha recalcado Góngora. “Lo más grave de todo es que la Comisión Europea es consciente de ello y no parece querer poner remedio. Todo lo contrario, abandona a las personas que producimos y facilita que las empresas de aquí se vayan a producir fuera para que luego inunden nuestros mercados con producciones que dañan nuestra rentabilidad. ¿Quiere la UE depender de Mohamed VI a la hora de elaborar sus ensaladas? A priori, re</w:t>
      </w:r>
      <w:r>
        <w:rPr>
          <w:rFonts w:ascii="Times New Roman" w:hAnsi="Times New Roman" w:cs="Times New Roman"/>
          <w:sz w:val="24"/>
          <w:szCs w:val="24"/>
        </w:rPr>
        <w:t>sulta como mínimo inquietante”.</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 xml:space="preserve">De hecho, durante la reunión del Observatorio, la Comisión Europea ha presentado sus datos a medio plazo para el sector en los que prevé una importante caída del -21,5% de la superficie y del 22% de la producción de tomate fresco en España hasta 2035, precisamente por la competencia de Marruecos, entre otros factores. Toda la Unión Europea se sufriría un importante crecimiento de las importaciones de terceros países, pero el país más perjudicado sería España, dado que pasaría a ser importador neto tomate en 2035, debido a la presión de los competidores de fuera de la UE, en lugar de uno de los principales actores del </w:t>
      </w:r>
      <w:r>
        <w:rPr>
          <w:rFonts w:ascii="Times New Roman" w:hAnsi="Times New Roman" w:cs="Times New Roman"/>
          <w:sz w:val="24"/>
          <w:szCs w:val="24"/>
        </w:rPr>
        <w:t>mercado europeo con sus envíos.</w:t>
      </w:r>
    </w:p>
    <w:p w:rsidR="003D2CC6"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Los datos de comercio exterior muestran como las importaciones de tomate marroquí al mercado europeo se han incrementado en un 52% desde 2013 hasta 2022 (pasando de 365.695 tn a 557.225, casi 200.000tn más), mientras que las procedentes de Turquía casi se han cuadruplicado en un periodo similar (de las 50.850 tn en 2014 a las 185.718 en 2022). Las condiciones de producción desiguales, por disponer de productos fitosanitarios que en la UE están prohibidos o por permitir condiciones laborales a veces abusivas y costes salariales muy inferiores, hacen que las producciones procedentes de estos compitan deslealmente a su entrada en los mercados europeos.</w:t>
      </w:r>
    </w:p>
    <w:p w:rsidR="003D2CC6" w:rsidRPr="003B1E48"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1E48">
        <w:rPr>
          <w:rFonts w:ascii="Times New Roman" w:hAnsi="Times New Roman" w:cs="Times New Roman"/>
          <w:sz w:val="24"/>
          <w:szCs w:val="24"/>
          <w:u w:val="single"/>
        </w:rPr>
        <w:t>COAG denuncia la continua y creciente presión de las importaciones durante nuestras temporadas de producción</w:t>
      </w:r>
      <w:r>
        <w:rPr>
          <w:rFonts w:ascii="Times New Roman" w:hAnsi="Times New Roman" w:cs="Times New Roman"/>
          <w:sz w:val="24"/>
          <w:szCs w:val="24"/>
        </w:rPr>
        <w:t xml:space="preserve"> (COAG - </w:t>
      </w:r>
      <w:r w:rsidRPr="003B1E48">
        <w:rPr>
          <w:rFonts w:ascii="Times New Roman" w:hAnsi="Times New Roman" w:cs="Times New Roman"/>
          <w:b/>
          <w:sz w:val="24"/>
          <w:szCs w:val="24"/>
        </w:rPr>
        <w:t>23/4/24</w:t>
      </w:r>
      <w:r>
        <w:rPr>
          <w:rFonts w:ascii="Times New Roman" w:hAnsi="Times New Roman" w:cs="Times New Roman"/>
          <w:sz w:val="24"/>
          <w:szCs w:val="24"/>
        </w:rPr>
        <w:t>)</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 xml:space="preserve">En producciones tan relevantes como el tomate se ha doblado la cantidad importada por la UE en sólo 10 años. El responsable de COAG, Andrés Góngora, ha insistido en la necesidad de elevar los controles sobre la llegada de producto importado y de que se cree una Comisión </w:t>
      </w:r>
      <w:r w:rsidRPr="003B1E48">
        <w:rPr>
          <w:rFonts w:ascii="Times New Roman" w:hAnsi="Times New Roman" w:cs="Times New Roman"/>
          <w:sz w:val="24"/>
          <w:szCs w:val="24"/>
        </w:rPr>
        <w:lastRenderedPageBreak/>
        <w:t>Permanente sobre Importaciones por parte del Gobierno español. Además, se ha reclamado que se subsane la situación de agravio comparativo que supone no haber incluido al sector hortícola en múltiples zonas de producción, ya sea al aire libre o en invernadero, en la rebaja fiscal de los módulos.</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Madrid, 23 de abril de 2024. La Coordinadora de Organizaciones de Agricultores y Ganaderos (COAG) denuncia la continua y creciente presión de las importaciones hortofrutícolas durante nuestra campaña de producción. Así se ha expuesto durante la reunión de la Mesa sectorial de hortalizas y frutos rojos del Ministerio de Agricultura, Pesca y Alimentación, celebrada esta mañana en Madrid, en la que se ha analizado la campaña 2023/24 para las hortalizas de invernadero y de aire libre, así como de las producciones de fresón y otros f</w:t>
      </w:r>
      <w:r>
        <w:rPr>
          <w:rFonts w:ascii="Times New Roman" w:hAnsi="Times New Roman" w:cs="Times New Roman"/>
          <w:sz w:val="24"/>
          <w:szCs w:val="24"/>
        </w:rPr>
        <w:t>rutos rojos.</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La delegación de COAG, encabezada por Andrés Góngora, responsable Estatal de Frutas y Hortalizas de COAG y miembro de la Comisión Ejecutiva de la organización y Plácido Pérez-Chuecos, horticultor de COAG Murcia, ha trasladado al MAPA el análisis de la actual campaña hortícola en la que se ha detectado una fuerte inestabilidad de precios en los distintos sectores, con fuertes claroscuros a lo largo de los meses, zonas de producción y las distintas producciones. La volatilidad y los desajustes son cada vez más frecuentes, lo que sume a las personas del sector en una gran i</w:t>
      </w:r>
      <w:r>
        <w:rPr>
          <w:rFonts w:ascii="Times New Roman" w:hAnsi="Times New Roman" w:cs="Times New Roman"/>
          <w:sz w:val="24"/>
          <w:szCs w:val="24"/>
        </w:rPr>
        <w:t>ncertidumbre de cara al futuro.</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Asimismo, COAG ha recordado que el sector hortícola y de frutos rojos vive del mercado, con un apoyo más reducido en las ayudas, por lo que se encuentra completamente expuesto al funcionamiento de los mismos, a la especulación y a la llegada de producto en momentos clave de la campaña. En producciones tan relevantes como el tomate se ha doblado la cantidad importada por la UE en sólo 10 años (802.845 tn en 2023 frente a 412.627 tn en 2013). Las importaciones de choque, aquellas que buscan reventar el precio en los mercados de origen en momentos clave de la comercialización para someter a los productores y productoras, como está ocurriendo en la actualidad en el sector de la cebolla, son recurrentes y erosio</w:t>
      </w:r>
      <w:r>
        <w:rPr>
          <w:rFonts w:ascii="Times New Roman" w:hAnsi="Times New Roman" w:cs="Times New Roman"/>
          <w:sz w:val="24"/>
          <w:szCs w:val="24"/>
        </w:rPr>
        <w:t>nan claramente su rentabilidad.</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En este sentido, COAG insiste en la necesidad de elevar los controles sobre la llegada de producto importado y de que se cree una Comisión Permanente sobre Importaciones por parte del Gobierno español en la que se presenten datos actualizados y continuos sobre cantidades, precios, derechos aduaneros pagados y calidades de las importaciones. También se debe detallar la información de las alertas sanitarias en los puntos de inspección fronterizos españoles y, en particular, los operadores implicados en las mismas y el destino d</w:t>
      </w:r>
      <w:r>
        <w:rPr>
          <w:rFonts w:ascii="Times New Roman" w:hAnsi="Times New Roman" w:cs="Times New Roman"/>
          <w:sz w:val="24"/>
          <w:szCs w:val="24"/>
        </w:rPr>
        <w:t>e los productos comprometidos.</w:t>
      </w:r>
    </w:p>
    <w:p w:rsidR="003D2CC6" w:rsidRPr="003B1E48" w:rsidRDefault="003D2CC6" w:rsidP="003D2CC6">
      <w:pPr>
        <w:spacing w:line="240" w:lineRule="auto"/>
        <w:jc w:val="both"/>
        <w:rPr>
          <w:rFonts w:ascii="Times New Roman" w:hAnsi="Times New Roman" w:cs="Times New Roman"/>
          <w:sz w:val="24"/>
          <w:szCs w:val="24"/>
        </w:rPr>
      </w:pPr>
      <w:r w:rsidRPr="003B1E48">
        <w:rPr>
          <w:rFonts w:ascii="Times New Roman" w:hAnsi="Times New Roman" w:cs="Times New Roman"/>
          <w:sz w:val="24"/>
          <w:szCs w:val="24"/>
        </w:rPr>
        <w:t>Finalmente, también se ha reclamado que se subsane la situación de agravio comparativo que supone no haber incluido al sector hortícola en múltiples zonas de producción, ya sea al aire libre o en invernadero, en la rebaja fiscal de los módulos para la actual campaña de la renta, pasando por alto circunstancias excepcionales por las que han atravesado las explotaciones como las enfermedades y virosis, el incremento de los costes de producción o los daños climáticos que han diezmado las producciones.</w:t>
      </w:r>
    </w:p>
    <w:p w:rsidR="003D2CC6" w:rsidRPr="00D25573"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5573">
        <w:rPr>
          <w:rFonts w:ascii="Times New Roman" w:hAnsi="Times New Roman" w:cs="Times New Roman"/>
          <w:sz w:val="24"/>
          <w:szCs w:val="24"/>
          <w:u w:val="single"/>
        </w:rPr>
        <w:t>COAG exige la suspensión inmediata del acuerdo comercial entre la UE y Marruecos</w:t>
      </w:r>
      <w:r>
        <w:rPr>
          <w:rFonts w:ascii="Times New Roman" w:hAnsi="Times New Roman" w:cs="Times New Roman"/>
          <w:sz w:val="24"/>
          <w:szCs w:val="24"/>
        </w:rPr>
        <w:t xml:space="preserve"> (COAG - </w:t>
      </w:r>
      <w:r w:rsidRPr="00D25573">
        <w:rPr>
          <w:rFonts w:ascii="Times New Roman" w:hAnsi="Times New Roman" w:cs="Times New Roman"/>
          <w:b/>
          <w:sz w:val="24"/>
          <w:szCs w:val="24"/>
        </w:rPr>
        <w:t>4/10/24</w:t>
      </w:r>
      <w:r>
        <w:rPr>
          <w:rFonts w:ascii="Times New Roman" w:hAnsi="Times New Roman" w:cs="Times New Roman"/>
          <w:sz w:val="24"/>
          <w:szCs w:val="24"/>
        </w:rPr>
        <w:t>)</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Tras la dura sentencia del Tribunal de Justicia de la UE publicada hoy.</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lastRenderedPageBreak/>
        <w:t>- Si la sentencia ha dictaminado que el acuerdo no es legal, la UE no puede mantenerlo en vigor 12 meses para favorecer a determinadas empresas transnacionales, mientras los producto</w:t>
      </w:r>
      <w:r>
        <w:rPr>
          <w:rFonts w:ascii="Times New Roman" w:hAnsi="Times New Roman" w:cs="Times New Roman"/>
          <w:sz w:val="24"/>
          <w:szCs w:val="24"/>
        </w:rPr>
        <w:t>res continuamos desapareciendo.</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 La organización agraria también reclama que el gobierno español se posicione a favor de los productores y productoras agrarios, dado que son los más perjudicados por el Acuerdo de liberalización comercial e</w:t>
      </w:r>
      <w:r>
        <w:rPr>
          <w:rFonts w:ascii="Times New Roman" w:hAnsi="Times New Roman" w:cs="Times New Roman"/>
          <w:sz w:val="24"/>
          <w:szCs w:val="24"/>
        </w:rPr>
        <w:t>ntre la UE y Marruecos</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 Hoy también se ha conocido otra sentencia de este tribunal que ratifica las denuncias de COAG respecto a la vulneración de derechos de las personas consumidoras en la UE en el etiquetado de frutas y hortalizas supuestamente proced</w:t>
      </w:r>
      <w:r>
        <w:rPr>
          <w:rFonts w:ascii="Times New Roman" w:hAnsi="Times New Roman" w:cs="Times New Roman"/>
          <w:sz w:val="24"/>
          <w:szCs w:val="24"/>
        </w:rPr>
        <w:t>entes de Marruecos.</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Madrid, 4 de octubre de 2024. La Coordinadora de Organizaciones de Agricultores y Ganaderos (COAG) exige la suspensión inmediata del acuerdo comercial en materia agraria entre la UE y Marruecos tras conocerse la sentencia del Tribunal de Justicia de la Unión Europea en la que se confirma que dicho acuerdo, modificado en 2019, viola el derecho internacional por vulnerar, en particular, los principios de autodeterminación y del efecto relativo de los tratados, al no prestar su consentimiento el pueblo del Sáhara Occidental.</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 xml:space="preserve">La sentencia del Tribunal confirma definitivamente la anulación de la Decisión del Consejo (Nota 1) que modifica el Acuerdo UE-Marruecos en materia de liberalización comercial de los productos agrarios, ampliando las preferencias arancelarias en él contenidas a los productos originarios del Sáhara Occidental. Sin embargo, permite que el Acuerdo sobre medidas de liberalización en materia de productos agrícolas entre la UE y Marruecos se mantenga por un período de doce meses a partir de hoy por “las consecuencias negativas graves para la acción exterior de la Unión que entrañaría su anulación inmediata y por </w:t>
      </w:r>
      <w:r>
        <w:rPr>
          <w:rFonts w:ascii="Times New Roman" w:hAnsi="Times New Roman" w:cs="Times New Roman"/>
          <w:sz w:val="24"/>
          <w:szCs w:val="24"/>
        </w:rPr>
        <w:t>razones de seguridad jurídica”.</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 xml:space="preserve">El Responsable Estatal de Frutas y Hortalizas de COAG, Andrés Góngora, ha declarado: “la aplicación de la sentencia debe ser inmediata, sin periodos de gracia. Los agricultores y agricultoras europeos no hemos tenido ese periodo de gracia y sufrimos día a día la competencia desleal de las importaciones bajo las condiciones perniciosas del Acuerdo”. Góngora ha añadido que “si la sentencia ha dictaminado que el acuerdo no es legal, la UE no puede cerrar los ojos y mantener 12 meses más en vigor un acuerdo ilegal, sólo para favorecer a determinadas empresas transnacionales, mientras los productores continuamos perdiendo </w:t>
      </w:r>
      <w:r>
        <w:rPr>
          <w:rFonts w:ascii="Times New Roman" w:hAnsi="Times New Roman" w:cs="Times New Roman"/>
          <w:sz w:val="24"/>
          <w:szCs w:val="24"/>
        </w:rPr>
        <w:t>rentabilidad y desapareciendo”.</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En este sentido, COAG también reclama que el gobierno español se posicione a favor de los productores y productoras agrarios, dado que son los más perjudicados por el Acuerdo de liberalización comercial entre la UE y Marruecos, y presione en la UE para la anulación del mismo y para eliminar los graves efectos que tie</w:t>
      </w:r>
      <w:r>
        <w:rPr>
          <w:rFonts w:ascii="Times New Roman" w:hAnsi="Times New Roman" w:cs="Times New Roman"/>
          <w:sz w:val="24"/>
          <w:szCs w:val="24"/>
        </w:rPr>
        <w:t>ne sobre nuestras producciones.</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Por otro lado, en el día de hoy también se ha conocido otra sentencia de este tribunal que ratifica las denuncias de COAG respecto a que el Acuerdo de Asociación de la UE y Marruecos vulnera los derechos de las personas consumidoras en la UE y no es acorde a la legislación europea de etiquetado de frutas y hortalizas, dado que limita la capacidad de los consumidores para discernir claramente si un producto etiquetado como originario de Marruecos procede de este Reino, o bien</w:t>
      </w:r>
      <w:r>
        <w:rPr>
          <w:rFonts w:ascii="Times New Roman" w:hAnsi="Times New Roman" w:cs="Times New Roman"/>
          <w:sz w:val="24"/>
          <w:szCs w:val="24"/>
        </w:rPr>
        <w:t xml:space="preserve"> procede del Sáhara Occidental.</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 xml:space="preserve">La sentencia es clara en este sentido: “la indicación del país de origen que debe figurar en los tomates y los melones de que se trata únicamente podrá designar el Sáhara occidental, ya que dichos productos se recolectan en ese territorio. En efecto, dicho territorio es distinto del de </w:t>
      </w:r>
      <w:r w:rsidRPr="00D25573">
        <w:rPr>
          <w:rFonts w:ascii="Times New Roman" w:hAnsi="Times New Roman" w:cs="Times New Roman"/>
          <w:sz w:val="24"/>
          <w:szCs w:val="24"/>
        </w:rPr>
        <w:lastRenderedPageBreak/>
        <w:t>Marruecos y un territorio aduanero en el sentido del Derecho de la Unión. Cualquier otra indicación podría hacer pensar al consumidor que esos melones y tomates proceden de un lugar distinto del territo</w:t>
      </w:r>
      <w:r>
        <w:rPr>
          <w:rFonts w:ascii="Times New Roman" w:hAnsi="Times New Roman" w:cs="Times New Roman"/>
          <w:sz w:val="24"/>
          <w:szCs w:val="24"/>
        </w:rPr>
        <w:t>rio en el que se recolectaron”.</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“Este es el reconocimiento de que se está produciendo un fraude al consumidor por parte de las empresas que importan producto de Marruecos, que en muchas ocasiones cuentan con capital europeo, y nos están haciendo competencia desleal”, ha añadido Góngora. “La UE debe adoptar medidas inmediatamente para evitar que se siga posibilitando este engaño a las personas consumidoras europeas y elevar los controles de las distintas administraciones en territorio comunitario sobre el etiquetado correcto de estos productos, para comprobar que se refleja el origen de las frutas y hortalizas procedentes de</w:t>
      </w:r>
      <w:r>
        <w:rPr>
          <w:rFonts w:ascii="Times New Roman" w:hAnsi="Times New Roman" w:cs="Times New Roman"/>
          <w:sz w:val="24"/>
          <w:szCs w:val="24"/>
        </w:rPr>
        <w:t>l Sáhara Occidental”.</w:t>
      </w:r>
    </w:p>
    <w:p w:rsidR="003D2CC6" w:rsidRPr="00D25573"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Esta sentencia responde a la demanda interpuesta la Confédération Paysanne, organización campesina francesa y aliada de COAG con la que se comparten trabajos en la Coordinadora Europea Vía Campesina. COAG reitera el reconocimiento al trabajo de esta organización para la consecución de logro frente a las importaciones desleales procedentes de Marruecos.</w:t>
      </w:r>
    </w:p>
    <w:p w:rsidR="003D2CC6" w:rsidRDefault="003D2CC6" w:rsidP="003D2CC6">
      <w:pPr>
        <w:spacing w:line="240" w:lineRule="auto"/>
        <w:jc w:val="both"/>
        <w:rPr>
          <w:rFonts w:ascii="Times New Roman" w:hAnsi="Times New Roman" w:cs="Times New Roman"/>
          <w:sz w:val="24"/>
          <w:szCs w:val="24"/>
        </w:rPr>
      </w:pPr>
      <w:r w:rsidRPr="00D25573">
        <w:rPr>
          <w:rFonts w:ascii="Times New Roman" w:hAnsi="Times New Roman" w:cs="Times New Roman"/>
          <w:sz w:val="24"/>
          <w:szCs w:val="24"/>
        </w:rPr>
        <w:t>Nota 1: Decisión (UE) 2019/217 del Consejo, de 28 de enero de 2019, relativa a la celebración del Acuerdo en forma de Canje de Notas entre la Unión Europea y el Reino de Marruecos sobre la m</w:t>
      </w:r>
      <w:r>
        <w:rPr>
          <w:rFonts w:ascii="Times New Roman" w:hAnsi="Times New Roman" w:cs="Times New Roman"/>
          <w:sz w:val="24"/>
          <w:szCs w:val="24"/>
        </w:rPr>
        <w:t>odificación de los Protocolos nº 1 y n</w:t>
      </w:r>
      <w:r w:rsidRPr="00D25573">
        <w:rPr>
          <w:rFonts w:ascii="Times New Roman" w:hAnsi="Times New Roman" w:cs="Times New Roman"/>
          <w:sz w:val="24"/>
          <w:szCs w:val="24"/>
        </w:rPr>
        <w:t>º 4 del Acuerdo Euromediterráneo por el que se crea una Asociación entre las Comunidades Europeas y sus Estados miembros, por una parte, y el Reino de Marruecos, por otra.</w:t>
      </w:r>
    </w:p>
    <w:p w:rsidR="003D2CC6" w:rsidRPr="003B1E48" w:rsidRDefault="003D2CC6" w:rsidP="003D2CC6">
      <w:pPr>
        <w:spacing w:line="240" w:lineRule="auto"/>
        <w:jc w:val="both"/>
        <w:rPr>
          <w:rFonts w:ascii="Times New Roman" w:hAnsi="Times New Roman" w:cs="Times New Roman"/>
          <w:b/>
          <w:sz w:val="24"/>
          <w:szCs w:val="24"/>
        </w:rPr>
      </w:pPr>
      <w:r>
        <w:rPr>
          <w:rFonts w:ascii="Times New Roman" w:hAnsi="Times New Roman" w:cs="Times New Roman"/>
          <w:b/>
          <w:sz w:val="24"/>
          <w:szCs w:val="24"/>
        </w:rPr>
        <w:t>Sobre e</w:t>
      </w:r>
      <w:r w:rsidRPr="003B1E48">
        <w:rPr>
          <w:rFonts w:ascii="Times New Roman" w:hAnsi="Times New Roman" w:cs="Times New Roman"/>
          <w:b/>
          <w:sz w:val="24"/>
          <w:szCs w:val="24"/>
        </w:rPr>
        <w:t>l “magnificat” del Mercosur</w:t>
      </w:r>
    </w:p>
    <w:p w:rsidR="003D2CC6" w:rsidRPr="00CE6783"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5573">
        <w:rPr>
          <w:rFonts w:ascii="Times New Roman" w:hAnsi="Times New Roman" w:cs="Times New Roman"/>
          <w:sz w:val="24"/>
          <w:szCs w:val="24"/>
          <w:u w:val="single"/>
        </w:rPr>
        <w:t>DANAs y MERCOSUR hipotecan el futuro de los citricultores españoles</w:t>
      </w:r>
      <w:r>
        <w:rPr>
          <w:rFonts w:ascii="Times New Roman" w:hAnsi="Times New Roman" w:cs="Times New Roman"/>
          <w:sz w:val="24"/>
          <w:szCs w:val="24"/>
        </w:rPr>
        <w:t xml:space="preserve"> (COAG - </w:t>
      </w:r>
      <w:r w:rsidRPr="00D25573">
        <w:rPr>
          <w:rFonts w:ascii="Times New Roman" w:hAnsi="Times New Roman" w:cs="Times New Roman"/>
          <w:b/>
          <w:sz w:val="24"/>
          <w:szCs w:val="24"/>
        </w:rPr>
        <w:t>21/11/24</w:t>
      </w:r>
      <w:r>
        <w:rPr>
          <w:rFonts w:ascii="Times New Roman" w:hAnsi="Times New Roman" w:cs="Times New Roman"/>
          <w:sz w:val="24"/>
          <w:szCs w:val="24"/>
        </w:rPr>
        <w:t>)</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Durante el Observatorio de cítricos de la Unión Europea, celebrado ayer en Bruselas, COAG ha alertado de los impactos en el sector citrícola del acuerdo que la UE pretende cerrar en breve con los países del MERCOSUR. Las importaciones de cítricos transformados de Brasil y Argentina se verían muy beneficiadas por un posible acuerdo. La liberalización arancelaria facilitaría su acceso al mercado comunitario en detrimento de los envíos a la industria de nuestra producción.</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Para la campaña 2024/2025, se observa una caída adicional del rendimiento por hectárea debido, entre otros, a la incidencia de las plagas y enfermedades y a lo</w:t>
      </w:r>
      <w:r>
        <w:rPr>
          <w:rFonts w:ascii="Times New Roman" w:hAnsi="Times New Roman" w:cs="Times New Roman"/>
          <w:sz w:val="24"/>
          <w:szCs w:val="24"/>
        </w:rPr>
        <w:t>s efectos del cambio climático.</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Madrid, 21 de noviembre de 2024. La Coordinadora de Organizaciones de Agricultores y Ganaderos (COAG) ha trasladado en el Observatorio de cítricos de la Unión Europea, celebrado ayer en Bruselas, su elevada preocupación por el</w:t>
      </w:r>
      <w:r w:rsidR="00F223DE">
        <w:rPr>
          <w:rFonts w:ascii="Times New Roman" w:hAnsi="Times New Roman" w:cs="Times New Roman"/>
          <w:sz w:val="24"/>
          <w:szCs w:val="24"/>
        </w:rPr>
        <w:t xml:space="preserve"> posible cierre del acuerdo UE -</w:t>
      </w:r>
      <w:r w:rsidRPr="00CE6783">
        <w:rPr>
          <w:rFonts w:ascii="Times New Roman" w:hAnsi="Times New Roman" w:cs="Times New Roman"/>
          <w:sz w:val="24"/>
          <w:szCs w:val="24"/>
        </w:rPr>
        <w:t xml:space="preserve"> Mercosur y el impacto sobre las personas productoras en la UE. Las importaciones de cítricos transformados de Brasil y Argentina se verían muy beneficiadas por un posible acuerdo, por la liberalización arancelaria que facilitaría su acceso al mercado comunitario, en detrimento de los envíos a la industria de nuestra producción. Si bien los efectos directos podrían notarse menos en el mercado de fresco, los desajustes del ya problemático destino industrial afectarían, en conjunto, a la rentabilidad de nue</w:t>
      </w:r>
      <w:r>
        <w:rPr>
          <w:rFonts w:ascii="Times New Roman" w:hAnsi="Times New Roman" w:cs="Times New Roman"/>
          <w:sz w:val="24"/>
          <w:szCs w:val="24"/>
        </w:rPr>
        <w:t>stras explotaciones citrícolas.</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 xml:space="preserve">COAG también ha criticado el reparto del valor en la cadena citrícola. La organización entiende que no se trata de que el consumidor pague más en el lineal, ya que hay margen suficiente en la cadena para repartir a todos aquellos operadores que suman valor y que las personas del sector productor puedan seguir viviendo de su trabajo. Sin embargo, las </w:t>
      </w:r>
      <w:r w:rsidRPr="00CE6783">
        <w:rPr>
          <w:rFonts w:ascii="Times New Roman" w:hAnsi="Times New Roman" w:cs="Times New Roman"/>
          <w:sz w:val="24"/>
          <w:szCs w:val="24"/>
        </w:rPr>
        <w:lastRenderedPageBreak/>
        <w:t>empresas de la distribución europeas obtienen grandes beneficios a costa de todo aquel que aporta valor en la cadena, especialmente del citricultor. “Por ejemplo, mientras en los lineales de la gran distribución en Bruselas podemos encontrar limón español a 3,18 €/kg, esos mismos cítricos nos los están pagando a 40-50 cts/kg en el campo”, ha señalado Pedro Gomáriz, responsabl</w:t>
      </w:r>
      <w:r>
        <w:rPr>
          <w:rFonts w:ascii="Times New Roman" w:hAnsi="Times New Roman" w:cs="Times New Roman"/>
          <w:sz w:val="24"/>
          <w:szCs w:val="24"/>
        </w:rPr>
        <w:t>e del sector citrícola de COAG.</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En la sesión también se ha puesto de relieve el mayor control que están acaparando los fondos de inversión y las grandes empresas transnacionales en el sector citrícola europeo y español. Cuatro de los diez principales operadores de cítricos en España están controlados por fondos de inversión. “Se está produciendo una concentración empresarial que prioriza la rentabilidad frente a la comercialización del producto originario de nuestro país”, ha señalado Gomáriz. “Nos preocupa que nuestro futuro pueda depender más y más de los beneficios de cuatro grandes empresas, que vienen a marcar el devenir de las explotaciones de los citricultores y las citricultoras. Las autoridades deben adoptar medidas regulatorias que impidan que estos conglomerados empresariales y fondos de inversión destrocen nuestra modelo de citr</w:t>
      </w:r>
      <w:r>
        <w:rPr>
          <w:rFonts w:ascii="Times New Roman" w:hAnsi="Times New Roman" w:cs="Times New Roman"/>
          <w:sz w:val="24"/>
          <w:szCs w:val="24"/>
        </w:rPr>
        <w:t>icultura ligado al territorio”.</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En cuanto a la actual campaña 2024/25, se prevé una reducción de producción del orden del 9% respecto a la media de las últimas 5 campañas, superando el 20% en el caso de los limones, a pesar del aumento del número de árboles plantados en los últimos años. Sin embargo, se está produciendo una caída adicional del rendimiento por hectárea en las explotaciones y del producto destinado al mercado en fresco, que será más aguda en los próximos años, debido a la incidencia de las plagas y enfermedades, a la escasez de recursos hídricos y a los efectos del cambio climático, que provocan hechos tan graves como la trágica DANA en Valencia y en otras zonas de España, para los que también se ha reclamado especial atención durante la reunión.</w:t>
      </w:r>
    </w:p>
    <w:p w:rsidR="003D2CC6" w:rsidRPr="00CE6783"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6783">
        <w:rPr>
          <w:rFonts w:ascii="Times New Roman" w:hAnsi="Times New Roman" w:cs="Times New Roman"/>
          <w:sz w:val="24"/>
          <w:szCs w:val="24"/>
          <w:u w:val="single"/>
        </w:rPr>
        <w:t>La Estrategia Nacional de Alimentación es incompatible con el apoyo a acuerdos como MERCOSUR que destruyen la agricultura y ganadería local</w:t>
      </w:r>
      <w:r>
        <w:rPr>
          <w:rFonts w:ascii="Times New Roman" w:hAnsi="Times New Roman" w:cs="Times New Roman"/>
          <w:sz w:val="24"/>
          <w:szCs w:val="24"/>
        </w:rPr>
        <w:t xml:space="preserve"> (COAG - </w:t>
      </w:r>
      <w:r w:rsidRPr="00CE6783">
        <w:rPr>
          <w:rFonts w:ascii="Times New Roman" w:hAnsi="Times New Roman" w:cs="Times New Roman"/>
          <w:b/>
          <w:sz w:val="24"/>
          <w:szCs w:val="24"/>
        </w:rPr>
        <w:t>2/12/24</w:t>
      </w:r>
      <w:r>
        <w:rPr>
          <w:rFonts w:ascii="Times New Roman" w:hAnsi="Times New Roman" w:cs="Times New Roman"/>
          <w:sz w:val="24"/>
          <w:szCs w:val="24"/>
        </w:rPr>
        <w:t>)</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“No resulta creíble hablar de Estrategia Nacional de Alimentación (ENA) si el Gobierno sigue firmando acuerdos de libre comercio agrícola con terceros países para que las importaciones sin control sustituyan a la producción local”, ha subrayado Andoni García. Si no sirve para reforzar la soberanía alimentaria de nuestro país, teniendo como base la protección del modelo social y profesional de agricultura, el contenido de la ENA se quedará en una mera declaración de buenas intenciones.</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Madrid, 2 de diciembre de 2024. La Coordinadora de Organizaciones de Agricultores y Ganaderos (COAG) ha planteado sus propuestas para la Estrategia Nacional de Alimentación al Ministerio de Agricultura, Pesca y Alimentación. En ellas, se defiende que es esencial la consideración de la agricultura, la ganadería y la alimentación como elementos estratégicos de la Unión Europea, tanto desde el punto de vista económico como social y ambiental, así como para garantizar la seguridad alimentaria en Europa. Ahora bien, para este fin no nos podemos quedar en meras declaraciones de intenciones, sino que se debe apostar por un claro refuerzo de la soberanía alimentaria de nuestro país, teniendo como base la protección del modelo social y profesional de agricultura.</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 xml:space="preserve">COAG considera que la Soberanía Alimentaria, entendida como el derecho de los pueblos a definir su política agraria y alimentaria, debe ser un concepto marco en el que se circunscriba la Estrategia Nacional de Alimentación en el Estado español. “No resulta creíble hablar de Estrategia Nacional de Alimentación si se siguen firmando acuerdos de libre comercio agrícola con terceros países, caso de MERCOSUR, para que las importaciones sustituyan a la </w:t>
      </w:r>
      <w:r w:rsidRPr="00CE6783">
        <w:rPr>
          <w:rFonts w:ascii="Times New Roman" w:hAnsi="Times New Roman" w:cs="Times New Roman"/>
          <w:sz w:val="24"/>
          <w:szCs w:val="24"/>
        </w:rPr>
        <w:lastRenderedPageBreak/>
        <w:t xml:space="preserve">producción local”, ha subrayado Andoni </w:t>
      </w:r>
      <w:r w:rsidR="003A53AF" w:rsidRPr="00CE6783">
        <w:rPr>
          <w:rFonts w:ascii="Times New Roman" w:hAnsi="Times New Roman" w:cs="Times New Roman"/>
          <w:sz w:val="24"/>
          <w:szCs w:val="24"/>
        </w:rPr>
        <w:t>García</w:t>
      </w:r>
      <w:r w:rsidRPr="00CE6783">
        <w:rPr>
          <w:rFonts w:ascii="Times New Roman" w:hAnsi="Times New Roman" w:cs="Times New Roman"/>
          <w:sz w:val="24"/>
          <w:szCs w:val="24"/>
        </w:rPr>
        <w:t>, miembro de la Comisión Ejecutiva de COAG. “Esta Estrategia es una oportunidad clave defender un modelo de agricultura y ganadería socialmente necesarias y proteger a las personas que mantienen las explotaciones más vulnerables, imprescindibles para garantizar nuestra alimentación y soberanía alimentaria en un contexto de crisis climática y energética”.</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Los acuerdos de libre cambio abundan en la agricultura y ganadería basadas en modelos uberizados, insertas en largas cadenas de comercio global, financiadas con grandes capitales y/o fondos de inversión, que acaparan recursos naturales limitados o que, en muchas ocasiones, a pesar de expulsar a las personas, se disfrazan de agricultura familiar o sostenible.</w:t>
      </w:r>
    </w:p>
    <w:p w:rsidR="003D2CC6" w:rsidRPr="00CE6783"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Por otro lado, COAG considera que el Derecho a la Alimentación de las personas también debe aparecer como un elemento de base de la citada Estrategia. La alimentación es un derecho humano y no una mercancía. La política agroalimentaria española, en el marco de la UE, debe dotarse de un enfoque basado en los derechos humanos, incluido el derecho a la alimentación y lo establecido en la Declaración de las Naciones Unidas sobre los derechos de los agricultores y otras personas que trabajan en las zonas rurales (UNDROP). Apostar por una alimentación basada en la competitividad y en los principios de mercado, provoca una rebaja continua de los estándares productivos y de la protección del tejido social, del medio ambiente y de la salud de los contribuyentes. Es necesario proporcionar de estrategias integradas que faciliten el acceso a la alimentación a todas las personas sin poner en riesgo la sostenibilidad económica, ambiental o social de los sistemas alimentarios. Las políticas públicas tienen una especial relevancia en este aspecto.</w:t>
      </w:r>
    </w:p>
    <w:p w:rsidR="003D2CC6" w:rsidRDefault="003D2CC6" w:rsidP="003D2CC6">
      <w:pPr>
        <w:spacing w:line="240" w:lineRule="auto"/>
        <w:jc w:val="both"/>
        <w:rPr>
          <w:rFonts w:ascii="Times New Roman" w:hAnsi="Times New Roman" w:cs="Times New Roman"/>
          <w:sz w:val="24"/>
          <w:szCs w:val="24"/>
        </w:rPr>
      </w:pPr>
      <w:r w:rsidRPr="00CE6783">
        <w:rPr>
          <w:rFonts w:ascii="Times New Roman" w:hAnsi="Times New Roman" w:cs="Times New Roman"/>
          <w:sz w:val="24"/>
          <w:szCs w:val="24"/>
        </w:rPr>
        <w:t>Por último, COAG ha señalado que el establecimiento de una Estrategia Nacional de Alimentación debe plantearse en un contexto amplio de consulta y participación de todas las partes implicadas, desde los distintos departamentos ministeriales, en el marco de una actuación de gobierno, pasando por los territorios, y hasta los agentes económicos y la sociedad civil.</w:t>
      </w:r>
    </w:p>
    <w:p w:rsidR="003D2CC6" w:rsidRPr="00690131"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0131">
        <w:rPr>
          <w:rFonts w:ascii="Times New Roman" w:hAnsi="Times New Roman" w:cs="Times New Roman"/>
          <w:sz w:val="24"/>
          <w:szCs w:val="24"/>
          <w:u w:val="single"/>
        </w:rPr>
        <w:t>Posición común del sector agrario andaluz ante el acuerdo UE- MERCOSUR</w:t>
      </w:r>
      <w:r>
        <w:rPr>
          <w:rFonts w:ascii="Times New Roman" w:hAnsi="Times New Roman" w:cs="Times New Roman"/>
          <w:sz w:val="24"/>
          <w:szCs w:val="24"/>
        </w:rPr>
        <w:t xml:space="preserve"> </w:t>
      </w:r>
      <w:r w:rsidRPr="00CE6783">
        <w:rPr>
          <w:rFonts w:ascii="Times New Roman" w:hAnsi="Times New Roman" w:cs="Times New Roman"/>
          <w:sz w:val="24"/>
          <w:szCs w:val="24"/>
        </w:rPr>
        <w:t xml:space="preserve">(ASAJA Andalucía - </w:t>
      </w:r>
      <w:r w:rsidRPr="00CE6783">
        <w:rPr>
          <w:rFonts w:ascii="Times New Roman" w:hAnsi="Times New Roman" w:cs="Times New Roman"/>
          <w:b/>
          <w:sz w:val="24"/>
          <w:szCs w:val="24"/>
        </w:rPr>
        <w:t>15/1/25</w:t>
      </w:r>
      <w:r w:rsidRPr="00CE6783">
        <w:rPr>
          <w:rFonts w:ascii="Times New Roman" w:hAnsi="Times New Roman" w:cs="Times New Roman"/>
          <w:sz w:val="24"/>
          <w:szCs w:val="24"/>
        </w:rPr>
        <w:t>)</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El pasado 6 de diciembre, la presidenta de la Comisión Europea, Ursula von der Leyen, y sus homólogos de cuatro países del Mercosur anunciaron la finalización de las negociaciones para un acuerdo de asocia</w:t>
      </w:r>
      <w:r>
        <w:rPr>
          <w:rFonts w:ascii="Times New Roman" w:hAnsi="Times New Roman" w:cs="Times New Roman"/>
          <w:sz w:val="24"/>
          <w:szCs w:val="24"/>
        </w:rPr>
        <w:t>ción entre la UE y el Mercosur.</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El acuerdo propuesto entre la UE y el Mercosur consta de un pilar político y de cooperación, y un pilar comercial. Tal y como ha anunciado la Comisión, los documentos oficiales se publicarán en línea en los próximos días. Tras una revisión jurídica definitiva por ambas partes, el texto se traducirá a todas las lenguas oficiales de la UE y, a continuación, se presentará al Consejo y al </w:t>
      </w:r>
      <w:r>
        <w:rPr>
          <w:rFonts w:ascii="Times New Roman" w:hAnsi="Times New Roman" w:cs="Times New Roman"/>
          <w:sz w:val="24"/>
          <w:szCs w:val="24"/>
        </w:rPr>
        <w:t xml:space="preserve">Parlamento para su aprobación.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La parte comercial del citado acuerdo incluye la liberación de los intercambios de mercancías, incluido los productos agroalimentarios, e</w:t>
      </w:r>
      <w:r>
        <w:rPr>
          <w:rFonts w:ascii="Times New Roman" w:hAnsi="Times New Roman" w:cs="Times New Roman"/>
          <w:sz w:val="24"/>
          <w:szCs w:val="24"/>
        </w:rPr>
        <w:t xml:space="preserve">ntre ambos bloques económicos.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Los países del Mercosur, especialmente Argentina y Brasil tienen un gran potencial de producción agrario por lo que el Acuerdo tendrá un fuerte impacto en el se</w:t>
      </w:r>
      <w:r>
        <w:rPr>
          <w:rFonts w:ascii="Times New Roman" w:hAnsi="Times New Roman" w:cs="Times New Roman"/>
          <w:sz w:val="24"/>
          <w:szCs w:val="24"/>
        </w:rPr>
        <w:t xml:space="preserve">ctor agroalimentario de la UE.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Además, es preciso tener en cuenta que los productores agrarios de estos países disponen para su actividad productiva de herramientas de las que no disponen los agricultores y ganaderos europeos, lo que les c</w:t>
      </w:r>
      <w:r>
        <w:rPr>
          <w:rFonts w:ascii="Times New Roman" w:hAnsi="Times New Roman" w:cs="Times New Roman"/>
          <w:sz w:val="24"/>
          <w:szCs w:val="24"/>
        </w:rPr>
        <w:t xml:space="preserve">onfiere ventajas competitivas.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lastRenderedPageBreak/>
        <w:t xml:space="preserve">Por todo ello, es preciso que el acuerdo UE- Mercosur contemple las siguientes cuestiones: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Garantía de un nivel adecuado de autonomía al</w:t>
      </w:r>
      <w:r>
        <w:rPr>
          <w:rFonts w:ascii="Times New Roman" w:hAnsi="Times New Roman" w:cs="Times New Roman"/>
          <w:sz w:val="24"/>
          <w:szCs w:val="24"/>
        </w:rPr>
        <w:t xml:space="preserve">imentaria de la Unión Europea.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Recientes crisis, como las provocadas por la epidemia de Covid-19 o la guerra en Ucrania, han puesto de manifiesto la necesidad de disponer de suministros de materias primas básicas, sin depender de manera importante de terceros países. En situaciones de escasez mundial los países pueden prohibir sus exportaciones de productos agroalimentarios o gravarlos con impuestos a las exportaciones, como de hecho ha sucedido en años recientes. A este respecto, ya tenemos sectores agrarios en los que Andalucía y España están experimenta</w:t>
      </w:r>
      <w:r w:rsidR="003A53AF">
        <w:rPr>
          <w:rFonts w:ascii="Times New Roman" w:hAnsi="Times New Roman" w:cs="Times New Roman"/>
          <w:sz w:val="24"/>
          <w:szCs w:val="24"/>
        </w:rPr>
        <w:t>n</w:t>
      </w:r>
      <w:r w:rsidRPr="00690131">
        <w:rPr>
          <w:rFonts w:ascii="Times New Roman" w:hAnsi="Times New Roman" w:cs="Times New Roman"/>
          <w:sz w:val="24"/>
          <w:szCs w:val="24"/>
        </w:rPr>
        <w:t>do una importante reducción, por ejemplo, en los censos de la ganadería extensiva, que pueden verse agravados con este acuerdo. El desmantelamiento de sectores productivos exige períodos largo</w:t>
      </w:r>
      <w:r>
        <w:rPr>
          <w:rFonts w:ascii="Times New Roman" w:hAnsi="Times New Roman" w:cs="Times New Roman"/>
          <w:sz w:val="24"/>
          <w:szCs w:val="24"/>
        </w:rPr>
        <w:t xml:space="preserve">s de tiempo para su reversión.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La actividad agroalimentaria es fundamental para el mantenimiento del tejido social y </w:t>
      </w:r>
      <w:r w:rsidR="003A53AF" w:rsidRPr="00690131">
        <w:rPr>
          <w:rFonts w:ascii="Times New Roman" w:hAnsi="Times New Roman" w:cs="Times New Roman"/>
          <w:sz w:val="24"/>
          <w:szCs w:val="24"/>
        </w:rPr>
        <w:t>económico</w:t>
      </w:r>
      <w:r w:rsidRPr="00690131">
        <w:rPr>
          <w:rFonts w:ascii="Times New Roman" w:hAnsi="Times New Roman" w:cs="Times New Roman"/>
          <w:sz w:val="24"/>
          <w:szCs w:val="24"/>
        </w:rPr>
        <w:t xml:space="preserve"> en gran parte de las zonas rurales de la Unión Europea y así sucede en Andalucía. La pérdida de esta actividad conducirá a un despoblamiento de dichas áreas rurales y su concentración en grandes núcleos urbanos como ya está sucediendo en otras partes del mundo, provocando la pérdida de valores paisajísticos, sociales y cul</w:t>
      </w:r>
      <w:r>
        <w:rPr>
          <w:rFonts w:ascii="Times New Roman" w:hAnsi="Times New Roman" w:cs="Times New Roman"/>
          <w:sz w:val="24"/>
          <w:szCs w:val="24"/>
        </w:rPr>
        <w:t xml:space="preserve">turales intrínsecos de Europa. </w:t>
      </w:r>
      <w:r w:rsidRPr="00690131">
        <w:rPr>
          <w:rFonts w:ascii="Times New Roman" w:hAnsi="Times New Roman" w:cs="Times New Roman"/>
          <w:sz w:val="24"/>
          <w:szCs w:val="24"/>
        </w:rPr>
        <w:t xml:space="preserve">  </w:t>
      </w:r>
    </w:p>
    <w:p w:rsidR="003D2CC6"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La seguridad de los alimentos de los consumidores europeos. La Unión Europea dispone de unas estrictas normas para garantizar alimentos sanos y de calidad, así como para evitar fraudes en las denominaciones comerciales. Estas normas deben exigirse igualmente a los productos importados.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Una competencia leal con las producciones europeas. La Unión Europea establece elevadas exigencias a las prácticas agrarias e industriales para mantener y mejorar el medio ambiente, que en muchos casos implican unos mayores costes de producción. Esto mismo debe demandarse a los productos importados para evitar, tanto una situación de desventaja competitiva de los productores europeos, como que los problemas medioambientales se trasladen a otras zonas del mundo, perjudicando a las poblaciones de las mismas. Todos los habitantes del planeta tienen derecho a disfrutar de la misma protección del medio ambiente. Igualmente, estas consideraciones se deben trasladar a los altos niveles de protección social y seguridad laboral de los tra</w:t>
      </w:r>
      <w:r>
        <w:rPr>
          <w:rFonts w:ascii="Times New Roman" w:hAnsi="Times New Roman" w:cs="Times New Roman"/>
          <w:sz w:val="24"/>
          <w:szCs w:val="24"/>
        </w:rPr>
        <w:t xml:space="preserve">bajadores de la Unión Europea.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El cumplimiento de lo dispuesto en los acuerdos comerciales. Por ejemplo, los acuerdos sueles incluir determinadas cantidades importadas a las que se aplican aranceles inferiores y que cuando se sobrepasan suponen la elevación de los impuestos. Es necesario un reforzamiento de los controles de dichas cantidades a nivel de la UE. Asimismo, del cumplimiento de la normativa de salud humana, san</w:t>
      </w:r>
      <w:r>
        <w:rPr>
          <w:rFonts w:ascii="Times New Roman" w:hAnsi="Times New Roman" w:cs="Times New Roman"/>
          <w:sz w:val="24"/>
          <w:szCs w:val="24"/>
        </w:rPr>
        <w:t xml:space="preserve">idad vegetal y sanidad animal.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definitiva, la liberalización comercial debe realizarse siempre con unas condiciones justas y equitativas evitando la competencia desleal. No hay que olvidar que Andalucía es una gran potencia exportadora de productos agroalimentarios, habiendo sobrepasado recientemente los 14.000 millones de euros anuales, habiéndose duplicado en los últimos 10 años, lo que refleja el alto nivel de competitividad de nuestro sector y la importancia del comerci</w:t>
      </w:r>
      <w:r>
        <w:rPr>
          <w:rFonts w:ascii="Times New Roman" w:hAnsi="Times New Roman" w:cs="Times New Roman"/>
          <w:sz w:val="24"/>
          <w:szCs w:val="24"/>
        </w:rPr>
        <w:t xml:space="preserve">o internacional para el mismo.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Por otra parte, aun cuando se aseguren las cuestiones antes citadas, pueden existir sectores y territorios que, por sus características propias, resulten negativamente afectados por los </w:t>
      </w:r>
      <w:r w:rsidRPr="00690131">
        <w:rPr>
          <w:rFonts w:ascii="Times New Roman" w:hAnsi="Times New Roman" w:cs="Times New Roman"/>
          <w:sz w:val="24"/>
          <w:szCs w:val="24"/>
        </w:rPr>
        <w:lastRenderedPageBreak/>
        <w:t>acuerdos comerciales, y en concreto por el acuerdo con Mercosur, por lo que resulta imprescindible la adopción de medidas compensator</w:t>
      </w:r>
      <w:r>
        <w:rPr>
          <w:rFonts w:ascii="Times New Roman" w:hAnsi="Times New Roman" w:cs="Times New Roman"/>
          <w:sz w:val="24"/>
          <w:szCs w:val="24"/>
        </w:rPr>
        <w:t xml:space="preserve">ias para los mismos.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Ello exige la realización de estudios de impacto sociales y económicos a nivel global y a nivel de sectores y territorios. Dichos estudios deben analizar los impactos a corto plazo, pero también a medio y largo plazo, estudiando posibles cambios en la distribución de cultivos y ganadería en los terceros países. Estos estudios además deben tener el efecto acumulativo con otros acuerdos ya existentes o que se están cerrando actualmente como los acuerdos con Australia y Nueva Zelanda, que también disponen de</w:t>
      </w:r>
      <w:r>
        <w:rPr>
          <w:rFonts w:ascii="Times New Roman" w:hAnsi="Times New Roman" w:cs="Times New Roman"/>
          <w:sz w:val="24"/>
          <w:szCs w:val="24"/>
        </w:rPr>
        <w:t xml:space="preserve"> sectores agrarios relevantes. </w:t>
      </w:r>
      <w:r w:rsidRPr="00690131">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Por ello</w:t>
      </w:r>
      <w:r>
        <w:rPr>
          <w:rFonts w:ascii="Times New Roman" w:hAnsi="Times New Roman" w:cs="Times New Roman"/>
          <w:sz w:val="24"/>
          <w:szCs w:val="24"/>
        </w:rPr>
        <w:t xml:space="preserve">, desde Andalucía solicitamos: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Una mayor transparencia sobre todos los elementos incluidos en el Acuerdo que afec</w:t>
      </w:r>
      <w:r>
        <w:rPr>
          <w:rFonts w:ascii="Times New Roman" w:hAnsi="Times New Roman" w:cs="Times New Roman"/>
          <w:sz w:val="24"/>
          <w:szCs w:val="24"/>
        </w:rPr>
        <w:t xml:space="preserve">tan al sector agroalimentario.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La realización de un análisis previo del impacto al sector agrario de este Acuerdo a nivel gl</w:t>
      </w:r>
      <w:r>
        <w:rPr>
          <w:rFonts w:ascii="Times New Roman" w:hAnsi="Times New Roman" w:cs="Times New Roman"/>
          <w:sz w:val="24"/>
          <w:szCs w:val="24"/>
        </w:rPr>
        <w:t xml:space="preserve">obal, sectorial y territorial.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La introducción de cláusulas que garanticen, de una manera clara, una competencia justa y leal para los productores europeos y así se pueda asegurar un nivel adecuado de autonomía a</w:t>
      </w:r>
      <w:r>
        <w:rPr>
          <w:rFonts w:ascii="Times New Roman" w:hAnsi="Times New Roman" w:cs="Times New Roman"/>
          <w:sz w:val="24"/>
          <w:szCs w:val="24"/>
        </w:rPr>
        <w:t xml:space="preserve">limentaria a la Unión Europea.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Inclusión de mecanismos claros, explícitos y concretos que permitan la vigilancia y el aseguramiento del cumplimiento</w:t>
      </w:r>
      <w:r>
        <w:rPr>
          <w:rFonts w:ascii="Times New Roman" w:hAnsi="Times New Roman" w:cs="Times New Roman"/>
          <w:sz w:val="24"/>
          <w:szCs w:val="24"/>
        </w:rPr>
        <w:t xml:space="preserve"> de las cláusulas del Acuerdo.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  - El establecimiento de medidas compensatorias para aquellos sectores y territorios que resulten especialmente afectados SOLICITAMOS al Gobierno de la Nación y a las instituciones europeas que trabajen para la inclusión de estas demandas. </w:t>
      </w:r>
    </w:p>
    <w:p w:rsidR="003D2CC6" w:rsidRPr="00690131"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0131">
        <w:rPr>
          <w:rFonts w:ascii="Times New Roman" w:hAnsi="Times New Roman" w:cs="Times New Roman"/>
          <w:sz w:val="24"/>
          <w:szCs w:val="24"/>
        </w:rPr>
        <w:t>Y manifestamos que mientras no se tengan en cuenta las cuestiones anteriormente plante</w:t>
      </w:r>
      <w:r>
        <w:rPr>
          <w:rFonts w:ascii="Times New Roman" w:hAnsi="Times New Roman" w:cs="Times New Roman"/>
          <w:sz w:val="24"/>
          <w:szCs w:val="24"/>
        </w:rPr>
        <w:t xml:space="preserve">adas, RECHAZAMOS este acuerdo. </w:t>
      </w:r>
    </w:p>
    <w:p w:rsidR="003D2CC6" w:rsidRPr="003F4C12"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4C12">
        <w:rPr>
          <w:rFonts w:ascii="Times New Roman" w:hAnsi="Times New Roman" w:cs="Times New Roman"/>
          <w:sz w:val="24"/>
          <w:szCs w:val="24"/>
        </w:rPr>
        <w:t xml:space="preserve">Artículo de opinión. </w:t>
      </w:r>
      <w:r w:rsidRPr="003F4C12">
        <w:rPr>
          <w:rFonts w:ascii="Times New Roman" w:hAnsi="Times New Roman" w:cs="Times New Roman"/>
          <w:sz w:val="24"/>
          <w:szCs w:val="24"/>
          <w:u w:val="single"/>
        </w:rPr>
        <w:t>El campo quiere una Europa más democrática</w:t>
      </w:r>
      <w:r>
        <w:rPr>
          <w:rFonts w:ascii="Times New Roman" w:hAnsi="Times New Roman" w:cs="Times New Roman"/>
          <w:sz w:val="24"/>
          <w:szCs w:val="24"/>
        </w:rPr>
        <w:t xml:space="preserve"> (ASAJA - </w:t>
      </w:r>
      <w:r w:rsidRPr="00690131">
        <w:rPr>
          <w:rFonts w:ascii="Times New Roman" w:hAnsi="Times New Roman" w:cs="Times New Roman"/>
          <w:b/>
          <w:sz w:val="24"/>
          <w:szCs w:val="24"/>
        </w:rPr>
        <w:t>31/1/25</w:t>
      </w:r>
      <w:r>
        <w:rPr>
          <w:rFonts w:ascii="Times New Roman" w:hAnsi="Times New Roman" w:cs="Times New Roman"/>
          <w:sz w:val="24"/>
          <w:szCs w:val="24"/>
        </w:rPr>
        <w:t>)</w:t>
      </w:r>
    </w:p>
    <w:p w:rsidR="003D2CC6" w:rsidRPr="003F4C12"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F4C12">
        <w:rPr>
          <w:rFonts w:ascii="Times New Roman" w:hAnsi="Times New Roman" w:cs="Times New Roman"/>
          <w:sz w:val="24"/>
          <w:szCs w:val="24"/>
        </w:rPr>
        <w:t>Por Cristóbal Aguado Laza Presidente de AVA-ASAJA</w:t>
      </w:r>
      <w:r>
        <w:rPr>
          <w:rFonts w:ascii="Times New Roman" w:hAnsi="Times New Roman" w:cs="Times New Roman"/>
          <w:sz w:val="24"/>
          <w:szCs w:val="24"/>
        </w:rPr>
        <w:t>)</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Ahora que algunos aprovechan el regreso de Donald Trump a la Casa Blanca para poner sobre la mesa un debate sobre el peligro que podría estar corriendo la democracia, la Unión Europea no debería sacar demasiado pecho de su carácter democrático. No, al menos, a la vista del trato que dispensa a</w:t>
      </w:r>
      <w:r>
        <w:rPr>
          <w:rFonts w:ascii="Times New Roman" w:hAnsi="Times New Roman" w:cs="Times New Roman"/>
          <w:sz w:val="24"/>
          <w:szCs w:val="24"/>
        </w:rPr>
        <w:t xml:space="preserve"> los agricultores y ganaderos. </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Según el Eurobarómetro hecho público por la UE, más del 80% de los ciudadanos europeos (más del 90% en España) están de acuerdo o muy de acuerdo con las recientes protestas de los agricultores en Europa; consideran que la importación de productos agrarios, independientemente de su origen, solo debería permitirse si su producción cumple las normas europeas en materia de medio ambiente, bienestar animal y laboral; y coindicen con el sector agrario en que los acuerdos comerciales de la UE exponen a los productores comunitarios a la competenc</w:t>
      </w:r>
      <w:r>
        <w:rPr>
          <w:rFonts w:ascii="Times New Roman" w:hAnsi="Times New Roman" w:cs="Times New Roman"/>
          <w:sz w:val="24"/>
          <w:szCs w:val="24"/>
        </w:rPr>
        <w:t xml:space="preserve">ia desleal de países terceros. </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 xml:space="preserve">¿Entonces por qué la Comisión Europea y los Estados Miembros, en lugar de defender las políticas agrarias que apoya la mayoría, hacen justamente lo contrario? El tratado con Mercosur, por poner el último ejemplo, es tan perjudicial como antes lo han sido los acuerdos con Sudáfrica, Marruecos o Egipto. En todos ellos, Europa no pide a los productos agrarios de fuera las mismas exigencias que sí se afana en imponer a los europeos. Por tanto, si la </w:t>
      </w:r>
      <w:r w:rsidRPr="003F4C12">
        <w:rPr>
          <w:rFonts w:ascii="Times New Roman" w:hAnsi="Times New Roman" w:cs="Times New Roman"/>
          <w:sz w:val="24"/>
          <w:szCs w:val="24"/>
        </w:rPr>
        <w:lastRenderedPageBreak/>
        <w:t>Comisión sabe lo que piensa y respalda la ciudadanía europea, pero aprueba leyes que no respetan lo que piensa la gente, entonces estamos ante una Comisión que d</w:t>
      </w:r>
      <w:r>
        <w:rPr>
          <w:rFonts w:ascii="Times New Roman" w:hAnsi="Times New Roman" w:cs="Times New Roman"/>
          <w:sz w:val="24"/>
          <w:szCs w:val="24"/>
        </w:rPr>
        <w:t xml:space="preserve">ista mucho de ser democrática. </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Los motivos que esconde Bruselas para actuar de espaldas al campo y la sociedad son más oscuros de lo que parece. Estos días hemos conocido una investigación, del periódico holandés De Telegraaf, que revela que la Comisión Europea ha estado otorgando subvenciones a grupos ecologistas con el objetivo de que lleven a cabo una calculada campaña de lobby, con nombres y apellidos de eurodiputados a influir, a favor del Pacto Verde q</w:t>
      </w:r>
      <w:r>
        <w:rPr>
          <w:rFonts w:ascii="Times New Roman" w:hAnsi="Times New Roman" w:cs="Times New Roman"/>
          <w:sz w:val="24"/>
          <w:szCs w:val="24"/>
        </w:rPr>
        <w:t xml:space="preserve">ue impulsaba Frans Timmermans. </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 xml:space="preserve">Es inaudito que todo un vicepresidente primero de la Comisión se dedicara, como una mano negra, a mover hilos por detrás del telón, incentivando un radicalismo ecológico en Europa, buscando el enfrentamiento con el sector productor y poniendo contra las cuerdas, no solamente la viabilidad económica de los agricultores y ganaderos europeos, sino también la soberanía alimentaria y la lucha mundial contra el cambio climático. </w:t>
      </w: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Porque sus supuestas leyes ‘verdes’ en realidad lo que hacen es exportar y agravar la contaminación, dando una ventaja tramposa a unas importaciones agrarias que son producidas en unas condiciones ambientales mucho más laxas y que son transportadas en barcos no poco contaminantes desde miles de kilómetros. Por cierto, la mayoría de esas importaciones promovidas por el holandés Timmermans descargan en el puerto de Rotterdam, convertido gracias al Pacto V</w:t>
      </w:r>
      <w:r>
        <w:rPr>
          <w:rFonts w:ascii="Times New Roman" w:hAnsi="Times New Roman" w:cs="Times New Roman"/>
          <w:sz w:val="24"/>
          <w:szCs w:val="24"/>
        </w:rPr>
        <w:t xml:space="preserve">erde en una mina de diamantes. </w:t>
      </w:r>
    </w:p>
    <w:p w:rsidR="003D2CC6"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 xml:space="preserve">Independientemente de sus intereses, no constituye la manera de hacer política más transparente y honesta aquella que se gasta el dinero público de los europeos en grupos ecologistas radicales para hacer la vida imposible a una parte de la población que es más necesaria que nunca para garantizar una alimentación de proximidad, calidad y seguridad. La Comisión Europea debería dar todas las explicaciones, pedir disculpas a la sociedad y rectificar el rumbo de sus políticas agrarias en aras de lograr, de verdad, una democracia plena, participativa y no excluyente del sector agrario. </w:t>
      </w:r>
    </w:p>
    <w:p w:rsidR="003D2CC6" w:rsidRPr="00690131"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0131">
        <w:rPr>
          <w:rFonts w:ascii="Times New Roman" w:hAnsi="Times New Roman" w:cs="Times New Roman"/>
          <w:sz w:val="24"/>
          <w:szCs w:val="24"/>
          <w:u w:val="single"/>
        </w:rPr>
        <w:t>ASAJA CLM no aceptará ni una sola medida legislativa que atente contra la renta de un agricultor</w:t>
      </w:r>
      <w:r>
        <w:rPr>
          <w:rFonts w:ascii="Times New Roman" w:hAnsi="Times New Roman" w:cs="Times New Roman"/>
          <w:sz w:val="24"/>
          <w:szCs w:val="24"/>
        </w:rPr>
        <w:t xml:space="preserve"> (ASAJA Castilla La Mancha - </w:t>
      </w:r>
      <w:r w:rsidRPr="00690131">
        <w:rPr>
          <w:rFonts w:ascii="Times New Roman" w:hAnsi="Times New Roman" w:cs="Times New Roman"/>
          <w:b/>
          <w:sz w:val="24"/>
          <w:szCs w:val="24"/>
        </w:rPr>
        <w:t>31/1/25</w:t>
      </w:r>
      <w:r>
        <w:rPr>
          <w:rFonts w:ascii="Times New Roman" w:hAnsi="Times New Roman" w:cs="Times New Roman"/>
          <w:sz w:val="24"/>
          <w:szCs w:val="24"/>
        </w:rPr>
        <w:t>)</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La organización agraria presenta el balance de la agricultura y ganadería de 2024 y marca las</w:t>
      </w:r>
      <w:r>
        <w:rPr>
          <w:rFonts w:ascii="Times New Roman" w:hAnsi="Times New Roman" w:cs="Times New Roman"/>
          <w:sz w:val="24"/>
          <w:szCs w:val="24"/>
        </w:rPr>
        <w:t xml:space="preserve"> líneas estratégicas para 2025.</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ASAJA Castilla-La Mancha ha presentado el balance de la agricultura y ganadería del último año y ha señalado las líneas estratégicas que llevará a cabo la organización de cara al 2025. En rueda de prensa, el presidente y el secretario general, José María Fresneda y Florencio Rodríguez, acompañados de los vicepresidentes Blanca Corroto y Pedro Alcolea, han señalado a las políticas conservacionistas como uno de los principales problemas del año para</w:t>
      </w:r>
      <w:r>
        <w:rPr>
          <w:rFonts w:ascii="Times New Roman" w:hAnsi="Times New Roman" w:cs="Times New Roman"/>
          <w:sz w:val="24"/>
          <w:szCs w:val="24"/>
        </w:rPr>
        <w:t xml:space="preserve"> el campo castellano-manchego.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Rodríguez ha calificado el 2024 como “convulso” debido a las múltiples protestas y movilizaciones del sector agrario en la región, en España y en Bruselas. Según ha declarado, las políticas conservacionistas han perjudicado a agricultores y ganaderos “con normativas medioambientales, restricciones en la PAC y una creciente presión de lobbies que imponen medidas aj</w:t>
      </w:r>
      <w:r>
        <w:rPr>
          <w:rFonts w:ascii="Times New Roman" w:hAnsi="Times New Roman" w:cs="Times New Roman"/>
          <w:sz w:val="24"/>
          <w:szCs w:val="24"/>
        </w:rPr>
        <w:t xml:space="preserve">enas a la realidad del campo”.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lastRenderedPageBreak/>
        <w:t>Por su parte, el presidente de ASAJA CLM, José María Fresneda, ha asegurado que para el 2025 “tenemos mucha agenda y mucha actividad de futuro, porque nosotros, en su día</w:t>
      </w:r>
      <w:r>
        <w:rPr>
          <w:rFonts w:ascii="Times New Roman" w:hAnsi="Times New Roman" w:cs="Times New Roman"/>
          <w:sz w:val="24"/>
          <w:szCs w:val="24"/>
        </w:rPr>
        <w:t xml:space="preserve">, no firmamos las 43 medidas”.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Siguiendo con las políticas conservacionistas, Fresneda ha hecho referencia a las subvenciones que habría otorgado la Comisión para promover el Pacto Verde europeo y hacer lobby a favor de las políticas verdes “ya nos temíamos esa connivencia que había entre la Comisión y los grupos ecologistas” ha indicado. “Se legisla de cara a la galería y a espaldas de los agricultores y ganaderos”, han lam</w:t>
      </w:r>
      <w:r>
        <w:rPr>
          <w:rFonts w:ascii="Times New Roman" w:hAnsi="Times New Roman" w:cs="Times New Roman"/>
          <w:sz w:val="24"/>
          <w:szCs w:val="24"/>
        </w:rPr>
        <w:t xml:space="preserve">entado desde la organización.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Sobre las presiones medioambientalistas, Fresneda ha asegurado que “eso desciende también a España y, fundamentalmente, a esta comunidad autónoma. Los procedimientos sobre propuestas legislativas que suponen limitaciones para el sector tienen que ser transparentes y deben tener garantía jurídica. Estamos dispuestos a llegar a todo para que eso sea así, a</w:t>
      </w:r>
      <w:r>
        <w:rPr>
          <w:rFonts w:ascii="Times New Roman" w:hAnsi="Times New Roman" w:cs="Times New Roman"/>
          <w:sz w:val="24"/>
          <w:szCs w:val="24"/>
        </w:rPr>
        <w:t xml:space="preserve"> los tribunales o a la calle”.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“No vamos a aceptar ni una sola medida legislativa que atente contra la renta de un agricultor o un ganadero sin compensación.  No se puede legislar mirando de reojo lo que van a decir denominados grupos de presión que están alrededor de las consejerías y las administraciones. No podemos y no lo va</w:t>
      </w:r>
      <w:r>
        <w:rPr>
          <w:rFonts w:ascii="Times New Roman" w:hAnsi="Times New Roman" w:cs="Times New Roman"/>
          <w:sz w:val="24"/>
          <w:szCs w:val="24"/>
        </w:rPr>
        <w:t xml:space="preserve">mos a permitir”, ha insistido.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relación con la PAC el presidente ha asegurado que tendrán mucho trabajo por delante ya que se van a tocar temas importantes como el presupuesto o la figura del agricultor activo. “Nosotros velaremos por los intereses de los agricultores profesionales. Nada más. Y hay que diferenciar entre una agricultura sostenible y una agricul</w:t>
      </w:r>
      <w:r>
        <w:rPr>
          <w:rFonts w:ascii="Times New Roman" w:hAnsi="Times New Roman" w:cs="Times New Roman"/>
          <w:sz w:val="24"/>
          <w:szCs w:val="24"/>
        </w:rPr>
        <w:t xml:space="preserve">tura competitiva”, ha añadido.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cuanto al agua, ASAJA CLM ha señalado que la Unión Europea está preocupada por la directiva Marco del Agua, ya que se tiene que cumplir en el año 2027 el buen estado cualitativo y cuantitativo de las masas, “un plazo imposible de cumplir” según la organización. Además, Bruselas plantea ahora políticas de apoyo al almacenamiento del agua. “Nosotros siempre hemos pedido infraestructuras de almacenamiento y vasos comunicantes, para utilizar esa agua cuando sea necesario, por ejemplo, para cuando haya sequía, pero también para cuando se demande a</w:t>
      </w:r>
      <w:r>
        <w:rPr>
          <w:rFonts w:ascii="Times New Roman" w:hAnsi="Times New Roman" w:cs="Times New Roman"/>
          <w:sz w:val="24"/>
          <w:szCs w:val="24"/>
        </w:rPr>
        <w:t xml:space="preserve"> nivel agrícola o industrial”.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La Unión Europea aboga también por cambiar los cultivos, usos más eficientes y prácticas agrarias para retener agua, “algo que Castilla-La Mancha durante los últimos 20 años ha estado haciendo, con limitaciones de derechos de agua, con cambio de cultivos. Ha cambiado la fotografía de los cultivos de hace 20 años de Castilla la Mancha gracias a un esfuerzo sobrenatural de los agricultores que se han sacrificado por optimizar el agua, por ahorrar el agua, sin infraestruct</w:t>
      </w:r>
      <w:r>
        <w:rPr>
          <w:rFonts w:ascii="Times New Roman" w:hAnsi="Times New Roman" w:cs="Times New Roman"/>
          <w:sz w:val="24"/>
          <w:szCs w:val="24"/>
        </w:rPr>
        <w:t xml:space="preserve">uras y sin apoyos económicos”.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Sobre los acuerdos comerciales, Fresneda ha criticado que “no puede ser que nos animen a hacerle manifestaciones a Trump, cuando quien tiene que poner medidas es Pedro Sánchez, que es el que nos gobierna aquí. Necesitamos seguir exportando vino, queso, aceite. Y para eso hay que tomar medidas</w:t>
      </w:r>
      <w:r>
        <w:rPr>
          <w:rFonts w:ascii="Times New Roman" w:hAnsi="Times New Roman" w:cs="Times New Roman"/>
          <w:sz w:val="24"/>
          <w:szCs w:val="24"/>
        </w:rPr>
        <w:t xml:space="preserve"> desde el Gobierno de España”.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Centrándose en Castilla-La Mancha, el presidente de ASAJA CLM ha hecho referencia al problema con las ayudas a la incorporación de jóvenes ya que, como mínimo, 600 jóvenes se quedarán sin entrar en la última convocatoria. “Lo que ha ocurrido con la medida estrella del Gobierno, la incorporación de jóvenes ha sido la mayor irresponsabilidad que se puede cometer con una medida tan ansiada y tan pregonada. Menos anuncios y más soluciones. No se puede generar expectativas cuando no vas a poder resolver el problema”. No obstante, ha </w:t>
      </w:r>
      <w:r w:rsidRPr="00690131">
        <w:rPr>
          <w:rFonts w:ascii="Times New Roman" w:hAnsi="Times New Roman" w:cs="Times New Roman"/>
          <w:sz w:val="24"/>
          <w:szCs w:val="24"/>
        </w:rPr>
        <w:lastRenderedPageBreak/>
        <w:t xml:space="preserve">asegurado que ya han trabajado con la consejería de Agricultura en una solución. “Nuestro </w:t>
      </w:r>
      <w:r>
        <w:rPr>
          <w:rFonts w:ascii="Times New Roman" w:hAnsi="Times New Roman" w:cs="Times New Roman"/>
          <w:sz w:val="24"/>
          <w:szCs w:val="24"/>
        </w:rPr>
        <w:t xml:space="preserve">trabajo es recuperar a todos”.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cuanto a los costes de producción, a pesar de las reticencias de la consejería de Agricultura, ASAJA CLM ha explicado por qué es necesario un observatorio de costes: no se trata de determinar los costes en sí, sino de ofrecer una herramienta a los agricultores para que, basándose en lo que les cuestan los fertilizantes, el gasóleo, las semillas, los fitosanitarios o los arrendamientos en las diferentes zonas de la región, puedan obtener un método de costes directos de producción. Con ello, además, podríamos determinar qué sectores están en crisis y establecer mecanismo</w:t>
      </w:r>
      <w:r>
        <w:rPr>
          <w:rFonts w:ascii="Times New Roman" w:hAnsi="Times New Roman" w:cs="Times New Roman"/>
          <w:sz w:val="24"/>
          <w:szCs w:val="24"/>
        </w:rPr>
        <w:t xml:space="preserve">s de protección y salvaguarda.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Además, Fresneda ha valorado que se haya publicado la Resolución por la que se podrá mezclar la lana con el estiércol para uso como abono orgánico, “se ha resuelto parte del problema de la lana, con una propuesta que hizo hace años nuestro secretario general” y ha aprovechado para agradecer la dedicación que ha tenido en esta materia el director general de Ordenación A</w:t>
      </w:r>
      <w:r>
        <w:rPr>
          <w:rFonts w:ascii="Times New Roman" w:hAnsi="Times New Roman" w:cs="Times New Roman"/>
          <w:sz w:val="24"/>
          <w:szCs w:val="24"/>
        </w:rPr>
        <w:t xml:space="preserve">gropecuaria, Joaquín Cuadrado.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Finalmente, sobre el Programa de Desarrollo Rural (PDR), ha pedido una revisión en profundidad del modelo porque “es necesario que llegue más dinero a los agricultores y los ganaderos”. Y, en relación a la producción ecológica, ha demandado “una financiación específica si se pretende lograr el objetivo que marca la Unión Europea de alcanzar un 25% de superficie ag</w:t>
      </w:r>
      <w:r>
        <w:rPr>
          <w:rFonts w:ascii="Times New Roman" w:hAnsi="Times New Roman" w:cs="Times New Roman"/>
          <w:sz w:val="24"/>
          <w:szCs w:val="24"/>
        </w:rPr>
        <w:t xml:space="preserve">raria en ecológico para 2030”. </w:t>
      </w:r>
    </w:p>
    <w:p w:rsidR="003D2CC6" w:rsidRPr="00690131"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Campañas agrícolas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El secretario general, Florencio Rodríguez, también ha hecho un análisis de las principales campañas agrícolas de la región, destacando la caída de los precios agrícolas, el aumento de los costes de producción y la falta de rentabilidad en muchas explotaciones.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La importación masiva de cereales y otros productos, agravada por los conflictos internacionales, ha generado una competencia desleal que ha hundido los precios.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el sector vitivinícola, aunque la producción ha aumentado un 17-18 %, “ha sido una campaña mala en precios, porque estábamos por debajo de los costes de</w:t>
      </w:r>
      <w:r>
        <w:rPr>
          <w:rFonts w:ascii="Times New Roman" w:hAnsi="Times New Roman" w:cs="Times New Roman"/>
          <w:sz w:val="24"/>
          <w:szCs w:val="24"/>
        </w:rPr>
        <w:t xml:space="preserve"> producción en muchas zonas”.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cuanto al olivar “ha crecido en superficie, superando por primera vez al viñedo en Castilla-La Mancha” ha subrayado Rodríguez. La campaña de aceituna ya está terminando y la organización agraria estima una cosecha mayor que la del año pasado “debido, en gran parte, a las favorables condiciones climatológicas, pero también porque ha entrado en producción parte de la superficie que hasta ahora no lo había hecho”.</w:t>
      </w:r>
      <w:r>
        <w:rPr>
          <w:rFonts w:ascii="Times New Roman" w:hAnsi="Times New Roman" w:cs="Times New Roman"/>
          <w:sz w:val="24"/>
          <w:szCs w:val="24"/>
        </w:rPr>
        <w:t xml:space="preserve">  </w:t>
      </w:r>
    </w:p>
    <w:p w:rsidR="003D2CC6" w:rsidRPr="00690131"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En esta línea ha insistido en la necesidad de reestructurar el olivar tradicional con fondos públicos y ha alertado sobre la situación del almendro, cuyo precio sigue en caída. Además, ha denunciado la falta de apoyo al girasol y, sobre las hortícolas, ha resaltado las dificultades en la cebolla, cultivo en expansión en la región, pero afe</w:t>
      </w:r>
      <w:r>
        <w:rPr>
          <w:rFonts w:ascii="Times New Roman" w:hAnsi="Times New Roman" w:cs="Times New Roman"/>
          <w:sz w:val="24"/>
          <w:szCs w:val="24"/>
        </w:rPr>
        <w:t xml:space="preserve">ctado por pérdidas económicas. </w:t>
      </w:r>
    </w:p>
    <w:p w:rsidR="0035561D" w:rsidRDefault="003D2CC6" w:rsidP="003D2CC6">
      <w:pPr>
        <w:spacing w:line="240" w:lineRule="auto"/>
        <w:jc w:val="both"/>
        <w:rPr>
          <w:rFonts w:ascii="Times New Roman" w:hAnsi="Times New Roman" w:cs="Times New Roman"/>
          <w:sz w:val="24"/>
          <w:szCs w:val="24"/>
        </w:rPr>
      </w:pPr>
      <w:r w:rsidRPr="00690131">
        <w:rPr>
          <w:rFonts w:ascii="Times New Roman" w:hAnsi="Times New Roman" w:cs="Times New Roman"/>
          <w:sz w:val="24"/>
          <w:szCs w:val="24"/>
        </w:rPr>
        <w:t xml:space="preserve">Por último, sobre la ganadería, el secretario general ha señalado que, aunque los precios cárnicos han sido altos, el sector enfrenta graves problemas como la falta de relevo generacional, las enfermedades animales y los elevados costes de producción. También ha advertido sobre la bajada de precios de la leche y la creciente presión sobre los ganaderos. </w:t>
      </w:r>
    </w:p>
    <w:p w:rsidR="003D2CC6" w:rsidRPr="00BF42D2" w:rsidRDefault="0035561D" w:rsidP="003D2CC6">
      <w:pPr>
        <w:spacing w:line="240" w:lineRule="auto"/>
        <w:jc w:val="both"/>
        <w:rPr>
          <w:rFonts w:ascii="Times New Roman" w:hAnsi="Times New Roman" w:cs="Times New Roman"/>
          <w:sz w:val="20"/>
          <w:szCs w:val="20"/>
        </w:rPr>
      </w:pPr>
      <w:r w:rsidRPr="00BF42D2">
        <w:rPr>
          <w:rFonts w:ascii="Times New Roman" w:hAnsi="Times New Roman" w:cs="Times New Roman"/>
          <w:b/>
          <w:sz w:val="20"/>
          <w:szCs w:val="20"/>
        </w:rPr>
        <w:t>Nota</w:t>
      </w:r>
      <w:r w:rsidRPr="00BF42D2">
        <w:rPr>
          <w:rFonts w:ascii="Times New Roman" w:hAnsi="Times New Roman" w:cs="Times New Roman"/>
          <w:sz w:val="20"/>
          <w:szCs w:val="20"/>
        </w:rPr>
        <w:t xml:space="preserve">: en el </w:t>
      </w:r>
      <w:r w:rsidRPr="00BF42D2">
        <w:rPr>
          <w:rFonts w:ascii="Times New Roman" w:hAnsi="Times New Roman" w:cs="Times New Roman"/>
          <w:b/>
          <w:sz w:val="20"/>
          <w:szCs w:val="20"/>
        </w:rPr>
        <w:t>Anexo II</w:t>
      </w:r>
      <w:r w:rsidRPr="00BF42D2">
        <w:rPr>
          <w:rFonts w:ascii="Times New Roman" w:hAnsi="Times New Roman" w:cs="Times New Roman"/>
          <w:sz w:val="20"/>
          <w:szCs w:val="20"/>
        </w:rPr>
        <w:t>, se presentan otros informes y comentarios, d</w:t>
      </w:r>
      <w:r w:rsidR="00FD67B2" w:rsidRPr="00BF42D2">
        <w:rPr>
          <w:rFonts w:ascii="Times New Roman" w:hAnsi="Times New Roman" w:cs="Times New Roman"/>
          <w:sz w:val="20"/>
          <w:szCs w:val="20"/>
        </w:rPr>
        <w:t>e los representantes del sector agrícola.</w:t>
      </w:r>
    </w:p>
    <w:p w:rsidR="003D2CC6" w:rsidRPr="00AE3AE7" w:rsidRDefault="003D2CC6" w:rsidP="003D2CC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La opinión de los que “ni sienten</w:t>
      </w:r>
      <w:r w:rsidRPr="00AE3AE7">
        <w:rPr>
          <w:rFonts w:ascii="Times New Roman" w:hAnsi="Times New Roman" w:cs="Times New Roman"/>
          <w:b/>
          <w:sz w:val="24"/>
          <w:szCs w:val="24"/>
        </w:rPr>
        <w:t>, ni padecen”</w:t>
      </w:r>
      <w:r>
        <w:rPr>
          <w:rFonts w:ascii="Times New Roman" w:hAnsi="Times New Roman" w:cs="Times New Roman"/>
          <w:b/>
          <w:sz w:val="24"/>
          <w:szCs w:val="24"/>
        </w:rPr>
        <w:t xml:space="preserve"> (pero hacen daño… mucho daño)</w:t>
      </w:r>
    </w:p>
    <w:p w:rsidR="003D2CC6" w:rsidRDefault="003D2CC6" w:rsidP="003D2CC6">
      <w:pPr>
        <w:spacing w:line="240" w:lineRule="auto"/>
        <w:jc w:val="both"/>
        <w:rPr>
          <w:rFonts w:ascii="Times New Roman" w:hAnsi="Times New Roman" w:cs="Times New Roman"/>
          <w:sz w:val="24"/>
          <w:szCs w:val="24"/>
        </w:rPr>
      </w:pPr>
      <w:r>
        <w:rPr>
          <w:noProof/>
          <w:lang w:eastAsia="es-ES"/>
        </w:rPr>
        <w:drawing>
          <wp:inline distT="0" distB="0" distL="0" distR="0" wp14:anchorId="4B4578EB" wp14:editId="433CB413">
            <wp:extent cx="5728933" cy="3378200"/>
            <wp:effectExtent l="0" t="0" r="5715" b="0"/>
            <wp:docPr id="136" name="Imagen 136" descr="Thu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um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379720"/>
                    </a:xfrm>
                    <a:prstGeom prst="rect">
                      <a:avLst/>
                    </a:prstGeom>
                    <a:noFill/>
                    <a:ln>
                      <a:noFill/>
                    </a:ln>
                  </pic:spPr>
                </pic:pic>
              </a:graphicData>
            </a:graphic>
          </wp:inline>
        </w:drawing>
      </w:r>
    </w:p>
    <w:p w:rsidR="003D2CC6" w:rsidRPr="00AE3AE7" w:rsidRDefault="003D2CC6" w:rsidP="003D2CC6">
      <w:pPr>
        <w:spacing w:before="100" w:beforeAutospacing="1" w:after="0" w:line="240" w:lineRule="auto"/>
        <w:jc w:val="both"/>
        <w:outlineLvl w:val="0"/>
        <w:rPr>
          <w:rFonts w:ascii="Times New Roman" w:eastAsia="Times New Roman" w:hAnsi="Times New Roman" w:cs="Times New Roman"/>
          <w:bCs/>
          <w:kern w:val="36"/>
          <w:sz w:val="24"/>
          <w:szCs w:val="24"/>
          <w:lang w:eastAsia="es-ES"/>
        </w:rPr>
      </w:pPr>
      <w:r>
        <w:rPr>
          <w:rFonts w:ascii="Times New Roman" w:eastAsia="Times New Roman" w:hAnsi="Times New Roman" w:cs="Times New Roman"/>
          <w:bCs/>
          <w:kern w:val="36"/>
          <w:sz w:val="24"/>
          <w:szCs w:val="24"/>
          <w:lang w:eastAsia="es-ES"/>
        </w:rPr>
        <w:t xml:space="preserve">- </w:t>
      </w:r>
      <w:r w:rsidRPr="00AE3AE7">
        <w:rPr>
          <w:rFonts w:ascii="Times New Roman" w:eastAsia="Times New Roman" w:hAnsi="Times New Roman" w:cs="Times New Roman"/>
          <w:bCs/>
          <w:kern w:val="36"/>
          <w:sz w:val="24"/>
          <w:szCs w:val="24"/>
          <w:u w:val="single"/>
          <w:lang w:eastAsia="es-ES"/>
        </w:rPr>
        <w:t>Preguntas y respuestas sobre el acuerdo de asocia</w:t>
      </w:r>
      <w:r w:rsidRPr="00E60DA3">
        <w:rPr>
          <w:rFonts w:ascii="Times New Roman" w:eastAsia="Times New Roman" w:hAnsi="Times New Roman" w:cs="Times New Roman"/>
          <w:bCs/>
          <w:kern w:val="36"/>
          <w:sz w:val="24"/>
          <w:szCs w:val="24"/>
          <w:u w:val="single"/>
          <w:lang w:eastAsia="es-ES"/>
        </w:rPr>
        <w:t>ción entre la UE y el Mercosur</w:t>
      </w:r>
      <w:r>
        <w:rPr>
          <w:rFonts w:ascii="Times New Roman" w:eastAsia="Times New Roman" w:hAnsi="Times New Roman" w:cs="Times New Roman"/>
          <w:bCs/>
          <w:kern w:val="36"/>
          <w:sz w:val="24"/>
          <w:szCs w:val="24"/>
          <w:lang w:eastAsia="es-ES"/>
        </w:rPr>
        <w:t xml:space="preserve"> (Comisión Europea - </w:t>
      </w:r>
      <w:r w:rsidRPr="00E60DA3">
        <w:rPr>
          <w:rFonts w:ascii="Times New Roman" w:eastAsia="Times New Roman" w:hAnsi="Times New Roman" w:cs="Times New Roman"/>
          <w:b/>
          <w:bCs/>
          <w:kern w:val="36"/>
          <w:sz w:val="24"/>
          <w:szCs w:val="24"/>
          <w:lang w:eastAsia="es-ES"/>
        </w:rPr>
        <w:t>9/12/24</w:t>
      </w:r>
      <w:r>
        <w:rPr>
          <w:rFonts w:ascii="Times New Roman" w:eastAsia="Times New Roman" w:hAnsi="Times New Roman" w:cs="Times New Roman"/>
          <w:bCs/>
          <w:kern w:val="36"/>
          <w:sz w:val="24"/>
          <w:szCs w:val="24"/>
          <w:lang w:eastAsia="es-ES"/>
        </w:rPr>
        <w:t>)</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rtl/>
          <w:lang w:eastAsia="es-ES"/>
        </w:rPr>
      </w:pPr>
      <w:r w:rsidRPr="00E60DA3">
        <w:rPr>
          <w:rFonts w:ascii="Times New Roman" w:eastAsia="Times New Roman" w:hAnsi="Times New Roman" w:cs="Times New Roman"/>
          <w:b/>
          <w:bCs/>
          <w:color w:val="000000"/>
          <w:sz w:val="24"/>
          <w:szCs w:val="24"/>
          <w:lang w:eastAsia="es-ES"/>
        </w:rPr>
        <w:t>¿Por qué ha negociado la UE un acuerdo de asociación con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Mercosur es un gran mercado para las exportaciones de la UE. Hasta ahora, era el único gran socio comercial en América Latina con el que la Unión Europea no tenía un acuerdo comercial preferencial. Las empresas de la UE exportaron a los cuatro países miembros fundadores del Mercosur:</w:t>
      </w:r>
    </w:p>
    <w:p w:rsidR="003D2CC6" w:rsidRPr="00AE3AE7" w:rsidRDefault="003D2CC6" w:rsidP="003D2CC6">
      <w:pPr>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56 000 millones de euros en mercancías (en 2023) y</w:t>
      </w:r>
    </w:p>
    <w:p w:rsidR="003D2CC6" w:rsidRPr="00AE3AE7" w:rsidRDefault="003D2CC6" w:rsidP="003D2CC6">
      <w:pPr>
        <w:numPr>
          <w:ilvl w:val="0"/>
          <w:numId w:val="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28 000 millones de euros en servicios (2022).</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la actualidad, las economías del Mercosur están muy protegidas y las empresas europeas se enfrentan a numerosas barreras comerciales al exportar a esos países, lo que les supone grandes dificultades para competir en condiciones equitativas. Entre dichas barreras se encuentran:</w:t>
      </w:r>
    </w:p>
    <w:p w:rsidR="003D2CC6" w:rsidRPr="00AE3AE7" w:rsidRDefault="003D2CC6" w:rsidP="003D2CC6">
      <w:pPr>
        <w:numPr>
          <w:ilvl w:val="0"/>
          <w:numId w:val="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unos derechos de importación elevados,</w:t>
      </w:r>
    </w:p>
    <w:p w:rsidR="003D2CC6" w:rsidRPr="00AE3AE7" w:rsidRDefault="003D2CC6" w:rsidP="003D2CC6">
      <w:pPr>
        <w:numPr>
          <w:ilvl w:val="0"/>
          <w:numId w:val="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unos procedimientos costosos y</w:t>
      </w:r>
    </w:p>
    <w:p w:rsidR="003D2CC6" w:rsidRPr="00AE3AE7" w:rsidRDefault="003D2CC6" w:rsidP="003D2CC6">
      <w:pPr>
        <w:numPr>
          <w:ilvl w:val="0"/>
          <w:numId w:val="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unos reglamentos técnicos y unas normas que difieren de las normas internacionales.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es el segundo mayor socio comercial del Mercosur en cuanto a tráfico de mercancías, después de China y por delante de los Estados Unidos. En 2023, la UE representó el 16,9 % del comercio total del Mercosur. El Mercosur es el décimo mayor socio comercial de la UE en cuanto a tráfico de mercancías. Existe un enorme potencial para que las empresas de la UE exporten aún más a este gran mercado que supera los 273 millones de personas.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lastRenderedPageBreak/>
        <w:t>La UE ya tiene acuerdos comerciales con casi todos los demás países de América Latina. Un acuerdo con los países del Mercosur nos permite continuar ampliando el acceso preferencial a los exportadores de la Unión y refuerza nuestros vínculos políticos con los países latinoamericanos.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de asociación de la UE con el Mercosur:</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eliminará los obstáculos al comercio y hará que las empresas de la UE puedan vender mercancías y servicios en el Mercosur con más facilidad, y también facilitará las inversiones;</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contribuirá a garantizar un acceso sostenible a las materias primas, reforzará nuestra seguridad económica y apoyará la doble transición;</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ayudará a la UE y al Mercosur a configurar las reglas del comercio mundial en consonancia con las exigentes normas de la UE;</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enviará una señal clara al mundo en favor de un comercio basado en normas, y de rechazo al proteccionismo;</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avanzará en la integración entre las cadenas de valor de ambas regiones, ayudando así a las empresas de ambas partes a mantener su competitividad en el mercado mundial;</w:t>
      </w:r>
    </w:p>
    <w:p w:rsidR="003D2CC6" w:rsidRPr="00AE3AE7" w:rsidRDefault="003D2CC6" w:rsidP="003D2CC6">
      <w:pPr>
        <w:numPr>
          <w:ilvl w:val="0"/>
          <w:numId w:val="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proyectará nuestros valores mediante obligaciones detalladas en materia de comercio y desarrollo sostenible, incluidos el cambio climático y el trabajo.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¿Cuáles serán los principales logros del acuerdo?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i/>
          <w:iCs/>
          <w:color w:val="000000"/>
          <w:sz w:val="24"/>
          <w:szCs w:val="24"/>
          <w:lang w:eastAsia="es-ES"/>
        </w:rPr>
        <w:t>1. Desarrollar una agenda comercial basada en valores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virtud del acuerdo, la UE y el Mercosur deciden:</w:t>
      </w:r>
    </w:p>
    <w:p w:rsidR="003D2CC6" w:rsidRPr="00AE3AE7" w:rsidRDefault="003D2CC6" w:rsidP="003D2CC6">
      <w:pPr>
        <w:numPr>
          <w:ilvl w:val="0"/>
          <w:numId w:val="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proteger los derechos laborales;</w:t>
      </w:r>
    </w:p>
    <w:p w:rsidR="003D2CC6" w:rsidRPr="00AE3AE7" w:rsidRDefault="003D2CC6" w:rsidP="003D2CC6">
      <w:pPr>
        <w:numPr>
          <w:ilvl w:val="0"/>
          <w:numId w:val="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proteger el medio ambiente, en particular luchando contra el cambio climático y la deforestación;</w:t>
      </w:r>
    </w:p>
    <w:p w:rsidR="003D2CC6" w:rsidRPr="00AE3AE7" w:rsidRDefault="003D2CC6" w:rsidP="003D2CC6">
      <w:pPr>
        <w:numPr>
          <w:ilvl w:val="0"/>
          <w:numId w:val="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promover la responsabilidad social de las empresas;</w:t>
      </w:r>
    </w:p>
    <w:p w:rsidR="003D2CC6" w:rsidRPr="00AE3AE7" w:rsidRDefault="003D2CC6" w:rsidP="003D2CC6">
      <w:pPr>
        <w:numPr>
          <w:ilvl w:val="0"/>
          <w:numId w:val="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cooperar en materia de normas de bienestar animal, biotecnología, seguridad alimentaria y lucha contra la resistencia a los antimicrobianos.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i/>
          <w:iCs/>
          <w:color w:val="000000"/>
          <w:sz w:val="24"/>
          <w:szCs w:val="24"/>
          <w:lang w:eastAsia="es-ES"/>
        </w:rPr>
        <w:t>2. Eliminar aranceles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altos aranceles del Mercosur hacen que los productos europeos sean más caros en esos países. El Mercosur impone elevados aranceles sobre las importaciones de productos de la UE tales como:</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automóviles,</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máquinas,</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equipos de tecnologías de la información y la comunicación,</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productos textiles,</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chocolate,</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bebidas espirituosas,</w:t>
      </w:r>
    </w:p>
    <w:p w:rsidR="003D2CC6" w:rsidRPr="00AE3AE7" w:rsidRDefault="003D2CC6" w:rsidP="003D2CC6">
      <w:pPr>
        <w:numPr>
          <w:ilvl w:val="0"/>
          <w:numId w:val="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vino.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Al eliminar estos aranceles, el acuerdo con el Mercosur hará que sea más fácil para las empresas europeas exportar a los países del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i/>
          <w:iCs/>
          <w:color w:val="000000"/>
          <w:sz w:val="24"/>
          <w:szCs w:val="24"/>
          <w:lang w:eastAsia="es-ES"/>
        </w:rPr>
        <w:lastRenderedPageBreak/>
        <w:t>3. Fomentar el comercio de otras maneras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aspira a impulsar las exportaciones de la UE al Mercosur con disposiciones sobre:</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eliminación de los obstáculos no arancelarios al comercio de mercancías;</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eliminación del trato fiscal discriminatorio a las mercancías importadas;</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fomento del comercio de servicios y el establecimiento de los servicios y de la industria manufacturera;</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apertura de la contratación pública;</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medidas que faciliten el comercio de las pequeñas y medianas empresas (pymes);</w:t>
      </w:r>
    </w:p>
    <w:p w:rsidR="003D2CC6" w:rsidRPr="00AE3AE7" w:rsidRDefault="003D2CC6" w:rsidP="003D2CC6">
      <w:pPr>
        <w:numPr>
          <w:ilvl w:val="0"/>
          <w:numId w:val="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mejora del acceso a las materias primas esenciales para la economía de la UE reduciendo o retirando los impuestos a las exportaciones y eliminando las restricciones a las exportaciones y los monopolios de exportación.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i/>
          <w:iCs/>
          <w:color w:val="000000"/>
          <w:sz w:val="24"/>
          <w:szCs w:val="24"/>
          <w:lang w:eastAsia="es-ES"/>
        </w:rPr>
        <w:t>4. Mostrar al mundo que la UE y el Mercosur rechazan el proteccionismo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un momento en que las presiones proteccionistas están aumentando, un acuerdo de asociación entre la UE y el Mercosur envía al mundo una señal inequívoca de que dos de sus mayores economías:</w:t>
      </w:r>
    </w:p>
    <w:p w:rsidR="003D2CC6" w:rsidRPr="00AE3AE7" w:rsidRDefault="003D2CC6" w:rsidP="003D2CC6">
      <w:pPr>
        <w:numPr>
          <w:ilvl w:val="0"/>
          <w:numId w:val="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rechazan el proteccionismo, y</w:t>
      </w:r>
    </w:p>
    <w:p w:rsidR="003D2CC6" w:rsidRPr="00AE3AE7" w:rsidRDefault="003D2CC6" w:rsidP="003D2CC6">
      <w:pPr>
        <w:numPr>
          <w:ilvl w:val="0"/>
          <w:numId w:val="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están abiertas a la actividad empresarial y al comercio sobre la base de reglas justas y requisitos estrictos.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¿Qué significará el acuerdo para el comercio de mercancías?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Mercosur suprimirá los aranceles de importación de las mercancías europeas y eliminará los obstáculos a las exportaciones de la UE, tales como:</w:t>
      </w:r>
    </w:p>
    <w:p w:rsidR="003D2CC6" w:rsidRPr="00AE3AE7" w:rsidRDefault="003D2CC6" w:rsidP="003D2CC6">
      <w:pPr>
        <w:numPr>
          <w:ilvl w:val="0"/>
          <w:numId w:val="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normas y los reglamentos innecesariamente restrictivos que difieren de las normas internacionales;</w:t>
      </w:r>
    </w:p>
    <w:p w:rsidR="003D2CC6" w:rsidRPr="00AE3AE7" w:rsidRDefault="003D2CC6" w:rsidP="003D2CC6">
      <w:pPr>
        <w:numPr>
          <w:ilvl w:val="0"/>
          <w:numId w:val="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licencias de importación no automáticas;</w:t>
      </w:r>
    </w:p>
    <w:p w:rsidR="003D2CC6" w:rsidRPr="00AE3AE7" w:rsidRDefault="003D2CC6" w:rsidP="003D2CC6">
      <w:pPr>
        <w:numPr>
          <w:ilvl w:val="0"/>
          <w:numId w:val="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costosos procedimientos de evaluación de la conformidad.</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Hacer más fáciles las exportaciones al Mercosur beneficiará, en concreto, a las empresas europeas que fabrican y venden:</w:t>
      </w:r>
    </w:p>
    <w:p w:rsidR="003D2CC6" w:rsidRPr="00AE3AE7" w:rsidRDefault="003D2CC6" w:rsidP="003D2CC6">
      <w:pPr>
        <w:numPr>
          <w:ilvl w:val="0"/>
          <w:numId w:val="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productos agroalimentarios,</w:t>
      </w:r>
    </w:p>
    <w:p w:rsidR="003D2CC6" w:rsidRPr="00AE3AE7" w:rsidRDefault="003D2CC6" w:rsidP="003D2CC6">
      <w:pPr>
        <w:numPr>
          <w:ilvl w:val="0"/>
          <w:numId w:val="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máquinas,</w:t>
      </w:r>
    </w:p>
    <w:p w:rsidR="003D2CC6" w:rsidRPr="00AE3AE7" w:rsidRDefault="003D2CC6" w:rsidP="003D2CC6">
      <w:pPr>
        <w:numPr>
          <w:ilvl w:val="0"/>
          <w:numId w:val="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productos farmacéuticos,</w:t>
      </w:r>
    </w:p>
    <w:p w:rsidR="003D2CC6" w:rsidRPr="00AE3AE7" w:rsidRDefault="003D2CC6" w:rsidP="003D2CC6">
      <w:pPr>
        <w:numPr>
          <w:ilvl w:val="0"/>
          <w:numId w:val="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automóviles,</w:t>
      </w:r>
    </w:p>
    <w:p w:rsidR="003D2CC6" w:rsidRPr="00AE3AE7" w:rsidRDefault="003D2CC6" w:rsidP="003D2CC6">
      <w:pPr>
        <w:numPr>
          <w:ilvl w:val="0"/>
          <w:numId w:val="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materias textiles y prendas de vestir.</w:t>
      </w:r>
    </w:p>
    <w:p w:rsidR="003D2CC6"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Cuanto más exporta Europa, más puestos de trabajo puede conservar y crear.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¿Qué significará el acuerdo para el comercio de servicios y la inversión?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facilitará que las empresas de la UE puedan vender sus servicios en el Mercosur, tanto estableciéndose localmente como haciéndolos llegar a través de las fronteras.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lastRenderedPageBreak/>
        <w:t>Se beneficiará una amplia gama de sectores de servicios y de la industria manufacturera, entre los que se encuentran:</w:t>
      </w:r>
    </w:p>
    <w:p w:rsidR="003D2CC6" w:rsidRPr="00AE3AE7" w:rsidRDefault="003D2CC6" w:rsidP="003D2CC6">
      <w:pPr>
        <w:numPr>
          <w:ilvl w:val="0"/>
          <w:numId w:val="1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servicios prestados a las empresas,</w:t>
      </w:r>
    </w:p>
    <w:p w:rsidR="003D2CC6" w:rsidRPr="00AE3AE7" w:rsidRDefault="003D2CC6" w:rsidP="003D2CC6">
      <w:pPr>
        <w:numPr>
          <w:ilvl w:val="0"/>
          <w:numId w:val="1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servicios financieros,</w:t>
      </w:r>
    </w:p>
    <w:p w:rsidR="003D2CC6" w:rsidRPr="00AE3AE7" w:rsidRDefault="003D2CC6" w:rsidP="003D2CC6">
      <w:pPr>
        <w:numPr>
          <w:ilvl w:val="0"/>
          <w:numId w:val="1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telecomunicaciones,</w:t>
      </w:r>
    </w:p>
    <w:p w:rsidR="003D2CC6" w:rsidRPr="00AE3AE7" w:rsidRDefault="003D2CC6" w:rsidP="003D2CC6">
      <w:pPr>
        <w:numPr>
          <w:ilvl w:val="0"/>
          <w:numId w:val="1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transporte marítimo,</w:t>
      </w:r>
    </w:p>
    <w:p w:rsidR="003D2CC6" w:rsidRPr="00AE3AE7" w:rsidRDefault="003D2CC6" w:rsidP="003D2CC6">
      <w:pPr>
        <w:numPr>
          <w:ilvl w:val="0"/>
          <w:numId w:val="1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servicios postales y de mensajería.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reducirá y eliminará la discriminación y ampliará las oportunidades para los proveedores de servicios y los inversores de la UE y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No obstante, el acuerdo:</w:t>
      </w:r>
    </w:p>
    <w:p w:rsidR="003D2CC6" w:rsidRPr="00AE3AE7" w:rsidRDefault="003D2CC6" w:rsidP="003D2CC6">
      <w:pPr>
        <w:numPr>
          <w:ilvl w:val="0"/>
          <w:numId w:val="1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no impedirá que la UE o el Mercosur continúen regulando sus mercados de servicios de manera no discriminatoria;</w:t>
      </w:r>
    </w:p>
    <w:p w:rsidR="003D2CC6" w:rsidRPr="00AE3AE7" w:rsidRDefault="003D2CC6" w:rsidP="003D2CC6">
      <w:pPr>
        <w:numPr>
          <w:ilvl w:val="0"/>
          <w:numId w:val="1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no liberalizará servicios públicos como la asistencia sanitaria o la educación financiada por el Estado.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Para los proveedores de servicios tanto nacionales como extranjeros, el acuerdo no afectará a la capacidad de los reguladores para desarrollar e imponer reglas y normas no discriminatorias:</w:t>
      </w:r>
    </w:p>
    <w:p w:rsidR="003D2CC6" w:rsidRPr="00AE3AE7" w:rsidRDefault="003D2CC6" w:rsidP="003D2CC6">
      <w:pPr>
        <w:numPr>
          <w:ilvl w:val="0"/>
          <w:numId w:val="1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que protejan la salud, la seguridad y el medio ambiente, además de a los consumidores;</w:t>
      </w:r>
    </w:p>
    <w:p w:rsidR="003D2CC6" w:rsidRPr="00AE3AE7" w:rsidRDefault="003D2CC6" w:rsidP="003D2CC6">
      <w:pPr>
        <w:numPr>
          <w:ilvl w:val="0"/>
          <w:numId w:val="1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que velen por la alta calidad de los servicios y de los proveedores de servicios;</w:t>
      </w:r>
    </w:p>
    <w:p w:rsidR="003D2CC6" w:rsidRPr="00AE3AE7" w:rsidRDefault="003D2CC6" w:rsidP="003D2CC6">
      <w:pPr>
        <w:numPr>
          <w:ilvl w:val="0"/>
          <w:numId w:val="1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que garanticen los derechos laborales y las condiciones de trabajo.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beneficiará este acuerdo a la industria europea?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Este acuerdo suprimirá los derechos de importación de más del 91 % de las mercancías exportadas al Mercosur. Los derechos de algunos productos se liberalizarán a lo largo de períodos de escalonamiento más prolongados a fin de que las empresas de los países del Mercosur dispongan de tiempo suficiente para adaptarse.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Ejemplos de aranceles actuales del Mercosur sobre tales mercancías:</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automóviles: 35 %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repuestos para automóviles: 14-18 %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máquinas: 14-20 %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sustancias químicas: hasta el 18 %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prendas de vestir: 35 %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productos farmacéuticos: hasta el 14 %</w:t>
      </w:r>
    </w:p>
    <w:p w:rsidR="003D2CC6" w:rsidRPr="00AE3AE7" w:rsidRDefault="003D2CC6" w:rsidP="003D2CC6">
      <w:pPr>
        <w:numPr>
          <w:ilvl w:val="0"/>
          <w:numId w:val="1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calzado de cuero: 35 %</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ayudará el acuerdo a las pequeñas empresas?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 xml:space="preserve">Las barreras comerciales afectan a las pequeñas empresas en mayor proporción que a las grandes, porque puede que aquellas no dispongan del tiempo y los recursos necesarios para vencer dichas barreras. Por este motivo, la UE se ha asegurado de que el acuerdo contenga un </w:t>
      </w:r>
      <w:r w:rsidRPr="00AE3AE7">
        <w:rPr>
          <w:rFonts w:ascii="Times New Roman" w:eastAsia="Times New Roman" w:hAnsi="Times New Roman" w:cs="Times New Roman"/>
          <w:color w:val="000000"/>
          <w:sz w:val="24"/>
          <w:szCs w:val="24"/>
          <w:lang w:eastAsia="es-ES"/>
        </w:rPr>
        <w:lastRenderedPageBreak/>
        <w:t>capítulo dedicado a las pequeñas y medianas empresas (pymes) para abordar los desafíos específicos a los que estas se enfrentan en sus actividades comerciales y de inversión.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desea que el acuerdo:</w:t>
      </w:r>
    </w:p>
    <w:p w:rsidR="003D2CC6" w:rsidRPr="00AE3AE7" w:rsidRDefault="003D2CC6" w:rsidP="003D2CC6">
      <w:pPr>
        <w:numPr>
          <w:ilvl w:val="0"/>
          <w:numId w:val="1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haga más transparentes los reglamentos del Mercosur;</w:t>
      </w:r>
    </w:p>
    <w:p w:rsidR="003D2CC6" w:rsidRPr="00AE3AE7" w:rsidRDefault="003D2CC6" w:rsidP="003D2CC6">
      <w:pPr>
        <w:numPr>
          <w:ilvl w:val="0"/>
          <w:numId w:val="1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simplifique los procedimientos aduaneros del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Ya actualmente más de 30 000 pymes de la UE exportan al Mercosur. Al ser más fácil comerciar con el Mercosur e invertir en él, las pequeñas empresas podrán abrirse a nuevas oportunidades y ampliar su base de clientes.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se beneficiarán los consumidores europeos?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creará las condiciones para que los consumidores europeos puedan elegir entre una gama más amplia y asequible de productos y servicios.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se beneficiarán del acuerdo las comunidades agrícolas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comunidades agrícolas de la UE podrán acceder con mayor facilidad al mercado del Mercosur y tendrán mayores oportunidades para vender sus productos a sus 284 millones de consumidores.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Mercosur tiene un gran potencial de consumo para productos europeos de alta calidad, como el vino, el queso, el chocolate y la carne de cerdo, que actualmente están sujetos a aranceles elevados.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Así, por ejemplo:</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vino: 27 %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espumosos: 20-35 %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chocolate: 20 %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i/>
          <w:iCs/>
          <w:color w:val="000000"/>
          <w:sz w:val="24"/>
          <w:szCs w:val="24"/>
          <w:lang w:eastAsia="es-ES"/>
        </w:rPr>
        <w:t>whisky</w:t>
      </w:r>
      <w:r w:rsidRPr="00AE3AE7">
        <w:rPr>
          <w:rFonts w:ascii="Times New Roman" w:eastAsia="Times New Roman" w:hAnsi="Times New Roman" w:cs="Times New Roman"/>
          <w:color w:val="000000"/>
          <w:sz w:val="24"/>
          <w:szCs w:val="24"/>
          <w:lang w:eastAsia="es-ES"/>
        </w:rPr>
        <w:t> y otros licores: 20-35 %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pastelería, gofres y galletas: 18 %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melocotones en conserva: 55 %</w:t>
      </w:r>
    </w:p>
    <w:p w:rsidR="003D2CC6" w:rsidRPr="00AE3AE7" w:rsidRDefault="003D2CC6" w:rsidP="003D2CC6">
      <w:pPr>
        <w:numPr>
          <w:ilvl w:val="0"/>
          <w:numId w:val="1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refrescos: 20-35 %.</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eliminará estos altos aranceles y otras barreras comerciales, como las normas y reglamentos poco claros o los procedimientos costosos, de modo que sea más fácil para los productores europeos exportar al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ayudará el acuerdo a los productores de alimentos y bebidas de la UE en la comercialización de los productos típicos regionales (indicaciones geográficas)?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produce muchos alimentos y bebidas regionales únicos de alta calidad, como el </w:t>
      </w:r>
      <w:r w:rsidRPr="00AE3AE7">
        <w:rPr>
          <w:rFonts w:ascii="Times New Roman" w:eastAsia="Times New Roman" w:hAnsi="Times New Roman" w:cs="Times New Roman"/>
          <w:i/>
          <w:iCs/>
          <w:color w:val="000000"/>
          <w:sz w:val="24"/>
          <w:szCs w:val="24"/>
          <w:lang w:eastAsia="es-ES"/>
        </w:rPr>
        <w:t>prosciutto di Parma</w:t>
      </w:r>
      <w:r w:rsidRPr="00AE3AE7">
        <w:rPr>
          <w:rFonts w:ascii="Times New Roman" w:eastAsia="Times New Roman" w:hAnsi="Times New Roman" w:cs="Times New Roman"/>
          <w:color w:val="000000"/>
          <w:sz w:val="24"/>
          <w:szCs w:val="24"/>
          <w:lang w:eastAsia="es-ES"/>
        </w:rPr>
        <w:t>, el </w:t>
      </w:r>
      <w:r w:rsidRPr="00AE3AE7">
        <w:rPr>
          <w:rFonts w:ascii="Times New Roman" w:eastAsia="Times New Roman" w:hAnsi="Times New Roman" w:cs="Times New Roman"/>
          <w:i/>
          <w:iCs/>
          <w:color w:val="000000"/>
          <w:sz w:val="24"/>
          <w:szCs w:val="24"/>
          <w:lang w:eastAsia="es-ES"/>
        </w:rPr>
        <w:t>parmigiano reggiano</w:t>
      </w:r>
      <w:r w:rsidRPr="00AE3AE7">
        <w:rPr>
          <w:rFonts w:ascii="Times New Roman" w:eastAsia="Times New Roman" w:hAnsi="Times New Roman" w:cs="Times New Roman"/>
          <w:color w:val="000000"/>
          <w:sz w:val="24"/>
          <w:szCs w:val="24"/>
          <w:lang w:eastAsia="es-ES"/>
        </w:rPr>
        <w:t>, el </w:t>
      </w:r>
      <w:r w:rsidRPr="00AE3AE7">
        <w:rPr>
          <w:rFonts w:ascii="Times New Roman" w:eastAsia="Times New Roman" w:hAnsi="Times New Roman" w:cs="Times New Roman"/>
          <w:i/>
          <w:iCs/>
          <w:color w:val="000000"/>
          <w:sz w:val="24"/>
          <w:szCs w:val="24"/>
          <w:lang w:eastAsia="es-ES"/>
        </w:rPr>
        <w:t>prosecco</w:t>
      </w:r>
      <w:r w:rsidRPr="00AE3AE7">
        <w:rPr>
          <w:rFonts w:ascii="Times New Roman" w:eastAsia="Times New Roman" w:hAnsi="Times New Roman" w:cs="Times New Roman"/>
          <w:color w:val="000000"/>
          <w:sz w:val="24"/>
          <w:szCs w:val="24"/>
          <w:lang w:eastAsia="es-ES"/>
        </w:rPr>
        <w:t> o el </w:t>
      </w:r>
      <w:r w:rsidRPr="00AE3AE7">
        <w:rPr>
          <w:rFonts w:ascii="Times New Roman" w:eastAsia="Times New Roman" w:hAnsi="Times New Roman" w:cs="Times New Roman"/>
          <w:i/>
          <w:iCs/>
          <w:color w:val="000000"/>
          <w:sz w:val="24"/>
          <w:szCs w:val="24"/>
          <w:lang w:eastAsia="es-ES"/>
        </w:rPr>
        <w:t>whisky</w:t>
      </w:r>
      <w:r w:rsidRPr="00AE3AE7">
        <w:rPr>
          <w:rFonts w:ascii="Times New Roman" w:eastAsia="Times New Roman" w:hAnsi="Times New Roman" w:cs="Times New Roman"/>
          <w:color w:val="000000"/>
          <w:sz w:val="24"/>
          <w:szCs w:val="24"/>
          <w:lang w:eastAsia="es-ES"/>
        </w:rPr>
        <w:t> irlandés, que están protegidos por un estat</w:t>
      </w:r>
      <w:r w:rsidR="003A53AF">
        <w:rPr>
          <w:rFonts w:ascii="Times New Roman" w:eastAsia="Times New Roman" w:hAnsi="Times New Roman" w:cs="Times New Roman"/>
          <w:color w:val="000000"/>
          <w:sz w:val="24"/>
          <w:szCs w:val="24"/>
          <w:lang w:eastAsia="es-ES"/>
        </w:rPr>
        <w:t>uto especial denominado “indicaciones geográficas”</w:t>
      </w:r>
      <w:r w:rsidRPr="00AE3AE7">
        <w:rPr>
          <w:rFonts w:ascii="Times New Roman" w:eastAsia="Times New Roman" w:hAnsi="Times New Roman" w:cs="Times New Roman"/>
          <w:color w:val="000000"/>
          <w:sz w:val="24"/>
          <w:szCs w:val="24"/>
          <w:lang w:eastAsia="es-ES"/>
        </w:rPr>
        <w:t xml:space="preserve"> (IG). Las IG garantizan la autenticidad, permiten la fijación de precios y prohíben los productos de imitación.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lastRenderedPageBreak/>
        <w:t>El acuerdo con Mercosur reconocerá 350 indicaciones geográficas europeas, prohibiendo las imitaciones y los términos, los símbolos, las banderas o las imágenes que puedan llevar a engaño. Solo los productos auténticos, como por ejemplo el queso Roquefort elaborado en Roquefort (Francia), llevarán la denominación IG. Esta protección beneficia a los productores de la UE, apoya las exportaciones y garantiza a los consumidores del Mercosur la autenticidad de los productos.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abrirá el acuerdo el mercado de la contratación pública del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hará que sea más fácil para las empresas europeas presentar ofertas a fin de optar a contratos públicos en los países del Mercosur en igualdad de condiciones con las empresas locales. Esto significa que el procedimiento de licitación será más sencillo y transparente, y menos discriminatorio para las empresas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¿Promoverá el acuerdo el diálogo político?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mejorará el diálogo político y reforzará la cooperación en ámbitos como la migración, la economía digital, la investigación y la educación, los derechos humanos, incluidos los derechos de los pueblos indígenas, la responsabilidad empresarial y social, la protección del medio ambiente y la gobernanza de los océanos, así como la lucha contra el terrorismo, el blanqueo de capitales y la ciberdelincuencia.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¿Qué tipo de dificultades para la exportación y la inversión afrontan actualmente las empresas de la UE en la región del Mercosur que podrían abordarse mediante un acuerdo de asociación?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mercado del Mercosur es grande, pero está muy protegido. Las empresas europeas se enfrentan a menudo a dificultades para exportar allí, tales como:</w:t>
      </w:r>
    </w:p>
    <w:p w:rsidR="003D2CC6" w:rsidRPr="00AE3AE7"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elevados aranceles del Mercosur para la mayoría de los productos;</w:t>
      </w:r>
    </w:p>
    <w:p w:rsidR="003D2CC6" w:rsidRPr="00AE3AE7"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coste del cumplimiento de las normas y reglamentos del Mercosur, que a menudo difieren de las normas internacionales;</w:t>
      </w:r>
    </w:p>
    <w:p w:rsidR="003D2CC6" w:rsidRPr="00AE3AE7"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innecesaria complejidad de los procedimientos para demostrar que los productos europeos cumplen los requisitos técnicos y las normas del Mercosur en materia de seguridad alimentaria o salud animal y vegetal;</w:t>
      </w:r>
    </w:p>
    <w:p w:rsidR="003D2CC6" w:rsidRPr="00AE3AE7"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acceso limitado a sectores de servicios clave, y en condiciones desiguales, para las empresas de la UE:</w:t>
      </w:r>
    </w:p>
    <w:p w:rsidR="003D2CC6" w:rsidRPr="00AE3AE7"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preferencia dada a las empresas y mercancías nacionales frente a las empresas y mercancías extranjeras en los contratos públicos;</w:t>
      </w:r>
    </w:p>
    <w:p w:rsidR="003D2CC6" w:rsidRDefault="003D2CC6" w:rsidP="003D2CC6">
      <w:pPr>
        <w:numPr>
          <w:ilvl w:val="0"/>
          <w:numId w:val="1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falta de un acceso fácil a la información sobre la manera de hacer negocios en los países del Mercosur, especialmente para las pymes.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protegerá el acuerdo las normas europeas, incluidas las de seguridad alimentaria?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normas sanitarias y fitosanitarias de la UE no son negociables y no se ven afectadas por este acuerdo de asociación ni por ningún otro acuerdo comercial. Las decisiones que toma la UE para proteger su producción y a sus consumidores de los productos importados se basan en evaluaciones de riesgo realizadas por la Autoridad Europea de Seguridad Alimentaria.</w:t>
      </w:r>
    </w:p>
    <w:p w:rsidR="003D2CC6" w:rsidRPr="00AE3AE7" w:rsidRDefault="003D2CC6" w:rsidP="003D2CC6">
      <w:pPr>
        <w:numPr>
          <w:ilvl w:val="0"/>
          <w:numId w:val="1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lastRenderedPageBreak/>
        <w:t>Las estrictas normas sanitarias y fitosanitarias de la UE</w:t>
      </w:r>
      <w:r w:rsidRPr="00AE3AE7">
        <w:rPr>
          <w:rFonts w:ascii="Times New Roman" w:eastAsia="Times New Roman" w:hAnsi="Times New Roman" w:cs="Times New Roman"/>
          <w:color w:val="000000"/>
          <w:sz w:val="24"/>
          <w:szCs w:val="24"/>
          <w:lang w:eastAsia="es-ES"/>
        </w:rPr>
        <w:t> </w:t>
      </w:r>
      <w:r w:rsidRPr="00E60DA3">
        <w:rPr>
          <w:rFonts w:ascii="Times New Roman" w:eastAsia="Times New Roman" w:hAnsi="Times New Roman" w:cs="Times New Roman"/>
          <w:b/>
          <w:bCs/>
          <w:color w:val="000000"/>
          <w:sz w:val="24"/>
          <w:szCs w:val="24"/>
          <w:lang w:eastAsia="es-ES"/>
        </w:rPr>
        <w:t>no cambiarán</w:t>
      </w:r>
    </w:p>
    <w:p w:rsidR="003D2CC6" w:rsidRPr="00AE3AE7" w:rsidRDefault="003D2CC6" w:rsidP="003D2CC6">
      <w:pPr>
        <w:numPr>
          <w:ilvl w:val="1"/>
          <w:numId w:val="1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no afecta a las normas sanitarias y fitosanitarias de la UE ni las desautoriza, porque estas no son negociables. Lo mismo cabe decir de las normas sobre organismos modificados genéticamente.</w:t>
      </w:r>
    </w:p>
    <w:p w:rsidR="003D2CC6" w:rsidRPr="00AE3AE7" w:rsidRDefault="003D2CC6" w:rsidP="003D2CC6">
      <w:pPr>
        <w:numPr>
          <w:ilvl w:val="1"/>
          <w:numId w:val="1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se reserva el derecho a fijar niveles máximos de residuos para los plaguicidas, los medicamentos veterinarios o los contaminantes.</w:t>
      </w:r>
    </w:p>
    <w:p w:rsidR="003D2CC6" w:rsidRPr="00AE3AE7" w:rsidRDefault="003D2CC6" w:rsidP="003D2CC6">
      <w:pPr>
        <w:numPr>
          <w:ilvl w:val="0"/>
          <w:numId w:val="1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La UE sigue siendo libre para regular la seguridad alimentaria</w:t>
      </w:r>
    </w:p>
    <w:p w:rsidR="003D2CC6" w:rsidRPr="00AE3AE7" w:rsidRDefault="003D2CC6" w:rsidP="003D2CC6">
      <w:pPr>
        <w:numPr>
          <w:ilvl w:val="1"/>
          <w:numId w:val="1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sigue siendo plenamente independiente a la hora de regular las nuevas normas sanitarias y fitosanitarias en interés de la salud de su ciudadanía.</w:t>
      </w:r>
    </w:p>
    <w:p w:rsidR="003D2CC6" w:rsidRPr="00AE3AE7" w:rsidRDefault="003D2CC6" w:rsidP="003D2CC6">
      <w:pPr>
        <w:numPr>
          <w:ilvl w:val="1"/>
          <w:numId w:val="1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contempla el «principio de precaución», que nos permite tomar medidas para proteger la salud de la ciudadanía de la UE cuando las pruebas científicas sobre la seguridad de los alimentos importados no son concluyentes. Esto se menciona expresamente en el capítulo sobre comercio y desarrollo sostenible.</w:t>
      </w:r>
    </w:p>
    <w:p w:rsidR="003D2CC6" w:rsidRPr="00AE3AE7" w:rsidRDefault="003D2CC6" w:rsidP="003D2CC6">
      <w:pPr>
        <w:numPr>
          <w:ilvl w:val="0"/>
          <w:numId w:val="1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Todos los alimentos importados deben cumplir las normas sanitarias y fitosanitarias de la UE</w:t>
      </w:r>
    </w:p>
    <w:p w:rsidR="003D2CC6" w:rsidRPr="00AE3AE7" w:rsidRDefault="003D2CC6" w:rsidP="003D2CC6">
      <w:pPr>
        <w:numPr>
          <w:ilvl w:val="1"/>
          <w:numId w:val="1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normas de la UE se aplican a todos los productos que se venden en la UE, ya sean de producción interna</w:t>
      </w:r>
      <w:r>
        <w:rPr>
          <w:rFonts w:ascii="Times New Roman" w:eastAsia="Times New Roman" w:hAnsi="Times New Roman" w:cs="Times New Roman"/>
          <w:color w:val="000000"/>
          <w:sz w:val="24"/>
          <w:szCs w:val="24"/>
          <w:lang w:eastAsia="es-ES"/>
        </w:rPr>
        <w:t>,</w:t>
      </w:r>
      <w:r w:rsidRPr="00AE3AE7">
        <w:rPr>
          <w:rFonts w:ascii="Times New Roman" w:eastAsia="Times New Roman" w:hAnsi="Times New Roman" w:cs="Times New Roman"/>
          <w:color w:val="000000"/>
          <w:sz w:val="24"/>
          <w:szCs w:val="24"/>
          <w:lang w:eastAsia="es-ES"/>
        </w:rPr>
        <w:t xml:space="preserve"> o importados.</w:t>
      </w:r>
    </w:p>
    <w:p w:rsidR="003D2CC6" w:rsidRPr="00AE3AE7" w:rsidRDefault="003D2CC6" w:rsidP="003D2CC6">
      <w:pPr>
        <w:numPr>
          <w:ilvl w:val="1"/>
          <w:numId w:val="19"/>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Nuestro sólido sistema de controles nos permite garantizar el respeto de las normas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Gracias al acuerdo, la UE y el Mercosur colaborarán más estrechamente, también en varios organismos internacionales de normalización.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¿De qué modo contribuirá el acuerdo a promover la agricultura sostenible en ambas regiones?</w:t>
      </w:r>
    </w:p>
    <w:p w:rsidR="003D2CC6" w:rsidRPr="00AE3AE7" w:rsidRDefault="003D2CC6" w:rsidP="003D2CC6">
      <w:pPr>
        <w:numPr>
          <w:ilvl w:val="0"/>
          <w:numId w:val="2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y el Mercosur están de acuerdo en cooperar más estrechamente para mejorar las normas en materia de bienestar animal.</w:t>
      </w:r>
    </w:p>
    <w:p w:rsidR="003D2CC6" w:rsidRPr="00AE3AE7" w:rsidRDefault="003D2CC6" w:rsidP="003D2CC6">
      <w:pPr>
        <w:numPr>
          <w:ilvl w:val="0"/>
          <w:numId w:val="2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partes han acordado luchar conjuntamente contra la resistencia a los antimicrobianos asociada a su utilización en personas y animales, algo que se contempla por primera vez en un acuerdo de la UE.</w:t>
      </w:r>
    </w:p>
    <w:p w:rsidR="003D2CC6" w:rsidRPr="00AE3AE7" w:rsidRDefault="003D2CC6" w:rsidP="003D2CC6">
      <w:pPr>
        <w:numPr>
          <w:ilvl w:val="0"/>
          <w:numId w:val="2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También se ha acordado la cooperación en el ámbito científico para garantizar un nivel elevado de seguridad alimentaria y protección de la salud.</w:t>
      </w:r>
    </w:p>
    <w:p w:rsidR="003D2CC6" w:rsidRDefault="003D2CC6" w:rsidP="003D2CC6">
      <w:pPr>
        <w:numPr>
          <w:ilvl w:val="0"/>
          <w:numId w:val="20"/>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incluye compromisos para garantizar la gestión sostenible de los bosques y hacer frente a la tala ilegal y el comercio asociado a esa práctica.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protegerá el acuerdo los productos agrícolas sensibles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abre el mercado de la UE a las mercancías del Mercosur, si bien limita las importaciones procedentes del Mercosur de productos agrícolas sensibles como la carne de vacuno, el etanol, la carne de cerdo, la miel, el azúcar y las aves de corral. Con ello se logra un equilibrio adecuado.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defenderá el acuerdo los derechos de los trabajadores y la sostenibilidad en la UE y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lastRenderedPageBreak/>
        <w:t>La UE y el Mercosur han convenido en que el acuerdo debe apoyar las normas climáticas y medioambientales, y los derechos laborales vigentes, y no reducirlos ni desvirtuarlos. El acuerdo prohíbe que cualquiera de las partes fomente indebidamente el comercio y la inversión aplicando excepciones a la legislación medioambiental y laboral, o dejando de aplicarla. Ambas partes cuentan con leyes sólidas que protegen los derechos de los trabajadores y también han acordado garantizar el respeto de los derechos laborales fundamentales definidos por la Organización Internacional del Trabajo (OIT). Dichos derechos incluyen:</w:t>
      </w:r>
    </w:p>
    <w:p w:rsidR="003D2CC6" w:rsidRPr="00AE3AE7" w:rsidRDefault="003D2CC6" w:rsidP="003D2CC6">
      <w:pPr>
        <w:numPr>
          <w:ilvl w:val="0"/>
          <w:numId w:val="2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no discriminación en el trabajo,</w:t>
      </w:r>
    </w:p>
    <w:p w:rsidR="003D2CC6" w:rsidRPr="00AE3AE7" w:rsidRDefault="003D2CC6" w:rsidP="003D2CC6">
      <w:pPr>
        <w:numPr>
          <w:ilvl w:val="0"/>
          <w:numId w:val="2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erradicación del trabajo infantil y el trabajo forzoso,</w:t>
      </w:r>
    </w:p>
    <w:p w:rsidR="003D2CC6" w:rsidRPr="00AE3AE7" w:rsidRDefault="003D2CC6" w:rsidP="003D2CC6">
      <w:pPr>
        <w:numPr>
          <w:ilvl w:val="0"/>
          <w:numId w:val="2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libertad de asociación y el derecho a la negociación colectiva,</w:t>
      </w:r>
    </w:p>
    <w:p w:rsidR="003D2CC6" w:rsidRPr="00AE3AE7" w:rsidRDefault="003D2CC6" w:rsidP="003D2CC6">
      <w:pPr>
        <w:numPr>
          <w:ilvl w:val="0"/>
          <w:numId w:val="21"/>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compromisos en materia de inspección del trabajo y de salud y seguridad en el trabajo.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Además, el acuerdo contiene compromisos sobre la pesca sostenible y la gestión sostenible de los bosques, entre otras cosas. En virtud del acuerdo, la UE y el Mercosur se comprometen a aplicar efectivamente la Convención Marco de las Naciones Unidas y el Acuerdo de París sobre el cambio climático. El acuerdo brindará oportunidades a las cadenas de suministro de productos con cuyo cultivo se contribuye a conservar el medio ambiente, como las nueces de Pará procedentes de bosques naturales.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¿Serán aplicables los compromisos sobre los derechos de los trabajadores y la protección del medio ambiente?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compromisos establecidos en el capítulo sobre comercio y desarrollo sostenible tendrán fuerza ejecutiva a través de un mecanismo de solución de diferencias que incluirá:</w:t>
      </w:r>
    </w:p>
    <w:p w:rsidR="003D2CC6" w:rsidRPr="00AE3AE7" w:rsidRDefault="003D2CC6" w:rsidP="003D2CC6">
      <w:pPr>
        <w:numPr>
          <w:ilvl w:val="0"/>
          <w:numId w:val="2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una revisión externa realizada por un grupo de expertos independientes;</w:t>
      </w:r>
    </w:p>
    <w:p w:rsidR="003D2CC6" w:rsidRPr="00AE3AE7" w:rsidRDefault="003D2CC6" w:rsidP="003D2CC6">
      <w:pPr>
        <w:numPr>
          <w:ilvl w:val="0"/>
          <w:numId w:val="2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participación de la sociedad civil, incluidos los representantes de los empresarios y los sindicatos, en todas las fases;</w:t>
      </w:r>
    </w:p>
    <w:p w:rsidR="003D2CC6" w:rsidRPr="00AE3AE7" w:rsidRDefault="003D2CC6" w:rsidP="003D2CC6">
      <w:pPr>
        <w:numPr>
          <w:ilvl w:val="0"/>
          <w:numId w:val="22"/>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asesoramiento de organismos internacionales, como la Organización Internacional del Trabajo.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protegerá el acuerdo el derecho a legislar de los gobiernos en aras del interés público?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no afectará al derecho de la UE o del Mercosur a regular objetivos de política pública como la protección de la vida o la salud pública, animal y vegetal, así como el medio ambiente, los trabajadores o la prestación de servicios públicos.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Al igual que todos los acuerdos comerciales y de asociación de la UE, el acuerdo entre la UE y el Mercosur permite a los gobiernos de ambas partes gestionar la distribución del agua y otros servicios básicos como consideren oportuno. Los gobiernos siguen decidiendo si tales servicios forman parte del sector público o del privado.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permitirá que la UE y el Mercosur colaboren, voluntariamente, respecto a algunas cuestiones de reglamentación. La cooperación se ceñirá únicamente a la legislación de la UE que pueda afectar al comercio o a las inversiones. No incluirá las legislaciones de los Estados miembros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lastRenderedPageBreak/>
        <w:t>¿Cómo se beneficiará el Mercosur con el acuerdo?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Será más fácil para el Mercosur exportar a la UE, siempre que se respeten las estrictas normas de la UE en materia de sostenibilidad, salud y seguridad alimentaria.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permitirá integrar las industrias del Mercosur en las cadenas de valor de la UE, que son muy innovadoras, lo que hará que estas industrias sean más competitivas. Los países del Mercosur quieren depender menos de las exportaciones de productos básicos y diversificar sus economías produciendo mercancías y prestando servicios de mayor valor. El acuerdo les ayudará a lograrlo.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comercial brindará más oportunidades a los ciudadanos del Mercosur para ofrecer sus servicios en la UE, aun cuando se trate de forma temporal mediante su presencia física en los países de la UE, ya sea</w:t>
      </w:r>
      <w:r w:rsidR="003E00CD">
        <w:rPr>
          <w:rFonts w:ascii="Times New Roman" w:eastAsia="Times New Roman" w:hAnsi="Times New Roman" w:cs="Times New Roman"/>
          <w:color w:val="000000"/>
          <w:sz w:val="24"/>
          <w:szCs w:val="24"/>
          <w:lang w:eastAsia="es-ES"/>
        </w:rPr>
        <w:t xml:space="preserve"> contratado</w:t>
      </w:r>
      <w:r w:rsidRPr="00AE3AE7">
        <w:rPr>
          <w:rFonts w:ascii="Times New Roman" w:eastAsia="Times New Roman" w:hAnsi="Times New Roman" w:cs="Times New Roman"/>
          <w:color w:val="000000"/>
          <w:sz w:val="24"/>
          <w:szCs w:val="24"/>
          <w:lang w:eastAsia="es-ES"/>
        </w:rPr>
        <w:t xml:space="preserve"> por las empresas</w:t>
      </w:r>
      <w:r w:rsidR="003E00CD">
        <w:rPr>
          <w:rFonts w:ascii="Times New Roman" w:eastAsia="Times New Roman" w:hAnsi="Times New Roman" w:cs="Times New Roman"/>
          <w:color w:val="000000"/>
          <w:sz w:val="24"/>
          <w:szCs w:val="24"/>
          <w:lang w:eastAsia="es-ES"/>
        </w:rPr>
        <w:t>,</w:t>
      </w:r>
      <w:r w:rsidRPr="00AE3AE7">
        <w:rPr>
          <w:rFonts w:ascii="Times New Roman" w:eastAsia="Times New Roman" w:hAnsi="Times New Roman" w:cs="Times New Roman"/>
          <w:color w:val="000000"/>
          <w:sz w:val="24"/>
          <w:szCs w:val="24"/>
          <w:lang w:eastAsia="es-ES"/>
        </w:rPr>
        <w:t xml:space="preserve"> o como profesionales independientes.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Con arreglo al acuerdo, los gobiernos del Mercosur se comprometen a facilitar y simplificar los negocios en sus países, mejorando el entorno empresarial mediante procedimientos y reglamentos más previsibles y transparentes, y proporcionando un mayor acceso a su mercado. Esto les ayudará a atraer más inversión desde Europa y el resto del mundo.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Tanto la UE como el Mercosur desean:</w:t>
      </w:r>
    </w:p>
    <w:p w:rsidR="003D2CC6" w:rsidRPr="00AE3AE7" w:rsidRDefault="003D2CC6" w:rsidP="003D2CC6">
      <w:pPr>
        <w:numPr>
          <w:ilvl w:val="0"/>
          <w:numId w:val="2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configurar las reglas del comercio mundial en consonancia con sus elevados niveles de exigencia y los valores compartidos de democracia y Estado de Derecho; y</w:t>
      </w:r>
    </w:p>
    <w:p w:rsidR="003D2CC6" w:rsidRPr="00AE3AE7" w:rsidRDefault="003D2CC6" w:rsidP="003D2CC6">
      <w:pPr>
        <w:numPr>
          <w:ilvl w:val="0"/>
          <w:numId w:val="23"/>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enviar al mundo una clara señal: la de que dos de sus mayores economías rechazan el proteccionismo.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facilitará el acuerdo la transición ecológica y digital en los países del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Como parte de la Agenda de Inversiones Global Gateway UE-ALC, un fondo de cooperación reforzada de 1 800 millones EUR apoyará, entre otras cosas:</w:t>
      </w:r>
    </w:p>
    <w:p w:rsidR="003D2CC6" w:rsidRPr="00AE3AE7" w:rsidRDefault="003D2CC6" w:rsidP="003D2CC6">
      <w:pPr>
        <w:numPr>
          <w:ilvl w:val="0"/>
          <w:numId w:val="2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inversiones en el desarrollo de nuevas cadenas de valor forestales sostenibles, por ejemplo, en la Amazonia;</w:t>
      </w:r>
    </w:p>
    <w:p w:rsidR="003D2CC6" w:rsidRPr="00AE3AE7" w:rsidRDefault="003D2CC6" w:rsidP="003D2CC6">
      <w:pPr>
        <w:numPr>
          <w:ilvl w:val="0"/>
          <w:numId w:val="2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adaptación de los agentes económicos del Mercosur, en particular las microempresas y las pequeñas y medianas empresas (pymes), las mujeres, los pequeños agricultores, los pueblos indígenas y las comunidades tradicionales, al nuevo entorno económico y comercial generado por el acuerdo de asociación entre la UE y el Mercosur;</w:t>
      </w:r>
    </w:p>
    <w:p w:rsidR="003D2CC6" w:rsidRPr="00AE3AE7" w:rsidRDefault="003D2CC6" w:rsidP="003D2CC6">
      <w:pPr>
        <w:numPr>
          <w:ilvl w:val="0"/>
          <w:numId w:val="2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desarrollo de capacidades para la aplicación de la legislación medioambiental y laboral;</w:t>
      </w:r>
    </w:p>
    <w:p w:rsidR="003D2CC6" w:rsidRPr="00AE3AE7" w:rsidRDefault="003D2CC6" w:rsidP="003D2CC6">
      <w:pPr>
        <w:numPr>
          <w:ilvl w:val="0"/>
          <w:numId w:val="24"/>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inversiones en energías renovables y la creación de valor añadido, por ejemplo, en el ámbito de las materias primas fundamentales, incluido el tratamiento inicial y la producción de baterías.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¿Cuándo empezaron las negociaciones?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 xml:space="preserve">Las negociaciones dieron comienzo el 28 de junio de 1999. Tras un período de suspensión, las negociaciones se reanudaron en 2010. Las largas negociaciones cobraron un nuevo impulso en 2016, y la Unión Europea y el Mercosur concluyeron las negociaciones en 2019 </w:t>
      </w:r>
      <w:r w:rsidRPr="00AE3AE7">
        <w:rPr>
          <w:rFonts w:ascii="Times New Roman" w:eastAsia="Times New Roman" w:hAnsi="Times New Roman" w:cs="Times New Roman"/>
          <w:color w:val="000000"/>
          <w:sz w:val="24"/>
          <w:szCs w:val="24"/>
          <w:lang w:eastAsia="es-ES"/>
        </w:rPr>
        <w:lastRenderedPageBreak/>
        <w:t>tras nuevas ofertas de reducción de aranceles. Por último, el 6 de diciembre de 2024, la UE y Mercosur alcanzaron un acuerdo político para seguir mejorando el acuerdo y abordar las preocupaciones relacionadas con el desarrollo sostenible.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acuerdo político dio lugar a un acuerdo de asociación ambicioso, equilibrado y global. El nuevo marco comercial, que forma parte de un acuerdo de asociación más amplio entre las dos regiones, consolidará una asociación política y económica estratégica.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¿En qué difiere este acuerdo del de 2019?</w:t>
      </w:r>
    </w:p>
    <w:p w:rsidR="003D2CC6" w:rsidRPr="00AE3AE7" w:rsidRDefault="003D2CC6" w:rsidP="003D2CC6">
      <w:pPr>
        <w:numPr>
          <w:ilvl w:val="0"/>
          <w:numId w:val="2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El nuevo acuerdo entre la UE y el Mercosur es uno de los acuerdos más ambiciosos en términos de sostenibilidad. En él se plasmarán las últimas normas de la UE en materia de comercio y desarrollo sostenible, e incluso irá más allá de algunos de nuestros acuerdos más recientes, como el acuerdo entre la UE y Chile o el Acuerdo Económico y Comercial Global (CETA) entre la UE y Canadá.</w:t>
      </w:r>
    </w:p>
    <w:p w:rsidR="003D2CC6" w:rsidRPr="00AE3AE7" w:rsidRDefault="003D2CC6" w:rsidP="003D2CC6">
      <w:pPr>
        <w:numPr>
          <w:ilvl w:val="0"/>
          <w:numId w:val="2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Además del texto negociado en 2019, el nuevo acuerdo hará del Acuerdo de París un elemento esencial de la relación entre la UE y el Mercosur. Esto garantizará que el acuerdo pueda suspenderse en caso de que una de las partes incumpla gravemente el Acuerdo de París o decida abandonarlo.</w:t>
      </w:r>
    </w:p>
    <w:p w:rsidR="003D2CC6" w:rsidRPr="00AE3AE7" w:rsidRDefault="003D2CC6" w:rsidP="003D2CC6">
      <w:pPr>
        <w:numPr>
          <w:ilvl w:val="0"/>
          <w:numId w:val="2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También garantizará compromisos concretos para detener la deforestación de aquí a 2030, en consonancia con las contribuciones determinadas a nivel nacional en virtud del Acuerdo de París.</w:t>
      </w:r>
    </w:p>
    <w:p w:rsidR="003D2CC6" w:rsidRPr="00AE3AE7" w:rsidRDefault="003D2CC6" w:rsidP="003D2CC6">
      <w:pPr>
        <w:numPr>
          <w:ilvl w:val="0"/>
          <w:numId w:val="2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UE apoyará con una financiación de 1 800 millones EUR la transición ecológica y digital justa en los países del Mercosur, como parte de la Global Gateway. Esto garantizará el desarrollo de las industrias locales, y dotará a los países del Mercosur de las capacidades industriales necesarias para hacer frente a los retos futuros.</w:t>
      </w:r>
    </w:p>
    <w:p w:rsidR="003D2CC6" w:rsidRPr="00AE3AE7" w:rsidRDefault="003D2CC6" w:rsidP="003D2CC6">
      <w:pPr>
        <w:numPr>
          <w:ilvl w:val="0"/>
          <w:numId w:val="25"/>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Además, el nuevo acuerdo contiene nuevas disposiciones sobre contratación pública, derechos de exportación y vehículos.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¿Qué capacidad de control tienen los gobiernos elegidos y los diputados al Parlamento Europeo durante todo el proceso?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Comisión Europea negoció en nombre de la UE conforme a un mandato otorgado por los gobiernos de los veintisiete Estados miembros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Ha velado siempre por que en el proceso de negociación se rindan cuentas a los Estados miembros y al Parlamento Europeo.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Los comisarios de la UE competentes, así como los negociadores y servicios de la Comisión:</w:t>
      </w:r>
    </w:p>
    <w:p w:rsidR="003D2CC6" w:rsidRPr="00AE3AE7" w:rsidRDefault="003D2CC6" w:rsidP="003D2CC6">
      <w:pPr>
        <w:numPr>
          <w:ilvl w:val="0"/>
          <w:numId w:val="2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colaboran con los Estados miembros de la UE para preparar las negociaciones y los textos de negociación;</w:t>
      </w:r>
    </w:p>
    <w:p w:rsidR="003D2CC6" w:rsidRPr="00AE3AE7" w:rsidRDefault="003D2CC6" w:rsidP="003D2CC6">
      <w:pPr>
        <w:numPr>
          <w:ilvl w:val="0"/>
          <w:numId w:val="2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informan a los Estados miembros reunidos en el Consejo sobre la manera en que se están llevando a cabo las negociaciones;</w:t>
      </w:r>
    </w:p>
    <w:p w:rsidR="003D2CC6" w:rsidRPr="00AE3AE7" w:rsidRDefault="003D2CC6" w:rsidP="003D2CC6">
      <w:pPr>
        <w:numPr>
          <w:ilvl w:val="0"/>
          <w:numId w:val="2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mantienen al Parlamento Europeo al corriente de las novedades;</w:t>
      </w:r>
    </w:p>
    <w:p w:rsidR="003D2CC6" w:rsidRPr="00AE3AE7" w:rsidRDefault="003D2CC6" w:rsidP="003D2CC6">
      <w:pPr>
        <w:numPr>
          <w:ilvl w:val="0"/>
          <w:numId w:val="26"/>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comparecen ante la Comisión de Comercio Internacional del Parlamento Europeo.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 xml:space="preserve">El Parlamento Europeo también creó un grupo específico de seguimiento para supervisar las negociaciones. La Comisión ha informado periódicamente sobre la situación de las </w:t>
      </w:r>
      <w:r w:rsidRPr="00AE3AE7">
        <w:rPr>
          <w:rFonts w:ascii="Times New Roman" w:eastAsia="Times New Roman" w:hAnsi="Times New Roman" w:cs="Times New Roman"/>
          <w:color w:val="000000"/>
          <w:sz w:val="24"/>
          <w:szCs w:val="24"/>
          <w:lang w:eastAsia="es-ES"/>
        </w:rPr>
        <w:lastRenderedPageBreak/>
        <w:t>negociaciones a este grupo, así como a las delegaciones del Parlamento Europeo responsables de las relaciones con el Mercosur y Brasil.</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¿Ha evaluado la Comisión el impacto que este acuerdo puede tener en la UE y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Desde el inicio de las negociaciones, la Comisión ha efectuado varios estudios sobre el posible impacto de un acuerdo con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2021, la Comisión publicó un informe de evaluación del impacto sobre la sostenibilidad en relación con los posibles efectos económicos, sociales, medioambientales y en materia de derechos humanos de la parte comercial del acuerdo de asociación entre la Unión Europea y los países del Mercosur. Según el informe, el acuerdo tendrá efectos positivos en las economías tanto de la UE como de los países del Mercosur, aumentando los salarios y contribuyendo a la reducción de la desigualdad. Al mismo tiempo, el impacto en los sectores agroalimentarios sensibles de la UE sería limitado.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2024, la Comisión publicó un estudio que investigaba los posibles efectos de diez futuros acuerdos de libre comercio en el marco de la actual agenda comercial de la UE. El estudio confirmó que los acuerdos de libre comercio analizados podrían beneficiar al sector agroalimentario de la UE, especialmente los sectores de los productos lácteos, la carne de cerdo, los alimentos transformados y las bebidas. También pone de relieve la vulnerabilidad de los sectores de la carne de vacuno, de ovino y de aves de corral, así como el azúcar y el arroz.</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Actualmente se está realizando una nueva evaluación de impacto del acuerdo comercial sobre la sostenibilidad para determinar los efectos económicos, sociales, medioambientales y en materia de derechos humanos de un acuerdo entre la UE y el Mercosur.</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Se han celebrado varias mesas redondas y diálogos de la sociedad civil en Bruselas y en países del Mercosur. Los comentarios realizados en estos debates se han incluido en el informe y han influido en el proceso de negociación.</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¿Cómo se asegura la Comisión de que ha escuchado a todas las partes interesadas en el acuerdo?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Comisión informa periódicamente a los Gobiernos de los Estados miembros de la UE, y mantiene informado al Parlamento Europeo de los avances de las negociaciones a través de reuniones de la Comisión de Comercio Internacional, de los grupos de seguimiento específicos y ofreciendo información sobre la situación en al menos cuarenta reuniones bilaterales con diputados al Parlamento Europeo, a título individual o con grupos políticos.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Comisión Europea ha celebrado también numerosas reuniones con representantes de muchas de las más de 460 organizaciones de la sociedad civil inscritas para participar en su diálogo en curso sobre política comercial.</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Entre estas organizaciones sin ánimo de lucro con sede en la UE figuran:</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sindicatos,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organizaciones de consumidores,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lastRenderedPageBreak/>
        <w:t>organizaciones patronales,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federaciones de empresas,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organizaciones de agricultores,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organizaciones ecologistas,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organizaciones de defensa de los animales,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agrupaciones religiosas,</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grupos de reflexión,</w:t>
      </w:r>
    </w:p>
    <w:p w:rsidR="003D2CC6" w:rsidRPr="00AE3AE7" w:rsidRDefault="003D2CC6" w:rsidP="003D2CC6">
      <w:pPr>
        <w:numPr>
          <w:ilvl w:val="0"/>
          <w:numId w:val="27"/>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agrupaciones locales.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estas reuniones, una amplia gama de entidades pueden expresar sus opiniones y formular observaciones sobre las negociaciones. En las reuniones, la Comisión informa y pone al día a la sociedad civil sobre el transcurso de las negociaciones.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Desde 2015, la Comisión Europea ha hecho públicos todos los nuevos documentos de negociación presentados en las conversaciones.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Las puertas de la Comisión Europea están siempre abiertas, y cualquier organización interesada en las conversaciones puede reunirse con los funcionarios competentes y exponer sus opiniones y puntos de vista.</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60DA3">
        <w:rPr>
          <w:rFonts w:ascii="Times New Roman" w:eastAsia="Times New Roman" w:hAnsi="Times New Roman" w:cs="Times New Roman"/>
          <w:b/>
          <w:bCs/>
          <w:color w:val="000000"/>
          <w:sz w:val="24"/>
          <w:szCs w:val="24"/>
          <w:lang w:eastAsia="es-ES"/>
        </w:rPr>
        <w:t>¿Cuáles son los próximos pasos ahora que han concluido los debates técnicos?</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Por parte de la UE, el texto del acuerdo se publicó en el sitio web de la Comisión Europea y también será:</w:t>
      </w:r>
    </w:p>
    <w:p w:rsidR="003D2CC6" w:rsidRPr="00AE3AE7" w:rsidRDefault="003D2CC6" w:rsidP="003D2CC6">
      <w:pPr>
        <w:numPr>
          <w:ilvl w:val="0"/>
          <w:numId w:val="2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examinado por juristas lingüistas y</w:t>
      </w:r>
    </w:p>
    <w:p w:rsidR="003D2CC6" w:rsidRPr="00AE3AE7" w:rsidRDefault="003D2CC6" w:rsidP="003D2CC6">
      <w:pPr>
        <w:numPr>
          <w:ilvl w:val="0"/>
          <w:numId w:val="28"/>
        </w:num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traducido a todas las lenguas oficiales de la UE.</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Una vez concluidos estos pasos, la Comisión transmitirá una propuesta al Consejo y al Parlamento para la firma y celebración del acuerdo.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La base jurídica de cualquier acuerdo definitivo entre la UE y el Mercosur se determinará tras una evaluación del resultado de las negociaciones. Esto se reflejará en la propuesta de la Comisión cuando presente el acuerdo para su ratificación por el Consejo y el Parlamento Europeo.</w:t>
      </w:r>
    </w:p>
    <w:p w:rsidR="003D2CC6" w:rsidRPr="00AE3AE7"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En los acuerdos recientes se han utilizado los siguientes modelos principales:</w:t>
      </w:r>
    </w:p>
    <w:p w:rsidR="003D2CC6" w:rsidRDefault="003D2CC6"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AE3AE7">
        <w:rPr>
          <w:rFonts w:ascii="Times New Roman" w:eastAsia="Times New Roman" w:hAnsi="Times New Roman" w:cs="Times New Roman"/>
          <w:color w:val="000000"/>
          <w:sz w:val="24"/>
          <w:szCs w:val="24"/>
          <w:lang w:eastAsia="es-ES"/>
        </w:rPr>
        <w:t>i) un «acuerdo mixto» que requiere la aprobación de la UE y de todos sus Estados miembros sobre la totalidad del acuerdo antes de que pueda entrar plenamente en vigor; y ii) un único paquete político de dos acuerdos jurídicamente separados que, idealmente, se firmarán</w:t>
      </w:r>
      <w:r w:rsidR="00F223DE">
        <w:rPr>
          <w:rFonts w:ascii="Times New Roman" w:eastAsia="Times New Roman" w:hAnsi="Times New Roman" w:cs="Times New Roman"/>
          <w:color w:val="000000"/>
          <w:sz w:val="24"/>
          <w:szCs w:val="24"/>
          <w:lang w:eastAsia="es-ES"/>
        </w:rPr>
        <w:t xml:space="preserve"> en paralelo: un acuerdo marco “mixto”</w:t>
      </w:r>
      <w:r w:rsidRPr="00AE3AE7">
        <w:rPr>
          <w:rFonts w:ascii="Times New Roman" w:eastAsia="Times New Roman" w:hAnsi="Times New Roman" w:cs="Times New Roman"/>
          <w:color w:val="000000"/>
          <w:sz w:val="24"/>
          <w:szCs w:val="24"/>
          <w:lang w:eastAsia="es-ES"/>
        </w:rPr>
        <w:t>, que requiere una vez más la aprobación de la UE y de todos sus Estados miembros antes de que pueda entrar plenamente en vigor, y un acuerdo provisional que abarque las disposiciones que son competencia exclusiva de la UE, que solo requeriría la ratificación por parte de la UE.</w:t>
      </w:r>
    </w:p>
    <w:p w:rsidR="00FC30C5" w:rsidRPr="00E60DA3" w:rsidRDefault="00FC30C5" w:rsidP="003D2CC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p>
    <w:p w:rsidR="00FC30C5" w:rsidRDefault="00FC30C5" w:rsidP="003D2CC6">
      <w:pPr>
        <w:spacing w:line="240" w:lineRule="auto"/>
        <w:jc w:val="both"/>
        <w:rPr>
          <w:rFonts w:ascii="Times New Roman" w:hAnsi="Times New Roman" w:cs="Times New Roman"/>
          <w:sz w:val="24"/>
          <w:szCs w:val="24"/>
        </w:rPr>
      </w:pPr>
    </w:p>
    <w:p w:rsidR="003D2CC6" w:rsidRPr="00AE3AE7" w:rsidRDefault="003D2CC6" w:rsidP="003D2CC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E3AE7">
        <w:rPr>
          <w:rFonts w:ascii="Times New Roman" w:hAnsi="Times New Roman" w:cs="Times New Roman"/>
          <w:sz w:val="24"/>
          <w:szCs w:val="24"/>
          <w:u w:val="single"/>
        </w:rPr>
        <w:t>Acuerdo UE-Mercosur: desmontando falsas creencias</w:t>
      </w:r>
      <w:r>
        <w:rPr>
          <w:rFonts w:ascii="Times New Roman" w:hAnsi="Times New Roman" w:cs="Times New Roman"/>
          <w:sz w:val="24"/>
          <w:szCs w:val="24"/>
        </w:rPr>
        <w:t xml:space="preserve"> (Comisión Europea - </w:t>
      </w:r>
      <w:r w:rsidRPr="00AE3AE7">
        <w:rPr>
          <w:rFonts w:ascii="Times New Roman" w:hAnsi="Times New Roman" w:cs="Times New Roman"/>
          <w:b/>
          <w:sz w:val="24"/>
          <w:szCs w:val="24"/>
        </w:rPr>
        <w:t>20/12/24</w:t>
      </w:r>
      <w:r>
        <w:rPr>
          <w:rFonts w:ascii="Times New Roman" w:hAnsi="Times New Roman" w:cs="Times New Roman"/>
          <w:sz w:val="24"/>
          <w:szCs w:val="24"/>
        </w:rPr>
        <w:t>)</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El acuerdo UE-Mercosur ha generado dudas sobre su impacto en el sector agroalimentario y la entrada de productos importados. Desmontamos mitos y explicamos cómo el pacto protege los mercados sensibles y garanti</w:t>
      </w:r>
      <w:r>
        <w:rPr>
          <w:rFonts w:ascii="Times New Roman" w:hAnsi="Times New Roman" w:cs="Times New Roman"/>
          <w:sz w:val="24"/>
          <w:szCs w:val="24"/>
        </w:rPr>
        <w:t>za altos estándares de calidad.</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El 6 de diciembre del 2024 se finalizaron las negociaciones para un innovador acuerdo de asociación entre la UE y el Mercosur (Brasil, A</w:t>
      </w:r>
      <w:r>
        <w:rPr>
          <w:rFonts w:ascii="Times New Roman" w:hAnsi="Times New Roman" w:cs="Times New Roman"/>
          <w:sz w:val="24"/>
          <w:szCs w:val="24"/>
        </w:rPr>
        <w:t xml:space="preserve">rgentina, Uruguay y Paraguay).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Si se ratifica, este acuerdo creará un espacio económico común de más de 700 millones de personas y ofrecerá nuevas oportunidades de expansión para las 60.000 empresas europeas que ya exportan al Mercosur y para aquellas que todavía no lo hacen: van a poder beneficiarse de aranceles reducidos, procedimientos aduaneros más sencillos y acceso preferencial a algunas materias primas que la Unión Europea necesita para dist</w:t>
      </w:r>
      <w:r>
        <w:rPr>
          <w:rFonts w:ascii="Times New Roman" w:hAnsi="Times New Roman" w:cs="Times New Roman"/>
          <w:sz w:val="24"/>
          <w:szCs w:val="24"/>
        </w:rPr>
        <w:t xml:space="preserve">intas industrias estratégicas.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Sin embargo, existen ciertos temores respecto a este acuerdo, principalmente sobre su impacto en el sector agrícola y agroalimentario, a veces basados en datos incomple</w:t>
      </w:r>
      <w:r>
        <w:rPr>
          <w:rFonts w:ascii="Times New Roman" w:hAnsi="Times New Roman" w:cs="Times New Roman"/>
          <w:sz w:val="24"/>
          <w:szCs w:val="24"/>
        </w:rPr>
        <w:t xml:space="preserve">tos o suposiciones erróneas.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El acuerdo ofrecerá nuevas oportunidades de expansión para el sector agroalimentario español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Las exportaciones agroalimentarias de la UE al Mercosur ascendieron a 3.200 millones de euros en 2023. El acuerdo ayudará a impulsar las exportaciones al eliminar altos aranceles sobre intereses exportadores clave de la UE, y de España en particular, como el aceite de oliva (primera partida de exportación del sector agroalimentario a Mercosur) o  el vino.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Además, el acuerdo protegerá unos 350 productos europeos que tienen una indicación geográfica protegida contra la imitación en los países del Mercosur, como el jamón de Jabugo, el queso Manchego o el vino de Ribera de Duero.  Esta protección ayuda a estos productos a distinguirse, lo que permitirá a los productores fortalecer sus posiciones en el mercado en los países del Mercosu</w:t>
      </w:r>
      <w:r>
        <w:rPr>
          <w:rFonts w:ascii="Times New Roman" w:hAnsi="Times New Roman" w:cs="Times New Roman"/>
          <w:sz w:val="24"/>
          <w:szCs w:val="24"/>
        </w:rPr>
        <w:t xml:space="preserve">r y obtener un precio premium.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¿Acapararán todo el mercado las importaciones que lleguen de Mercosur?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Los miedos no parecen fundados. El acuerdo tendrá un impacto limitado en mercados sensibles de la UE y España como la carne de vacuno</w:t>
      </w:r>
      <w:r>
        <w:rPr>
          <w:rFonts w:ascii="Times New Roman" w:hAnsi="Times New Roman" w:cs="Times New Roman"/>
          <w:sz w:val="24"/>
          <w:szCs w:val="24"/>
        </w:rPr>
        <w:t xml:space="preserve">, la carne de pollo o el arroz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Para los productos más sensibles a la competencia de los productores de Mercosur (la carne de vacuno, la carne de ave o el arroz, entre otros)  la UE no ha negociado una </w:t>
      </w:r>
      <w:r w:rsidR="00F223DE" w:rsidRPr="00AE3AE7">
        <w:rPr>
          <w:rFonts w:ascii="Times New Roman" w:hAnsi="Times New Roman" w:cs="Times New Roman"/>
          <w:sz w:val="24"/>
          <w:szCs w:val="24"/>
        </w:rPr>
        <w:t>liberalización</w:t>
      </w:r>
      <w:r w:rsidRPr="00AE3AE7">
        <w:rPr>
          <w:rFonts w:ascii="Times New Roman" w:hAnsi="Times New Roman" w:cs="Times New Roman"/>
          <w:sz w:val="24"/>
          <w:szCs w:val="24"/>
        </w:rPr>
        <w:t xml:space="preserve"> completa, sino una reducción de los aranceles (impuestos de importación) dentro de un cierto volumen (una cuota). Una vez superada la cuota, se aplicarán los derechos de importación actuales. Se han definido unos volúmenes de cuotas pequeños, que representan poco más del 1% del volumen de consumo europeo de los distintos productos, lo que garantiza una influ</w:t>
      </w:r>
      <w:r>
        <w:rPr>
          <w:rFonts w:ascii="Times New Roman" w:hAnsi="Times New Roman" w:cs="Times New Roman"/>
          <w:sz w:val="24"/>
          <w:szCs w:val="24"/>
        </w:rPr>
        <w:t xml:space="preserve">encia limitada en los precios: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Carne de vacuno: el acuerdo no otorga acceso libre de impuestos a la carne de vacuno del Mercosur, pero permitirá que 99.000 toneladas de carne de vacuno ingresen al mercado de la UE con un arancel del 7,5 %. Por encima de esa cantidad, será de aplicación el arancel actual. Esta cuota representa una cantidad limitada en relación con la producción total de carne de vacuno europea y equivale aproximadamente a la mitad de las importaciones actuales del Mercosur, que ascienden a 196 000 toneladas (2023).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lastRenderedPageBreak/>
        <w:t xml:space="preserve">Carne de ave: la UE permitirá la importación de un contingente de 180.000 toneladas de carne ave, la mitad de ellas correspondiente a cortes con hueso, a arancel cero. Esto representa el 1,4% del consumo total de la UE, es inferior a las importaciones actuales del Mercosur (240.000 toneladas en 2022) y es equivalente al aumento anual del consumo de carne de ave en la UE.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Arroz: la UE no es autosuficiente en arroz y necesita importaciones. El acuerdo permitirá que 60 000 toneladas de arroz del Mercosur ingresen a la UE libres de impuestos. Esta cifra es inferior a las importaciones actua</w:t>
      </w:r>
      <w:r w:rsidR="00F223DE">
        <w:rPr>
          <w:rFonts w:ascii="Times New Roman" w:hAnsi="Times New Roman" w:cs="Times New Roman"/>
          <w:sz w:val="24"/>
          <w:szCs w:val="24"/>
        </w:rPr>
        <w:t>les del Mercosur (100.</w:t>
      </w:r>
      <w:r w:rsidRPr="00AE3AE7">
        <w:rPr>
          <w:rFonts w:ascii="Times New Roman" w:hAnsi="Times New Roman" w:cs="Times New Roman"/>
          <w:sz w:val="24"/>
          <w:szCs w:val="24"/>
        </w:rPr>
        <w:t xml:space="preserve">000 toneladas anuales en promedio) y representa el 2 % del consumo de arroz de la UE.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Además, se podrá aplicar una cláusula de salvaguardia, por la que se podrá suspender temporalmente la concesión de forma unilateral en caso de que el aumento de las importaciones procedentes del Mercosur provoque -o incluso sólo amenace con provocar- un daño grave a los s</w:t>
      </w:r>
      <w:r>
        <w:rPr>
          <w:rFonts w:ascii="Times New Roman" w:hAnsi="Times New Roman" w:cs="Times New Roman"/>
          <w:sz w:val="24"/>
          <w:szCs w:val="24"/>
        </w:rPr>
        <w:t xml:space="preserve">ectores pertinentes de la UE.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 xml:space="preserve">¿Y qué decir del miedo a vernos invadidos por productos que no respetan nuestra normativa sanitaria?  </w:t>
      </w:r>
    </w:p>
    <w:p w:rsidR="003D2CC6" w:rsidRPr="00AE3AE7"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Es necesario ser claros: el acuerdo UE-Mercosur no va a dar entrada al mercado europeo de productos que no cumplen con las normas sanitarias de la Unión Europea.</w:t>
      </w:r>
      <w:r w:rsidR="00F223DE">
        <w:rPr>
          <w:rFonts w:ascii="Times New Roman" w:hAnsi="Times New Roman" w:cs="Times New Roman"/>
          <w:sz w:val="24"/>
          <w:szCs w:val="24"/>
        </w:rPr>
        <w:t xml:space="preserve"> </w:t>
      </w:r>
      <w:r w:rsidRPr="00AE3AE7">
        <w:rPr>
          <w:rFonts w:ascii="Times New Roman" w:hAnsi="Times New Roman" w:cs="Times New Roman"/>
          <w:sz w:val="24"/>
          <w:szCs w:val="24"/>
        </w:rPr>
        <w:t xml:space="preserve">Todos los  productos importados en la UE tienen que cumplir con las estrictas normas europeas para proteger la salud humana, animal y vegetal. El acuerdo con Mercosur no cambia este principio.  </w:t>
      </w:r>
    </w:p>
    <w:p w:rsidR="003D2CC6" w:rsidRPr="003F4C12" w:rsidRDefault="003D2CC6" w:rsidP="003D2CC6">
      <w:pPr>
        <w:spacing w:line="240" w:lineRule="auto"/>
        <w:jc w:val="both"/>
        <w:rPr>
          <w:rFonts w:ascii="Times New Roman" w:hAnsi="Times New Roman" w:cs="Times New Roman"/>
          <w:sz w:val="24"/>
          <w:szCs w:val="24"/>
        </w:rPr>
      </w:pPr>
      <w:r w:rsidRPr="00AE3AE7">
        <w:rPr>
          <w:rFonts w:ascii="Times New Roman" w:hAnsi="Times New Roman" w:cs="Times New Roman"/>
          <w:sz w:val="24"/>
          <w:szCs w:val="24"/>
        </w:rPr>
        <w:t>Por ejemplo: en la UE el uso de hormonas para la cría de animales que se van a destinar al consumo está prohibido, también para las importaciones: ningún productor que use hormonas en la cría de sus animales puede importar sus productos dentro de la UE. Los estrictos controles sanitarios en las fronteras de la UE garantizan el cumplimiento de esta obligación.</w:t>
      </w:r>
    </w:p>
    <w:p w:rsidR="003D2CC6" w:rsidRPr="003A26C4" w:rsidRDefault="003D2CC6" w:rsidP="003D2CC6">
      <w:pPr>
        <w:spacing w:line="240" w:lineRule="auto"/>
        <w:jc w:val="both"/>
        <w:rPr>
          <w:rFonts w:ascii="Times New Roman" w:hAnsi="Times New Roman" w:cs="Times New Roman"/>
          <w:b/>
          <w:sz w:val="24"/>
          <w:szCs w:val="24"/>
        </w:rPr>
      </w:pPr>
      <w:r w:rsidRPr="003A26C4">
        <w:rPr>
          <w:rFonts w:ascii="Times New Roman" w:hAnsi="Times New Roman" w:cs="Times New Roman"/>
          <w:b/>
          <w:sz w:val="24"/>
          <w:szCs w:val="24"/>
        </w:rPr>
        <w:t>Impacto económico acumulativo de los futuros acuerdos comerciales sobre la agricultura de la UE</w:t>
      </w:r>
    </w:p>
    <w:p w:rsidR="003D2CC6" w:rsidRDefault="003D2CC6" w:rsidP="003D2CC6">
      <w:pPr>
        <w:spacing w:line="240" w:lineRule="auto"/>
        <w:jc w:val="both"/>
        <w:rPr>
          <w:rFonts w:ascii="Times New Roman" w:hAnsi="Times New Roman" w:cs="Times New Roman"/>
          <w:sz w:val="24"/>
          <w:szCs w:val="24"/>
        </w:rPr>
      </w:pPr>
      <w:r w:rsidRPr="003A26C4">
        <w:rPr>
          <w:rFonts w:ascii="Times New Roman" w:hAnsi="Times New Roman" w:cs="Times New Roman"/>
          <w:sz w:val="24"/>
          <w:szCs w:val="24"/>
        </w:rPr>
        <w:t>En julio de 2019, tras la conclusión política del Acuerdo de Libre Comercio (ALC) entre la UE y el Mercosur, el ex Comisario Hogan, entonces Comisario de Agricultura y Desarrollo Rural, anunció en el Consejo de Agricultura una actualización del estudio de impacto acumulativo de 2016, que abarca los aspectos económicos de la reducción de los aranceles agrícolas. Esto fue reiterado por el Comisario de Agricultura Wojciechowski en sus audiencias de confirmación.</w:t>
      </w:r>
    </w:p>
    <w:p w:rsidR="003D2CC6" w:rsidRDefault="003D2CC6" w:rsidP="003D2CC6">
      <w:pPr>
        <w:spacing w:line="240" w:lineRule="auto"/>
        <w:jc w:val="both"/>
        <w:rPr>
          <w:rFonts w:ascii="Times New Roman" w:hAnsi="Times New Roman" w:cs="Times New Roman"/>
          <w:color w:val="000000"/>
          <w:sz w:val="24"/>
          <w:szCs w:val="24"/>
        </w:rPr>
      </w:pPr>
      <w:r w:rsidRPr="003A26C4">
        <w:rPr>
          <w:rFonts w:ascii="Times New Roman" w:hAnsi="Times New Roman" w:cs="Times New Roman"/>
          <w:color w:val="000000"/>
          <w:sz w:val="24"/>
          <w:szCs w:val="24"/>
        </w:rPr>
        <w:t>El informe fue presentado al Consejo de Agricultura el día de su publicación (25 de enero de 2021).</w:t>
      </w:r>
    </w:p>
    <w:p w:rsidR="003D2CC6" w:rsidRDefault="003D2CC6" w:rsidP="003D2CC6">
      <w:pPr>
        <w:spacing w:line="240" w:lineRule="auto"/>
        <w:jc w:val="both"/>
        <w:rPr>
          <w:rFonts w:ascii="Times New Roman" w:hAnsi="Times New Roman" w:cs="Times New Roman"/>
          <w:color w:val="000000"/>
          <w:sz w:val="24"/>
          <w:szCs w:val="24"/>
        </w:rPr>
      </w:pPr>
    </w:p>
    <w:p w:rsidR="003D2CC6" w:rsidRDefault="003D2CC6" w:rsidP="003D2CC6">
      <w:pPr>
        <w:spacing w:line="240" w:lineRule="auto"/>
        <w:jc w:val="both"/>
        <w:rPr>
          <w:rFonts w:ascii="Times New Roman" w:hAnsi="Times New Roman" w:cs="Times New Roman"/>
          <w:sz w:val="24"/>
          <w:szCs w:val="24"/>
        </w:rPr>
      </w:pPr>
      <w:r w:rsidRPr="00013819">
        <w:rPr>
          <w:rFonts w:ascii="Times New Roman" w:hAnsi="Times New Roman" w:cs="Times New Roman"/>
          <w:noProof/>
          <w:sz w:val="24"/>
          <w:szCs w:val="24"/>
          <w:lang w:eastAsia="es-ES"/>
        </w:rPr>
        <w:lastRenderedPageBreak/>
        <w:drawing>
          <wp:inline distT="0" distB="0" distL="0" distR="0" wp14:anchorId="3BE06AF7" wp14:editId="2B744BB7">
            <wp:extent cx="5727050" cy="2813050"/>
            <wp:effectExtent l="0" t="0" r="7620"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815241"/>
                    </a:xfrm>
                    <a:prstGeom prst="rect">
                      <a:avLst/>
                    </a:prstGeom>
                  </pic:spPr>
                </pic:pic>
              </a:graphicData>
            </a:graphic>
          </wp:inline>
        </w:drawing>
      </w:r>
    </w:p>
    <w:p w:rsidR="003D2CC6" w:rsidRPr="003A26C4" w:rsidRDefault="003D2CC6" w:rsidP="003D2CC6">
      <w:pPr>
        <w:spacing w:line="240" w:lineRule="auto"/>
        <w:jc w:val="both"/>
        <w:rPr>
          <w:rFonts w:ascii="Times New Roman" w:hAnsi="Times New Roman" w:cs="Times New Roman"/>
          <w:sz w:val="24"/>
          <w:szCs w:val="24"/>
        </w:rPr>
      </w:pPr>
      <w:r w:rsidRPr="00013819">
        <w:rPr>
          <w:rFonts w:ascii="Times New Roman" w:hAnsi="Times New Roman" w:cs="Times New Roman"/>
          <w:noProof/>
          <w:sz w:val="24"/>
          <w:szCs w:val="24"/>
          <w:lang w:eastAsia="es-ES"/>
        </w:rPr>
        <w:drawing>
          <wp:inline distT="0" distB="0" distL="0" distR="0" wp14:anchorId="278977FC" wp14:editId="5FCCC37B">
            <wp:extent cx="4032250" cy="257810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033029" cy="2578598"/>
                    </a:xfrm>
                    <a:prstGeom prst="rect">
                      <a:avLst/>
                    </a:prstGeom>
                  </pic:spPr>
                </pic:pic>
              </a:graphicData>
            </a:graphic>
          </wp:inline>
        </w:drawing>
      </w:r>
      <w:r w:rsidRPr="00013819">
        <w:rPr>
          <w:rFonts w:ascii="Times New Roman" w:hAnsi="Times New Roman" w:cs="Times New Roman"/>
          <w:noProof/>
          <w:sz w:val="24"/>
          <w:szCs w:val="24"/>
          <w:lang w:eastAsia="es-ES"/>
        </w:rPr>
        <w:drawing>
          <wp:inline distT="0" distB="0" distL="0" distR="0" wp14:anchorId="4D7423B8" wp14:editId="7B8B221B">
            <wp:extent cx="1676400" cy="270510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677708" cy="2707211"/>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t xml:space="preserve"> </w:t>
      </w:r>
      <w:r w:rsidRPr="00E60DA3">
        <w:rPr>
          <w:rFonts w:ascii="Times New Roman" w:hAnsi="Times New Roman" w:cs="Times New Roman"/>
          <w:noProof/>
          <w:sz w:val="24"/>
          <w:szCs w:val="24"/>
          <w:lang w:eastAsia="es-ES"/>
        </w:rPr>
        <w:drawing>
          <wp:inline distT="0" distB="0" distL="0" distR="0" wp14:anchorId="23A864F7" wp14:editId="0E3614A7">
            <wp:extent cx="5734048" cy="2717800"/>
            <wp:effectExtent l="0" t="0" r="635"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716597"/>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sidRPr="003A26C4">
        <w:rPr>
          <w:rFonts w:ascii="Times New Roman" w:hAnsi="Times New Roman" w:cs="Times New Roman"/>
          <w:noProof/>
          <w:sz w:val="24"/>
          <w:szCs w:val="24"/>
          <w:lang w:eastAsia="es-ES"/>
        </w:rPr>
        <w:lastRenderedPageBreak/>
        <w:drawing>
          <wp:inline distT="0" distB="0" distL="0" distR="0" wp14:anchorId="4BC2F1A1" wp14:editId="10BC98B7">
            <wp:extent cx="5730377" cy="2317750"/>
            <wp:effectExtent l="0" t="0" r="381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318208"/>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sidRPr="003A26C4">
        <w:rPr>
          <w:rFonts w:ascii="Times New Roman" w:hAnsi="Times New Roman" w:cs="Times New Roman"/>
          <w:noProof/>
          <w:sz w:val="24"/>
          <w:szCs w:val="24"/>
          <w:lang w:eastAsia="es-ES"/>
        </w:rPr>
        <w:drawing>
          <wp:inline distT="0" distB="0" distL="0" distR="0" wp14:anchorId="2E3B552F" wp14:editId="353FC876">
            <wp:extent cx="5727316" cy="3200400"/>
            <wp:effectExtent l="0" t="0" r="6985"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3202743"/>
                    </a:xfrm>
                    <a:prstGeom prst="rect">
                      <a:avLst/>
                    </a:prstGeom>
                  </pic:spPr>
                </pic:pic>
              </a:graphicData>
            </a:graphic>
          </wp:inline>
        </w:drawing>
      </w:r>
    </w:p>
    <w:p w:rsidR="003D2CC6" w:rsidRPr="003F4C12" w:rsidRDefault="003D2CC6" w:rsidP="003D2CC6">
      <w:pPr>
        <w:spacing w:line="240" w:lineRule="auto"/>
        <w:jc w:val="both"/>
        <w:rPr>
          <w:rFonts w:ascii="Times New Roman" w:hAnsi="Times New Roman" w:cs="Times New Roman"/>
          <w:sz w:val="24"/>
          <w:szCs w:val="24"/>
        </w:rPr>
      </w:pPr>
      <w:r w:rsidRPr="003A26C4">
        <w:rPr>
          <w:rFonts w:ascii="Times New Roman" w:hAnsi="Times New Roman" w:cs="Times New Roman"/>
          <w:noProof/>
          <w:sz w:val="24"/>
          <w:szCs w:val="24"/>
          <w:lang w:eastAsia="es-ES"/>
        </w:rPr>
        <w:drawing>
          <wp:inline distT="0" distB="0" distL="0" distR="0" wp14:anchorId="6AFA2F48" wp14:editId="1AF4C3E3">
            <wp:extent cx="5722861" cy="23812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384849"/>
                    </a:xfrm>
                    <a:prstGeom prst="rect">
                      <a:avLst/>
                    </a:prstGeom>
                  </pic:spPr>
                </pic:pic>
              </a:graphicData>
            </a:graphic>
          </wp:inline>
        </w:drawing>
      </w:r>
    </w:p>
    <w:p w:rsidR="003D2CC6" w:rsidRPr="003F4C12" w:rsidRDefault="003D2CC6" w:rsidP="003D2CC6">
      <w:pPr>
        <w:spacing w:line="240" w:lineRule="auto"/>
        <w:jc w:val="both"/>
        <w:rPr>
          <w:rFonts w:ascii="Times New Roman" w:hAnsi="Times New Roman" w:cs="Times New Roman"/>
          <w:sz w:val="24"/>
          <w:szCs w:val="24"/>
        </w:rPr>
      </w:pPr>
    </w:p>
    <w:p w:rsidR="003D2CC6" w:rsidRPr="003F4C12" w:rsidRDefault="003D2CC6" w:rsidP="003D2CC6">
      <w:pPr>
        <w:spacing w:line="240" w:lineRule="auto"/>
        <w:jc w:val="both"/>
        <w:rPr>
          <w:rFonts w:ascii="Times New Roman" w:hAnsi="Times New Roman" w:cs="Times New Roman"/>
          <w:sz w:val="24"/>
          <w:szCs w:val="24"/>
        </w:rPr>
      </w:pPr>
      <w:r w:rsidRPr="003F4C12">
        <w:rPr>
          <w:rFonts w:ascii="Times New Roman" w:hAnsi="Times New Roman" w:cs="Times New Roman"/>
          <w:sz w:val="24"/>
          <w:szCs w:val="24"/>
        </w:rPr>
        <w:lastRenderedPageBreak/>
        <w:t xml:space="preserve"> </w:t>
      </w:r>
      <w:r w:rsidRPr="003A26C4">
        <w:rPr>
          <w:rFonts w:ascii="Times New Roman" w:hAnsi="Times New Roman" w:cs="Times New Roman"/>
          <w:noProof/>
          <w:sz w:val="24"/>
          <w:szCs w:val="24"/>
          <w:lang w:eastAsia="es-ES"/>
        </w:rPr>
        <w:drawing>
          <wp:inline distT="0" distB="0" distL="0" distR="0" wp14:anchorId="3B0B9024" wp14:editId="45A58327">
            <wp:extent cx="5734050" cy="2298700"/>
            <wp:effectExtent l="0" t="0" r="0"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297682"/>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sidRPr="000E05EF">
        <w:rPr>
          <w:rFonts w:ascii="Times New Roman" w:hAnsi="Times New Roman" w:cs="Times New Roman"/>
          <w:noProof/>
          <w:sz w:val="24"/>
          <w:szCs w:val="24"/>
          <w:lang w:eastAsia="es-ES"/>
        </w:rPr>
        <w:drawing>
          <wp:inline distT="0" distB="0" distL="0" distR="0" wp14:anchorId="79A55358" wp14:editId="567B518D">
            <wp:extent cx="5729479" cy="2895600"/>
            <wp:effectExtent l="0" t="0" r="508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896626"/>
                    </a:xfrm>
                    <a:prstGeom prst="rect">
                      <a:avLst/>
                    </a:prstGeom>
                  </pic:spPr>
                </pic:pic>
              </a:graphicData>
            </a:graphic>
          </wp:inline>
        </w:drawing>
      </w:r>
    </w:p>
    <w:p w:rsidR="003D2CC6" w:rsidRDefault="003D2CC6" w:rsidP="003D2CC6">
      <w:pPr>
        <w:spacing w:line="240" w:lineRule="auto"/>
        <w:jc w:val="both"/>
        <w:rPr>
          <w:rFonts w:ascii="Times New Roman" w:hAnsi="Times New Roman" w:cs="Times New Roman"/>
          <w:sz w:val="24"/>
          <w:szCs w:val="24"/>
        </w:rPr>
      </w:pPr>
      <w:r w:rsidRPr="000E05EF">
        <w:rPr>
          <w:rFonts w:ascii="Times New Roman" w:hAnsi="Times New Roman" w:cs="Times New Roman"/>
          <w:noProof/>
          <w:sz w:val="24"/>
          <w:szCs w:val="24"/>
          <w:lang w:eastAsia="es-ES"/>
        </w:rPr>
        <w:drawing>
          <wp:inline distT="0" distB="0" distL="0" distR="0" wp14:anchorId="53F46E5B" wp14:editId="633A749F">
            <wp:extent cx="5729493" cy="2901950"/>
            <wp:effectExtent l="0" t="0" r="508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902972"/>
                    </a:xfrm>
                    <a:prstGeom prst="rect">
                      <a:avLst/>
                    </a:prstGeom>
                  </pic:spPr>
                </pic:pic>
              </a:graphicData>
            </a:graphic>
          </wp:inline>
        </w:drawing>
      </w:r>
    </w:p>
    <w:p w:rsidR="00B22EA2" w:rsidRDefault="003D2CC6" w:rsidP="0079680A">
      <w:pPr>
        <w:spacing w:line="240" w:lineRule="auto"/>
        <w:jc w:val="both"/>
        <w:rPr>
          <w:rFonts w:ascii="Times New Roman" w:hAnsi="Times New Roman" w:cs="Times New Roman"/>
          <w:sz w:val="24"/>
          <w:szCs w:val="24"/>
        </w:rPr>
      </w:pPr>
      <w:r w:rsidRPr="00F223DE">
        <w:rPr>
          <w:rFonts w:ascii="Times New Roman" w:hAnsi="Times New Roman" w:cs="Times New Roman"/>
          <w:b/>
          <w:sz w:val="24"/>
          <w:szCs w:val="24"/>
        </w:rPr>
        <w:t>Nota</w:t>
      </w:r>
      <w:r>
        <w:rPr>
          <w:rFonts w:ascii="Times New Roman" w:hAnsi="Times New Roman" w:cs="Times New Roman"/>
          <w:sz w:val="24"/>
          <w:szCs w:val="24"/>
        </w:rPr>
        <w:t xml:space="preserve">: </w:t>
      </w:r>
      <w:r w:rsidR="0003407F">
        <w:rPr>
          <w:rFonts w:ascii="Times New Roman" w:hAnsi="Times New Roman" w:cs="Times New Roman"/>
          <w:sz w:val="24"/>
          <w:szCs w:val="24"/>
        </w:rPr>
        <w:t>se eligen solo dos productos (de</w:t>
      </w:r>
      <w:r>
        <w:rPr>
          <w:rFonts w:ascii="Times New Roman" w:hAnsi="Times New Roman" w:cs="Times New Roman"/>
          <w:sz w:val="24"/>
          <w:szCs w:val="24"/>
        </w:rPr>
        <w:t xml:space="preserve"> doce) a modo de ejemplo de evolución (cambio)</w:t>
      </w:r>
      <w:r w:rsidR="0003407F">
        <w:rPr>
          <w:rFonts w:ascii="Times New Roman" w:hAnsi="Times New Roman" w:cs="Times New Roman"/>
          <w:sz w:val="24"/>
          <w:szCs w:val="24"/>
        </w:rPr>
        <w:t>.</w:t>
      </w:r>
    </w:p>
    <w:p w:rsidR="006F05D5" w:rsidRPr="006F05D5" w:rsidRDefault="006F05D5" w:rsidP="006F05D5">
      <w:pPr>
        <w:pStyle w:val="Ttulo1"/>
        <w:jc w:val="both"/>
        <w:rPr>
          <w:rFonts w:ascii="Times New Roman" w:hAnsi="Times New Roman" w:cs="Times New Roman"/>
          <w:color w:val="auto"/>
          <w:sz w:val="24"/>
          <w:szCs w:val="24"/>
        </w:rPr>
      </w:pPr>
      <w:r w:rsidRPr="000C5E20">
        <w:rPr>
          <w:rFonts w:ascii="Times New Roman" w:hAnsi="Times New Roman" w:cs="Times New Roman"/>
          <w:color w:val="auto"/>
          <w:sz w:val="24"/>
          <w:szCs w:val="24"/>
        </w:rPr>
        <w:lastRenderedPageBreak/>
        <w:t>Euronews (Last minute</w:t>
      </w:r>
      <w:r>
        <w:rPr>
          <w:rFonts w:ascii="Times New Roman" w:hAnsi="Times New Roman" w:cs="Times New Roman"/>
          <w:color w:val="auto"/>
          <w:sz w:val="24"/>
          <w:szCs w:val="24"/>
        </w:rPr>
        <w:t>: 19/2/25</w:t>
      </w:r>
      <w:r w:rsidRPr="000C5E20">
        <w:rPr>
          <w:rFonts w:ascii="Times New Roman" w:hAnsi="Times New Roman" w:cs="Times New Roman"/>
          <w:color w:val="auto"/>
          <w:sz w:val="24"/>
          <w:szCs w:val="24"/>
        </w:rPr>
        <w:t>)</w:t>
      </w:r>
      <w:r>
        <w:rPr>
          <w:rFonts w:ascii="Times New Roman" w:hAnsi="Times New Roman" w:cs="Times New Roman"/>
          <w:color w:val="auto"/>
          <w:sz w:val="24"/>
          <w:szCs w:val="24"/>
        </w:rPr>
        <w:t xml:space="preserve"> - La nueva “visión”, de los ciegos voluntarios de la Comisión Europea </w:t>
      </w:r>
    </w:p>
    <w:p w:rsidR="006F05D5" w:rsidRDefault="006F05D5" w:rsidP="006F05D5">
      <w:pPr>
        <w:jc w:val="both"/>
        <w:rPr>
          <w:rFonts w:ascii="Times New Roman" w:hAnsi="Times New Roman" w:cs="Times New Roman"/>
          <w:b/>
          <w:sz w:val="24"/>
          <w:szCs w:val="24"/>
        </w:rPr>
      </w:pPr>
    </w:p>
    <w:p w:rsidR="006F05D5" w:rsidRPr="000C53D4" w:rsidRDefault="006F05D5" w:rsidP="006F05D5">
      <w:pPr>
        <w:jc w:val="both"/>
        <w:rPr>
          <w:rFonts w:ascii="Times New Roman" w:hAnsi="Times New Roman" w:cs="Times New Roman"/>
          <w:color w:val="FF0000"/>
          <w:sz w:val="24"/>
          <w:szCs w:val="24"/>
        </w:rPr>
      </w:pPr>
      <w:r w:rsidRPr="000C53D4">
        <w:rPr>
          <w:rFonts w:ascii="Times New Roman" w:hAnsi="Times New Roman" w:cs="Times New Roman"/>
          <w:b/>
          <w:sz w:val="24"/>
          <w:szCs w:val="24"/>
        </w:rPr>
        <w:t xml:space="preserve">La Comisión presenta su hoja de ruta para un sector agrícola y agroalimentario próspero en la UE </w:t>
      </w:r>
      <w:r w:rsidRPr="000C53D4">
        <w:rPr>
          <w:rFonts w:ascii="Times New Roman" w:hAnsi="Times New Roman" w:cs="Times New Roman"/>
          <w:sz w:val="24"/>
          <w:szCs w:val="24"/>
        </w:rPr>
        <w:t>(Comunicado de prensa 19/2/25)</w:t>
      </w:r>
    </w:p>
    <w:p w:rsidR="006F05D5" w:rsidRPr="0076229F" w:rsidRDefault="006F05D5" w:rsidP="006F05D5">
      <w:pPr>
        <w:pStyle w:val="NormalWeb"/>
        <w:jc w:val="both"/>
        <w:rPr>
          <w:color w:val="000000"/>
          <w:rtl/>
        </w:rPr>
      </w:pPr>
      <w:r w:rsidRPr="0076229F">
        <w:rPr>
          <w:color w:val="000000"/>
        </w:rPr>
        <w:t>La Comisión presenta hoy su </w:t>
      </w:r>
      <w:r w:rsidRPr="0076229F">
        <w:rPr>
          <w:rStyle w:val="Textoennegrita"/>
          <w:color w:val="000000"/>
        </w:rPr>
        <w:t>visión para la agricultura y la alimentación</w:t>
      </w:r>
      <w:r w:rsidRPr="0076229F">
        <w:rPr>
          <w:color w:val="000000"/>
        </w:rPr>
        <w:t>, una ambiciosa hoja de ruta sobre el futuro de la agricultura y la alimentación en Europa. Esta hoja de ruta sienta las bases de un </w:t>
      </w:r>
      <w:r w:rsidRPr="0076229F">
        <w:rPr>
          <w:rStyle w:val="Textoennegrita"/>
          <w:color w:val="000000"/>
        </w:rPr>
        <w:t>sistema agroalimentario atractivo, competitivo, resiliente, orientado al futuro y justo para las generaciones actuales y futuras de agricultores y agentes económicos del sector agroalimentario</w:t>
      </w:r>
      <w:r w:rsidRPr="0076229F">
        <w:rPr>
          <w:color w:val="000000"/>
        </w:rPr>
        <w:t>.</w:t>
      </w:r>
    </w:p>
    <w:p w:rsidR="006F05D5" w:rsidRPr="0076229F" w:rsidRDefault="006F05D5" w:rsidP="006F05D5">
      <w:pPr>
        <w:pStyle w:val="NormalWeb"/>
        <w:jc w:val="both"/>
        <w:rPr>
          <w:color w:val="000000"/>
        </w:rPr>
      </w:pPr>
      <w:r w:rsidRPr="0076229F">
        <w:rPr>
          <w:color w:val="000000"/>
        </w:rPr>
        <w:t>Simplificar en mayor medida nuestras estrategias y aumentar la adopción de la innovación y la digitalización son requisitos previos de todas las medidas planeadas en la visión. Más adelante en 2025, la Comisión propondrá un </w:t>
      </w:r>
      <w:r w:rsidRPr="0076229F">
        <w:rPr>
          <w:rStyle w:val="Textoennegrita"/>
          <w:color w:val="000000"/>
        </w:rPr>
        <w:t>paquete global de simplificación del actual marco legislativo agrícola</w:t>
      </w:r>
      <w:r w:rsidRPr="0076229F">
        <w:rPr>
          <w:color w:val="000000"/>
        </w:rPr>
        <w:t>, junto con una </w:t>
      </w:r>
      <w:r w:rsidRPr="0076229F">
        <w:rPr>
          <w:rStyle w:val="Textoennegrita"/>
          <w:color w:val="000000"/>
        </w:rPr>
        <w:t>estrategia digital de la UE para la agricultura</w:t>
      </w:r>
      <w:r w:rsidRPr="0076229F">
        <w:rPr>
          <w:color w:val="000000"/>
        </w:rPr>
        <w:t>, a fin de apoyar la transición hacia una agricultura adaptada a la digitalización.</w:t>
      </w:r>
    </w:p>
    <w:p w:rsidR="006F05D5" w:rsidRPr="0076229F" w:rsidRDefault="006F05D5" w:rsidP="006F05D5">
      <w:pPr>
        <w:pStyle w:val="NormalWeb"/>
        <w:jc w:val="both"/>
        <w:rPr>
          <w:color w:val="000000"/>
        </w:rPr>
      </w:pPr>
      <w:r w:rsidRPr="0076229F">
        <w:rPr>
          <w:color w:val="000000"/>
        </w:rPr>
        <w:t>En palabras de la presidenta de la Comisión Europea, Ursula </w:t>
      </w:r>
      <w:r w:rsidRPr="0076229F">
        <w:rPr>
          <w:rStyle w:val="Textoennegrita"/>
          <w:color w:val="000000"/>
        </w:rPr>
        <w:t>von der Leyen</w:t>
      </w:r>
      <w:r w:rsidRPr="0076229F">
        <w:rPr>
          <w:color w:val="000000"/>
        </w:rPr>
        <w:t>: </w:t>
      </w:r>
      <w:r>
        <w:rPr>
          <w:rStyle w:val="nfasis"/>
          <w:color w:val="000000"/>
        </w:rPr>
        <w:t>“</w:t>
      </w:r>
      <w:r w:rsidRPr="0076229F">
        <w:rPr>
          <w:rStyle w:val="nfasis"/>
          <w:color w:val="000000"/>
        </w:rPr>
        <w:t xml:space="preserve">Nuestros agricultores ocupan un lugar central en el sistema de producción de alimentos de la UE. Gracias a su duro trabajo cotidiano, todos tenemos alimentos seguros y de alta calidad. Sin embargo, nuestros agricultores sufren dificultades crecientes derivadas de la competencia mundial y del cambio climático. Esta es la razón por la que hoy proponemos una estrategia global que hará que la agricultura sea más atractiva, </w:t>
      </w:r>
      <w:r>
        <w:rPr>
          <w:rStyle w:val="nfasis"/>
          <w:color w:val="000000"/>
        </w:rPr>
        <w:t>más resiliente y más sostenible”</w:t>
      </w:r>
      <w:r w:rsidRPr="0076229F">
        <w:rPr>
          <w:rStyle w:val="nfasis"/>
          <w:color w:val="000000"/>
        </w:rPr>
        <w:t>.</w:t>
      </w:r>
    </w:p>
    <w:p w:rsidR="006F05D5" w:rsidRPr="0076229F" w:rsidRDefault="006F05D5" w:rsidP="006F05D5">
      <w:pPr>
        <w:pStyle w:val="NormalWeb"/>
        <w:jc w:val="both"/>
        <w:rPr>
          <w:color w:val="000000"/>
        </w:rPr>
      </w:pPr>
      <w:r w:rsidRPr="0076229F">
        <w:rPr>
          <w:color w:val="000000"/>
        </w:rPr>
        <w:t>La visión esboza cuatro ámbitos prioritarios:</w:t>
      </w:r>
    </w:p>
    <w:p w:rsidR="006F05D5" w:rsidRPr="0076229F" w:rsidRDefault="006F05D5" w:rsidP="006F05D5">
      <w:pPr>
        <w:numPr>
          <w:ilvl w:val="0"/>
          <w:numId w:val="43"/>
        </w:numPr>
        <w:spacing w:before="100" w:beforeAutospacing="1" w:after="100" w:afterAutospacing="1" w:line="240" w:lineRule="auto"/>
        <w:jc w:val="both"/>
        <w:rPr>
          <w:rFonts w:ascii="Times New Roman" w:hAnsi="Times New Roman" w:cs="Times New Roman"/>
          <w:color w:val="000000"/>
          <w:sz w:val="24"/>
          <w:szCs w:val="24"/>
        </w:rPr>
      </w:pPr>
      <w:r w:rsidRPr="0076229F">
        <w:rPr>
          <w:rStyle w:val="Textoennegrita"/>
          <w:rFonts w:ascii="Times New Roman" w:hAnsi="Times New Roman" w:cs="Times New Roman"/>
          <w:color w:val="000000"/>
          <w:sz w:val="24"/>
          <w:szCs w:val="24"/>
        </w:rPr>
        <w:t>Un sector atractivo</w:t>
      </w:r>
      <w:r w:rsidRPr="0076229F">
        <w:rPr>
          <w:rFonts w:ascii="Times New Roman" w:hAnsi="Times New Roman" w:cs="Times New Roman"/>
          <w:color w:val="000000"/>
          <w:sz w:val="24"/>
          <w:szCs w:val="24"/>
        </w:rPr>
        <w:t>: La agricultura debe tener la estabilidad necesaria para animar a los jóvenes a acceder a la profesión, también mediante unos ingresos justos y ayudas públicas mejor orientadas. También deben recibir apoyo activo para aprovechar los beneficios de la innovación y los nuevos modelos de negocio, incluidos los créditos de carbono y a la naturaleza, como fuentes complementarias de ingresos. La Comisión ambiciona que los agricultores no se vean obligados a vender sistemáticamente sus productos por debajo de los costes de producción, y adoptará medidas concretas a tal fin, por ejemplo, mediante la revisión de la </w:t>
      </w:r>
      <w:r w:rsidRPr="0076229F">
        <w:rPr>
          <w:rStyle w:val="Textoennegrita"/>
          <w:rFonts w:ascii="Times New Roman" w:hAnsi="Times New Roman" w:cs="Times New Roman"/>
          <w:color w:val="000000"/>
          <w:sz w:val="24"/>
          <w:szCs w:val="24"/>
        </w:rPr>
        <w:t>Directiva sobre las prácticas comerciales desleales</w:t>
      </w:r>
      <w:r w:rsidRPr="0076229F">
        <w:rPr>
          <w:rFonts w:ascii="Times New Roman" w:hAnsi="Times New Roman" w:cs="Times New Roman"/>
          <w:color w:val="000000"/>
          <w:sz w:val="24"/>
          <w:szCs w:val="24"/>
        </w:rPr>
        <w:t>. La Comisión también presentará una </w:t>
      </w:r>
      <w:r w:rsidRPr="0076229F">
        <w:rPr>
          <w:rStyle w:val="Textoennegrita"/>
          <w:rFonts w:ascii="Times New Roman" w:hAnsi="Times New Roman" w:cs="Times New Roman"/>
          <w:color w:val="000000"/>
          <w:sz w:val="24"/>
          <w:szCs w:val="24"/>
        </w:rPr>
        <w:t>estrategia de renovación generacional en 2025</w:t>
      </w:r>
      <w:r w:rsidRPr="0076229F">
        <w:rPr>
          <w:rFonts w:ascii="Times New Roman" w:hAnsi="Times New Roman" w:cs="Times New Roman"/>
          <w:color w:val="000000"/>
          <w:sz w:val="24"/>
          <w:szCs w:val="24"/>
        </w:rPr>
        <w:t>, con recomendaciones sobre las medidas necesarias, tanto a nivel de la UE como nacional o regional, para despejar los obstáculos al acceso de jóvenes y nuevas personas a la profesión.</w:t>
      </w:r>
    </w:p>
    <w:p w:rsidR="006F05D5" w:rsidRPr="0076229F" w:rsidRDefault="006F05D5" w:rsidP="006F05D5">
      <w:pPr>
        <w:numPr>
          <w:ilvl w:val="0"/>
          <w:numId w:val="43"/>
        </w:numPr>
        <w:spacing w:before="100" w:beforeAutospacing="1" w:after="100" w:afterAutospacing="1" w:line="240" w:lineRule="auto"/>
        <w:jc w:val="both"/>
        <w:rPr>
          <w:rFonts w:ascii="Times New Roman" w:hAnsi="Times New Roman" w:cs="Times New Roman"/>
          <w:color w:val="000000"/>
          <w:sz w:val="24"/>
          <w:szCs w:val="24"/>
        </w:rPr>
      </w:pPr>
      <w:r w:rsidRPr="0076229F">
        <w:rPr>
          <w:rStyle w:val="Textoennegrita"/>
          <w:rFonts w:ascii="Times New Roman" w:hAnsi="Times New Roman" w:cs="Times New Roman"/>
          <w:color w:val="000000"/>
          <w:sz w:val="24"/>
          <w:szCs w:val="24"/>
        </w:rPr>
        <w:t>Un sector competitivo y resiliente</w:t>
      </w:r>
      <w:r w:rsidRPr="0076229F">
        <w:rPr>
          <w:rFonts w:ascii="Times New Roman" w:hAnsi="Times New Roman" w:cs="Times New Roman"/>
          <w:color w:val="000000"/>
          <w:sz w:val="24"/>
          <w:szCs w:val="24"/>
        </w:rPr>
        <w:t>: La UE seguirá dando prioridad a la seguridad y la soberanía alimentarias de diversas maneras. Se sacará todo el partido de las negociaciones y los acuerdos comerciales, protegiendo al mismo tiempo los intereses de los agricultores europeos. La visión también responde a las peticiones de los agricultores, los ciudadanos y la sociedad en general de una mayor armonización de las normas de producción de los productos importados, a fin de garantizar que</w:t>
      </w:r>
      <w:r w:rsidRPr="0076229F">
        <w:rPr>
          <w:rStyle w:val="Textoennegrita"/>
          <w:rFonts w:ascii="Times New Roman" w:hAnsi="Times New Roman" w:cs="Times New Roman"/>
          <w:color w:val="000000"/>
          <w:sz w:val="24"/>
          <w:szCs w:val="24"/>
        </w:rPr>
        <w:t> las ambiciosas normas de la UE no se traduzcan en desventaja competitiva, respetando las normas internacionales</w:t>
      </w:r>
      <w:r w:rsidRPr="0076229F">
        <w:rPr>
          <w:rFonts w:ascii="Times New Roman" w:hAnsi="Times New Roman" w:cs="Times New Roman"/>
          <w:color w:val="000000"/>
          <w:sz w:val="24"/>
          <w:szCs w:val="24"/>
        </w:rPr>
        <w:t>. Por este motivo, la Comisión empezará a tomar medidas en 2025 para evaluar el impacto de una </w:t>
      </w:r>
      <w:r w:rsidRPr="0076229F">
        <w:rPr>
          <w:rStyle w:val="Textoennegrita"/>
          <w:rFonts w:ascii="Times New Roman" w:hAnsi="Times New Roman" w:cs="Times New Roman"/>
          <w:color w:val="000000"/>
          <w:sz w:val="24"/>
          <w:szCs w:val="24"/>
        </w:rPr>
        <w:t>mayor coherencia de las normas</w:t>
      </w:r>
      <w:r w:rsidRPr="0076229F">
        <w:rPr>
          <w:rFonts w:ascii="Times New Roman" w:hAnsi="Times New Roman" w:cs="Times New Roman"/>
          <w:color w:val="000000"/>
          <w:sz w:val="24"/>
          <w:szCs w:val="24"/>
        </w:rPr>
        <w:t xml:space="preserve"> en lo que respecta a los plaguicidas peligrosos prohibidos en la UE y al </w:t>
      </w:r>
      <w:r w:rsidRPr="0076229F">
        <w:rPr>
          <w:rFonts w:ascii="Times New Roman" w:hAnsi="Times New Roman" w:cs="Times New Roman"/>
          <w:color w:val="000000"/>
          <w:sz w:val="24"/>
          <w:szCs w:val="24"/>
        </w:rPr>
        <w:lastRenderedPageBreak/>
        <w:t>bienestar animal. Además, la aplicación y los controles rigurosos de las </w:t>
      </w:r>
      <w:r w:rsidRPr="0076229F">
        <w:rPr>
          <w:rStyle w:val="Textoennegrita"/>
          <w:rFonts w:ascii="Times New Roman" w:hAnsi="Times New Roman" w:cs="Times New Roman"/>
          <w:color w:val="000000"/>
          <w:sz w:val="24"/>
          <w:szCs w:val="24"/>
        </w:rPr>
        <w:t>normas de seguridad alimentaria siguen siendo una prioridad no negociable</w:t>
      </w:r>
      <w:r w:rsidRPr="0076229F">
        <w:rPr>
          <w:rFonts w:ascii="Times New Roman" w:hAnsi="Times New Roman" w:cs="Times New Roman"/>
          <w:color w:val="000000"/>
          <w:sz w:val="24"/>
          <w:szCs w:val="24"/>
        </w:rPr>
        <w:t>. La Comisión se </w:t>
      </w:r>
      <w:r w:rsidRPr="0076229F">
        <w:rPr>
          <w:rStyle w:val="Textoennegrita"/>
          <w:rFonts w:ascii="Times New Roman" w:hAnsi="Times New Roman" w:cs="Times New Roman"/>
          <w:color w:val="000000"/>
          <w:sz w:val="24"/>
          <w:szCs w:val="24"/>
        </w:rPr>
        <w:t>hará aún más hincapié en la ganadería</w:t>
      </w:r>
      <w:r w:rsidRPr="0076229F">
        <w:rPr>
          <w:rFonts w:ascii="Times New Roman" w:hAnsi="Times New Roman" w:cs="Times New Roman"/>
          <w:color w:val="000000"/>
          <w:sz w:val="24"/>
          <w:szCs w:val="24"/>
        </w:rPr>
        <w:t> para fomentar el futuro a largo plazo del sector. </w:t>
      </w:r>
    </w:p>
    <w:p w:rsidR="006F05D5" w:rsidRPr="0076229F" w:rsidRDefault="006F05D5" w:rsidP="006F05D5">
      <w:pPr>
        <w:numPr>
          <w:ilvl w:val="0"/>
          <w:numId w:val="43"/>
        </w:numPr>
        <w:spacing w:before="100" w:beforeAutospacing="1" w:after="100" w:afterAutospacing="1" w:line="240" w:lineRule="auto"/>
        <w:jc w:val="both"/>
        <w:rPr>
          <w:rFonts w:ascii="Times New Roman" w:hAnsi="Times New Roman" w:cs="Times New Roman"/>
          <w:color w:val="000000"/>
          <w:sz w:val="24"/>
          <w:szCs w:val="24"/>
        </w:rPr>
      </w:pPr>
      <w:r w:rsidRPr="0076229F">
        <w:rPr>
          <w:rStyle w:val="Textoennegrita"/>
          <w:rFonts w:ascii="Times New Roman" w:hAnsi="Times New Roman" w:cs="Times New Roman"/>
          <w:color w:val="000000"/>
          <w:sz w:val="24"/>
          <w:szCs w:val="24"/>
        </w:rPr>
        <w:t>Un sector preparado para el futuro: </w:t>
      </w:r>
      <w:r w:rsidRPr="0076229F">
        <w:rPr>
          <w:rFonts w:ascii="Times New Roman" w:hAnsi="Times New Roman" w:cs="Times New Roman"/>
          <w:color w:val="000000"/>
          <w:sz w:val="24"/>
          <w:szCs w:val="24"/>
        </w:rPr>
        <w:t>El sector agrícola europeo desempeña un papel importante en la transición hacia una economía hipocarbónica. La visión reconoce la necesidad de conciliar la acción por el clima con la seguridad alimentaria y los retos específicos a los que se enfrenta el sector. Debe recompensarse a los agricultores por adoptar prácticas respetuosas con la naturaleza. A este respecto, la Comisión estudiará detenidamente cualquier nueva prohibición del uso de plaguicidas si no se dispone de alternativas en un plazo razonable y </w:t>
      </w:r>
      <w:r w:rsidRPr="0076229F">
        <w:rPr>
          <w:rStyle w:val="Textoennegrita"/>
          <w:rFonts w:ascii="Times New Roman" w:hAnsi="Times New Roman" w:cs="Times New Roman"/>
          <w:color w:val="000000"/>
          <w:sz w:val="24"/>
          <w:szCs w:val="24"/>
        </w:rPr>
        <w:t>racionalizará el acceso a los plaguicidas biológicos</w:t>
      </w:r>
      <w:r w:rsidRPr="0076229F">
        <w:rPr>
          <w:rFonts w:ascii="Times New Roman" w:hAnsi="Times New Roman" w:cs="Times New Roman"/>
          <w:color w:val="000000"/>
          <w:sz w:val="24"/>
          <w:szCs w:val="24"/>
        </w:rPr>
        <w:t> en el mercado de la UE. La Comisión también elaborará un sistema voluntario de evaluación comparativa, </w:t>
      </w:r>
      <w:r>
        <w:rPr>
          <w:rStyle w:val="Textoennegrita"/>
          <w:rFonts w:ascii="Times New Roman" w:hAnsi="Times New Roman" w:cs="Times New Roman"/>
          <w:color w:val="000000"/>
          <w:sz w:val="24"/>
          <w:szCs w:val="24"/>
        </w:rPr>
        <w:t>la “</w:t>
      </w:r>
      <w:r w:rsidRPr="0076229F">
        <w:rPr>
          <w:rStyle w:val="Textoennegrita"/>
          <w:rFonts w:ascii="Times New Roman" w:hAnsi="Times New Roman" w:cs="Times New Roman"/>
          <w:color w:val="000000"/>
          <w:sz w:val="24"/>
          <w:szCs w:val="24"/>
        </w:rPr>
        <w:t>brújula de sost</w:t>
      </w:r>
      <w:r>
        <w:rPr>
          <w:rStyle w:val="Textoennegrita"/>
          <w:rFonts w:ascii="Times New Roman" w:hAnsi="Times New Roman" w:cs="Times New Roman"/>
          <w:color w:val="000000"/>
          <w:sz w:val="24"/>
          <w:szCs w:val="24"/>
        </w:rPr>
        <w:t>enibilidad de las explotaciones”</w:t>
      </w:r>
      <w:r w:rsidRPr="0076229F">
        <w:rPr>
          <w:rFonts w:ascii="Times New Roman" w:hAnsi="Times New Roman" w:cs="Times New Roman"/>
          <w:color w:val="000000"/>
          <w:sz w:val="24"/>
          <w:szCs w:val="24"/>
        </w:rPr>
        <w:t>, para ayudar a los agricultores a medir y mejorar los resultados de sus explotaciones. También se elaborará una </w:t>
      </w:r>
      <w:r w:rsidRPr="0076229F">
        <w:rPr>
          <w:rStyle w:val="Textoennegrita"/>
          <w:rFonts w:ascii="Times New Roman" w:hAnsi="Times New Roman" w:cs="Times New Roman"/>
          <w:color w:val="000000"/>
          <w:sz w:val="24"/>
          <w:szCs w:val="24"/>
        </w:rPr>
        <w:t>estrategia de resiliencia hídrica</w:t>
      </w:r>
      <w:r w:rsidRPr="0076229F">
        <w:rPr>
          <w:rFonts w:ascii="Times New Roman" w:hAnsi="Times New Roman" w:cs="Times New Roman"/>
          <w:color w:val="000000"/>
          <w:sz w:val="24"/>
          <w:szCs w:val="24"/>
        </w:rPr>
        <w:t> para satisfacer la necesidad acuciante de usos más eficientes del agua.</w:t>
      </w:r>
    </w:p>
    <w:p w:rsidR="006F05D5" w:rsidRPr="0076229F" w:rsidRDefault="006F05D5" w:rsidP="006F05D5">
      <w:pPr>
        <w:numPr>
          <w:ilvl w:val="0"/>
          <w:numId w:val="43"/>
        </w:numPr>
        <w:spacing w:before="100" w:beforeAutospacing="1" w:after="100" w:afterAutospacing="1" w:line="240" w:lineRule="auto"/>
        <w:jc w:val="both"/>
        <w:rPr>
          <w:rFonts w:ascii="Times New Roman" w:hAnsi="Times New Roman" w:cs="Times New Roman"/>
          <w:color w:val="000000"/>
          <w:sz w:val="24"/>
          <w:szCs w:val="24"/>
        </w:rPr>
      </w:pPr>
      <w:r w:rsidRPr="0076229F">
        <w:rPr>
          <w:rStyle w:val="Textoennegrita"/>
          <w:rFonts w:ascii="Times New Roman" w:hAnsi="Times New Roman" w:cs="Times New Roman"/>
          <w:color w:val="000000"/>
          <w:sz w:val="24"/>
          <w:szCs w:val="24"/>
        </w:rPr>
        <w:t>Condiciones de vida y de trabajo justas en las zonas rurales</w:t>
      </w:r>
      <w:r w:rsidRPr="0076229F">
        <w:rPr>
          <w:rFonts w:ascii="Times New Roman" w:hAnsi="Times New Roman" w:cs="Times New Roman"/>
          <w:color w:val="000000"/>
          <w:sz w:val="24"/>
          <w:szCs w:val="24"/>
        </w:rPr>
        <w:t>: La Comisión presentará un </w:t>
      </w:r>
      <w:r w:rsidRPr="0076229F">
        <w:rPr>
          <w:rStyle w:val="Textoennegrita"/>
          <w:rFonts w:ascii="Times New Roman" w:hAnsi="Times New Roman" w:cs="Times New Roman"/>
          <w:color w:val="000000"/>
          <w:sz w:val="24"/>
          <w:szCs w:val="24"/>
        </w:rPr>
        <w:t>Plan de Acción Rural actualizado</w:t>
      </w:r>
      <w:r w:rsidRPr="0076229F">
        <w:rPr>
          <w:rFonts w:ascii="Times New Roman" w:hAnsi="Times New Roman" w:cs="Times New Roman"/>
          <w:color w:val="000000"/>
          <w:sz w:val="24"/>
          <w:szCs w:val="24"/>
        </w:rPr>
        <w:t> para velar por que las zonas rurales sigan siendo dinámicas y funcionales y estando profundamente vinculadas al patrimonio cultural y natural de la UE. También se entablará un </w:t>
      </w:r>
      <w:r w:rsidRPr="0076229F">
        <w:rPr>
          <w:rStyle w:val="Textoennegrita"/>
          <w:rFonts w:ascii="Times New Roman" w:hAnsi="Times New Roman" w:cs="Times New Roman"/>
          <w:color w:val="000000"/>
          <w:sz w:val="24"/>
          <w:szCs w:val="24"/>
        </w:rPr>
        <w:t>diálogo anual sobre la alimentación</w:t>
      </w:r>
      <w:r w:rsidRPr="0076229F">
        <w:rPr>
          <w:rFonts w:ascii="Times New Roman" w:hAnsi="Times New Roman" w:cs="Times New Roman"/>
          <w:color w:val="000000"/>
          <w:sz w:val="24"/>
          <w:szCs w:val="24"/>
        </w:rPr>
        <w:t> con una amplia variedad de interlocutores, tales como consumidores, agricultores, industria y autoridades públicas, a fin de encontrar soluciones a cuestiones como la asequibilidad de los alimentos y la innovación. La Comisión también estudiará detenidamente, de cara al futuro, la reducción del </w:t>
      </w:r>
      <w:r w:rsidRPr="0076229F">
        <w:rPr>
          <w:rStyle w:val="Textoennegrita"/>
          <w:rFonts w:ascii="Times New Roman" w:hAnsi="Times New Roman" w:cs="Times New Roman"/>
          <w:color w:val="000000"/>
          <w:sz w:val="24"/>
          <w:szCs w:val="24"/>
        </w:rPr>
        <w:t>desperdicio de alimentos</w:t>
      </w:r>
      <w:r w:rsidRPr="0076229F">
        <w:rPr>
          <w:rFonts w:ascii="Times New Roman" w:hAnsi="Times New Roman" w:cs="Times New Roman"/>
          <w:color w:val="000000"/>
          <w:sz w:val="24"/>
          <w:szCs w:val="24"/>
        </w:rPr>
        <w:t> y la respuesta a las inquietudes de la sociedad en relación con el </w:t>
      </w:r>
      <w:r w:rsidRPr="0076229F">
        <w:rPr>
          <w:rStyle w:val="Textoennegrita"/>
          <w:rFonts w:ascii="Times New Roman" w:hAnsi="Times New Roman" w:cs="Times New Roman"/>
          <w:color w:val="000000"/>
          <w:sz w:val="24"/>
          <w:szCs w:val="24"/>
        </w:rPr>
        <w:t>bienestar animal</w:t>
      </w:r>
      <w:r w:rsidRPr="0076229F">
        <w:rPr>
          <w:rFonts w:ascii="Times New Roman" w:hAnsi="Times New Roman" w:cs="Times New Roman"/>
          <w:color w:val="000000"/>
          <w:sz w:val="24"/>
          <w:szCs w:val="24"/>
        </w:rPr>
        <w:t>.</w:t>
      </w:r>
    </w:p>
    <w:p w:rsidR="006F05D5" w:rsidRPr="0076229F" w:rsidRDefault="006F05D5" w:rsidP="006F05D5">
      <w:pPr>
        <w:pStyle w:val="NormalWeb"/>
        <w:jc w:val="both"/>
        <w:rPr>
          <w:color w:val="000000"/>
        </w:rPr>
      </w:pPr>
      <w:r w:rsidRPr="0076229F">
        <w:rPr>
          <w:color w:val="000000"/>
        </w:rPr>
        <w:t>De cara al futuro, la </w:t>
      </w:r>
      <w:r w:rsidRPr="0076229F">
        <w:rPr>
          <w:rStyle w:val="Textoennegrita"/>
          <w:color w:val="000000"/>
        </w:rPr>
        <w:t>futura política agrícola común (PAC)</w:t>
      </w:r>
      <w:r w:rsidRPr="0076229F">
        <w:rPr>
          <w:color w:val="000000"/>
        </w:rPr>
        <w:t>, en el marco de la próxima propuesta de marco financiero plurianual (MFP), será más sencilla y más específica, con un apoyo más orientado a los agricultores dedicados activamente a la producción de alimentos y prestando especial atención a los jóvenes agricultores y a los agricultores de zonas con limitaciones naturales. Se dará prioridad a los incentivos en lugar de a las condiciones.</w:t>
      </w:r>
    </w:p>
    <w:p w:rsidR="006F05D5" w:rsidRPr="0076229F" w:rsidRDefault="006F05D5" w:rsidP="006F05D5">
      <w:pPr>
        <w:pStyle w:val="NormalWeb"/>
        <w:jc w:val="both"/>
        <w:rPr>
          <w:color w:val="000000"/>
        </w:rPr>
      </w:pPr>
      <w:r w:rsidRPr="0076229F">
        <w:rPr>
          <w:rStyle w:val="Textoennegrita"/>
          <w:color w:val="000000"/>
        </w:rPr>
        <w:t>Contexto</w:t>
      </w:r>
    </w:p>
    <w:p w:rsidR="006F05D5" w:rsidRDefault="006F05D5" w:rsidP="006F05D5">
      <w:pPr>
        <w:pStyle w:val="NormalWeb"/>
        <w:jc w:val="both"/>
        <w:rPr>
          <w:color w:val="000000"/>
        </w:rPr>
      </w:pPr>
      <w:r w:rsidRPr="0076229F">
        <w:rPr>
          <w:color w:val="000000"/>
        </w:rPr>
        <w:t>La visión para la agricultura y la alimentación se propuso como iniciativa prioritaria para los cien primeros días del mandato de la Comisión y la lideran el vicepresidente ejecutivo </w:t>
      </w:r>
      <w:r w:rsidRPr="0076229F">
        <w:rPr>
          <w:rStyle w:val="Textoennegrita"/>
          <w:color w:val="000000"/>
        </w:rPr>
        <w:t>Fitto</w:t>
      </w:r>
      <w:r w:rsidRPr="0076229F">
        <w:rPr>
          <w:color w:val="000000"/>
        </w:rPr>
        <w:t> y el comisario </w:t>
      </w:r>
      <w:r w:rsidRPr="0076229F">
        <w:rPr>
          <w:rStyle w:val="Textoennegrita"/>
          <w:color w:val="000000"/>
        </w:rPr>
        <w:t>Hansen</w:t>
      </w:r>
      <w:r w:rsidRPr="0076229F">
        <w:rPr>
          <w:color w:val="000000"/>
        </w:rPr>
        <w:t>, bajo la dirección de la presidenta </w:t>
      </w:r>
      <w:r w:rsidRPr="0076229F">
        <w:rPr>
          <w:rStyle w:val="Textoennegrita"/>
          <w:color w:val="000000"/>
        </w:rPr>
        <w:t>Von der Leyen</w:t>
      </w:r>
      <w:r w:rsidRPr="0076229F">
        <w:rPr>
          <w:color w:val="000000"/>
        </w:rPr>
        <w:t xml:space="preserve">. Sobre la base del informe </w:t>
      </w:r>
      <w:r w:rsidRPr="000C5E20">
        <w:t>del </w:t>
      </w:r>
      <w:hyperlink r:id="rId32" w:history="1">
        <w:r w:rsidRPr="000C5E20">
          <w:rPr>
            <w:rStyle w:val="Hipervnculo"/>
            <w:color w:val="auto"/>
          </w:rPr>
          <w:t>diálogo estratégico sobre el futuro de la agricultura de la UE</w:t>
        </w:r>
      </w:hyperlink>
      <w:r w:rsidRPr="000C5E20">
        <w:t>, y en consulta con el Consejo Europeo de Agricultura y Alimentación, la visión tiene por objeto garantizar la competitividad y la sostenibilidad a largo plazo del sector agrícola y alimentario de la UE. Según los </w:t>
      </w:r>
      <w:hyperlink r:id="rId33" w:history="1">
        <w:r w:rsidRPr="000C5E20">
          <w:rPr>
            <w:rStyle w:val="Hipervnculo"/>
            <w:color w:val="auto"/>
          </w:rPr>
          <w:t>últimos resultados del Eurobarómetro</w:t>
        </w:r>
      </w:hyperlink>
      <w:r w:rsidRPr="0076229F">
        <w:rPr>
          <w:color w:val="000000"/>
        </w:rPr>
        <w:t>, los ciudadanos de la UE coinciden mayoritariamente en que es esencial garantizar en todo momento un suministro estable de alimentos en la UE.</w:t>
      </w:r>
    </w:p>
    <w:p w:rsidR="006F05D5" w:rsidRPr="003A53AF" w:rsidRDefault="006F05D5" w:rsidP="006F05D5">
      <w:pPr>
        <w:spacing w:line="240" w:lineRule="auto"/>
        <w:jc w:val="both"/>
        <w:rPr>
          <w:rFonts w:ascii="Times New Roman" w:hAnsi="Times New Roman" w:cs="Times New Roman"/>
          <w:b/>
          <w:sz w:val="24"/>
          <w:szCs w:val="24"/>
        </w:rPr>
      </w:pPr>
      <w:r w:rsidRPr="003A53AF">
        <w:rPr>
          <w:rFonts w:ascii="Times New Roman" w:hAnsi="Times New Roman" w:cs="Times New Roman"/>
          <w:b/>
          <w:sz w:val="24"/>
          <w:szCs w:val="24"/>
        </w:rPr>
        <w:t>Nota: para aquellos que creen</w:t>
      </w:r>
      <w:r>
        <w:rPr>
          <w:rFonts w:ascii="Times New Roman" w:hAnsi="Times New Roman" w:cs="Times New Roman"/>
          <w:b/>
          <w:sz w:val="24"/>
          <w:szCs w:val="24"/>
        </w:rPr>
        <w:t xml:space="preserve"> (aún)</w:t>
      </w:r>
      <w:r w:rsidRPr="003A53AF">
        <w:rPr>
          <w:rFonts w:ascii="Times New Roman" w:hAnsi="Times New Roman" w:cs="Times New Roman"/>
          <w:b/>
          <w:sz w:val="24"/>
          <w:szCs w:val="24"/>
        </w:rPr>
        <w:t xml:space="preserve"> que con la ayuda de estos “il</w:t>
      </w:r>
      <w:r>
        <w:rPr>
          <w:rFonts w:ascii="Times New Roman" w:hAnsi="Times New Roman" w:cs="Times New Roman"/>
          <w:b/>
          <w:sz w:val="24"/>
          <w:szCs w:val="24"/>
        </w:rPr>
        <w:t>l</w:t>
      </w:r>
      <w:r w:rsidRPr="003A53AF">
        <w:rPr>
          <w:rFonts w:ascii="Times New Roman" w:hAnsi="Times New Roman" w:cs="Times New Roman"/>
          <w:b/>
          <w:sz w:val="24"/>
          <w:szCs w:val="24"/>
        </w:rPr>
        <w:t>uminati” se puede firmar algún</w:t>
      </w:r>
      <w:r>
        <w:rPr>
          <w:rFonts w:ascii="Times New Roman" w:hAnsi="Times New Roman" w:cs="Times New Roman"/>
          <w:b/>
          <w:sz w:val="24"/>
          <w:szCs w:val="24"/>
        </w:rPr>
        <w:t xml:space="preserve"> tipo de</w:t>
      </w:r>
      <w:r w:rsidRPr="003A53AF">
        <w:rPr>
          <w:rFonts w:ascii="Times New Roman" w:hAnsi="Times New Roman" w:cs="Times New Roman"/>
          <w:b/>
          <w:sz w:val="24"/>
          <w:szCs w:val="24"/>
        </w:rPr>
        <w:t xml:space="preserve"> Acuerdo con el Mercosur</w:t>
      </w:r>
      <w:r>
        <w:rPr>
          <w:rFonts w:ascii="Times New Roman" w:hAnsi="Times New Roman" w:cs="Times New Roman"/>
          <w:b/>
          <w:sz w:val="24"/>
          <w:szCs w:val="24"/>
        </w:rPr>
        <w:t xml:space="preserve"> (o con otros terceros países)</w:t>
      </w:r>
      <w:r w:rsidRPr="003A53AF">
        <w:rPr>
          <w:rFonts w:ascii="Times New Roman" w:hAnsi="Times New Roman" w:cs="Times New Roman"/>
          <w:b/>
          <w:sz w:val="24"/>
          <w:szCs w:val="24"/>
        </w:rPr>
        <w:t>, en condiciones de equilibrio</w:t>
      </w:r>
      <w:r>
        <w:rPr>
          <w:rFonts w:ascii="Times New Roman" w:hAnsi="Times New Roman" w:cs="Times New Roman"/>
          <w:b/>
          <w:sz w:val="24"/>
          <w:szCs w:val="24"/>
        </w:rPr>
        <w:t xml:space="preserve"> para el sector primario europeo</w:t>
      </w:r>
      <w:r w:rsidRPr="003A53AF">
        <w:rPr>
          <w:rFonts w:ascii="Times New Roman" w:hAnsi="Times New Roman" w:cs="Times New Roman"/>
          <w:b/>
          <w:sz w:val="24"/>
          <w:szCs w:val="24"/>
        </w:rPr>
        <w:t>… “que Dios los pille confesados”.</w:t>
      </w:r>
    </w:p>
    <w:p w:rsidR="006F05D5" w:rsidRPr="0001697E" w:rsidRDefault="006F05D5" w:rsidP="006F05D5">
      <w:pPr>
        <w:jc w:val="both"/>
        <w:rPr>
          <w:rFonts w:ascii="Times New Roman" w:hAnsi="Times New Roman" w:cs="Times New Roman"/>
          <w:color w:val="FF0000"/>
          <w:sz w:val="24"/>
          <w:szCs w:val="24"/>
        </w:rPr>
      </w:pPr>
      <w:r w:rsidRPr="0001697E">
        <w:rPr>
          <w:rFonts w:ascii="Times New Roman" w:hAnsi="Times New Roman" w:cs="Times New Roman"/>
          <w:b/>
          <w:color w:val="000000"/>
          <w:sz w:val="24"/>
          <w:szCs w:val="24"/>
        </w:rPr>
        <w:lastRenderedPageBreak/>
        <w:t>Citas</w:t>
      </w:r>
    </w:p>
    <w:p w:rsidR="006F05D5" w:rsidRDefault="006F05D5" w:rsidP="006F05D5">
      <w:pPr>
        <w:jc w:val="both"/>
        <w:rPr>
          <w:color w:val="000000"/>
        </w:rPr>
      </w:pPr>
      <w:r w:rsidRPr="0076229F">
        <w:rPr>
          <w:rFonts w:ascii="Times New Roman" w:hAnsi="Times New Roman" w:cs="Times New Roman"/>
          <w:noProof/>
          <w:color w:val="000000"/>
          <w:sz w:val="24"/>
          <w:szCs w:val="24"/>
          <w:lang w:eastAsia="es-ES"/>
        </w:rPr>
        <w:drawing>
          <wp:inline distT="0" distB="0" distL="0" distR="0" wp14:anchorId="57B859A7" wp14:editId="56543EDF">
            <wp:extent cx="1022350" cy="927100"/>
            <wp:effectExtent l="0" t="0" r="6350" b="6350"/>
            <wp:docPr id="129" name="Imagen 129" descr="Ursula von der Leyen, presidenta de la Comisión Euro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rsula von der Leyen, presidenta de la Comisión Europe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22350" cy="927100"/>
                    </a:xfrm>
                    <a:prstGeom prst="rect">
                      <a:avLst/>
                    </a:prstGeom>
                    <a:noFill/>
                    <a:ln>
                      <a:noFill/>
                    </a:ln>
                  </pic:spPr>
                </pic:pic>
              </a:graphicData>
            </a:graphic>
          </wp:inline>
        </w:drawing>
      </w:r>
    </w:p>
    <w:p w:rsidR="006F05D5" w:rsidRPr="0076229F" w:rsidRDefault="006F05D5" w:rsidP="006F05D5">
      <w:pPr>
        <w:spacing w:line="240" w:lineRule="auto"/>
        <w:jc w:val="both"/>
        <w:rPr>
          <w:rFonts w:ascii="Times New Roman" w:hAnsi="Times New Roman" w:cs="Times New Roman"/>
          <w:color w:val="000000"/>
          <w:sz w:val="24"/>
          <w:szCs w:val="24"/>
        </w:rPr>
      </w:pPr>
      <w:r w:rsidRPr="0087042A">
        <w:rPr>
          <w:rFonts w:ascii="Times New Roman" w:hAnsi="Times New Roman" w:cs="Times New Roman"/>
          <w:color w:val="000000"/>
          <w:sz w:val="24"/>
          <w:szCs w:val="24"/>
        </w:rPr>
        <w:t>Nuestros agricultores ocupan un lugar central en el sistema de producción de alimentos de la UE. Gracias a su duro trabajo cotidiano, todos tenemos alimentos seguros y de alta calidad. Sin embargo, nuestros agricultores sufren dificultades crecientes derivadas de la competencia mundial y del cambio climático. Esta es la razón por la que hoy proponemos una estrategia global que hará que la agricultura sea más atractiva, más resiliente y más sostenible. </w:t>
      </w:r>
      <w:r w:rsidRPr="0076229F">
        <w:rPr>
          <w:rStyle w:val="CitaHTML"/>
          <w:rFonts w:ascii="Times New Roman" w:hAnsi="Times New Roman" w:cs="Times New Roman"/>
          <w:b/>
          <w:bCs/>
          <w:color w:val="000000"/>
          <w:sz w:val="24"/>
          <w:szCs w:val="24"/>
        </w:rPr>
        <w:t>Ursula von der Leyen, presidenta de la Comisión Europea</w:t>
      </w:r>
    </w:p>
    <w:p w:rsidR="006F05D5" w:rsidRPr="0076229F" w:rsidRDefault="006F05D5" w:rsidP="006F05D5">
      <w:pPr>
        <w:jc w:val="both"/>
        <w:rPr>
          <w:rFonts w:ascii="Times New Roman" w:hAnsi="Times New Roman" w:cs="Times New Roman"/>
          <w:color w:val="000000"/>
          <w:sz w:val="24"/>
          <w:szCs w:val="24"/>
        </w:rPr>
      </w:pPr>
      <w:r w:rsidRPr="0076229F">
        <w:rPr>
          <w:rFonts w:ascii="Times New Roman" w:hAnsi="Times New Roman" w:cs="Times New Roman"/>
          <w:noProof/>
          <w:color w:val="000000"/>
          <w:sz w:val="24"/>
          <w:szCs w:val="24"/>
          <w:lang w:eastAsia="es-ES"/>
        </w:rPr>
        <w:drawing>
          <wp:inline distT="0" distB="0" distL="0" distR="0" wp14:anchorId="78FCDDBB" wp14:editId="17D33E48">
            <wp:extent cx="977900" cy="914400"/>
            <wp:effectExtent l="0" t="0" r="0" b="0"/>
            <wp:docPr id="147" name="Imagen 147" descr="Raffaele Fitto, vicepresidente ejecutivo para la Cohesión y las Refor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affaele Fitto, vicepresidente ejecutivo para la Cohesión y las Reforma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77900" cy="914400"/>
                    </a:xfrm>
                    <a:prstGeom prst="rect">
                      <a:avLst/>
                    </a:prstGeom>
                    <a:noFill/>
                    <a:ln>
                      <a:noFill/>
                    </a:ln>
                  </pic:spPr>
                </pic:pic>
              </a:graphicData>
            </a:graphic>
          </wp:inline>
        </w:drawing>
      </w:r>
    </w:p>
    <w:p w:rsidR="006F05D5" w:rsidRPr="0076229F" w:rsidRDefault="006F05D5" w:rsidP="006F05D5">
      <w:pPr>
        <w:pStyle w:val="ecl-blockquotecitation"/>
        <w:spacing w:before="0" w:beforeAutospacing="0" w:after="0" w:afterAutospacing="0"/>
        <w:jc w:val="both"/>
        <w:rPr>
          <w:color w:val="000000"/>
        </w:rPr>
      </w:pPr>
      <w:r w:rsidRPr="0076229F">
        <w:rPr>
          <w:color w:val="000000"/>
        </w:rPr>
        <w:t>La visión es nuestra firme respuesta al llamamiento del sector agroalimentario en favor de un futuro que sea competitivo, resiliente, justo y atractivo para las generaciones venideras. Encarna una Europa próspera, en la que las zonas rurales son centros dinámicos y conectados de patrimonio e innovación. La Comisión trabajará codo con codo con el sector agroalimentario para mejorar su competitividad y resiliencia, mediante el refuerzo de la dimensión local y la recuperación del vínculo vital entre los alimentos, el territorio, la estacionalidad, las culturas y las tradiciones. Al reforzar las sinergias y elementos complementarios y la coordinación de los instrumentos de financiación con las políticas sectoriales, garantizaremos una ayuda eficaz y repercusiones tangibles para las comunidades rurales. </w:t>
      </w:r>
      <w:r>
        <w:rPr>
          <w:color w:val="000000"/>
        </w:rPr>
        <w:t xml:space="preserve"> </w:t>
      </w:r>
      <w:r w:rsidRPr="0076229F">
        <w:rPr>
          <w:rStyle w:val="CitaHTML"/>
          <w:b/>
          <w:bCs/>
          <w:color w:val="000000"/>
        </w:rPr>
        <w:t>Raffaele Fitto, vicepresidente ejecutivo para la Cohesión y las Reformas</w:t>
      </w:r>
    </w:p>
    <w:p w:rsidR="006F05D5" w:rsidRPr="0076229F" w:rsidRDefault="006F05D5" w:rsidP="006F05D5">
      <w:pPr>
        <w:jc w:val="both"/>
        <w:rPr>
          <w:rFonts w:ascii="Times New Roman" w:hAnsi="Times New Roman" w:cs="Times New Roman"/>
          <w:color w:val="000000"/>
          <w:sz w:val="24"/>
          <w:szCs w:val="24"/>
        </w:rPr>
      </w:pPr>
      <w:r w:rsidRPr="0076229F">
        <w:rPr>
          <w:rFonts w:ascii="Times New Roman" w:hAnsi="Times New Roman" w:cs="Times New Roman"/>
          <w:noProof/>
          <w:color w:val="000000"/>
          <w:sz w:val="24"/>
          <w:szCs w:val="24"/>
          <w:lang w:eastAsia="es-ES"/>
        </w:rPr>
        <w:drawing>
          <wp:inline distT="0" distB="0" distL="0" distR="0" wp14:anchorId="1E0900A3" wp14:editId="5A6A34B2">
            <wp:extent cx="977900" cy="844550"/>
            <wp:effectExtent l="0" t="0" r="0" b="0"/>
            <wp:docPr id="182" name="Imagen 182" descr="Christophe Hansen, comisario de Agricultura y Alimen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ristophe Hansen, comisario de Agricultura y Alimentació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7900" cy="844550"/>
                    </a:xfrm>
                    <a:prstGeom prst="rect">
                      <a:avLst/>
                    </a:prstGeom>
                    <a:noFill/>
                    <a:ln>
                      <a:noFill/>
                    </a:ln>
                  </pic:spPr>
                </pic:pic>
              </a:graphicData>
            </a:graphic>
          </wp:inline>
        </w:drawing>
      </w:r>
    </w:p>
    <w:p w:rsidR="006F05D5" w:rsidRDefault="006F05D5" w:rsidP="006F05D5">
      <w:pPr>
        <w:pStyle w:val="ecl-blockquotecitation"/>
        <w:spacing w:before="0" w:beforeAutospacing="0" w:after="0" w:afterAutospacing="0"/>
        <w:jc w:val="both"/>
        <w:rPr>
          <w:rStyle w:val="CitaHTML"/>
          <w:b/>
          <w:bCs/>
          <w:color w:val="000000"/>
        </w:rPr>
      </w:pPr>
      <w:r w:rsidRPr="0076229F">
        <w:rPr>
          <w:color w:val="000000"/>
        </w:rPr>
        <w:t> La alimentación y la agricultura son vitales para los ciudadanos, la economía y la sociedad de Europa. Necesitamos que el sector agroalimentario prospere y compita en un mercado mundial equitativo, con la suficiente resiliencia para hacer frente a crisis y perturbaciones. También debemos garantizar nuestra propia soberanía alimentaria, dados los riesgos y vulnerabilidades del mundo actual, en rápida evolución. La hoja de ruta que presentamos hoy marca el camino para encarar las numerosas dificultades a las que se enfrentan los agricultores de la UE. Hará que el sector sea más sostenible y ayudará a la agricultura a seguir siendo un sector atractivo y remunerador, de modo que haya suficientes jóvenes que se incorporen a la profesión. También permitirá a la agricultura seguir participando plenamente en los esfuerzos de la UE por combatir los efectos del cambio climático. Gracias al respeto de nuestra diversidad con un planteamiento adaptado y la consulta a todas las partes interesadas, la hoja de ruta nos ayudará a dar forma a un sector agrícola y alimentario atractivo para las generaciones venideras. </w:t>
      </w:r>
      <w:r w:rsidRPr="0076229F">
        <w:rPr>
          <w:rStyle w:val="CitaHTML"/>
          <w:b/>
          <w:bCs/>
          <w:color w:val="000000"/>
        </w:rPr>
        <w:t>Christophe Hansen, comisario de Agricultura y Alimentación</w:t>
      </w:r>
    </w:p>
    <w:p w:rsidR="006F05D5" w:rsidRPr="00DF554E" w:rsidRDefault="006F05D5" w:rsidP="006F0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F554E">
        <w:rPr>
          <w:rFonts w:ascii="Times New Roman" w:hAnsi="Times New Roman" w:cs="Times New Roman"/>
          <w:sz w:val="24"/>
          <w:szCs w:val="24"/>
          <w:u w:val="single"/>
        </w:rPr>
        <w:t xml:space="preserve">Bruselas prepara una vuelta de tuerca en la agricultura: una PAC más condicionada al medioambiente y el clima </w:t>
      </w:r>
      <w:r>
        <w:rPr>
          <w:rFonts w:ascii="Times New Roman" w:hAnsi="Times New Roman" w:cs="Times New Roman"/>
          <w:sz w:val="24"/>
          <w:szCs w:val="24"/>
        </w:rPr>
        <w:t xml:space="preserve">(Libertad Digital - </w:t>
      </w:r>
      <w:r w:rsidRPr="00DF554E">
        <w:rPr>
          <w:rFonts w:ascii="Times New Roman" w:hAnsi="Times New Roman" w:cs="Times New Roman"/>
          <w:b/>
          <w:sz w:val="24"/>
          <w:szCs w:val="24"/>
        </w:rPr>
        <w:t>22/2/25</w:t>
      </w:r>
      <w:r>
        <w:rPr>
          <w:rFonts w:ascii="Times New Roman" w:hAnsi="Times New Roman" w:cs="Times New Roman"/>
          <w:sz w:val="24"/>
          <w:szCs w:val="24"/>
        </w:rPr>
        <w:t>)</w:t>
      </w:r>
    </w:p>
    <w:p w:rsidR="006F05D5" w:rsidRPr="00DF554E" w:rsidRDefault="006F05D5" w:rsidP="006F0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F554E">
        <w:rPr>
          <w:rFonts w:ascii="Times New Roman" w:hAnsi="Times New Roman" w:cs="Times New Roman"/>
          <w:sz w:val="24"/>
          <w:szCs w:val="24"/>
        </w:rPr>
        <w:t>Carlos Cuesta</w:t>
      </w:r>
      <w:r>
        <w:rPr>
          <w:rFonts w:ascii="Times New Roman" w:hAnsi="Times New Roman" w:cs="Times New Roman"/>
          <w:sz w:val="24"/>
          <w:szCs w:val="24"/>
        </w:rPr>
        <w:t>)</w:t>
      </w:r>
    </w:p>
    <w:p w:rsidR="006F05D5" w:rsidRPr="00DF554E" w:rsidRDefault="006F05D5" w:rsidP="006F05D5">
      <w:pPr>
        <w:spacing w:line="240" w:lineRule="auto"/>
        <w:jc w:val="both"/>
        <w:rPr>
          <w:rFonts w:ascii="Times New Roman" w:hAnsi="Times New Roman" w:cs="Times New Roman"/>
          <w:sz w:val="24"/>
          <w:szCs w:val="24"/>
        </w:rPr>
      </w:pPr>
      <w:r w:rsidRPr="00DF554E">
        <w:rPr>
          <w:rFonts w:ascii="Times New Roman" w:hAnsi="Times New Roman" w:cs="Times New Roman"/>
          <w:sz w:val="24"/>
          <w:szCs w:val="24"/>
        </w:rPr>
        <w:t>La Co</w:t>
      </w:r>
      <w:r>
        <w:rPr>
          <w:rFonts w:ascii="Times New Roman" w:hAnsi="Times New Roman" w:cs="Times New Roman"/>
          <w:sz w:val="24"/>
          <w:szCs w:val="24"/>
        </w:rPr>
        <w:t>misión Europea tiene una nueva “visión”</w:t>
      </w:r>
      <w:r w:rsidRPr="00DF554E">
        <w:rPr>
          <w:rFonts w:ascii="Times New Roman" w:hAnsi="Times New Roman" w:cs="Times New Roman"/>
          <w:sz w:val="24"/>
          <w:szCs w:val="24"/>
        </w:rPr>
        <w:t xml:space="preserve"> de la agricultura y la producción de los alimentos. Lo cierto es que no es tan nueva en el fondo: imponer el ecologismo al campo. Pero lo que sí que es novedoso es el grado de imposición. Y es que Bruselas prepara una nueva vuelta de tuerca para condicionar aún más la PA</w:t>
      </w:r>
      <w:r>
        <w:rPr>
          <w:rFonts w:ascii="Times New Roman" w:hAnsi="Times New Roman" w:cs="Times New Roman"/>
          <w:sz w:val="24"/>
          <w:szCs w:val="24"/>
        </w:rPr>
        <w:t>C al medioambiente y el clima. “</w:t>
      </w:r>
      <w:r w:rsidRPr="00DF554E">
        <w:rPr>
          <w:rFonts w:ascii="Times New Roman" w:hAnsi="Times New Roman" w:cs="Times New Roman"/>
          <w:sz w:val="24"/>
          <w:szCs w:val="24"/>
        </w:rPr>
        <w:t>Nuevos desafíos sin precedentes, incluidas las crecientes tensiones geopolíticas y los fenómenos meteorológicos extremos más frecuentes, han creado un nuevo panorama para el s</w:t>
      </w:r>
      <w:r>
        <w:rPr>
          <w:rFonts w:ascii="Times New Roman" w:hAnsi="Times New Roman" w:cs="Times New Roman"/>
          <w:sz w:val="24"/>
          <w:szCs w:val="24"/>
        </w:rPr>
        <w:t>ector agroalimentario de Europa”</w:t>
      </w:r>
      <w:r w:rsidRPr="00DF554E">
        <w:rPr>
          <w:rFonts w:ascii="Times New Roman" w:hAnsi="Times New Roman" w:cs="Times New Roman"/>
          <w:sz w:val="24"/>
          <w:szCs w:val="24"/>
        </w:rPr>
        <w:t>, señala Brusela</w:t>
      </w:r>
      <w:r>
        <w:rPr>
          <w:rFonts w:ascii="Times New Roman" w:hAnsi="Times New Roman" w:cs="Times New Roman"/>
          <w:sz w:val="24"/>
          <w:szCs w:val="24"/>
        </w:rPr>
        <w:t>s en una reciente comunicación. “</w:t>
      </w:r>
      <w:r w:rsidRPr="00DF554E">
        <w:rPr>
          <w:rFonts w:ascii="Times New Roman" w:hAnsi="Times New Roman" w:cs="Times New Roman"/>
          <w:sz w:val="24"/>
          <w:szCs w:val="24"/>
        </w:rPr>
        <w:t>Esto significa que, más que nunca, existe la necesidad de una visión de futuro y una respuesta política para el sector que aborde esta situación cambiante de manera coherente en las diferen</w:t>
      </w:r>
      <w:r>
        <w:rPr>
          <w:rFonts w:ascii="Times New Roman" w:hAnsi="Times New Roman" w:cs="Times New Roman"/>
          <w:sz w:val="24"/>
          <w:szCs w:val="24"/>
        </w:rPr>
        <w:t>tes políticas de la UE”, añade.</w:t>
      </w:r>
    </w:p>
    <w:p w:rsidR="006F05D5" w:rsidRDefault="006F05D5" w:rsidP="006F05D5">
      <w:pPr>
        <w:spacing w:line="240" w:lineRule="auto"/>
        <w:jc w:val="both"/>
        <w:rPr>
          <w:rFonts w:ascii="Times New Roman" w:hAnsi="Times New Roman" w:cs="Times New Roman"/>
          <w:sz w:val="24"/>
          <w:szCs w:val="24"/>
        </w:rPr>
      </w:pPr>
      <w:r w:rsidRPr="00DF554E">
        <w:rPr>
          <w:rFonts w:ascii="Times New Roman" w:hAnsi="Times New Roman" w:cs="Times New Roman"/>
          <w:sz w:val="24"/>
          <w:szCs w:val="24"/>
        </w:rPr>
        <w:t>L</w:t>
      </w:r>
      <w:r>
        <w:rPr>
          <w:rFonts w:ascii="Times New Roman" w:hAnsi="Times New Roman" w:cs="Times New Roman"/>
          <w:sz w:val="24"/>
          <w:szCs w:val="24"/>
        </w:rPr>
        <w:t>a Comisión está presentando su “</w:t>
      </w:r>
      <w:r w:rsidRPr="00DF554E">
        <w:rPr>
          <w:rFonts w:ascii="Times New Roman" w:hAnsi="Times New Roman" w:cs="Times New Roman"/>
          <w:sz w:val="24"/>
          <w:szCs w:val="24"/>
        </w:rPr>
        <w:t xml:space="preserve">Visión para la </w:t>
      </w:r>
      <w:r>
        <w:rPr>
          <w:rFonts w:ascii="Times New Roman" w:hAnsi="Times New Roman" w:cs="Times New Roman"/>
          <w:sz w:val="24"/>
          <w:szCs w:val="24"/>
        </w:rPr>
        <w:t>Agricultura y la Alimentación”, una “</w:t>
      </w:r>
      <w:r w:rsidRPr="00DF554E">
        <w:rPr>
          <w:rFonts w:ascii="Times New Roman" w:hAnsi="Times New Roman" w:cs="Times New Roman"/>
          <w:sz w:val="24"/>
          <w:szCs w:val="24"/>
        </w:rPr>
        <w:t xml:space="preserve">hoja de ruta compartida para los años venideros donde se describirá una visión hasta 2040 y una guía para los futuros debates sobre políticas en un amplio conjunto de cuestiones estratégicas para la agricultura </w:t>
      </w:r>
      <w:r>
        <w:rPr>
          <w:rFonts w:ascii="Times New Roman" w:hAnsi="Times New Roman" w:cs="Times New Roman"/>
          <w:sz w:val="24"/>
          <w:szCs w:val="24"/>
        </w:rPr>
        <w:t xml:space="preserve">y la alimentación”, dice la UE. </w:t>
      </w:r>
    </w:p>
    <w:p w:rsidR="006F05D5" w:rsidRPr="00DF554E" w:rsidRDefault="006F05D5" w:rsidP="006F05D5">
      <w:pPr>
        <w:spacing w:line="240" w:lineRule="auto"/>
        <w:jc w:val="both"/>
        <w:rPr>
          <w:rFonts w:ascii="Times New Roman" w:hAnsi="Times New Roman" w:cs="Times New Roman"/>
          <w:sz w:val="24"/>
          <w:szCs w:val="24"/>
        </w:rPr>
      </w:pPr>
      <w:r w:rsidRPr="00DF554E">
        <w:rPr>
          <w:rFonts w:ascii="Times New Roman" w:hAnsi="Times New Roman" w:cs="Times New Roman"/>
          <w:sz w:val="24"/>
          <w:szCs w:val="24"/>
        </w:rPr>
        <w:t>Y las medidas tendrán impacto. Entre ellas se encuen</w:t>
      </w:r>
      <w:r>
        <w:rPr>
          <w:rFonts w:ascii="Times New Roman" w:hAnsi="Times New Roman" w:cs="Times New Roman"/>
          <w:sz w:val="24"/>
          <w:szCs w:val="24"/>
        </w:rPr>
        <w:t>tra la conversión del campo en “</w:t>
      </w:r>
      <w:r w:rsidRPr="00DF554E">
        <w:rPr>
          <w:rFonts w:ascii="Times New Roman" w:hAnsi="Times New Roman" w:cs="Times New Roman"/>
          <w:sz w:val="24"/>
          <w:szCs w:val="24"/>
        </w:rPr>
        <w:t>un sector atractivo que garantice un nivel de vida justo y aproveche las nuevas oportunidades de ingresos (por ejemplo, revisar la legislación existente sobre la cadena de suministro de alimentos, presentar una Estrate</w:t>
      </w:r>
      <w:r>
        <w:rPr>
          <w:rFonts w:ascii="Times New Roman" w:hAnsi="Times New Roman" w:cs="Times New Roman"/>
          <w:sz w:val="24"/>
          <w:szCs w:val="24"/>
        </w:rPr>
        <w:t>gia de Renovación Generacional)”</w:t>
      </w:r>
      <w:r w:rsidRPr="00DF554E">
        <w:rPr>
          <w:rFonts w:ascii="Times New Roman" w:hAnsi="Times New Roman" w:cs="Times New Roman"/>
          <w:sz w:val="24"/>
          <w:szCs w:val="24"/>
        </w:rPr>
        <w:t xml:space="preserve">. También las medidas tendentes </w:t>
      </w:r>
      <w:r>
        <w:rPr>
          <w:rFonts w:ascii="Times New Roman" w:hAnsi="Times New Roman" w:cs="Times New Roman"/>
          <w:sz w:val="24"/>
          <w:szCs w:val="24"/>
        </w:rPr>
        <w:t>a, afirma Bruselas, generar un “</w:t>
      </w:r>
      <w:r w:rsidRPr="00DF554E">
        <w:rPr>
          <w:rFonts w:ascii="Times New Roman" w:hAnsi="Times New Roman" w:cs="Times New Roman"/>
          <w:sz w:val="24"/>
          <w:szCs w:val="24"/>
        </w:rPr>
        <w:t>sector competitivo y resistente frente a los desafíos globales (por ejemplo, implementar un campo de juego más justo para los agricultores de la UE en relación con el resto del mundo, presentar un paquete de medidas de simplificación, presentar una visión a largo plazo para el sector g</w:t>
      </w:r>
      <w:r>
        <w:rPr>
          <w:rFonts w:ascii="Times New Roman" w:hAnsi="Times New Roman" w:cs="Times New Roman"/>
          <w:sz w:val="24"/>
          <w:szCs w:val="24"/>
        </w:rPr>
        <w:t>anadero y un plan de proteínas)”</w:t>
      </w:r>
      <w:r w:rsidRPr="00DF554E">
        <w:rPr>
          <w:rFonts w:ascii="Times New Roman" w:hAnsi="Times New Roman" w:cs="Times New Roman"/>
          <w:sz w:val="24"/>
          <w:szCs w:val="24"/>
        </w:rPr>
        <w:t>.</w:t>
      </w:r>
    </w:p>
    <w:p w:rsidR="006F05D5" w:rsidRDefault="006F05D5" w:rsidP="006F05D5">
      <w:pPr>
        <w:spacing w:line="240" w:lineRule="auto"/>
        <w:jc w:val="both"/>
        <w:rPr>
          <w:rFonts w:ascii="Times New Roman" w:hAnsi="Times New Roman" w:cs="Times New Roman"/>
          <w:sz w:val="24"/>
          <w:szCs w:val="24"/>
        </w:rPr>
      </w:pPr>
      <w:r>
        <w:rPr>
          <w:rFonts w:ascii="Times New Roman" w:hAnsi="Times New Roman" w:cs="Times New Roman"/>
          <w:sz w:val="24"/>
          <w:szCs w:val="24"/>
        </w:rPr>
        <w:t>Y “</w:t>
      </w:r>
      <w:r w:rsidRPr="00DF554E">
        <w:rPr>
          <w:rFonts w:ascii="Times New Roman" w:hAnsi="Times New Roman" w:cs="Times New Roman"/>
          <w:sz w:val="24"/>
          <w:szCs w:val="24"/>
        </w:rPr>
        <w:t>preparar para el futuro el sector agroalimentario para que trabaje de la mano con la naturaleza (por ejemplo, por la racionalización y exigencia de la legislación existente, la aceleración del acceso a los biopesticidas, el lanzamiento de una brújula de sostenibilidad en las granjas para medir el progreso o simplificando la presentación de informes)</w:t>
      </w:r>
      <w:r>
        <w:rPr>
          <w:rFonts w:ascii="Times New Roman" w:hAnsi="Times New Roman" w:cs="Times New Roman"/>
          <w:sz w:val="24"/>
          <w:szCs w:val="24"/>
        </w:rPr>
        <w:t>”</w:t>
      </w:r>
      <w:r w:rsidRPr="00DF554E">
        <w:rPr>
          <w:rFonts w:ascii="Times New Roman" w:hAnsi="Times New Roman" w:cs="Times New Roman"/>
          <w:sz w:val="24"/>
          <w:szCs w:val="24"/>
        </w:rPr>
        <w:t>. También s</w:t>
      </w:r>
      <w:r>
        <w:rPr>
          <w:rFonts w:ascii="Times New Roman" w:hAnsi="Times New Roman" w:cs="Times New Roman"/>
          <w:sz w:val="24"/>
          <w:szCs w:val="24"/>
        </w:rPr>
        <w:t>e propone un plan para valorar “</w:t>
      </w:r>
      <w:r w:rsidRPr="00DF554E">
        <w:rPr>
          <w:rFonts w:ascii="Times New Roman" w:hAnsi="Times New Roman" w:cs="Times New Roman"/>
          <w:sz w:val="24"/>
          <w:szCs w:val="24"/>
        </w:rPr>
        <w:t>los alimentos y promover condiciones de vida y de trab</w:t>
      </w:r>
      <w:r>
        <w:rPr>
          <w:rFonts w:ascii="Times New Roman" w:hAnsi="Times New Roman" w:cs="Times New Roman"/>
          <w:sz w:val="24"/>
          <w:szCs w:val="24"/>
        </w:rPr>
        <w:t>ajo justas en las zonas rurales”</w:t>
      </w:r>
      <w:r w:rsidRPr="00DF554E">
        <w:rPr>
          <w:rFonts w:ascii="Times New Roman" w:hAnsi="Times New Roman" w:cs="Times New Roman"/>
          <w:sz w:val="24"/>
          <w:szCs w:val="24"/>
        </w:rPr>
        <w:t>.</w:t>
      </w:r>
      <w:r>
        <w:rPr>
          <w:rFonts w:ascii="Times New Roman" w:hAnsi="Times New Roman" w:cs="Times New Roman"/>
          <w:sz w:val="24"/>
          <w:szCs w:val="24"/>
        </w:rPr>
        <w:t xml:space="preserve"> </w:t>
      </w:r>
    </w:p>
    <w:p w:rsidR="006F05D5" w:rsidRPr="00DF554E" w:rsidRDefault="006F05D5" w:rsidP="006F05D5">
      <w:pPr>
        <w:spacing w:line="240" w:lineRule="auto"/>
        <w:jc w:val="both"/>
        <w:rPr>
          <w:rFonts w:ascii="Times New Roman" w:hAnsi="Times New Roman" w:cs="Times New Roman"/>
          <w:sz w:val="24"/>
          <w:szCs w:val="24"/>
        </w:rPr>
      </w:pPr>
      <w:r w:rsidRPr="00DF554E">
        <w:rPr>
          <w:rFonts w:ascii="Times New Roman" w:hAnsi="Times New Roman" w:cs="Times New Roman"/>
          <w:sz w:val="24"/>
          <w:szCs w:val="24"/>
        </w:rPr>
        <w:t>Y los camb</w:t>
      </w:r>
      <w:r>
        <w:rPr>
          <w:rFonts w:ascii="Times New Roman" w:hAnsi="Times New Roman" w:cs="Times New Roman"/>
          <w:sz w:val="24"/>
          <w:szCs w:val="24"/>
        </w:rPr>
        <w:t>ios no se olvidarán de la PAC: “</w:t>
      </w:r>
      <w:r w:rsidRPr="00DF554E">
        <w:rPr>
          <w:rFonts w:ascii="Times New Roman" w:hAnsi="Times New Roman" w:cs="Times New Roman"/>
          <w:sz w:val="24"/>
          <w:szCs w:val="24"/>
        </w:rPr>
        <w:t xml:space="preserve">La futura PAC definirá un equilibrio más claro entre las políticas regulatorias basadas en incentivos que afectan a los agricultores. La Comisión orientará la futura </w:t>
      </w:r>
      <w:r>
        <w:rPr>
          <w:rFonts w:ascii="Times New Roman" w:hAnsi="Times New Roman" w:cs="Times New Roman"/>
          <w:sz w:val="24"/>
          <w:szCs w:val="24"/>
        </w:rPr>
        <w:t>PAC de condiciones a incentivos”</w:t>
      </w:r>
      <w:r w:rsidRPr="00DF554E">
        <w:rPr>
          <w:rFonts w:ascii="Times New Roman" w:hAnsi="Times New Roman" w:cs="Times New Roman"/>
          <w:sz w:val="24"/>
          <w:szCs w:val="24"/>
        </w:rPr>
        <w:t xml:space="preserve">. </w:t>
      </w:r>
      <w:r>
        <w:rPr>
          <w:rFonts w:ascii="Times New Roman" w:hAnsi="Times New Roman" w:cs="Times New Roman"/>
          <w:sz w:val="24"/>
          <w:szCs w:val="24"/>
        </w:rPr>
        <w:t>¿Y eso qué significa? Pues que “</w:t>
      </w:r>
      <w:r w:rsidRPr="00DF554E">
        <w:rPr>
          <w:rFonts w:ascii="Times New Roman" w:hAnsi="Times New Roman" w:cs="Times New Roman"/>
          <w:sz w:val="24"/>
          <w:szCs w:val="24"/>
        </w:rPr>
        <w:t>la futura PAC se basará en objetivos políticos básicos y requisitos políticos específicos, al tiempo que dará a los Estados Miembros una mayor responsabilidad y rendición de cuentas sobre</w:t>
      </w:r>
      <w:r>
        <w:rPr>
          <w:rFonts w:ascii="Times New Roman" w:hAnsi="Times New Roman" w:cs="Times New Roman"/>
          <w:sz w:val="24"/>
          <w:szCs w:val="24"/>
        </w:rPr>
        <w:t xml:space="preserve"> cómo cumplen estos objetivos”.</w:t>
      </w:r>
    </w:p>
    <w:p w:rsidR="006F05D5" w:rsidRDefault="006F05D5" w:rsidP="006F05D5">
      <w:pPr>
        <w:spacing w:line="240" w:lineRule="auto"/>
        <w:jc w:val="both"/>
        <w:rPr>
          <w:rFonts w:ascii="Times New Roman" w:hAnsi="Times New Roman" w:cs="Times New Roman"/>
          <w:sz w:val="24"/>
          <w:szCs w:val="24"/>
        </w:rPr>
      </w:pPr>
      <w:r>
        <w:rPr>
          <w:rFonts w:ascii="Times New Roman" w:hAnsi="Times New Roman" w:cs="Times New Roman"/>
          <w:sz w:val="24"/>
          <w:szCs w:val="24"/>
        </w:rPr>
        <w:t>¿Con qué fin? “</w:t>
      </w:r>
      <w:r w:rsidRPr="00DF554E">
        <w:rPr>
          <w:rFonts w:ascii="Times New Roman" w:hAnsi="Times New Roman" w:cs="Times New Roman"/>
          <w:sz w:val="24"/>
          <w:szCs w:val="24"/>
        </w:rPr>
        <w:t>El apoyo futuro de la PAC estará más dirigido a los agricultores que participan activamente en la producción de alimentos, en la vitalidad económica de las granjas y en la preserv</w:t>
      </w:r>
      <w:r>
        <w:rPr>
          <w:rFonts w:ascii="Times New Roman" w:hAnsi="Times New Roman" w:cs="Times New Roman"/>
          <w:sz w:val="24"/>
          <w:szCs w:val="24"/>
        </w:rPr>
        <w:t>ación de nuestro medio ambiente”. Porque “</w:t>
      </w:r>
      <w:r w:rsidRPr="00DF554E">
        <w:rPr>
          <w:rFonts w:ascii="Times New Roman" w:hAnsi="Times New Roman" w:cs="Times New Roman"/>
          <w:sz w:val="24"/>
          <w:szCs w:val="24"/>
        </w:rPr>
        <w:t>la Comisión sigue convencida de que la agricultura y la protección del mundo natural pueden ir de la mano, al tiempo que ofrece oportunidades prometedoras para el sector agrícola, incluidos instrumentos voluntarios que podrían desbloquear fuentes adicionales de ingresos para los agricultores, como los créditos de carbono y los créditos por natura</w:t>
      </w:r>
      <w:r>
        <w:rPr>
          <w:rFonts w:ascii="Times New Roman" w:hAnsi="Times New Roman" w:cs="Times New Roman"/>
          <w:sz w:val="24"/>
          <w:szCs w:val="24"/>
        </w:rPr>
        <w:t>leza”</w:t>
      </w:r>
      <w:r w:rsidRPr="00DF554E">
        <w:rPr>
          <w:rFonts w:ascii="Times New Roman" w:hAnsi="Times New Roman" w:cs="Times New Roman"/>
          <w:sz w:val="24"/>
          <w:szCs w:val="24"/>
        </w:rPr>
        <w:t>, explica Bruselas.</w:t>
      </w:r>
    </w:p>
    <w:p w:rsidR="0079680A" w:rsidRPr="00B22EA2" w:rsidRDefault="0079680A" w:rsidP="0079680A">
      <w:pPr>
        <w:spacing w:line="240" w:lineRule="auto"/>
        <w:jc w:val="both"/>
        <w:rPr>
          <w:rFonts w:ascii="Times New Roman" w:hAnsi="Times New Roman" w:cs="Times New Roman"/>
          <w:sz w:val="24"/>
          <w:szCs w:val="24"/>
        </w:rPr>
      </w:pPr>
      <w:r w:rsidRPr="00542E49">
        <w:rPr>
          <w:rFonts w:ascii="Times New Roman" w:hAnsi="Times New Roman" w:cs="Times New Roman"/>
          <w:b/>
          <w:sz w:val="24"/>
          <w:szCs w:val="24"/>
        </w:rPr>
        <w:lastRenderedPageBreak/>
        <w:t>- La diarrea</w:t>
      </w:r>
      <w:r>
        <w:rPr>
          <w:rFonts w:ascii="Times New Roman" w:hAnsi="Times New Roman" w:cs="Times New Roman"/>
          <w:b/>
          <w:sz w:val="24"/>
          <w:szCs w:val="24"/>
        </w:rPr>
        <w:t xml:space="preserve"> legislativa (reguladora, intervencionista, liberticida)</w:t>
      </w:r>
      <w:r w:rsidRPr="00542E49">
        <w:rPr>
          <w:rFonts w:ascii="Times New Roman" w:hAnsi="Times New Roman" w:cs="Times New Roman"/>
          <w:b/>
          <w:sz w:val="24"/>
          <w:szCs w:val="24"/>
        </w:rPr>
        <w:t xml:space="preserve"> de la Unión Europea</w:t>
      </w:r>
    </w:p>
    <w:p w:rsidR="0079680A" w:rsidRDefault="0079680A" w:rsidP="0079680A">
      <w:pPr>
        <w:spacing w:line="240" w:lineRule="auto"/>
        <w:jc w:val="both"/>
        <w:rPr>
          <w:rFonts w:ascii="Times New Roman" w:hAnsi="Times New Roman" w:cs="Times New Roman"/>
          <w:b/>
          <w:sz w:val="24"/>
          <w:szCs w:val="24"/>
        </w:rPr>
      </w:pPr>
      <w:r>
        <w:rPr>
          <w:noProof/>
          <w:lang w:eastAsia="es-ES"/>
        </w:rPr>
        <w:drawing>
          <wp:inline distT="0" distB="0" distL="0" distR="0" wp14:anchorId="2015CC63" wp14:editId="7F4EC475">
            <wp:extent cx="5731926" cy="2901950"/>
            <wp:effectExtent l="0" t="0" r="2540" b="0"/>
            <wp:docPr id="148" name="Imagen 148" descr="El Parlamento Europeo da luz verde al proyecto para regular la inteligencia  artificial - El Periód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Parlamento Europeo da luz verde al proyecto para regular la inteligencia  artificial - El Periódic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2901739"/>
                    </a:xfrm>
                    <a:prstGeom prst="rect">
                      <a:avLst/>
                    </a:prstGeom>
                    <a:noFill/>
                    <a:ln>
                      <a:noFill/>
                    </a:ln>
                  </pic:spPr>
                </pic:pic>
              </a:graphicData>
            </a:graphic>
          </wp:inline>
        </w:drawing>
      </w:r>
    </w:p>
    <w:p w:rsidR="0079680A" w:rsidRDefault="0079680A" w:rsidP="0079680A">
      <w:pPr>
        <w:spacing w:line="240" w:lineRule="auto"/>
        <w:jc w:val="both"/>
        <w:rPr>
          <w:rFonts w:ascii="Times New Roman" w:hAnsi="Times New Roman" w:cs="Times New Roman"/>
          <w:sz w:val="24"/>
          <w:szCs w:val="24"/>
        </w:rPr>
      </w:pPr>
      <w:r w:rsidRPr="00322E71">
        <w:rPr>
          <w:rFonts w:ascii="Times New Roman" w:hAnsi="Times New Roman" w:cs="Times New Roman"/>
          <w:b/>
          <w:sz w:val="24"/>
          <w:szCs w:val="24"/>
        </w:rPr>
        <w:t>Fichas temáticas sobre la Unión Europea</w:t>
      </w:r>
      <w:r>
        <w:rPr>
          <w:rFonts w:ascii="Times New Roman" w:hAnsi="Times New Roman" w:cs="Times New Roman"/>
          <w:b/>
          <w:sz w:val="24"/>
          <w:szCs w:val="24"/>
        </w:rPr>
        <w:t xml:space="preserve"> </w:t>
      </w:r>
      <w:r>
        <w:rPr>
          <w:rFonts w:ascii="Times New Roman" w:hAnsi="Times New Roman" w:cs="Times New Roman"/>
          <w:sz w:val="24"/>
          <w:szCs w:val="24"/>
        </w:rPr>
        <w:t xml:space="preserve">(transcripción parcial de temas agropecuarios)  </w:t>
      </w:r>
    </w:p>
    <w:p w:rsidR="0079680A" w:rsidRDefault="0079680A" w:rsidP="007968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542E49">
        <w:rPr>
          <w:rFonts w:ascii="Times New Roman" w:hAnsi="Times New Roman" w:cs="Times New Roman"/>
          <w:sz w:val="24"/>
          <w:szCs w:val="24"/>
        </w:rPr>
        <w:t>Parlamento Europeo</w:t>
      </w:r>
      <w:r>
        <w:rPr>
          <w:rFonts w:ascii="Times New Roman" w:hAnsi="Times New Roman" w:cs="Times New Roman"/>
          <w:sz w:val="24"/>
          <w:szCs w:val="24"/>
        </w:rPr>
        <w:t xml:space="preserve"> - (información disponible al 4/2/25) </w:t>
      </w:r>
    </w:p>
    <w:p w:rsidR="0079680A" w:rsidRPr="006B18BB" w:rsidRDefault="0079680A" w:rsidP="0079680A">
      <w:pPr>
        <w:shd w:val="clear" w:color="auto" w:fill="FFFFFF"/>
        <w:spacing w:after="100" w:afterAutospacing="1" w:line="240" w:lineRule="auto"/>
        <w:jc w:val="both"/>
        <w:outlineLvl w:val="0"/>
        <w:rPr>
          <w:rFonts w:ascii="Times New Roman" w:eastAsia="Times New Roman" w:hAnsi="Times New Roman" w:cs="Times New Roman"/>
          <w:color w:val="1E1E1F"/>
          <w:kern w:val="36"/>
          <w:sz w:val="24"/>
          <w:szCs w:val="24"/>
          <w:u w:val="single"/>
          <w:lang w:eastAsia="es-ES"/>
        </w:rPr>
      </w:pPr>
      <w:r w:rsidRPr="006B18BB">
        <w:rPr>
          <w:rFonts w:ascii="Times New Roman" w:eastAsia="Times New Roman" w:hAnsi="Times New Roman" w:cs="Times New Roman"/>
          <w:color w:val="1E1E1F"/>
          <w:kern w:val="36"/>
          <w:sz w:val="24"/>
          <w:szCs w:val="24"/>
          <w:u w:val="single"/>
          <w:lang w:eastAsia="es-ES"/>
        </w:rPr>
        <w:t>La política de medio ambiente: principios generales y marco básico</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B18BB">
        <w:rPr>
          <w:rFonts w:ascii="Times New Roman" w:eastAsia="Times New Roman" w:hAnsi="Times New Roman" w:cs="Times New Roman"/>
          <w:color w:val="1E1E1F"/>
          <w:sz w:val="24"/>
          <w:szCs w:val="24"/>
          <w:lang w:eastAsia="es-ES"/>
        </w:rPr>
        <w:t>La Unión se enfrenta a complejas cuestiones medioambientales, que abarcan el cambio climático, la pérdida de biodiversidad, el agotamiento de los recursos y la contaminación. Para abordar estas cuestiones, la política europea de medio ambiente sigue los principios de precaución, prevención, corrección de l</w:t>
      </w:r>
      <w:r w:rsidR="00F223DE">
        <w:rPr>
          <w:rFonts w:ascii="Times New Roman" w:eastAsia="Times New Roman" w:hAnsi="Times New Roman" w:cs="Times New Roman"/>
          <w:color w:val="1E1E1F"/>
          <w:sz w:val="24"/>
          <w:szCs w:val="24"/>
          <w:lang w:eastAsia="es-ES"/>
        </w:rPr>
        <w:t>a contaminación en su fuente y “quien contamina paga”</w:t>
      </w:r>
      <w:r w:rsidRPr="006B18BB">
        <w:rPr>
          <w:rFonts w:ascii="Times New Roman" w:eastAsia="Times New Roman" w:hAnsi="Times New Roman" w:cs="Times New Roman"/>
          <w:color w:val="1E1E1F"/>
          <w:sz w:val="24"/>
          <w:szCs w:val="24"/>
          <w:lang w:eastAsia="es-ES"/>
        </w:rPr>
        <w:t>. En 2019, la Comisión puso en marcha el Pacto Verde Europeo, situando las preocupaciones medioambientales en el primer plano de la elaboración de las políticas de la UE</w:t>
      </w:r>
      <w:r>
        <w:rPr>
          <w:rFonts w:ascii="Times New Roman" w:eastAsia="Times New Roman" w:hAnsi="Times New Roman" w:cs="Times New Roman"/>
          <w:color w:val="1E1E1F"/>
          <w:sz w:val="24"/>
          <w:szCs w:val="24"/>
          <w:lang w:eastAsia="es-ES"/>
        </w:rPr>
        <w:t>…</w:t>
      </w:r>
    </w:p>
    <w:p w:rsidR="0079680A" w:rsidRPr="00F223DE" w:rsidRDefault="0079680A" w:rsidP="0079680A">
      <w:pPr>
        <w:pStyle w:val="NormalWeb"/>
        <w:shd w:val="clear" w:color="auto" w:fill="FFFFFF"/>
        <w:spacing w:before="0" w:beforeAutospacing="0"/>
        <w:jc w:val="both"/>
      </w:pPr>
      <w:r w:rsidRPr="00F223DE">
        <w:t>En 2007, el </w:t>
      </w:r>
      <w:hyperlink r:id="rId38" w:history="1">
        <w:r w:rsidRPr="00F223DE">
          <w:rPr>
            <w:rStyle w:val="Hipervnculo"/>
            <w:color w:val="auto"/>
          </w:rPr>
          <w:t>Tratado de Lisboa</w:t>
        </w:r>
      </w:hyperlink>
      <w:r w:rsidRPr="00F223DE">
        <w:t> hizo del cambio climático y el desarrollo sostenible una prioridad. También otorgó a la Unión personalidad jurídica para celebrar acuerdos internacionales.</w:t>
      </w:r>
    </w:p>
    <w:p w:rsidR="0079680A" w:rsidRPr="00F223DE" w:rsidRDefault="0079680A" w:rsidP="0079680A">
      <w:pPr>
        <w:pStyle w:val="NormalWeb"/>
        <w:shd w:val="clear" w:color="auto" w:fill="FFFFFF"/>
        <w:spacing w:before="0" w:beforeAutospacing="0"/>
        <w:jc w:val="both"/>
      </w:pPr>
      <w:r w:rsidRPr="00F223DE">
        <w:t>Estos avances reforzaron el papel de la Unión como actor clave en el frente medioambiental mundial, al liderar el camino con iniciativas clave como el </w:t>
      </w:r>
      <w:hyperlink r:id="rId39" w:history="1">
        <w:r w:rsidRPr="00F223DE">
          <w:rPr>
            <w:rStyle w:val="Hipervnculo"/>
            <w:color w:val="auto"/>
          </w:rPr>
          <w:t>Pacto Verde Europeo</w:t>
        </w:r>
      </w:hyperlink>
      <w:r w:rsidRPr="00F223DE">
        <w:t> y la </w:t>
      </w:r>
      <w:hyperlink r:id="rId40" w:history="1">
        <w:r w:rsidRPr="00F223DE">
          <w:rPr>
            <w:rStyle w:val="Hipervnculo"/>
            <w:color w:val="auto"/>
          </w:rPr>
          <w:t>Legislación Europea sobre el Clima</w:t>
        </w:r>
      </w:hyperlink>
      <w:r w:rsidRPr="00F223DE">
        <w:t>.</w:t>
      </w:r>
    </w:p>
    <w:p w:rsidR="0079680A" w:rsidRPr="00F223DE" w:rsidRDefault="0079680A" w:rsidP="0079680A">
      <w:pPr>
        <w:pStyle w:val="Ttulo2"/>
        <w:shd w:val="clear" w:color="auto" w:fill="FFFFFF"/>
        <w:spacing w:before="0" w:line="288" w:lineRule="atLeast"/>
        <w:jc w:val="both"/>
        <w:rPr>
          <w:rFonts w:ascii="Times New Roman" w:hAnsi="Times New Roman" w:cs="Times New Roman"/>
          <w:b w:val="0"/>
          <w:bCs w:val="0"/>
          <w:color w:val="auto"/>
          <w:sz w:val="24"/>
          <w:szCs w:val="24"/>
        </w:rPr>
      </w:pPr>
      <w:r w:rsidRPr="00F223DE">
        <w:rPr>
          <w:rFonts w:ascii="Times New Roman" w:hAnsi="Times New Roman" w:cs="Times New Roman"/>
          <w:b w:val="0"/>
          <w:bCs w:val="0"/>
          <w:color w:val="auto"/>
          <w:sz w:val="24"/>
          <w:szCs w:val="24"/>
        </w:rPr>
        <w:t>Principios generales</w:t>
      </w:r>
    </w:p>
    <w:p w:rsidR="0079680A" w:rsidRPr="00F223DE" w:rsidRDefault="0079680A" w:rsidP="0079680A">
      <w:pPr>
        <w:pStyle w:val="NormalWeb"/>
        <w:shd w:val="clear" w:color="auto" w:fill="FFFFFF"/>
        <w:spacing w:before="0" w:beforeAutospacing="0"/>
        <w:jc w:val="both"/>
      </w:pPr>
      <w:r w:rsidRPr="00F223DE">
        <w:t>La política medioambiental de la UE se basa en cuatro principios:</w:t>
      </w:r>
    </w:p>
    <w:p w:rsidR="0079680A" w:rsidRPr="00F223DE" w:rsidRDefault="00286F35" w:rsidP="0079680A">
      <w:pPr>
        <w:numPr>
          <w:ilvl w:val="0"/>
          <w:numId w:val="29"/>
        </w:numPr>
        <w:shd w:val="clear" w:color="auto" w:fill="FFFFFF"/>
        <w:spacing w:before="100" w:beforeAutospacing="1" w:after="100" w:afterAutospacing="1" w:line="240" w:lineRule="auto"/>
        <w:jc w:val="both"/>
        <w:rPr>
          <w:rFonts w:ascii="Times New Roman" w:hAnsi="Times New Roman" w:cs="Times New Roman"/>
          <w:sz w:val="24"/>
          <w:szCs w:val="24"/>
        </w:rPr>
      </w:pPr>
      <w:hyperlink r:id="rId41" w:anchor=":~:text=The%20precautionary%20principle%20is%20an,should%20not%20be%20carried%20out." w:history="1">
        <w:r w:rsidR="0079680A" w:rsidRPr="00F223DE">
          <w:rPr>
            <w:rStyle w:val="Hipervnculo"/>
            <w:rFonts w:ascii="Times New Roman" w:hAnsi="Times New Roman" w:cs="Times New Roman"/>
            <w:color w:val="auto"/>
            <w:sz w:val="24"/>
            <w:szCs w:val="24"/>
          </w:rPr>
          <w:t>La precaución</w:t>
        </w:r>
      </w:hyperlink>
      <w:r w:rsidR="0079680A" w:rsidRPr="00F223DE">
        <w:rPr>
          <w:rFonts w:ascii="Times New Roman" w:hAnsi="Times New Roman" w:cs="Times New Roman"/>
          <w:sz w:val="24"/>
          <w:szCs w:val="24"/>
        </w:rPr>
        <w:t>: si una acción o política puede causar daños al medio ambiente o a la salud pública, y persiste la incertidumbre científica sobre sus efectos, dicha acción no debe aplicarse hasta que se aporten nuevas pruebas.</w:t>
      </w:r>
    </w:p>
    <w:p w:rsidR="0079680A" w:rsidRPr="00F223DE" w:rsidRDefault="0079680A" w:rsidP="0079680A">
      <w:pPr>
        <w:numPr>
          <w:ilvl w:val="0"/>
          <w:numId w:val="29"/>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La prevención: una herramienta destinada a prevenir los daños medioambientales, en lugar de reaccionar ante ellos. Esto requiere la adopción de medidas preventivas para anticiparse a los daños medioambientales y evitarlos.</w:t>
      </w:r>
    </w:p>
    <w:p w:rsidR="0079680A" w:rsidRPr="00F223DE" w:rsidRDefault="0079680A" w:rsidP="0079680A">
      <w:pPr>
        <w:numPr>
          <w:ilvl w:val="0"/>
          <w:numId w:val="29"/>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lastRenderedPageBreak/>
        <w:t>La corrección de la contaminación en su fuente: de haberse producido ya el daño al medio ambiente, quienes hayan contaminado están obligados a tomar las medidas adecuadas para corregirlo en su fuente.</w:t>
      </w:r>
    </w:p>
    <w:p w:rsidR="0079680A" w:rsidRDefault="0079680A" w:rsidP="0079680A">
      <w:pPr>
        <w:numPr>
          <w:ilvl w:val="0"/>
          <w:numId w:val="29"/>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«Quien contamina paga»: de haberse producido un daño, quienes hayan contaminado están obligados a tomar las medidas adecuadas para remediarlo y a pagar los costes. Se aplica por medio de la </w:t>
      </w:r>
      <w:hyperlink r:id="rId42" w:history="1">
        <w:r w:rsidRPr="00F223DE">
          <w:rPr>
            <w:rStyle w:val="Hipervnculo"/>
            <w:rFonts w:ascii="Times New Roman" w:hAnsi="Times New Roman" w:cs="Times New Roman"/>
            <w:color w:val="auto"/>
            <w:sz w:val="24"/>
            <w:szCs w:val="24"/>
          </w:rPr>
          <w:t>Directiva sobre responsabilidad medioambiental</w:t>
        </w:r>
      </w:hyperlink>
      <w:r w:rsidRPr="00F223DE">
        <w:rPr>
          <w:rFonts w:ascii="Times New Roman" w:hAnsi="Times New Roman" w:cs="Times New Roman"/>
          <w:sz w:val="24"/>
          <w:szCs w:val="24"/>
        </w:rPr>
        <w:t>, cuyo objetivo es prevenir o poner remedio a los daños medioambientales causados a especies o hábitats naturales protegidos, al agua y al suelo.</w:t>
      </w:r>
    </w:p>
    <w:p w:rsidR="00345D74" w:rsidRPr="00345D74" w:rsidRDefault="00345D74" w:rsidP="00345D74">
      <w:pPr>
        <w:shd w:val="clear" w:color="auto" w:fill="FFFFFF"/>
        <w:spacing w:before="100" w:beforeAutospacing="1" w:after="100" w:afterAutospacing="1" w:line="240" w:lineRule="auto"/>
        <w:jc w:val="both"/>
        <w:rPr>
          <w:rFonts w:ascii="Times New Roman" w:hAnsi="Times New Roman" w:cs="Times New Roman"/>
          <w:sz w:val="24"/>
          <w:szCs w:val="24"/>
        </w:rPr>
      </w:pPr>
      <w:r w:rsidRPr="00345D74">
        <w:rPr>
          <w:rFonts w:ascii="Times New Roman" w:hAnsi="Times New Roman" w:cs="Times New Roman"/>
          <w:sz w:val="24"/>
          <w:szCs w:val="24"/>
        </w:rPr>
        <w:t>Marco básico</w:t>
      </w:r>
    </w:p>
    <w:p w:rsidR="00345D74" w:rsidRPr="00F223DE" w:rsidRDefault="00345D74" w:rsidP="00345D74">
      <w:pPr>
        <w:shd w:val="clear" w:color="auto" w:fill="FFFFFF"/>
        <w:spacing w:before="100" w:beforeAutospacing="1" w:after="100" w:afterAutospacing="1" w:line="240" w:lineRule="auto"/>
        <w:jc w:val="both"/>
        <w:rPr>
          <w:rFonts w:ascii="Times New Roman" w:hAnsi="Times New Roman" w:cs="Times New Roman"/>
          <w:sz w:val="24"/>
          <w:szCs w:val="24"/>
        </w:rPr>
      </w:pPr>
      <w:r w:rsidRPr="00345D74">
        <w:rPr>
          <w:rFonts w:ascii="Times New Roman" w:hAnsi="Times New Roman" w:cs="Times New Roman"/>
          <w:sz w:val="24"/>
          <w:szCs w:val="24"/>
        </w:rPr>
        <w:t>A. Programas de Acción en materia de Medio Ambiente</w:t>
      </w:r>
    </w:p>
    <w:p w:rsidR="0079680A" w:rsidRPr="00F223DE" w:rsidRDefault="0079680A" w:rsidP="0079680A">
      <w:pPr>
        <w:pStyle w:val="NormalWeb"/>
        <w:shd w:val="clear" w:color="auto" w:fill="FFFFFF"/>
        <w:spacing w:before="0" w:beforeAutospacing="0"/>
        <w:jc w:val="both"/>
      </w:pPr>
      <w:r w:rsidRPr="00F223DE">
        <w:t>Desde 1973, la Comisión ha formulado Programas de Acción en materia de Medio Ambiente (PMA) que fijan futuras propuestas legislativas y objetivos para la política medioambiental de la Unión. En mayo de 2022 entró en vigor el </w:t>
      </w:r>
      <w:hyperlink r:id="rId43" w:history="1">
        <w:r w:rsidRPr="00F223DE">
          <w:rPr>
            <w:rStyle w:val="Hipervnculo"/>
            <w:color w:val="auto"/>
          </w:rPr>
          <w:t>8.</w:t>
        </w:r>
      </w:hyperlink>
      <w:r w:rsidRPr="00F223DE">
        <w:t>, a raíz de la agenda común de la Unión para la política de medio ambiente acordada jurídicamente hasta finales de 2030. Reafirma la visión para 2050 del 7.</w:t>
      </w:r>
      <w:r w:rsidRPr="00F223DE">
        <w:rPr>
          <w:vertAlign w:val="superscript"/>
        </w:rPr>
        <w:t>o</w:t>
      </w:r>
      <w:r w:rsidRPr="00F223DE">
        <w:t> PMA: garantizar el bienestar para todos respetando los límites del planeta.</w:t>
      </w:r>
    </w:p>
    <w:p w:rsidR="0079680A" w:rsidRPr="00F223DE" w:rsidRDefault="0079680A" w:rsidP="0079680A">
      <w:pPr>
        <w:pStyle w:val="NormalWeb"/>
        <w:shd w:val="clear" w:color="auto" w:fill="FFFFFF"/>
        <w:spacing w:before="0" w:beforeAutospacing="0"/>
        <w:jc w:val="both"/>
      </w:pPr>
      <w:r w:rsidRPr="00F223DE">
        <w:t>El nuevo programa apoya los objetivos medioambientales y climáticos del Pacto Verde Europeo, en los cuales se basa, junto a seis objetivos prioritarios:</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conseguir el objetivo de reducción de emisiones de gases de efecto invernadero para 2030 y la neutralidad climática para 2050;</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mejorar la capacidad de adaptación, reforzar la resiliencia y reducir la vulnerabilidad al cambio climático;</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progresar hacia un modelo de crecimiento regenerativo, desvincular el crecimiento económico del uso de los recursos y la degradación medioambiental y acelerar la transición hacia una economía circular;</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perseguir la ambición de reducir la contaminación a cero, incluida la del aire, el agua y el suelo, así como salvaguardar la salud y el bienestar de los europeos;</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proteger, conservar y recuperar la biodiversidad, y mejorar el capital natural, en particular del aire, el agua, el suelo, los bosques, el agua dulce, los humedales y los ecosistemas marinos, y</w:t>
      </w:r>
    </w:p>
    <w:p w:rsidR="0079680A" w:rsidRPr="00F223DE" w:rsidRDefault="0079680A" w:rsidP="0079680A">
      <w:pPr>
        <w:numPr>
          <w:ilvl w:val="0"/>
          <w:numId w:val="30"/>
        </w:numPr>
        <w:shd w:val="clear" w:color="auto" w:fill="FFFFFF"/>
        <w:spacing w:before="100" w:beforeAutospacing="1" w:after="100" w:afterAutospacing="1" w:line="240" w:lineRule="auto"/>
        <w:jc w:val="both"/>
        <w:rPr>
          <w:rFonts w:ascii="Times New Roman" w:hAnsi="Times New Roman" w:cs="Times New Roman"/>
          <w:sz w:val="24"/>
          <w:szCs w:val="24"/>
        </w:rPr>
      </w:pPr>
      <w:r w:rsidRPr="00F223DE">
        <w:rPr>
          <w:rFonts w:ascii="Times New Roman" w:hAnsi="Times New Roman" w:cs="Times New Roman"/>
          <w:sz w:val="24"/>
          <w:szCs w:val="24"/>
        </w:rPr>
        <w:t>reducir las presiones climáticas y medioambientales asociadas a la producción y el consumo (en particular en los ámbitos de la energía, el desarrollo industrial, la construcción y las infraestructuras, la movilidad y los sistemas alimentarios).</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B.</w:t>
      </w:r>
      <w:r w:rsidRPr="00F223DE">
        <w:t> Estrategias horizontales</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1.</w:t>
      </w:r>
      <w:r w:rsidRPr="00F223DE">
        <w:t> Desarrollo sostenible</w:t>
      </w:r>
    </w:p>
    <w:p w:rsidR="0079680A" w:rsidRPr="00F223DE" w:rsidRDefault="0079680A" w:rsidP="0079680A">
      <w:pPr>
        <w:pStyle w:val="NormalWeb"/>
        <w:shd w:val="clear" w:color="auto" w:fill="FFFFFF"/>
        <w:spacing w:before="0" w:beforeAutospacing="0"/>
        <w:jc w:val="both"/>
      </w:pPr>
      <w:r w:rsidRPr="00F223DE">
        <w:t>La Unión introdujo su primera </w:t>
      </w:r>
      <w:r w:rsidRPr="00F223DE">
        <w:rPr>
          <w:rStyle w:val="Textoennegrita"/>
        </w:rPr>
        <w:t>Estrategia de Desarrollo Sostenible</w:t>
      </w:r>
      <w:r w:rsidRPr="00F223DE">
        <w:t> en 2001, con la que dotó a la Estrategia de Lisboa de una dimensión medioambiental. A raíz de la Agenda 2030 para el Desarrollo Sostenible que adoptó las Naciones Unidas en 2015, la Comisión publicó una</w:t>
      </w:r>
      <w:r w:rsidR="00F223DE">
        <w:t xml:space="preserve"> Comunicación en 2016 titulada “</w:t>
      </w:r>
      <w:hyperlink r:id="rId44" w:history="1">
        <w:r w:rsidRPr="00F223DE">
          <w:rPr>
            <w:rStyle w:val="Hipervnculo"/>
            <w:color w:val="auto"/>
          </w:rPr>
          <w:t>Próximas etapas par</w:t>
        </w:r>
        <w:r w:rsidR="00F223DE">
          <w:rPr>
            <w:rStyle w:val="Hipervnculo"/>
            <w:color w:val="auto"/>
          </w:rPr>
          <w:t>a un futuro europeo sostenible -</w:t>
        </w:r>
        <w:r w:rsidRPr="00F223DE">
          <w:rPr>
            <w:rStyle w:val="Hipervnculo"/>
            <w:color w:val="auto"/>
          </w:rPr>
          <w:t xml:space="preserve"> Acción europea para la sostenibilidad</w:t>
        </w:r>
      </w:hyperlink>
      <w:r w:rsidR="00F223DE">
        <w:t>”</w:t>
      </w:r>
      <w:r w:rsidRPr="00F223DE">
        <w:t>, en la que se perfila la forma en la que integrar los Objetivos de Desarrollo Sostenible (ODS) en las prioridades políticas de la Unión.</w:t>
      </w:r>
    </w:p>
    <w:p w:rsidR="0079680A" w:rsidRPr="00F223DE" w:rsidRDefault="0079680A" w:rsidP="0079680A">
      <w:pPr>
        <w:pStyle w:val="NormalWeb"/>
        <w:shd w:val="clear" w:color="auto" w:fill="FFFFFF"/>
        <w:spacing w:before="0" w:beforeAutospacing="0"/>
        <w:jc w:val="both"/>
      </w:pPr>
      <w:r w:rsidRPr="00F223DE">
        <w:lastRenderedPageBreak/>
        <w:t xml:space="preserve">En enero de 2019, la Comisión presentó un documento de reflexión sobre los Objetivos de </w:t>
      </w:r>
      <w:r w:rsidR="00F223DE">
        <w:t>Desarrollo Sostenible titulado “</w:t>
      </w:r>
      <w:hyperlink r:id="rId45" w:history="1">
        <w:r w:rsidRPr="00F223DE">
          <w:rPr>
            <w:rStyle w:val="Hipervnculo"/>
            <w:color w:val="auto"/>
          </w:rPr>
          <w:t>Una Europa sostenible de aquí a 2030</w:t>
        </w:r>
      </w:hyperlink>
      <w:r w:rsidR="00F223DE">
        <w:t>”</w:t>
      </w:r>
      <w:r w:rsidRPr="00F223DE">
        <w:t>, que presenta tres escenarios para avanzar en pos de estos objetivos. En marzo de 2019, el Parlamento aprobó una </w:t>
      </w:r>
      <w:hyperlink r:id="rId46" w:history="1">
        <w:r w:rsidRPr="00F223DE">
          <w:rPr>
            <w:rStyle w:val="Hipervnculo"/>
            <w:color w:val="auto"/>
          </w:rPr>
          <w:t>Resolución sobre el Informe estratégico anual</w:t>
        </w:r>
      </w:hyperlink>
      <w:r w:rsidRPr="00F223DE">
        <w:t> sobre la implementación y el cumplimiento de los ODS. En su Resolución, el Parlamento expresó su apoyo a uno de los escenarios, que propone orientar todas las acciones de la Unión y de los Estados miembros mediante la definición de metas específicas de aplicación de los ODS. En ella se esbozan resultados concretos para 2030 y se establece un mecanismo para informar del progreso en la consecución de los ODS y supervisarlo.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2.</w:t>
      </w:r>
      <w:r w:rsidRPr="00F223DE">
        <w:t> Biodiversidad</w:t>
      </w:r>
    </w:p>
    <w:p w:rsidR="0079680A" w:rsidRPr="00F223DE" w:rsidRDefault="0079680A" w:rsidP="0079680A">
      <w:pPr>
        <w:pStyle w:val="NormalWeb"/>
        <w:shd w:val="clear" w:color="auto" w:fill="FFFFFF"/>
        <w:spacing w:before="0" w:beforeAutospacing="0"/>
        <w:jc w:val="both"/>
      </w:pPr>
      <w:r w:rsidRPr="00F223DE">
        <w:t>En 2011, la Unión adoptó su Estrategia sobre la Biodiversidad hasta 2020, que refleja los compromisos tomados conforme al Convenio de las Naciones Unidas sobre la Diversidad Biológica, el principal acuerdo internacional en materia de biodiversidad, en el que la Unión es parte. La Comisión presentó en mayo de 2020 su </w:t>
      </w:r>
      <w:hyperlink r:id="rId47" w:history="1">
        <w:r w:rsidRPr="00F223DE">
          <w:rPr>
            <w:rStyle w:val="Hipervnculo"/>
            <w:color w:val="auto"/>
          </w:rPr>
          <w:t>Estrategia de la UE sobre la biodiversidad de aquí a 2030</w:t>
        </w:r>
      </w:hyperlink>
      <w:r w:rsidRPr="00F223DE">
        <w:t>. Se trata de un plan global, ambicioso y a largo plazo para proteger la naturaleza y revertir el proceso de degradación de los ecosistemas. En junio de 2021, el Parlamento respaldó esta estrategia.</w:t>
      </w:r>
    </w:p>
    <w:p w:rsidR="0079680A" w:rsidRPr="00F223DE" w:rsidRDefault="0079680A" w:rsidP="0079680A">
      <w:pPr>
        <w:pStyle w:val="NormalWeb"/>
        <w:shd w:val="clear" w:color="auto" w:fill="FFFFFF"/>
        <w:spacing w:before="0" w:beforeAutospacing="0"/>
        <w:jc w:val="both"/>
      </w:pPr>
      <w:r w:rsidRPr="00F223DE">
        <w:t>En febrero de 2024, el Parlamento aprobó la </w:t>
      </w:r>
      <w:hyperlink r:id="rId48" w:history="1">
        <w:r w:rsidRPr="00F223DE">
          <w:rPr>
            <w:rStyle w:val="Hipervnculo"/>
            <w:color w:val="auto"/>
          </w:rPr>
          <w:t>Ley de Restauración de la Naturaleza</w:t>
        </w:r>
      </w:hyperlink>
      <w:r w:rsidRPr="00F223DE">
        <w:t>, con la que se velará por restaurar al menos el 30 % de las zonas terrestres y marinas de la Unión de aquí a 2030 y el 90 % de todos los ecosistemas que necesiten restauración de aquí a 2050. La ley está actualmente a la espera de que se someta a votación en el Consejo.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3.</w:t>
      </w:r>
      <w:r w:rsidRPr="00F223DE">
        <w:t> Sistemas alimentarios</w:t>
      </w:r>
    </w:p>
    <w:p w:rsidR="00FC30C5" w:rsidRPr="00F223DE" w:rsidRDefault="0079680A" w:rsidP="0079680A">
      <w:pPr>
        <w:pStyle w:val="NormalWeb"/>
        <w:shd w:val="clear" w:color="auto" w:fill="FFFFFF"/>
        <w:spacing w:before="0" w:beforeAutospacing="0"/>
        <w:jc w:val="both"/>
      </w:pPr>
      <w:r w:rsidRPr="00F223DE">
        <w:t xml:space="preserve">En el marco del Pacto Verde Europeo, la Comisión presentó, en mayo de 2020, su Estrategia </w:t>
      </w:r>
      <w:r w:rsidR="00F223DE" w:rsidRPr="00F223DE">
        <w:t>“</w:t>
      </w:r>
      <w:r w:rsidRPr="00F223DE">
        <w:t>De la Granja a la Mesa»</w:t>
      </w:r>
      <w:r w:rsidR="00F223DE">
        <w:t>”</w:t>
      </w:r>
      <w:r w:rsidRPr="00F223DE">
        <w:t xml:space="preserve">, que tiene como objetivo conseguir que los sistemas alimentarios sean justos, saludables y respetuosos con el medio ambiente. </w:t>
      </w:r>
    </w:p>
    <w:p w:rsidR="0079680A" w:rsidRPr="00F223DE" w:rsidRDefault="0079680A" w:rsidP="0079680A">
      <w:pPr>
        <w:pStyle w:val="NormalWeb"/>
        <w:shd w:val="clear" w:color="auto" w:fill="FFFFFF"/>
        <w:spacing w:before="0" w:beforeAutospacing="0"/>
        <w:jc w:val="both"/>
      </w:pPr>
      <w:r w:rsidRPr="00F223DE">
        <w:t>El Parlamento </w:t>
      </w:r>
      <w:hyperlink r:id="rId49" w:history="1">
        <w:r w:rsidRPr="00F223DE">
          <w:rPr>
            <w:rStyle w:val="Hipervnculo"/>
            <w:color w:val="auto"/>
          </w:rPr>
          <w:t>respaldó</w:t>
        </w:r>
      </w:hyperlink>
      <w:r w:rsidRPr="00F223DE">
        <w:t> ampliamente la visión y los objetivos de esta Estrategia en octubre de 2021…</w:t>
      </w:r>
    </w:p>
    <w:p w:rsidR="0079680A" w:rsidRPr="00F223DE" w:rsidRDefault="0079680A" w:rsidP="0079680A">
      <w:pPr>
        <w:shd w:val="clear" w:color="auto" w:fill="FFFFFF"/>
        <w:spacing w:after="100" w:afterAutospacing="1" w:line="240" w:lineRule="auto"/>
        <w:outlineLvl w:val="0"/>
        <w:rPr>
          <w:rFonts w:ascii="Times New Roman" w:eastAsia="Times New Roman" w:hAnsi="Times New Roman" w:cs="Times New Roman"/>
          <w:kern w:val="36"/>
          <w:sz w:val="24"/>
          <w:szCs w:val="24"/>
          <w:u w:val="single"/>
          <w:lang w:eastAsia="es-ES"/>
        </w:rPr>
      </w:pPr>
      <w:r w:rsidRPr="00F223DE">
        <w:rPr>
          <w:rFonts w:ascii="Times New Roman" w:eastAsia="Times New Roman" w:hAnsi="Times New Roman" w:cs="Times New Roman"/>
          <w:kern w:val="36"/>
          <w:sz w:val="24"/>
          <w:szCs w:val="24"/>
          <w:u w:val="single"/>
          <w:lang w:eastAsia="es-ES"/>
        </w:rPr>
        <w:t>La lucha contra el cambio climático</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La Unión Europea es una de las grandes economías líderes en la lucha contra las emisiones de gases de efecto invernadero. En 2020, las emisiones de gases de efecto invernadero de la Unión se redujeron en un 31 % con respecto a los niveles de 1990, lo que superó el objetivo de la Unión de reducir las emisiones en un 20 % para 2020. Guiada por tratados internacionales, como el Protocolo de Kioto, la Unión adoptó numerosas políticas climáticas, como el régimen de comercio de derechos de emisión. La Comisión presentó en 2019 el Pacto Verde Europeo y, desde entonces, se han acordado diferentes medidas destinadas a aumentar el objetivo de reducción de las emisiones de gases de efecto invernadero para 2030 hasta el 55 % y descarbonizar la economía de la Unión para 2050, en consonancia con el Acuerdo de París…</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Objetivos y logros</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Style w:val="font-weight-bold"/>
          <w:rFonts w:ascii="Times New Roman" w:hAnsi="Times New Roman" w:cs="Times New Roman"/>
          <w:sz w:val="24"/>
          <w:szCs w:val="24"/>
          <w:shd w:val="clear" w:color="auto" w:fill="FFFFFF"/>
        </w:rPr>
        <w:t>A.</w:t>
      </w:r>
      <w:r w:rsidRPr="00F223DE">
        <w:rPr>
          <w:rFonts w:ascii="Times New Roman" w:hAnsi="Times New Roman" w:cs="Times New Roman"/>
          <w:sz w:val="24"/>
          <w:szCs w:val="24"/>
          <w:shd w:val="clear" w:color="auto" w:fill="FFFFFF"/>
        </w:rPr>
        <w:t> Iniciativas pasadas de la Unión para luchar contra el cambio climático</w:t>
      </w:r>
    </w:p>
    <w:p w:rsidR="0079680A" w:rsidRPr="00F223DE" w:rsidRDefault="0079680A" w:rsidP="0079680A">
      <w:pPr>
        <w:shd w:val="clear" w:color="auto" w:fill="FFFFFF"/>
        <w:spacing w:after="100" w:afterAutospacing="1" w:line="240" w:lineRule="auto"/>
        <w:jc w:val="both"/>
        <w:rPr>
          <w:rFonts w:ascii="Times New Roman" w:hAnsi="Times New Roman" w:cs="Times New Roman"/>
          <w:sz w:val="24"/>
          <w:szCs w:val="24"/>
          <w:shd w:val="clear" w:color="auto" w:fill="FFFFFF"/>
        </w:rPr>
      </w:pPr>
      <w:r w:rsidRPr="00F223DE">
        <w:rPr>
          <w:rFonts w:ascii="Times New Roman" w:hAnsi="Times New Roman" w:cs="Times New Roman"/>
          <w:sz w:val="24"/>
          <w:szCs w:val="24"/>
          <w:shd w:val="clear" w:color="auto" w:fill="FFFFFF"/>
        </w:rPr>
        <w:lastRenderedPageBreak/>
        <w:t>Las emisiones procedentes de sectores no cubiertos por el RCDE, como el transporte por carretera, los residuos, la agricultura y la construcción, están sujetas a los objetivos anuales vinculantes de reducción de las emisiones de gases de efecto invernadero para cada Estado miembro que quedan dispuestos en el </w:t>
      </w:r>
      <w:hyperlink r:id="rId50" w:history="1">
        <w:r w:rsidRPr="00F223DE">
          <w:rPr>
            <w:rStyle w:val="Hipervnculo"/>
            <w:rFonts w:ascii="Times New Roman" w:hAnsi="Times New Roman" w:cs="Times New Roman"/>
            <w:color w:val="auto"/>
            <w:sz w:val="24"/>
            <w:szCs w:val="24"/>
            <w:shd w:val="clear" w:color="auto" w:fill="FFFFFF"/>
          </w:rPr>
          <w:t>Reglamento de reparto del esfuerzo</w:t>
        </w:r>
      </w:hyperlink>
      <w:r w:rsidR="00F223DE">
        <w:rPr>
          <w:rFonts w:ascii="Times New Roman" w:hAnsi="Times New Roman" w:cs="Times New Roman"/>
          <w:sz w:val="24"/>
          <w:szCs w:val="24"/>
          <w:shd w:val="clear" w:color="auto" w:fill="FFFFFF"/>
        </w:rPr>
        <w:t> (Reglamento (UE) 2018/842)</w:t>
      </w:r>
      <w:r w:rsidRPr="00F223DE">
        <w:rPr>
          <w:rFonts w:ascii="Times New Roman" w:hAnsi="Times New Roman" w:cs="Times New Roman"/>
          <w:sz w:val="24"/>
          <w:szCs w:val="24"/>
          <w:shd w:val="clear" w:color="auto" w:fill="FFFFFF"/>
        </w:rPr>
        <w:t>. El Parlamento y el Consejo acordaron objetivos mínimos para el período 2021-2030 en aras de la meta de la Unión de reducir en un 30 % las emisiones de gases de efecto invernadero en dichos sectores con respecto a 2005, así como para contribuir al logro de los objetivos del Acuerdo de París. Además, cada Estado miembro debe garantizar que las emisiones resultantes del </w:t>
      </w:r>
      <w:hyperlink r:id="rId51" w:history="1">
        <w:r w:rsidRPr="00F223DE">
          <w:rPr>
            <w:rStyle w:val="Hipervnculo"/>
            <w:rFonts w:ascii="Times New Roman" w:hAnsi="Times New Roman" w:cs="Times New Roman"/>
            <w:color w:val="auto"/>
            <w:sz w:val="24"/>
            <w:szCs w:val="24"/>
            <w:shd w:val="clear" w:color="auto" w:fill="FFFFFF"/>
          </w:rPr>
          <w:t>uso de la tierra, el cambio de uso de la tierra y la silvicultura</w:t>
        </w:r>
      </w:hyperlink>
      <w:r w:rsidR="00F223DE">
        <w:rPr>
          <w:rFonts w:ascii="Times New Roman" w:hAnsi="Times New Roman" w:cs="Times New Roman"/>
          <w:sz w:val="24"/>
          <w:szCs w:val="24"/>
          <w:shd w:val="clear" w:color="auto" w:fill="FFFFFF"/>
        </w:rPr>
        <w:t> (Reglamento (UE) 2018/841)</w:t>
      </w:r>
      <w:r w:rsidRPr="00F223DE">
        <w:rPr>
          <w:rFonts w:ascii="Times New Roman" w:hAnsi="Times New Roman" w:cs="Times New Roman"/>
          <w:sz w:val="24"/>
          <w:szCs w:val="24"/>
          <w:shd w:val="clear" w:color="auto" w:fill="FFFFFF"/>
        </w:rPr>
        <w:t xml:space="preserve"> no superan su capacidad de absorción. En otras palabras, los bosques, las tierras agrícolas y los pastizales tendrán que gestionarse de manera sostenible con el fin de absorber de la atmósfera tantos gases de efecto invernadero como sea posible y, al menos, tantos como los emitid</w:t>
      </w:r>
      <w:r w:rsidR="00F223DE">
        <w:rPr>
          <w:rFonts w:ascii="Times New Roman" w:hAnsi="Times New Roman" w:cs="Times New Roman"/>
          <w:sz w:val="24"/>
          <w:szCs w:val="24"/>
          <w:shd w:val="clear" w:color="auto" w:fill="FFFFFF"/>
        </w:rPr>
        <w:t>os en el sector (compromiso de “deuda cero”</w:t>
      </w:r>
      <w:r w:rsidRPr="00F223DE">
        <w:rPr>
          <w:rFonts w:ascii="Times New Roman" w:hAnsi="Times New Roman" w:cs="Times New Roman"/>
          <w:sz w:val="24"/>
          <w:szCs w:val="24"/>
          <w:shd w:val="clear" w:color="auto" w:fill="FFFFFF"/>
        </w:rPr>
        <w:t>), para contribuir así de manera significativa a la lucha contra el cambio climático…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B.</w:t>
      </w:r>
      <w:r w:rsidRPr="00F223DE">
        <w:t> El Pacto Verde Europeo</w:t>
      </w:r>
    </w:p>
    <w:p w:rsidR="0079680A" w:rsidRPr="00F223DE" w:rsidRDefault="0079680A" w:rsidP="0079680A">
      <w:pPr>
        <w:pStyle w:val="NormalWeb"/>
        <w:shd w:val="clear" w:color="auto" w:fill="FFFFFF"/>
        <w:spacing w:before="0" w:beforeAutospacing="0"/>
        <w:jc w:val="both"/>
      </w:pPr>
      <w:r w:rsidRPr="00F223DE">
        <w:t>La Comisión presentó el 11 de diciembre de 2019 el </w:t>
      </w:r>
      <w:hyperlink r:id="rId52" w:history="1">
        <w:r w:rsidRPr="00F223DE">
          <w:rPr>
            <w:rStyle w:val="Hipervnculo"/>
            <w:color w:val="auto"/>
          </w:rPr>
          <w:t>Pacto Verde Europeo</w:t>
        </w:r>
      </w:hyperlink>
      <w:r w:rsidRPr="00F223DE">
        <w:t>, un paquete de calado que prevé medidas concebidas para que la Unión pueda ser neutra en carbono a más tardar en 2050. Dichas medidas, acompañadas de una </w:t>
      </w:r>
      <w:hyperlink r:id="rId53" w:anchor="document2" w:history="1">
        <w:r w:rsidRPr="00F223DE">
          <w:rPr>
            <w:rStyle w:val="Hipervnculo"/>
            <w:color w:val="auto"/>
          </w:rPr>
          <w:t>hoja de ruta de las actuaciones clave</w:t>
        </w:r>
      </w:hyperlink>
      <w:r w:rsidRPr="00F223DE">
        <w:t>, van desde ambiciosas reducciones de las emisiones hasta inversiones en investigación e innovación de vanguardia, pasando por la conservación del entorno natural de Europa. Con el apoyo de inversiones en tecnologías ecológicas, sistemas sostenibles y nuevas empresas, el Pacto Verde pretende, asimismo, ser una nueva estrategia de crecimiento de la Unión para transformarla en una economía sostenible y competitiva. La participación y el compromiso de la ciudadanía y de todas las partes interesadas resulta fundamental para su éxito.</w:t>
      </w:r>
    </w:p>
    <w:p w:rsidR="0079680A" w:rsidRPr="00F223DE" w:rsidRDefault="0079680A" w:rsidP="0079680A">
      <w:pPr>
        <w:pStyle w:val="NormalWeb"/>
        <w:shd w:val="clear" w:color="auto" w:fill="FFFFFF"/>
        <w:spacing w:before="0" w:beforeAutospacing="0"/>
        <w:jc w:val="both"/>
      </w:pPr>
      <w:r w:rsidRPr="00F223DE">
        <w:t>Entre las principales acciones adoptadas en virtud del Pacto Verde Europeo figura la </w:t>
      </w:r>
      <w:hyperlink r:id="rId54" w:history="1">
        <w:r w:rsidRPr="00F223DE">
          <w:rPr>
            <w:rStyle w:val="Hipervnculo"/>
            <w:color w:val="auto"/>
          </w:rPr>
          <w:t>Ley Europea del Clima</w:t>
        </w:r>
      </w:hyperlink>
      <w:r w:rsidR="00F223DE">
        <w:t> (Reglamento (UE) 2021/1119)</w:t>
      </w:r>
      <w:r w:rsidRPr="00F223DE">
        <w:t>, que tiene por objeto lograr que la Unión sea climáticamente neutra en 2050. Dispone, en concreto, el incremento del </w:t>
      </w:r>
      <w:hyperlink r:id="rId55" w:history="1">
        <w:r w:rsidRPr="00F223DE">
          <w:rPr>
            <w:rStyle w:val="Hipervnculo"/>
            <w:color w:val="auto"/>
          </w:rPr>
          <w:t>objetivo para 2030</w:t>
        </w:r>
      </w:hyperlink>
      <w:r w:rsidRPr="00F223DE">
        <w:t> en relación con una reducción de las emisiones de gases de efecto invernadero de al menos el 55 % con respecto a los niveles de 1990. Además, otras propuestas de la Comisión incluyen Comunicaciones sobre el </w:t>
      </w:r>
      <w:hyperlink r:id="rId56" w:history="1">
        <w:r w:rsidRPr="00F223DE">
          <w:rPr>
            <w:rStyle w:val="Hipervnculo"/>
            <w:color w:val="auto"/>
          </w:rPr>
          <w:t>Plan de Inversiones para una Europa Sostenible</w:t>
        </w:r>
      </w:hyperlink>
      <w:r w:rsidRPr="00F223DE">
        <w:t> y el </w:t>
      </w:r>
      <w:hyperlink r:id="rId57" w:history="1">
        <w:r w:rsidRPr="00F223DE">
          <w:rPr>
            <w:rStyle w:val="Hipervnculo"/>
            <w:color w:val="auto"/>
          </w:rPr>
          <w:t>Pacto Europeo por el Clima</w:t>
        </w:r>
      </w:hyperlink>
      <w:r w:rsidRPr="00F223DE">
        <w:t>; propuestas de Reglamentos por los que se establece el </w:t>
      </w:r>
      <w:hyperlink r:id="rId58" w:history="1">
        <w:r w:rsidRPr="00F223DE">
          <w:rPr>
            <w:rStyle w:val="Hipervnculo"/>
            <w:color w:val="auto"/>
          </w:rPr>
          <w:t>Fondo de Transición Justa</w:t>
        </w:r>
      </w:hyperlink>
      <w:r w:rsidRPr="00F223DE">
        <w:t> y se revisan las </w:t>
      </w:r>
      <w:hyperlink r:id="rId59" w:history="1">
        <w:r w:rsidRPr="00F223DE">
          <w:rPr>
            <w:rStyle w:val="Hipervnculo"/>
            <w:color w:val="auto"/>
          </w:rPr>
          <w:t>orientaciones sobre las infraestructuras energéticas transeuropeas</w:t>
        </w:r>
      </w:hyperlink>
      <w:r w:rsidRPr="00F223DE">
        <w:t>; estrategias de la Unión para la </w:t>
      </w:r>
      <w:hyperlink r:id="rId60" w:history="1">
        <w:r w:rsidRPr="00F223DE">
          <w:rPr>
            <w:rStyle w:val="Hipervnculo"/>
            <w:color w:val="auto"/>
          </w:rPr>
          <w:t>Integración del Sistema Energético</w:t>
        </w:r>
      </w:hyperlink>
      <w:r w:rsidRPr="00F223DE">
        <w:t> y sobre el </w:t>
      </w:r>
      <w:hyperlink r:id="rId61" w:history="1">
        <w:r w:rsidRPr="00F223DE">
          <w:rPr>
            <w:rStyle w:val="Hipervnculo"/>
            <w:color w:val="auto"/>
          </w:rPr>
          <w:t>hidrógeno</w:t>
        </w:r>
      </w:hyperlink>
      <w:r w:rsidRPr="00F223DE">
        <w:t>, así como la nueva </w:t>
      </w:r>
      <w:hyperlink r:id="rId62" w:history="1">
        <w:r w:rsidRPr="00F223DE">
          <w:rPr>
            <w:rStyle w:val="Hipervnculo"/>
            <w:color w:val="auto"/>
          </w:rPr>
          <w:t>estrategia de adaptación al cambio climático de la UE</w:t>
        </w:r>
      </w:hyperlink>
      <w:r w:rsidRPr="00F223DE">
        <w:t>.</w:t>
      </w:r>
    </w:p>
    <w:p w:rsidR="0079680A" w:rsidRPr="00F223DE" w:rsidRDefault="0079680A" w:rsidP="0079680A">
      <w:pPr>
        <w:pStyle w:val="NormalWeb"/>
        <w:shd w:val="clear" w:color="auto" w:fill="FFFFFF"/>
        <w:spacing w:before="0" w:beforeAutospacing="0"/>
        <w:jc w:val="both"/>
      </w:pPr>
      <w:r w:rsidRPr="00F223DE">
        <w:t>El 14 de julio de 2021, la Comisión presentó un paquete de propuestas legislativas (nuevas leyes y enmiendas a la legislación existente) con el objetivo de preparar a la Unión para el </w:t>
      </w:r>
      <w:hyperlink r:id="rId63" w:history="1">
        <w:r w:rsidRPr="00F223DE">
          <w:rPr>
            <w:rStyle w:val="Hipervnculo"/>
            <w:color w:val="auto"/>
          </w:rPr>
          <w:t>Objetivo 55</w:t>
        </w:r>
      </w:hyperlink>
      <w:r w:rsidRPr="00F223DE">
        <w:t> y lograr el cambio transformador que la economía, la sociedad y la industria necesitan de cara a alcanzar la neutralidad climática de aquí a 2050</w:t>
      </w:r>
      <w:r w:rsidR="00876A44" w:rsidRPr="00F223DE">
        <w:t>…</w:t>
      </w:r>
    </w:p>
    <w:p w:rsidR="0079680A" w:rsidRPr="00F223DE" w:rsidRDefault="0079680A" w:rsidP="0079680A">
      <w:pPr>
        <w:shd w:val="clear" w:color="auto" w:fill="FFFFFF"/>
        <w:spacing w:after="100" w:afterAutospacing="1" w:line="240" w:lineRule="auto"/>
        <w:jc w:val="both"/>
        <w:outlineLvl w:val="0"/>
        <w:rPr>
          <w:rFonts w:ascii="Times New Roman" w:eastAsia="Times New Roman" w:hAnsi="Times New Roman" w:cs="Times New Roman"/>
          <w:kern w:val="36"/>
          <w:sz w:val="24"/>
          <w:szCs w:val="24"/>
          <w:u w:val="single"/>
          <w:lang w:eastAsia="es-ES"/>
        </w:rPr>
      </w:pPr>
      <w:r w:rsidRPr="00F223DE">
        <w:rPr>
          <w:rFonts w:ascii="Times New Roman" w:eastAsia="Times New Roman" w:hAnsi="Times New Roman" w:cs="Times New Roman"/>
          <w:kern w:val="36"/>
          <w:sz w:val="24"/>
          <w:szCs w:val="24"/>
          <w:u w:val="single"/>
          <w:lang w:eastAsia="es-ES"/>
        </w:rPr>
        <w:t>La biodiversidad, el uso de la tierra y la silvicultura</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 xml:space="preserve">La Unión Europea ha desempeñado un papel importante a escala internacional en la búsqueda de soluciones a problemas como la pérdida de biodiversidad, la deforestación y el cambio climático. La Conferencia de las Naciones Unidas sobre el Medio Ambiente y el Desarrollo de 1992 adoptó el Convenio sobre la Diversidad Biológica. El Acuerdo de París sobre el </w:t>
      </w:r>
      <w:r w:rsidRPr="00F223DE">
        <w:rPr>
          <w:rFonts w:ascii="Times New Roman" w:eastAsia="Times New Roman" w:hAnsi="Times New Roman" w:cs="Times New Roman"/>
          <w:sz w:val="24"/>
          <w:szCs w:val="24"/>
          <w:lang w:eastAsia="es-ES"/>
        </w:rPr>
        <w:lastRenderedPageBreak/>
        <w:t>cambio climático de 2015 señala la importancia de garantizar la integridad de todos los ecosistemas y la protección de la biodiversidad. En el marco del Pacto Verde Europeo, las nuevas estrategias en materia de biodiversidad y bosques para 2030 tienen por objeto encaminar la biodiversidad de Europa hacia la recuperación y apoyar las cadenas de valor sin efectos de deforestación…</w:t>
      </w:r>
    </w:p>
    <w:p w:rsidR="00FC30C5" w:rsidRPr="00F223DE" w:rsidRDefault="00FC30C5" w:rsidP="00FC30C5">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Objetivos y logros</w:t>
      </w:r>
    </w:p>
    <w:p w:rsidR="00FC30C5" w:rsidRPr="00F223DE" w:rsidRDefault="00FC30C5" w:rsidP="00FC30C5">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A. Planes de acción sobre biodiversidad anteriores</w:t>
      </w:r>
    </w:p>
    <w:p w:rsidR="0079680A" w:rsidRPr="00F223DE" w:rsidRDefault="0079680A" w:rsidP="0079680A">
      <w:pPr>
        <w:pStyle w:val="NormalWeb"/>
        <w:shd w:val="clear" w:color="auto" w:fill="FFFFFF"/>
        <w:spacing w:before="0" w:beforeAutospacing="0"/>
        <w:jc w:val="both"/>
      </w:pPr>
      <w:r w:rsidRPr="00F223DE">
        <w:t>En mayo de 2006, la Comisión aprobó la Comunicación titulada </w:t>
      </w:r>
      <w:r w:rsidR="00F223DE" w:rsidRPr="00F223DE">
        <w:t>“</w:t>
      </w:r>
      <w:r w:rsidRPr="00F223DE">
        <w:t>Detener la pérd</w:t>
      </w:r>
      <w:r w:rsidR="00F223DE" w:rsidRPr="00F223DE">
        <w:t>ida de biodiversidad para 2010 -</w:t>
      </w:r>
      <w:r w:rsidRPr="00F223DE">
        <w:t xml:space="preserve"> y más adelante. Respaldar los servicios de los ecosistemas para el bienestar humano»</w:t>
      </w:r>
      <w:r w:rsidR="00F223DE">
        <w:t>”</w:t>
      </w:r>
      <w:r w:rsidRPr="00F223DE">
        <w:t>. Como era improbable que la Unión pudiese cumplir su objetivo de detener la pérdida de biodiversidad para 2010, la Comisión aprobó en junio de 2011 una</w:t>
      </w:r>
      <w:r w:rsidR="00F223DE">
        <w:t xml:space="preserve"> nueva estrategia con vistas a “</w:t>
      </w:r>
      <w:r w:rsidRPr="00F223DE">
        <w:t>detener en 2020 la pérdida de biodiversidad y la degradación de los servicios ecosistémicos de la</w:t>
      </w:r>
      <w:r w:rsidR="00F223DE">
        <w:t> Unión Europea, y restaurarlos (…)</w:t>
      </w:r>
      <w:r w:rsidRPr="00F223DE">
        <w:t xml:space="preserve"> incrementando al mismo tiempo la contribución de la UE a la lucha contra la pérdida de biodiversidad mundial». En diciembre de 2011, el Consejo respaldó la </w:t>
      </w:r>
      <w:hyperlink r:id="rId64" w:history="1">
        <w:r w:rsidRPr="00F223DE">
          <w:rPr>
            <w:rStyle w:val="Hipervnculo"/>
            <w:color w:val="auto"/>
          </w:rPr>
          <w:t>Estrategia de la UE sobre la biodiversidad hasta 2020</w:t>
        </w:r>
      </w:hyperlink>
      <w:r w:rsidRPr="00F223DE">
        <w:t>, que incorporaba seis objetivos: la plena aplicación de la legislación de la Unión en materia de naturaleza para proteger la biodiversidad; una mejor protección de los ecosistemas y un mayor uso de infraestructuras verdes; una agricultura y silvicultura más sostenibles; una mejor gestión de las poblaciones de peces; unos controles más estrictos de las especies exóticas invasoras; y una mayor contribución de la Unión a la lucha contra la pérdida de biodiversidad en el mundo.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B.</w:t>
      </w:r>
      <w:r w:rsidRPr="00F223DE">
        <w:t> Conservación de los hábitats naturales y de la fauna y flora silvestres</w:t>
      </w:r>
    </w:p>
    <w:p w:rsidR="0079680A" w:rsidRPr="00F223DE" w:rsidRDefault="0079680A" w:rsidP="0079680A">
      <w:pPr>
        <w:pStyle w:val="NormalWeb"/>
        <w:shd w:val="clear" w:color="auto" w:fill="FFFFFF"/>
        <w:spacing w:before="0" w:beforeAutospacing="0"/>
        <w:jc w:val="both"/>
      </w:pPr>
      <w:r w:rsidRPr="00F223DE">
        <w:t>La versión modificada de 2013 de la </w:t>
      </w:r>
      <w:hyperlink r:id="rId65" w:history="1">
        <w:r w:rsidRPr="00F223DE">
          <w:rPr>
            <w:rStyle w:val="Hipervnculo"/>
            <w:color w:val="auto"/>
          </w:rPr>
          <w:t>Directiva sobre los hábitats</w:t>
        </w:r>
      </w:hyperlink>
      <w:r w:rsidRPr="00F223DE">
        <w:t> (Directiva 92/43/CEE del Consejo, relativa a la conservación de los hábitats naturales y de la fauna y flora silvestres) estableció la red europea </w:t>
      </w:r>
      <w:hyperlink r:id="rId66" w:history="1">
        <w:r w:rsidRPr="00F223DE">
          <w:rPr>
            <w:rStyle w:val="Hipervnculo"/>
            <w:color w:val="auto"/>
          </w:rPr>
          <w:t>Natura 2000</w:t>
        </w:r>
      </w:hyperlink>
      <w:r w:rsidR="00E02B28">
        <w:t>. Esta red prevé “</w:t>
      </w:r>
      <w:r w:rsidRPr="00F223DE">
        <w:t>lugares de importancia comunitaria» y «z</w:t>
      </w:r>
      <w:r w:rsidR="00E02B28">
        <w:t>onas especiales de conservación”</w:t>
      </w:r>
      <w:r w:rsidRPr="00F223DE">
        <w:t xml:space="preserve"> designadas por los Estados miembros, así como «zonas de protección especial». Con una</w:t>
      </w:r>
      <w:r w:rsidR="00E02B28">
        <w:t xml:space="preserve"> superficie total de más de 850.</w:t>
      </w:r>
      <w:r w:rsidRPr="00F223DE">
        <w:t>000 km</w:t>
      </w:r>
      <w:r w:rsidRPr="00F223DE">
        <w:rPr>
          <w:vertAlign w:val="superscript"/>
        </w:rPr>
        <w:t>2</w:t>
      </w:r>
      <w:r w:rsidRPr="00F223DE">
        <w:t>, se trata de la mayor red armonizada de espacios protegidos del mundo. El objetivo principal de la Directiva sobre los hábitats consiste en favorecer el mantenimiento de la biodiversidad, al tiempo que se tienen en cuenta las exigencias económicas, sociales, culturales y regionales. La </w:t>
      </w:r>
      <w:hyperlink r:id="rId67" w:history="1">
        <w:r w:rsidRPr="00F223DE">
          <w:rPr>
            <w:rStyle w:val="Hipervnculo"/>
            <w:color w:val="auto"/>
          </w:rPr>
          <w:t>Directiva relativa a la conservación de las aves silvestres</w:t>
        </w:r>
      </w:hyperlink>
      <w:r w:rsidRPr="00F223DE">
        <w:t> (2009/147/CE), en su versión modificada de 2019, abarca la protección, la gestión y el control de las aves (silvestres) y prevé normas para lograr una caza sostenible…</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F.</w:t>
      </w:r>
      <w:r w:rsidRPr="00F223DE">
        <w:t> Biodiversidad del medio marino</w:t>
      </w:r>
    </w:p>
    <w:p w:rsidR="0079680A" w:rsidRPr="00F223DE" w:rsidRDefault="0079680A" w:rsidP="0079680A">
      <w:pPr>
        <w:pStyle w:val="NormalWeb"/>
        <w:shd w:val="clear" w:color="auto" w:fill="FFFFFF"/>
        <w:spacing w:before="0" w:beforeAutospacing="0"/>
        <w:jc w:val="both"/>
      </w:pPr>
      <w:r w:rsidRPr="00F223DE">
        <w:t>La diversidad biológica en el medio marino se enmarca en los planes de acción sobre biodiversidad para la conservación de los recursos naturales y la pesca. La revisión de la estrategia de la UE sobre la biodiversidad subraya la importancia del buen estado ecológico de mares y zonas costeras para que puedan favorecer la biodiversidad. Además, la </w:t>
      </w:r>
      <w:hyperlink r:id="rId68" w:history="1">
        <w:r w:rsidRPr="00F223DE">
          <w:rPr>
            <w:rStyle w:val="Hipervnculo"/>
            <w:color w:val="auto"/>
          </w:rPr>
          <w:t>Directiva marco sobre la estrategia marina</w:t>
        </w:r>
      </w:hyperlink>
      <w:r w:rsidRPr="00F223DE">
        <w:t> (2008/56/CE), en su versión modificada por la </w:t>
      </w:r>
      <w:hyperlink r:id="rId69" w:anchor=":~:text=Commission%20Directive%20(EU)%202017%2F,(Text%20with%20EEA%20relevance.%20)" w:history="1">
        <w:r w:rsidRPr="00F223DE">
          <w:rPr>
            <w:rStyle w:val="Hipervnculo"/>
            <w:color w:val="auto"/>
          </w:rPr>
          <w:t>Directiva (UE) 2017/845</w:t>
        </w:r>
      </w:hyperlink>
      <w:r w:rsidRPr="00F223DE">
        <w:t>, relativa a la protección y conservación del medio marino, entró en vigor en julio de 2008. Tenía por objeto garantizar el buen estado de las aguas marinas de la Unión para 2020 y proteger la base de recursos de la que dependen las actividades económicas y sociales relacionadas con el medio marino.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lastRenderedPageBreak/>
        <w:t>G.</w:t>
      </w:r>
      <w:r w:rsidRPr="00F223DE">
        <w:t> Bosques</w:t>
      </w:r>
    </w:p>
    <w:p w:rsidR="0079680A" w:rsidRPr="00F223DE" w:rsidRDefault="0079680A" w:rsidP="0079680A">
      <w:pPr>
        <w:pStyle w:val="NormalWeb"/>
        <w:shd w:val="clear" w:color="auto" w:fill="FFFFFF"/>
        <w:spacing w:before="0" w:beforeAutospacing="0"/>
        <w:jc w:val="both"/>
      </w:pPr>
      <w:r w:rsidRPr="00F223DE">
        <w:t>Los bosques suponen casi el 30 % de la superficie de la red Natura 2000. La Unión tiene cerca de 182 millones de hectáreas de bosques, que cubren el 43 % de su superficie terrestre y, por tanto, ha adoptado varias medidas destinadas a protegerlos. El </w:t>
      </w:r>
      <w:hyperlink r:id="rId70" w:history="1">
        <w:r w:rsidRPr="00F223DE">
          <w:rPr>
            <w:rStyle w:val="Hipervnculo"/>
            <w:color w:val="auto"/>
          </w:rPr>
          <w:t>Reglamento sobre la madera</w:t>
        </w:r>
      </w:hyperlink>
      <w:r w:rsidRPr="00F223DE">
        <w:t> (Reglamento (UE) n.</w:t>
      </w:r>
      <w:r w:rsidRPr="00F223DE">
        <w:rPr>
          <w:vertAlign w:val="superscript"/>
        </w:rPr>
        <w:t>o</w:t>
      </w:r>
      <w:r w:rsidRPr="00F223DE">
        <w:t> 995/2010) establece las obligaciones de los agentes que comercializan madera y productos de la madera en el mercado de la Unión. Combate el comercio de madera obtenida ilegalmente o de productos derivados de esa madera mediante una serie de obligaciones clave y prohíbe su venta.</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H.</w:t>
      </w:r>
      <w:r w:rsidRPr="00F223DE">
        <w:t> Uso de la tierra, cambio de uso de la tierra y silvicultura (UTCUTS)</w:t>
      </w:r>
    </w:p>
    <w:p w:rsidR="0079680A" w:rsidRPr="00F223DE" w:rsidRDefault="0079680A" w:rsidP="0079680A">
      <w:pPr>
        <w:pStyle w:val="NormalWeb"/>
        <w:shd w:val="clear" w:color="auto" w:fill="FFFFFF"/>
        <w:spacing w:before="0" w:beforeAutospacing="0"/>
        <w:jc w:val="both"/>
      </w:pPr>
      <w:r w:rsidRPr="00F223DE">
        <w:t>El sector UTCUTS abarca el uso de la tierra, los árboles, las plantas, la biomasa y la madera. No solo es capaz de emitir gases de efecto invernadero, sino también de absorber CO</w:t>
      </w:r>
      <w:r w:rsidRPr="00F223DE">
        <w:rPr>
          <w:vertAlign w:val="subscript"/>
        </w:rPr>
        <w:t>2</w:t>
      </w:r>
      <w:r w:rsidRPr="00F223DE">
        <w:t> de la atmósfera. Hasta 2020, los Estados miembros se comprometieron, en virtud del Protocolo de Kioto, a garantizar que las emisiones de gases de efecto invernadero procedentes del uso de la tierra se compensaran con una absorción equivalente de CO</w:t>
      </w:r>
      <w:r w:rsidRPr="00F223DE">
        <w:rPr>
          <w:vertAlign w:val="subscript"/>
        </w:rPr>
        <w:t>2</w:t>
      </w:r>
      <w:r w:rsidRPr="00F223DE">
        <w:t>. Ahora, la Unión aspira a consagrar este principi</w:t>
      </w:r>
      <w:r w:rsidR="00E02B28">
        <w:t>o (el denominado compromiso de “deuda cero”</w:t>
      </w:r>
      <w:r w:rsidRPr="00F223DE">
        <w:t>) en su legislación para el período 2021-2030, mediante la incorporación del UTCUTS en los esfuerzos de reducción de las emisiones de la Unión. De conformidad con el </w:t>
      </w:r>
      <w:hyperlink r:id="rId71" w:history="1">
        <w:r w:rsidRPr="00F223DE">
          <w:rPr>
            <w:rStyle w:val="Hipervnculo"/>
            <w:color w:val="auto"/>
          </w:rPr>
          <w:t>Reglamento (UE) n.</w:t>
        </w:r>
      </w:hyperlink>
      <w:r w:rsidRPr="00F223DE">
        <w:t> sobre la inclusión de las emisiones y absorciones de gases de efecto invernadero resultantes del sector UTCUTS en el marco de actuación en materia de clima y energía hasta 2030, las emisiones de gases de efecto invernadero procedentes del sector UTCUTS deben compensarse con, al menos, una absorción equivalente de CO</w:t>
      </w:r>
      <w:r w:rsidRPr="00F223DE">
        <w:rPr>
          <w:vertAlign w:val="subscript"/>
        </w:rPr>
        <w:t>2</w:t>
      </w:r>
      <w:r w:rsidRPr="00F223DE">
        <w:t> de la atmósfera durante el período 2021-2030. El </w:t>
      </w:r>
      <w:hyperlink r:id="rId72" w:history="1">
        <w:r w:rsidRPr="00F223DE">
          <w:rPr>
            <w:rStyle w:val="Hipervnculo"/>
            <w:color w:val="auto"/>
          </w:rPr>
          <w:t>Reglamento UTCUTS</w:t>
        </w:r>
      </w:hyperlink>
      <w:r w:rsidRPr="00F223DE">
        <w:t> se modificó en abril de 2023 (Reglamento (UE) 2023/839) para determinar un nuevo objetivo para 2030 en consonancia con el Pacto Verde Europeo. En particular, el objetivo es expandir los sumideros de carbono de la Unión en un 15 %, lo que corresponde a 310 millones de toneladas equivalentes de CO</w:t>
      </w:r>
      <w:r w:rsidRPr="00F223DE">
        <w:rPr>
          <w:vertAlign w:val="subscript"/>
        </w:rPr>
        <w:t>2</w:t>
      </w:r>
      <w:r w:rsidRPr="00F223DE">
        <w:t>. En mayo de 2023, un </w:t>
      </w:r>
      <w:hyperlink r:id="rId73" w:history="1">
        <w:r w:rsidRPr="00F223DE">
          <w:rPr>
            <w:rStyle w:val="Hipervnculo"/>
            <w:color w:val="auto"/>
          </w:rPr>
          <w:t>documento de orientación de la Comisión</w:t>
        </w:r>
      </w:hyperlink>
      <w:r w:rsidRPr="00F223DE">
        <w:t> ayudó a los Estados miembros a adaptar el uso de la tierra, la silvicultura y la agricultura a los planes nacionales actualizados de energía y clima, garantizando el cumplimiento de la normativa revisada…</w:t>
      </w:r>
    </w:p>
    <w:p w:rsidR="0079680A" w:rsidRPr="00F223DE" w:rsidRDefault="0079680A" w:rsidP="0079680A">
      <w:pPr>
        <w:shd w:val="clear" w:color="auto" w:fill="FFFFFF"/>
        <w:spacing w:after="100" w:afterAutospacing="1" w:line="240" w:lineRule="auto"/>
        <w:jc w:val="both"/>
        <w:outlineLvl w:val="0"/>
        <w:rPr>
          <w:rFonts w:ascii="Times New Roman" w:eastAsia="Times New Roman" w:hAnsi="Times New Roman" w:cs="Times New Roman"/>
          <w:kern w:val="36"/>
          <w:sz w:val="24"/>
          <w:szCs w:val="24"/>
          <w:u w:val="single"/>
          <w:lang w:eastAsia="es-ES"/>
        </w:rPr>
      </w:pPr>
      <w:r w:rsidRPr="00F223DE">
        <w:rPr>
          <w:rFonts w:ascii="Times New Roman" w:eastAsia="Times New Roman" w:hAnsi="Times New Roman" w:cs="Times New Roman"/>
          <w:kern w:val="36"/>
          <w:sz w:val="24"/>
          <w:szCs w:val="24"/>
          <w:u w:val="single"/>
          <w:lang w:eastAsia="es-ES"/>
        </w:rPr>
        <w:t>Los productos químicos y los plaguicidas</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La legislación de la Unión Europea sobre productos químicos y plaguicidas está orientada a proteger la salud humana y el medio ambiente y evitar obstáculos al comercio. Está compuesta de normas que regulan la comercialización y el uso de distintas categorías de productos químicos, de un conjunto de restricciones armonizadas sobre la introducción en el mercado y la utilización de sustancias peligrosas, y de protocolos para tratar los accidentes graves y las exportaciones de sustancias peligrosas. Los dos logros más importantes a escala de la Unión son el Reglamento CLP y el Reglamento REACH. En el marco del Pacto Verde Europeo y, en particular, de las Estrategias de sostenibilidad para las sustancias químicas, «De la Granja a la Mesa» y sobre Biodiversidad, la normativa de la Unión relativa a los productos químicos y los plaguicidas es actualmente objeto de un proceso de revisión…</w:t>
      </w:r>
    </w:p>
    <w:p w:rsidR="0079680A" w:rsidRPr="00F223DE" w:rsidRDefault="0079680A" w:rsidP="0079680A">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F223DE">
        <w:rPr>
          <w:rFonts w:ascii="Times New Roman" w:eastAsia="Times New Roman" w:hAnsi="Times New Roman" w:cs="Times New Roman"/>
          <w:sz w:val="24"/>
          <w:szCs w:val="24"/>
          <w:lang w:eastAsia="es-ES"/>
        </w:rPr>
        <w:t>Objetivos y logros</w:t>
      </w:r>
    </w:p>
    <w:p w:rsidR="0079680A" w:rsidRPr="00F223DE" w:rsidRDefault="0079680A" w:rsidP="0079680A">
      <w:pPr>
        <w:pStyle w:val="NormalWeb"/>
        <w:shd w:val="clear" w:color="auto" w:fill="FFFFFF"/>
        <w:spacing w:before="0" w:beforeAutospacing="0"/>
      </w:pPr>
      <w:r w:rsidRPr="00F223DE">
        <w:rPr>
          <w:rStyle w:val="font-weight-bold"/>
          <w:rFonts w:eastAsiaTheme="majorEastAsia"/>
        </w:rPr>
        <w:t>E.</w:t>
      </w:r>
      <w:r w:rsidRPr="00F223DE">
        <w:t> Uso sostenible de los plaguicidas</w:t>
      </w:r>
    </w:p>
    <w:p w:rsidR="0079680A" w:rsidRPr="00F223DE" w:rsidRDefault="0079680A" w:rsidP="0079680A">
      <w:pPr>
        <w:pStyle w:val="NormalWeb"/>
        <w:shd w:val="clear" w:color="auto" w:fill="FFFFFF"/>
        <w:spacing w:before="0" w:beforeAutospacing="0"/>
        <w:jc w:val="both"/>
      </w:pPr>
      <w:r w:rsidRPr="00F223DE">
        <w:lastRenderedPageBreak/>
        <w:t>Las sustancias a las que se recurre para la reducción, erradicación y prevención de organismos considerados nocivos quedan abarcadas por el concepto «plaguicidas», el cual incluye tanto los productos fitosanitarios, aplicados en los vegetales en la agricultura, la horticultura, y los parques y jardines, como los biocidas, aplicados para otros usos, por ejemplo, como desinfectantes o para proteger materiales. En 2009 se adoptó un paquete de medidas sobre los plaguicidas compuesto por La </w:t>
      </w:r>
      <w:hyperlink r:id="rId74" w:history="1">
        <w:r w:rsidRPr="00F223DE">
          <w:rPr>
            <w:rStyle w:val="Hipervnculo"/>
            <w:color w:val="auto"/>
          </w:rPr>
          <w:t>Directiva 2009/128/CE</w:t>
        </w:r>
      </w:hyperlink>
      <w:r w:rsidRPr="00F223DE">
        <w:t> relativa al uso sostenible de los plaguicidas, orientada a reducir los riesgos ambientales y sanitarios y a mantener la productividad de los cultivos y mejorar el control del uso y distribución de plaguicidas; el </w:t>
      </w:r>
      <w:hyperlink r:id="rId75" w:history="1">
        <w:r w:rsidRPr="00F223DE">
          <w:rPr>
            <w:rStyle w:val="Hipervnculo"/>
            <w:color w:val="auto"/>
          </w:rPr>
          <w:t>Reglamento (CE) n.</w:t>
        </w:r>
      </w:hyperlink>
      <w:r w:rsidRPr="00F223DE">
        <w:t> relativo a la comercialización de productos fitosanitarios, y el </w:t>
      </w:r>
      <w:hyperlink r:id="rId76" w:history="1">
        <w:r w:rsidRPr="00F223DE">
          <w:rPr>
            <w:rStyle w:val="Hipervnculo"/>
            <w:color w:val="auto"/>
          </w:rPr>
          <w:t>Reglamento (CE) n.</w:t>
        </w:r>
      </w:hyperlink>
      <w:r w:rsidRPr="00F223DE">
        <w:t> relativo a las estadísticas de plaguicidas, que dispone normas para la recopilación de información sobre las cantidades anuales de plaguicidas comercializadas y utilizadas en cada Estado miembro.</w:t>
      </w:r>
    </w:p>
    <w:p w:rsidR="0079680A" w:rsidRPr="00F223DE" w:rsidRDefault="0079680A" w:rsidP="0079680A">
      <w:pPr>
        <w:pStyle w:val="NormalWeb"/>
        <w:shd w:val="clear" w:color="auto" w:fill="FFFFFF"/>
        <w:spacing w:before="0" w:beforeAutospacing="0"/>
        <w:jc w:val="both"/>
      </w:pPr>
      <w:r w:rsidRPr="00F223DE">
        <w:t>La Directiva relativa al uso sostenible de los plaguicidas obligaba a los Estados miembros a adoptar planes de acción nacionales para fijar objetivos cuantitativos, metas, medidas y calendarios al objeto de reducir los riesgos y los efectos de la utilización de plaguicidas en la salud humana y en el medio ambiente. En el informe de 25 de mayo de 2020 sobre la aplicación de esta Directiva se puso de manifiesto que menos de un tercio de los Estados miembros había completado la revisión de sus planes de acción nacionales dentro del plazo legal de cinco años (y la mayoría de ellos no había subsanado las deficiencias detectadas por la Comisión en los planes de acción nacionales iniciales).</w:t>
      </w:r>
    </w:p>
    <w:p w:rsidR="0079680A" w:rsidRPr="00F223DE" w:rsidRDefault="0079680A" w:rsidP="0079680A">
      <w:pPr>
        <w:pStyle w:val="NormalWeb"/>
        <w:shd w:val="clear" w:color="auto" w:fill="FFFFFF"/>
        <w:spacing w:before="0" w:beforeAutospacing="0"/>
        <w:jc w:val="both"/>
      </w:pPr>
      <w:r w:rsidRPr="00F223DE">
        <w:t>Desde 2015 hay polémica en torno a la renovación de la aprobación del glifosato, una de las sustancias activas más habituales en herbicidas de amplio espectro en todo el mundo, como consecuencia de las </w:t>
      </w:r>
      <w:hyperlink r:id="rId77" w:history="1">
        <w:r w:rsidRPr="00F223DE">
          <w:rPr>
            <w:rStyle w:val="Hipervnculo"/>
            <w:color w:val="auto"/>
          </w:rPr>
          <w:t>evaluaciones divergentes</w:t>
        </w:r>
      </w:hyperlink>
      <w:r w:rsidRPr="00F223DE">
        <w:t> de su carcinogenicidad de la Organización Mundial de la Salud (OMS), la Autoridad Europea de Seguridad Alimentaria (EFSA) y la ECHA. Finalmente, en diciembre de 2017 la Comisión renovó la aprobación del glifosato por un período de cinco años y, el 19 de septiembre de 2023, presentó una </w:t>
      </w:r>
      <w:hyperlink r:id="rId78" w:anchor="proposal-ms" w:history="1">
        <w:r w:rsidRPr="00F223DE">
          <w:rPr>
            <w:rStyle w:val="Hipervnculo"/>
            <w:color w:val="auto"/>
          </w:rPr>
          <w:t>propuesta de Reglamento</w:t>
        </w:r>
      </w:hyperlink>
      <w:r w:rsidRPr="00F223DE">
        <w:t> para prorrogar su aprobación otros diez.</w:t>
      </w:r>
    </w:p>
    <w:p w:rsidR="0079680A" w:rsidRPr="00F223DE" w:rsidRDefault="0079680A" w:rsidP="0079680A">
      <w:pPr>
        <w:pStyle w:val="NormalWeb"/>
        <w:shd w:val="clear" w:color="auto" w:fill="FFFFFF"/>
        <w:spacing w:before="0" w:beforeAutospacing="0"/>
        <w:jc w:val="both"/>
      </w:pPr>
      <w:r w:rsidRPr="00F223DE">
        <w:t>En el marco del Pacto Verde Europeo y, en particular, de sus Estrategias </w:t>
      </w:r>
      <w:hyperlink r:id="rId79" w:history="1">
        <w:r w:rsidRPr="00F223DE">
          <w:rPr>
            <w:rStyle w:val="Hipervnculo"/>
            <w:color w:val="auto"/>
          </w:rPr>
          <w:t>«De la Granja a la Mesa»</w:t>
        </w:r>
      </w:hyperlink>
      <w:r w:rsidRPr="00F223DE">
        <w:t> y sobre </w:t>
      </w:r>
      <w:hyperlink r:id="rId80" w:history="1">
        <w:r w:rsidRPr="00F223DE">
          <w:rPr>
            <w:rStyle w:val="Hipervnculo"/>
            <w:color w:val="auto"/>
          </w:rPr>
          <w:t>Biodiversidad</w:t>
        </w:r>
      </w:hyperlink>
      <w:r w:rsidRPr="00F223DE">
        <w:t>, la Comisión adoptará medidas para reducir un 50 % para 2030 el uso y el riesgo de los plaguicidas químicos. A tal fin, el 22 de junio de 2022 la Comisión </w:t>
      </w:r>
      <w:hyperlink r:id="rId81" w:history="1">
        <w:r w:rsidRPr="00F223DE">
          <w:rPr>
            <w:rStyle w:val="Hipervnculo"/>
            <w:color w:val="auto"/>
          </w:rPr>
          <w:t>aprobó la propuesta</w:t>
        </w:r>
      </w:hyperlink>
      <w:r w:rsidRPr="00F223DE">
        <w:t> de revisión de la Directiva relativa al uso sostenible de los plaguicidas y promoción de un mayor uso de formas alternativas para proteger las cosechas frente a plagas y enfermedades. Sin embargo, la </w:t>
      </w:r>
      <w:hyperlink r:id="rId82" w:history="1">
        <w:r w:rsidRPr="00F223DE">
          <w:rPr>
            <w:rStyle w:val="Hipervnculo"/>
            <w:color w:val="auto"/>
          </w:rPr>
          <w:t>propuesta de Reglamento sobre el uso sostenible de los productos fitosanitarios</w:t>
        </w:r>
      </w:hyperlink>
      <w:r w:rsidRPr="00F223DE">
        <w:t> fue rechazada por el Parlamento en noviembre de 2023, y en febrero de 2024 la Comisión retiró la propuesta ante las labores de sensibilización.</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F.</w:t>
      </w:r>
      <w:r w:rsidRPr="00F223DE">
        <w:t> Biocidas</w:t>
      </w:r>
    </w:p>
    <w:p w:rsidR="0079680A" w:rsidRPr="00F223DE" w:rsidRDefault="0079680A" w:rsidP="0079680A">
      <w:pPr>
        <w:pStyle w:val="NormalWeb"/>
        <w:shd w:val="clear" w:color="auto" w:fill="FFFFFF"/>
        <w:spacing w:before="0" w:beforeAutospacing="0"/>
        <w:jc w:val="both"/>
      </w:pPr>
      <w:r w:rsidRPr="00F223DE">
        <w:t>Los biocidas, como los desinfectantes antibacterianos y los insecticidas, son esenciales para tratar organismos nocivos que afectan a la salud humana y animal. Sin embargo, pueden plantear riesgos para las personas, los animales y el medio ambiente. El </w:t>
      </w:r>
      <w:hyperlink r:id="rId83" w:history="1">
        <w:r w:rsidRPr="00F223DE">
          <w:rPr>
            <w:rStyle w:val="Hipervnculo"/>
            <w:color w:val="auto"/>
          </w:rPr>
          <w:t>Reglamento (UE) n.</w:t>
        </w:r>
      </w:hyperlink>
      <w:r w:rsidRPr="00F223DE">
        <w:t xml:space="preserve"> simplificó los mecanismos de autorización y potenció el papel de la ECHA en la revisión de la aprobación de los expedientes basándose en condiciones más estrictas, lo que establece controles sobre la comercialización y el uso de biocidas concebidos para gestionar los riesgos asociados para el medio ambiente y la salud humana y animal. Estas sustancias solo reciben autorización si figuran en una lista positiva, mientras que a los productos </w:t>
      </w:r>
      <w:r w:rsidRPr="00F223DE">
        <w:lastRenderedPageBreak/>
        <w:t>químicos más tóxicos se aplica una prohibición. Según el principio del reconocimiento mutuo, toda sustancia autorizada en un Estado miembro puede utilizarse en toda la Unión Europea. En el </w:t>
      </w:r>
      <w:hyperlink r:id="rId84" w:history="1">
        <w:r w:rsidRPr="00F223DE">
          <w:rPr>
            <w:rStyle w:val="Hipervnculo"/>
            <w:color w:val="auto"/>
          </w:rPr>
          <w:t>Reglamento (CE) n.</w:t>
        </w:r>
      </w:hyperlink>
      <w:r w:rsidRPr="00F223DE">
        <w:t> se establecen criterios científicos para la determinación de las propiedades de alteración endocrina tanto de los biocidas como de los productos fitosanitarios.</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G.</w:t>
      </w:r>
      <w:r w:rsidRPr="00F223DE">
        <w:t> Contaminantes orgánicos persistentes (COP)</w:t>
      </w:r>
    </w:p>
    <w:p w:rsidR="0079680A" w:rsidRPr="00F223DE" w:rsidRDefault="0079680A" w:rsidP="0079680A">
      <w:pPr>
        <w:pStyle w:val="NormalWeb"/>
        <w:shd w:val="clear" w:color="auto" w:fill="FFFFFF"/>
        <w:spacing w:before="0" w:beforeAutospacing="0"/>
        <w:jc w:val="both"/>
      </w:pPr>
      <w:r w:rsidRPr="00F223DE">
        <w:t>Los COP son sustancias químicas que permanecen en el medio ambiente debido a su resistencia a las distintas formas de degradación (química, biológica, etc.); se bioacumulan a través de la cadena trófica y pueden tener efectos adversos para la salud humana y el medio ambiente. Este grupo de contaminantes prioritarios consta de plaguicidas (como el DDT), productos químicos industriales (como los policlorobifenilos o PCB) y subproductos accidentales de procesos industriales (como las dioxinas y los furanos). La Unión se ha comprometido a nivel internacional con el control del tratamiento, la exportación y la importación de los COP en el marco del Protocolo de Aarhus (en vigor desde 2003) y el Convenio de Estocolmo sobre COP (en vigor desde 2004). Además, la Unión ha avanzado también con el </w:t>
      </w:r>
      <w:hyperlink r:id="rId85" w:history="1">
        <w:r w:rsidRPr="00F223DE">
          <w:rPr>
            <w:rStyle w:val="Hipervnculo"/>
            <w:color w:val="auto"/>
          </w:rPr>
          <w:t>Reglamento (CE) n.</w:t>
        </w:r>
      </w:hyperlink>
      <w:r w:rsidRPr="00F223DE">
        <w:t>, que complementa la legislación europea anterior sobre COP y la alinea con las disposiciones de los acuerdos internacionales sobre esta misma materia.</w:t>
      </w:r>
    </w:p>
    <w:p w:rsidR="0079680A" w:rsidRPr="00F223DE" w:rsidRDefault="0079680A" w:rsidP="0079680A">
      <w:pPr>
        <w:pStyle w:val="NormalWeb"/>
        <w:shd w:val="clear" w:color="auto" w:fill="FFFFFF"/>
        <w:spacing w:before="0" w:beforeAutospacing="0"/>
        <w:jc w:val="both"/>
      </w:pPr>
      <w:r w:rsidRPr="00F223DE">
        <w:t>En la versión refundida del </w:t>
      </w:r>
      <w:hyperlink r:id="rId86" w:history="1">
        <w:r w:rsidRPr="00F223DE">
          <w:rPr>
            <w:rStyle w:val="Hipervnculo"/>
            <w:color w:val="auto"/>
          </w:rPr>
          <w:t>Reglamento (UE) 2019/1021</w:t>
        </w:r>
      </w:hyperlink>
      <w:r w:rsidRPr="00F223DE">
        <w:t>, que contiene todas las modificaciones y rectificaciones del Reglamento sobre COP hasta el 25 de junio de 2019, En lo que respecta al «contaminante en trazas no intencionales», el límite que se establece es de 10 mg/kg para las sustancias recogidas en el anexo I del Reglamento. En 2021 la Comisión adoptó la propuesta de </w:t>
      </w:r>
      <w:hyperlink r:id="rId87" w:history="1">
        <w:r w:rsidRPr="00F223DE">
          <w:rPr>
            <w:rStyle w:val="Hipervnculo"/>
            <w:color w:val="auto"/>
          </w:rPr>
          <w:t>revisión de los anexos IV y V del Reglamento COP</w:t>
        </w:r>
      </w:hyperlink>
      <w:r w:rsidRPr="00F223DE">
        <w:t>, con el fin de abordar los efectos negativos de la presencia de determinadas sustancias COP en los residuos y en los materiales que podrían recuperarse a partir de los mismos. En consecuencia, una mejor gestión de los residuos también debería minimizar las emisiones de COP a la atmósfera, el agua y el suelo.</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H.</w:t>
      </w:r>
      <w:r w:rsidRPr="00F223DE">
        <w:t> Amianto</w:t>
      </w:r>
    </w:p>
    <w:p w:rsidR="0079680A" w:rsidRPr="00F223DE" w:rsidRDefault="0079680A" w:rsidP="0079680A">
      <w:pPr>
        <w:pStyle w:val="NormalWeb"/>
        <w:shd w:val="clear" w:color="auto" w:fill="FFFFFF"/>
        <w:spacing w:before="0" w:beforeAutospacing="0"/>
        <w:jc w:val="both"/>
      </w:pPr>
      <w:r w:rsidRPr="00F223DE">
        <w:t>El amianto es un mineral fibroso cuya inhalación resulta peligrosa. Por su resistencia al fuego y al calor, antiguamente era de uso generalizado para el aislamiento y otros fines. La Directiva 1999/77/CE impuso la prohibición del empleo del amianto, vigente en la Unión desde el 1 de enero de 2005. Además, la extracción, la fabricación y el tratamiento de los productos del amianto quedan prohibidos por la Directiva 2003/18/CE, derogada por la </w:t>
      </w:r>
      <w:hyperlink r:id="rId88" w:history="1">
        <w:r w:rsidRPr="00F223DE">
          <w:rPr>
            <w:rStyle w:val="Hipervnculo"/>
            <w:color w:val="auto"/>
          </w:rPr>
          <w:t>Directiva 2009/148/CE</w:t>
        </w:r>
      </w:hyperlink>
      <w:r w:rsidRPr="00F223DE">
        <w:t>, que establece también estrategias en cuanto a los programas de eliminación que deben ser puestas en práctica por los Estados miembros. El 28 de septiembre de 2022 la Comisión presentó un enfoque global para proteger mejor a las personas y al medio ambiente frente al amianto. El paquete incluye una </w:t>
      </w:r>
      <w:hyperlink r:id="rId89" w:history="1">
        <w:r w:rsidRPr="00F223DE">
          <w:rPr>
            <w:rStyle w:val="Hipervnculo"/>
            <w:color w:val="auto"/>
          </w:rPr>
          <w:t>Comunicación sobre un futuro sin amianto</w:t>
        </w:r>
      </w:hyperlink>
      <w:r w:rsidRPr="00F223DE">
        <w:t> y una </w:t>
      </w:r>
      <w:hyperlink r:id="rId90" w:history="1">
        <w:r w:rsidRPr="00F223DE">
          <w:rPr>
            <w:rStyle w:val="Hipervnculo"/>
            <w:color w:val="auto"/>
          </w:rPr>
          <w:t>propuesta de modificación de la Directiva sobre el amianto en el trabajo</w:t>
        </w:r>
      </w:hyperlink>
      <w:r w:rsidRPr="00F223DE">
        <w:t>.</w:t>
      </w:r>
    </w:p>
    <w:p w:rsidR="0079680A" w:rsidRPr="00F223DE" w:rsidRDefault="0079680A" w:rsidP="0079680A">
      <w:pPr>
        <w:pStyle w:val="NormalWeb"/>
        <w:shd w:val="clear" w:color="auto" w:fill="FFFFFF"/>
        <w:spacing w:before="0" w:beforeAutospacing="0"/>
        <w:jc w:val="both"/>
      </w:pPr>
      <w:r w:rsidRPr="00F223DE">
        <w:rPr>
          <w:rStyle w:val="font-weight-bold"/>
          <w:rFonts w:eastAsiaTheme="majorEastAsia"/>
        </w:rPr>
        <w:t>I.</w:t>
      </w:r>
      <w:r w:rsidRPr="00F223DE">
        <w:t> Detergentes</w:t>
      </w:r>
    </w:p>
    <w:p w:rsidR="0079680A" w:rsidRPr="00F223DE" w:rsidRDefault="0079680A" w:rsidP="0079680A">
      <w:pPr>
        <w:pStyle w:val="NormalWeb"/>
        <w:shd w:val="clear" w:color="auto" w:fill="FFFFFF"/>
        <w:spacing w:before="0" w:beforeAutospacing="0"/>
        <w:jc w:val="both"/>
      </w:pPr>
      <w:r w:rsidRPr="00F223DE">
        <w:t>Los detergentes son cualquier sustancia o preparado que contenga jabones u otros tensioactivos destinados a procesos de lavado y limpieza. El </w:t>
      </w:r>
      <w:hyperlink r:id="rId91" w:history="1">
        <w:r w:rsidRPr="00F223DE">
          <w:rPr>
            <w:rStyle w:val="Hipervnculo"/>
            <w:color w:val="auto"/>
          </w:rPr>
          <w:t>Reglamento (CE) n.</w:t>
        </w:r>
      </w:hyperlink>
      <w:r w:rsidRPr="00F223DE">
        <w:t xml:space="preserve"> armoniza las normas sobre la biodegradabilidad, las restricciones o prohibiciones aplicables a estos, la información que han de facilitar los fabricantes y el etiquetado de los ingredientes de los </w:t>
      </w:r>
      <w:r w:rsidRPr="00F223DE">
        <w:lastRenderedPageBreak/>
        <w:t>detergentes. Desde entonces ha sufrido varias modificaciones: en 2006, mediante el Reglamento (CE) n.</w:t>
      </w:r>
      <w:r w:rsidRPr="00F223DE">
        <w:rPr>
          <w:vertAlign w:val="superscript"/>
        </w:rPr>
        <w:t>o</w:t>
      </w:r>
      <w:r w:rsidRPr="00F223DE">
        <w:t> 907/2006; en 2009, mediante el Reglamento (CE) n.</w:t>
      </w:r>
      <w:r w:rsidRPr="00F223DE">
        <w:rPr>
          <w:vertAlign w:val="superscript"/>
        </w:rPr>
        <w:t>o</w:t>
      </w:r>
      <w:r w:rsidRPr="00F223DE">
        <w:t> 551/2009, y en 2012, mediante el </w:t>
      </w:r>
      <w:hyperlink r:id="rId92" w:history="1">
        <w:r w:rsidRPr="00F223DE">
          <w:rPr>
            <w:rStyle w:val="Hipervnculo"/>
            <w:color w:val="auto"/>
          </w:rPr>
          <w:t>Reglamento (UE) n.</w:t>
        </w:r>
      </w:hyperlink>
      <w:r w:rsidRPr="00F223DE">
        <w:t>, con el fin de introducir nuevos ensayos sobre biodegradabilidad al objeto de lograr un mayor grado de protección del entorno acuático. Además, se ha ampliado el alcance de los ensayos para incluir todas las clases de tensioactivos. El 28 de abril de 2023, la Comisión presentó una </w:t>
      </w:r>
      <w:hyperlink r:id="rId93" w:history="1">
        <w:r w:rsidRPr="00F223DE">
          <w:rPr>
            <w:rStyle w:val="Hipervnculo"/>
            <w:color w:val="auto"/>
          </w:rPr>
          <w:t>propuesta</w:t>
        </w:r>
      </w:hyperlink>
      <w:r w:rsidRPr="00F223DE">
        <w:t> de derogación del Reglamento (CE) n.</w:t>
      </w:r>
      <w:r w:rsidRPr="00F223DE">
        <w:rPr>
          <w:vertAlign w:val="superscript"/>
        </w:rPr>
        <w:t>o</w:t>
      </w:r>
      <w:r w:rsidRPr="00F223DE">
        <w:t> 648/2004. En lo que se refiere al etiquetado, el </w:t>
      </w:r>
      <w:hyperlink r:id="rId94" w:history="1">
        <w:r w:rsidRPr="00F223DE">
          <w:rPr>
            <w:rStyle w:val="Hipervnculo"/>
            <w:color w:val="auto"/>
          </w:rPr>
          <w:t>Reglamento (CE) n.</w:t>
        </w:r>
      </w:hyperlink>
      <w:r w:rsidRPr="00F223DE">
        <w:t> amplía las normas para obligar a los fabricantes a poner a disposición de los médicos que tratan a pacientes aquejados de alergia una lista completa de los ingredientes de fragancias. Desde el 30 de junio de 2013 está prohibido el uso de fosfatos en los detergentes domésticos para ropa y limitado el contenido de otros compuestos con fósforo…</w:t>
      </w:r>
    </w:p>
    <w:p w:rsidR="0079680A" w:rsidRDefault="00FC30C5" w:rsidP="0079680A">
      <w:pPr>
        <w:pStyle w:val="NormalWeb"/>
        <w:shd w:val="clear" w:color="auto" w:fill="FFFFFF"/>
        <w:spacing w:before="0" w:beforeAutospacing="0"/>
        <w:jc w:val="both"/>
        <w:rPr>
          <w:color w:val="1E1E1F"/>
        </w:rPr>
      </w:pPr>
      <w:r>
        <w:rPr>
          <w:b/>
          <w:color w:val="1E1E1F"/>
        </w:rPr>
        <w:t xml:space="preserve">Una </w:t>
      </w:r>
      <w:r w:rsidR="00345D74">
        <w:rPr>
          <w:b/>
          <w:color w:val="1E1E1F"/>
        </w:rPr>
        <w:t>“</w:t>
      </w:r>
      <w:r>
        <w:rPr>
          <w:b/>
          <w:color w:val="1E1E1F"/>
        </w:rPr>
        <w:t>passeggiata</w:t>
      </w:r>
      <w:r w:rsidR="00345D74">
        <w:rPr>
          <w:b/>
          <w:color w:val="1E1E1F"/>
        </w:rPr>
        <w:t>”</w:t>
      </w:r>
      <w:r>
        <w:rPr>
          <w:b/>
          <w:color w:val="1E1E1F"/>
        </w:rPr>
        <w:t xml:space="preserve"> por</w:t>
      </w:r>
      <w:r w:rsidR="0079680A" w:rsidRPr="009E4904">
        <w:rPr>
          <w:b/>
          <w:color w:val="1E1E1F"/>
        </w:rPr>
        <w:t xml:space="preserve"> </w:t>
      </w:r>
      <w:r w:rsidR="0079680A">
        <w:rPr>
          <w:b/>
          <w:color w:val="1E1E1F"/>
        </w:rPr>
        <w:t>“</w:t>
      </w:r>
      <w:r w:rsidR="0079680A" w:rsidRPr="009E4904">
        <w:rPr>
          <w:b/>
          <w:color w:val="1E1E1F"/>
        </w:rPr>
        <w:t>San Google</w:t>
      </w:r>
      <w:r w:rsidR="0079680A">
        <w:rPr>
          <w:b/>
          <w:color w:val="1E1E1F"/>
        </w:rPr>
        <w:t xml:space="preserve">” </w:t>
      </w:r>
      <w:r w:rsidR="0079680A">
        <w:rPr>
          <w:color w:val="1E1E1F"/>
        </w:rPr>
        <w:t>(</w:t>
      </w:r>
      <w:r>
        <w:rPr>
          <w:color w:val="1E1E1F"/>
        </w:rPr>
        <w:t>preguntas y respuestas, encontradas en febrero 2025)</w:t>
      </w:r>
    </w:p>
    <w:p w:rsidR="0079680A" w:rsidRDefault="0079680A" w:rsidP="0079680A">
      <w:pPr>
        <w:pStyle w:val="NormalWeb"/>
        <w:shd w:val="clear" w:color="auto" w:fill="FFFFFF"/>
        <w:spacing w:before="0" w:beforeAutospacing="0"/>
        <w:jc w:val="both"/>
        <w:rPr>
          <w:color w:val="1E1E1F"/>
        </w:rPr>
      </w:pPr>
      <w:r w:rsidRPr="009E4904">
        <w:rPr>
          <w:color w:val="1E1E1F"/>
        </w:rPr>
        <w:t>¿Qué herbicidas están prohibidos en España?</w:t>
      </w:r>
    </w:p>
    <w:p w:rsidR="0079680A" w:rsidRPr="009E4904" w:rsidRDefault="0079680A" w:rsidP="0079680A">
      <w:pPr>
        <w:pStyle w:val="parrafo"/>
        <w:shd w:val="clear" w:color="auto" w:fill="FFFFFF"/>
        <w:spacing w:before="180" w:beforeAutospacing="0" w:after="180" w:afterAutospacing="0"/>
        <w:jc w:val="both"/>
        <w:rPr>
          <w:color w:val="000000"/>
        </w:rPr>
      </w:pPr>
      <w:r w:rsidRPr="009E4904">
        <w:rPr>
          <w:color w:val="000000"/>
        </w:rPr>
        <w:t>Queda prohibida la importación, comercialización y utilización dentro del territorio nacional de todos aquellos plaguicidas de uso ambiental que contengan alguna de las siguientes sustancias</w:t>
      </w:r>
      <w:r>
        <w:rPr>
          <w:color w:val="000000"/>
        </w:rPr>
        <w:t xml:space="preserve"> (BOE - 4 de febrero de 1994)</w:t>
      </w:r>
      <w:r w:rsidRPr="009E4904">
        <w:rPr>
          <w:color w:val="000000"/>
        </w:rPr>
        <w:t>:</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1. Aldrin.</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2. Clordano.</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3. Dieldrin.</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4. DDT.</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5. Endrin.</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6. HCH que contenga menos del 99 por 100 de isómero gamma.</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7. Heptacloro.</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8. Hexaclorobenceno.</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9. Canfeno clorado (toxafeno).</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10. Arsénico y sus derivados.</w:t>
      </w:r>
    </w:p>
    <w:p w:rsidR="0079680A" w:rsidRPr="009E4904"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11. Estricnina y sus sales.</w:t>
      </w:r>
    </w:p>
    <w:p w:rsidR="0079680A" w:rsidRDefault="0079680A" w:rsidP="0079680A">
      <w:pPr>
        <w:pStyle w:val="parrafo"/>
        <w:shd w:val="clear" w:color="auto" w:fill="FFFFFF"/>
        <w:spacing w:before="180" w:beforeAutospacing="0" w:after="180" w:afterAutospacing="0"/>
        <w:ind w:firstLine="360"/>
        <w:jc w:val="both"/>
        <w:rPr>
          <w:color w:val="000000"/>
        </w:rPr>
      </w:pPr>
      <w:r w:rsidRPr="009E4904">
        <w:rPr>
          <w:color w:val="000000"/>
        </w:rPr>
        <w:t>12. Cultivos microbianos de Enterobacteriáceas.</w:t>
      </w:r>
    </w:p>
    <w:p w:rsidR="0079680A" w:rsidRPr="00591157" w:rsidRDefault="0079680A" w:rsidP="0079680A">
      <w:pPr>
        <w:pStyle w:val="parrafo"/>
        <w:shd w:val="clear" w:color="auto" w:fill="FFFFFF"/>
        <w:spacing w:before="180" w:after="180"/>
        <w:jc w:val="both"/>
        <w:rPr>
          <w:color w:val="000000"/>
        </w:rPr>
      </w:pPr>
      <w:r w:rsidRPr="00591157">
        <w:rPr>
          <w:color w:val="000000"/>
        </w:rPr>
        <w:t>¿Qué plaguicidas están prohibidos usar?</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Tales convenciones recomiendan adoptar medidas para prohibir la importación de productos químicos peligrosos como Azinfós-metilo, Captafol, Clordano, DDT, Endosulfán, Lindano, Alaclor, Aldicarb, Fosfamidón, Metilparatión, Carbofurano y Triclorfón, por su alto nivel de riesgo para la salud de la población.</w:t>
      </w:r>
    </w:p>
    <w:p w:rsidR="0079680A" w:rsidRPr="00591157" w:rsidRDefault="0079680A" w:rsidP="0079680A">
      <w:pPr>
        <w:pStyle w:val="parrafo"/>
        <w:shd w:val="clear" w:color="auto" w:fill="FFFFFF"/>
        <w:spacing w:before="180" w:after="180"/>
        <w:jc w:val="both"/>
        <w:rPr>
          <w:color w:val="000000"/>
        </w:rPr>
      </w:pPr>
      <w:r w:rsidRPr="00591157">
        <w:rPr>
          <w:color w:val="000000"/>
        </w:rPr>
        <w:t>¿Qué productos fitosanita</w:t>
      </w:r>
      <w:r>
        <w:rPr>
          <w:color w:val="000000"/>
        </w:rPr>
        <w:t>rios no se pueden mezclar?</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lastRenderedPageBreak/>
        <w:t>Normalmente, aquellos productos fitosanitarios que no se pueden mezclar o que cuentan con más restricciones son los siguientes: los formulados a base de cobre, formulados a base de azufre, aceites parafinados y las mezclas con productos nitrogenados.</w:t>
      </w:r>
      <w:r>
        <w:rPr>
          <w:color w:val="000000"/>
        </w:rPr>
        <w:t xml:space="preserve"> (</w:t>
      </w:r>
      <w:r w:rsidRPr="00591157">
        <w:rPr>
          <w:color w:val="000000"/>
        </w:rPr>
        <w:t>26 nov 2024</w:t>
      </w:r>
      <w:r>
        <w:rPr>
          <w:color w:val="000000"/>
        </w:rPr>
        <w:t>)</w:t>
      </w:r>
    </w:p>
    <w:p w:rsidR="0079680A" w:rsidRPr="00591157" w:rsidRDefault="0079680A" w:rsidP="0079680A">
      <w:pPr>
        <w:pStyle w:val="parrafo"/>
        <w:shd w:val="clear" w:color="auto" w:fill="FFFFFF"/>
        <w:spacing w:before="180" w:after="180"/>
        <w:jc w:val="both"/>
        <w:rPr>
          <w:color w:val="000000"/>
        </w:rPr>
      </w:pPr>
      <w:r w:rsidRPr="00591157">
        <w:rPr>
          <w:color w:val="000000"/>
        </w:rPr>
        <w:t>¿Dónde está prohibido el glifosato?</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Ningún país de la UE ha prohibido totalmente el glifosato, aunque algunos, como Austria, Francia, Países Bajos, Bélgica, Luxemburgo y Alemania, han implantado prohibiciones parciales, prohibiendo su uso en determinadas zonas o en los hogares.</w:t>
      </w:r>
      <w:r>
        <w:rPr>
          <w:color w:val="000000"/>
        </w:rPr>
        <w:t xml:space="preserve"> (</w:t>
      </w:r>
      <w:r w:rsidRPr="00591157">
        <w:rPr>
          <w:color w:val="000000"/>
        </w:rPr>
        <w:t>16 nov 2023</w:t>
      </w:r>
      <w:r>
        <w:rPr>
          <w:color w:val="000000"/>
        </w:rPr>
        <w:t>)</w:t>
      </w:r>
    </w:p>
    <w:p w:rsidR="0079680A" w:rsidRPr="00591157" w:rsidRDefault="0079680A" w:rsidP="0079680A">
      <w:pPr>
        <w:pStyle w:val="parrafo"/>
        <w:shd w:val="clear" w:color="auto" w:fill="FFFFFF"/>
        <w:spacing w:before="180" w:after="180"/>
        <w:jc w:val="both"/>
        <w:rPr>
          <w:color w:val="000000"/>
        </w:rPr>
      </w:pPr>
      <w:r w:rsidRPr="00591157">
        <w:rPr>
          <w:color w:val="000000"/>
        </w:rPr>
        <w:t>¿Cuántos productos químicos ha prohibido la UE?</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 xml:space="preserve">En total, la hoja de ruta podría prohibir hasta 7.000 sustancias químicas de aquí </w:t>
      </w:r>
      <w:r>
        <w:rPr>
          <w:color w:val="000000"/>
        </w:rPr>
        <w:t>a 2030</w:t>
      </w:r>
      <w:r w:rsidRPr="00591157">
        <w:rPr>
          <w:color w:val="000000"/>
        </w:rPr>
        <w:t>, un enorme avance respecto de las aproximadamente 2.000 que la UE ha eliminado progresivamente en los últimos 14 años, más que cualquier otra región del mundo.</w:t>
      </w:r>
      <w:r>
        <w:rPr>
          <w:color w:val="000000"/>
        </w:rPr>
        <w:t xml:space="preserve"> (</w:t>
      </w:r>
      <w:r w:rsidRPr="00591157">
        <w:rPr>
          <w:color w:val="000000"/>
        </w:rPr>
        <w:t>25 abr 2023</w:t>
      </w:r>
      <w:r>
        <w:rPr>
          <w:color w:val="000000"/>
        </w:rPr>
        <w:t>)</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 xml:space="preserve">¿Qué país tiene las regulaciones más estrictas sobre sustancias tóxicas ambientales? </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El REACH de la UE es uno de los organismos reguladores más estrictos sobre sustancias químicas del mundo y ha prohibido más de 1.300 ingredientes cosméticos y 2.000 sustancias químicas en total.</w:t>
      </w:r>
      <w:r>
        <w:rPr>
          <w:color w:val="000000"/>
        </w:rPr>
        <w:t xml:space="preserve"> (</w:t>
      </w:r>
      <w:r w:rsidRPr="00591157">
        <w:rPr>
          <w:color w:val="000000"/>
        </w:rPr>
        <w:t>19 sept 2024</w:t>
      </w:r>
      <w:r>
        <w:rPr>
          <w:color w:val="000000"/>
        </w:rPr>
        <w:t>)</w:t>
      </w:r>
    </w:p>
    <w:p w:rsidR="0079680A" w:rsidRPr="00591157" w:rsidRDefault="0079680A" w:rsidP="0079680A">
      <w:pPr>
        <w:pStyle w:val="parrafo"/>
        <w:shd w:val="clear" w:color="auto" w:fill="FFFFFF"/>
        <w:spacing w:before="180" w:after="180"/>
        <w:jc w:val="both"/>
        <w:rPr>
          <w:color w:val="000000"/>
        </w:rPr>
      </w:pPr>
      <w:r w:rsidRPr="00591157">
        <w:rPr>
          <w:color w:val="000000"/>
        </w:rPr>
        <w:t>¿Dónde están prohibidos los alimentos transgénicos?</w:t>
      </w:r>
    </w:p>
    <w:p w:rsidR="0079680A" w:rsidRDefault="0079680A" w:rsidP="0079680A">
      <w:pPr>
        <w:pStyle w:val="parrafo"/>
        <w:shd w:val="clear" w:color="auto" w:fill="FFFFFF"/>
        <w:spacing w:before="180" w:beforeAutospacing="0" w:after="180" w:afterAutospacing="0"/>
        <w:jc w:val="both"/>
        <w:rPr>
          <w:color w:val="000000"/>
        </w:rPr>
      </w:pPr>
      <w:r w:rsidRPr="00591157">
        <w:rPr>
          <w:color w:val="000000"/>
        </w:rPr>
        <w:t>Incluso el principal productor europeo de maíz, Francia, ha prohibido su cultivo, lo mismo que otros 17 países y cuatro regiones de otros dos países: Alemania, Austria, Bulgaria, Croacia, Chipre, Dinamarca, Eslovenia, Francia, Grecia, Hungría, Italia, Letonia, Lituania, Luxemburgo,</w:t>
      </w:r>
      <w:r>
        <w:rPr>
          <w:color w:val="000000"/>
        </w:rPr>
        <w:t xml:space="preserve"> Malta, Países Bajos y Polonia</w:t>
      </w:r>
      <w:r w:rsidRPr="00591157">
        <w:rPr>
          <w:color w:val="000000"/>
        </w:rPr>
        <w:t>...</w:t>
      </w:r>
    </w:p>
    <w:p w:rsidR="0079680A" w:rsidRPr="00E931CB" w:rsidRDefault="0079680A" w:rsidP="0079680A">
      <w:pPr>
        <w:pStyle w:val="parrafo"/>
        <w:shd w:val="clear" w:color="auto" w:fill="FFFFFF"/>
        <w:spacing w:before="180" w:after="180"/>
        <w:jc w:val="both"/>
        <w:rPr>
          <w:color w:val="000000"/>
        </w:rPr>
      </w:pPr>
      <w:r w:rsidRPr="00E931CB">
        <w:rPr>
          <w:color w:val="000000"/>
        </w:rPr>
        <w:t>¿Qué países prohíben los transgénicos?</w:t>
      </w:r>
    </w:p>
    <w:p w:rsidR="0079680A" w:rsidRDefault="0079680A" w:rsidP="0079680A">
      <w:pPr>
        <w:pStyle w:val="parrafo"/>
        <w:shd w:val="clear" w:color="auto" w:fill="FFFFFF"/>
        <w:spacing w:before="180" w:beforeAutospacing="0" w:after="180" w:afterAutospacing="0"/>
        <w:jc w:val="both"/>
        <w:rPr>
          <w:color w:val="000000"/>
        </w:rPr>
      </w:pPr>
      <w:r w:rsidRPr="00E931CB">
        <w:rPr>
          <w:color w:val="000000"/>
        </w:rPr>
        <w:t>En la actualidad, la Unión Europea (UE) tan sólo permite el cultivo de un tipo de maíz transgénico (MON810), siendo España su mayor productor, con pequeñas superficies cultivadas en otros cinco países. Alemania, Francia, A</w:t>
      </w:r>
      <w:r>
        <w:rPr>
          <w:color w:val="000000"/>
        </w:rPr>
        <w:t>ustria, Hungría, Grecia, Luxem</w:t>
      </w:r>
      <w:r w:rsidRPr="00E931CB">
        <w:rPr>
          <w:color w:val="000000"/>
        </w:rPr>
        <w:t>burgo, Polonia y Bulgaria han prohibido su cultivo</w:t>
      </w:r>
      <w:r>
        <w:rPr>
          <w:color w:val="000000"/>
        </w:rPr>
        <w:t>…</w:t>
      </w:r>
    </w:p>
    <w:p w:rsidR="0079680A" w:rsidRPr="00E931CB" w:rsidRDefault="0079680A" w:rsidP="0079680A">
      <w:pPr>
        <w:pStyle w:val="parrafo"/>
        <w:shd w:val="clear" w:color="auto" w:fill="FFFFFF"/>
        <w:spacing w:before="180" w:after="180"/>
        <w:jc w:val="both"/>
        <w:rPr>
          <w:color w:val="000000"/>
        </w:rPr>
      </w:pPr>
      <w:r w:rsidRPr="00E931CB">
        <w:rPr>
          <w:color w:val="000000"/>
        </w:rPr>
        <w:t>¿Qué dice la Unión Europea sobre los alimentos transgénicos?</w:t>
      </w:r>
    </w:p>
    <w:p w:rsidR="0079680A" w:rsidRDefault="0079680A" w:rsidP="0079680A">
      <w:pPr>
        <w:pStyle w:val="parrafo"/>
        <w:shd w:val="clear" w:color="auto" w:fill="FFFFFF"/>
        <w:spacing w:before="180" w:beforeAutospacing="0" w:after="180" w:afterAutospacing="0"/>
        <w:jc w:val="both"/>
        <w:rPr>
          <w:color w:val="000000"/>
        </w:rPr>
      </w:pPr>
      <w:r w:rsidRPr="00E931CB">
        <w:rPr>
          <w:color w:val="000000"/>
        </w:rPr>
        <w:t xml:space="preserve">La norma establece que la autorización de comercialización de semillas modificadas genéticamente sólo cabe si se han adoptado todas las medidas necesarias para evitar efectos adversos para la salud humana y el medio ambiente, en términos equivalentes a los establecidos en la entonces vigente </w:t>
      </w:r>
      <w:r>
        <w:rPr>
          <w:color w:val="000000"/>
        </w:rPr>
        <w:t>Directiva 90/220/CEE…</w:t>
      </w:r>
    </w:p>
    <w:p w:rsidR="0079680A" w:rsidRPr="00E931CB" w:rsidRDefault="0079680A" w:rsidP="0079680A">
      <w:pPr>
        <w:pStyle w:val="parrafo"/>
        <w:shd w:val="clear" w:color="auto" w:fill="FFFFFF"/>
        <w:spacing w:before="180" w:after="180"/>
        <w:jc w:val="both"/>
        <w:rPr>
          <w:color w:val="000000"/>
        </w:rPr>
      </w:pPr>
      <w:r w:rsidRPr="00E931CB">
        <w:rPr>
          <w:color w:val="000000"/>
        </w:rPr>
        <w:t>¿Qué país produce alimentos transgénicos?</w:t>
      </w:r>
    </w:p>
    <w:p w:rsidR="00393954" w:rsidRDefault="0079680A" w:rsidP="0079680A">
      <w:pPr>
        <w:pStyle w:val="parrafo"/>
        <w:shd w:val="clear" w:color="auto" w:fill="FFFFFF"/>
        <w:spacing w:before="180" w:beforeAutospacing="0" w:after="180" w:afterAutospacing="0"/>
        <w:jc w:val="both"/>
        <w:rPr>
          <w:color w:val="000000"/>
        </w:rPr>
      </w:pPr>
      <w:r w:rsidRPr="00E931CB">
        <w:rPr>
          <w:color w:val="000000"/>
        </w:rPr>
        <w:t>Al igual que en años anteriores, los cinco principales países que sembraron cultivos transgénicos en 2019 fueron: Estados Unidos, Brasil, Argentina, Canadá e India. En estos países, además, la adopción de cultivos transgénicos es muy alta, llegando a niveles por encima del 90%.</w:t>
      </w:r>
      <w:r>
        <w:rPr>
          <w:color w:val="000000"/>
        </w:rPr>
        <w:t xml:space="preserve"> (</w:t>
      </w:r>
      <w:r w:rsidRPr="00E931CB">
        <w:rPr>
          <w:color w:val="000000"/>
        </w:rPr>
        <w:t>11 dic 2020</w:t>
      </w:r>
      <w:r>
        <w:rPr>
          <w:color w:val="000000"/>
        </w:rPr>
        <w:t>)</w:t>
      </w:r>
    </w:p>
    <w:p w:rsidR="0079680A" w:rsidRPr="009E4904" w:rsidRDefault="0079680A" w:rsidP="0079680A">
      <w:pPr>
        <w:pStyle w:val="parrafo"/>
        <w:shd w:val="clear" w:color="auto" w:fill="FFFFFF"/>
        <w:spacing w:before="180" w:beforeAutospacing="0" w:after="180" w:afterAutospacing="0"/>
        <w:jc w:val="both"/>
        <w:rPr>
          <w:color w:val="000000"/>
        </w:rPr>
      </w:pPr>
      <w:r w:rsidRPr="00E931CB">
        <w:rPr>
          <w:noProof/>
          <w:color w:val="000000"/>
        </w:rPr>
        <w:lastRenderedPageBreak/>
        <w:drawing>
          <wp:inline distT="0" distB="0" distL="0" distR="0" wp14:anchorId="6355DA1F" wp14:editId="6F9DBE83">
            <wp:extent cx="6064249" cy="3644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6061564" cy="3643286"/>
                    </a:xfrm>
                    <a:prstGeom prst="rect">
                      <a:avLst/>
                    </a:prstGeom>
                  </pic:spPr>
                </pic:pic>
              </a:graphicData>
            </a:graphic>
          </wp:inline>
        </w:drawing>
      </w:r>
    </w:p>
    <w:p w:rsidR="0079680A" w:rsidRPr="00FC30C5" w:rsidRDefault="00FC30C5" w:rsidP="0079680A">
      <w:pPr>
        <w:pStyle w:val="NormalWeb"/>
        <w:shd w:val="clear" w:color="auto" w:fill="FFFFFF"/>
        <w:spacing w:before="0" w:beforeAutospacing="0"/>
        <w:jc w:val="both"/>
        <w:rPr>
          <w:color w:val="1E1E1F"/>
          <w:lang w:val="en-GB"/>
        </w:rPr>
      </w:pPr>
      <w:r w:rsidRPr="00FC30C5">
        <w:rPr>
          <w:color w:val="1E1E1F"/>
          <w:lang w:val="en-GB"/>
        </w:rPr>
        <w:t xml:space="preserve">(Fuente: </w:t>
      </w:r>
      <w:r w:rsidR="0079680A" w:rsidRPr="00FC30C5">
        <w:rPr>
          <w:color w:val="1E1E1F"/>
          <w:lang w:val="en-GB"/>
        </w:rPr>
        <w:t>GMOs Around the World</w:t>
      </w:r>
      <w:r>
        <w:rPr>
          <w:color w:val="1E1E1F"/>
          <w:lang w:val="en-GB"/>
        </w:rPr>
        <w:t>)</w:t>
      </w:r>
    </w:p>
    <w:p w:rsidR="0079680A" w:rsidRDefault="0079680A" w:rsidP="0079680A">
      <w:pPr>
        <w:pStyle w:val="NormalWeb"/>
        <w:shd w:val="clear" w:color="auto" w:fill="FFFFFF"/>
        <w:spacing w:before="0" w:beforeAutospacing="0"/>
        <w:jc w:val="both"/>
        <w:rPr>
          <w:color w:val="1E1E1F"/>
        </w:rPr>
      </w:pPr>
      <w:r>
        <w:rPr>
          <w:noProof/>
        </w:rPr>
        <w:drawing>
          <wp:inline distT="0" distB="0" distL="0" distR="0" wp14:anchorId="356AF546" wp14:editId="63505BDD">
            <wp:extent cx="5733604" cy="4298950"/>
            <wp:effectExtent l="0" t="0" r="635" b="6350"/>
            <wp:docPr id="150" name="Imagen 150" descr="Where Biotech Crops Are G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ere Biotech Crops Are Grown"/>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4297380"/>
                    </a:xfrm>
                    <a:prstGeom prst="rect">
                      <a:avLst/>
                    </a:prstGeom>
                    <a:noFill/>
                    <a:ln>
                      <a:noFill/>
                    </a:ln>
                  </pic:spPr>
                </pic:pic>
              </a:graphicData>
            </a:graphic>
          </wp:inline>
        </w:drawing>
      </w:r>
    </w:p>
    <w:p w:rsidR="00393954" w:rsidRDefault="00FC30C5" w:rsidP="00393954">
      <w:pPr>
        <w:pStyle w:val="NormalWeb"/>
        <w:shd w:val="clear" w:color="auto" w:fill="FFFFFF"/>
        <w:spacing w:before="0" w:beforeAutospacing="0"/>
        <w:jc w:val="both"/>
        <w:rPr>
          <w:color w:val="1E1E1F"/>
          <w:lang w:val="en-GB"/>
        </w:rPr>
      </w:pPr>
      <w:r w:rsidRPr="000E08B2">
        <w:rPr>
          <w:color w:val="1E1E1F"/>
          <w:lang w:val="en-GB"/>
        </w:rPr>
        <w:t xml:space="preserve">(Fuente: </w:t>
      </w:r>
      <w:r w:rsidR="00393954" w:rsidRPr="000E08B2">
        <w:rPr>
          <w:color w:val="1E1E1F"/>
          <w:lang w:val="en-GB"/>
        </w:rPr>
        <w:t>GMOs Around the World</w:t>
      </w:r>
      <w:r w:rsidR="000E08B2" w:rsidRPr="000E08B2">
        <w:rPr>
          <w:color w:val="1E1E1F"/>
          <w:lang w:val="en-GB"/>
        </w:rPr>
        <w:t>)</w:t>
      </w:r>
    </w:p>
    <w:p w:rsidR="00876A44" w:rsidRPr="00E931CB" w:rsidRDefault="00876A44" w:rsidP="00876A44">
      <w:pPr>
        <w:pStyle w:val="parrafo"/>
        <w:shd w:val="clear" w:color="auto" w:fill="FFFFFF"/>
        <w:spacing w:before="180" w:after="180"/>
        <w:jc w:val="both"/>
        <w:rPr>
          <w:color w:val="000000"/>
        </w:rPr>
      </w:pPr>
      <w:r w:rsidRPr="00E931CB">
        <w:rPr>
          <w:color w:val="000000"/>
        </w:rPr>
        <w:lastRenderedPageBreak/>
        <w:t>¿Qué país utiliza más OGM?</w:t>
      </w:r>
    </w:p>
    <w:p w:rsidR="00876A44" w:rsidRDefault="00876A44" w:rsidP="00876A44">
      <w:pPr>
        <w:pStyle w:val="parrafo"/>
        <w:shd w:val="clear" w:color="auto" w:fill="FFFFFF"/>
        <w:spacing w:before="180" w:beforeAutospacing="0" w:after="180" w:afterAutospacing="0"/>
        <w:jc w:val="both"/>
        <w:rPr>
          <w:color w:val="000000"/>
        </w:rPr>
      </w:pPr>
      <w:r w:rsidRPr="00E931CB">
        <w:rPr>
          <w:color w:val="000000"/>
        </w:rPr>
        <w:t>Estados Unidos es el mayor productor de cultivos genéticamente modificados del mundo y planta el 38 por ciento de la producción mundial total</w:t>
      </w:r>
      <w:r>
        <w:rPr>
          <w:color w:val="000000"/>
        </w:rPr>
        <w:t>…</w:t>
      </w:r>
    </w:p>
    <w:p w:rsidR="00876A44" w:rsidRPr="00E931CB" w:rsidRDefault="00876A44" w:rsidP="00876A44">
      <w:pPr>
        <w:pStyle w:val="parrafo"/>
        <w:shd w:val="clear" w:color="auto" w:fill="FFFFFF"/>
        <w:spacing w:before="180" w:after="180"/>
        <w:jc w:val="both"/>
        <w:rPr>
          <w:color w:val="000000"/>
        </w:rPr>
      </w:pPr>
      <w:r w:rsidRPr="00E931CB">
        <w:rPr>
          <w:color w:val="000000"/>
        </w:rPr>
        <w:t>¿Cuál es el alimento transgénico más producido en el mundo?</w:t>
      </w:r>
    </w:p>
    <w:p w:rsidR="00876A44" w:rsidRPr="00876A44" w:rsidRDefault="00876A44" w:rsidP="00876A44">
      <w:pPr>
        <w:pStyle w:val="parrafo"/>
        <w:shd w:val="clear" w:color="auto" w:fill="FFFFFF"/>
        <w:spacing w:before="180" w:beforeAutospacing="0" w:after="180" w:afterAutospacing="0"/>
        <w:jc w:val="both"/>
        <w:rPr>
          <w:color w:val="000000"/>
        </w:rPr>
      </w:pPr>
      <w:r w:rsidRPr="00E931CB">
        <w:rPr>
          <w:color w:val="000000"/>
        </w:rPr>
        <w:t>El 48% de las hectáreas sembradas con cultivos transgénicos en el mundo en 2019 correspondieron a soja, el 32% a maíz, el</w:t>
      </w:r>
      <w:r>
        <w:rPr>
          <w:color w:val="000000"/>
        </w:rPr>
        <w:t xml:space="preserve"> 14% a algodón y el 5% a canola…</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¿Por qué la gente modifica genéticamente a los animales?</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Se pueden utilizar diferentes técnicas genómicas para mejorar o disminuir las caracter</w:t>
      </w:r>
      <w:r>
        <w:rPr>
          <w:rFonts w:ascii="Times New Roman" w:eastAsia="Times New Roman" w:hAnsi="Times New Roman" w:cs="Times New Roman"/>
          <w:color w:val="1E1E1F"/>
          <w:sz w:val="24"/>
          <w:szCs w:val="24"/>
          <w:lang w:eastAsia="es-ES"/>
        </w:rPr>
        <w:t>ísticas existentes de un animal</w:t>
      </w:r>
      <w:r w:rsidRPr="00A871B1">
        <w:rPr>
          <w:rFonts w:ascii="Times New Roman" w:eastAsia="Times New Roman" w:hAnsi="Times New Roman" w:cs="Times New Roman"/>
          <w:color w:val="1E1E1F"/>
          <w:sz w:val="24"/>
          <w:szCs w:val="24"/>
          <w:lang w:eastAsia="es-ES"/>
        </w:rPr>
        <w:t>. También se pueden utilizar para diseñar nuevos rasgos de interés, como resistencia a enfermedades, crecimiento más rápido o mayor capacidad de producción de alimentos.</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¿Por qué se alimenta al ganado con antibióticos?</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Por ejemplo, la densidad de ganado en corrales de engorde puede provocar infecciones virales o bacterianas inducidas por factores relacionados con el estrés. Los antibióticos se administran con mayor frecuencia en el alimento para ayudar a prevenir infecciones o enfermed</w:t>
      </w:r>
      <w:r>
        <w:rPr>
          <w:rFonts w:ascii="Times New Roman" w:eastAsia="Times New Roman" w:hAnsi="Times New Roman" w:cs="Times New Roman"/>
          <w:color w:val="1E1E1F"/>
          <w:sz w:val="24"/>
          <w:szCs w:val="24"/>
          <w:lang w:eastAsia="es-ES"/>
        </w:rPr>
        <w:t>ades relacionadas con el estrés</w:t>
      </w:r>
      <w:r w:rsidRPr="00A871B1">
        <w:rPr>
          <w:rFonts w:ascii="Times New Roman" w:eastAsia="Times New Roman" w:hAnsi="Times New Roman" w:cs="Times New Roman"/>
          <w:color w:val="1E1E1F"/>
          <w:sz w:val="24"/>
          <w:szCs w:val="24"/>
          <w:lang w:eastAsia="es-ES"/>
        </w:rPr>
        <w:t>.</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¿Por qué los antibióticos son malos para los animales?</w:t>
      </w:r>
    </w:p>
    <w:p w:rsidR="00FC30C5"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El uso excesivo de antibióticos en animales puede aum</w:t>
      </w:r>
      <w:r>
        <w:rPr>
          <w:rFonts w:ascii="Times New Roman" w:eastAsia="Times New Roman" w:hAnsi="Times New Roman" w:cs="Times New Roman"/>
          <w:color w:val="1E1E1F"/>
          <w:sz w:val="24"/>
          <w:szCs w:val="24"/>
          <w:lang w:eastAsia="es-ES"/>
        </w:rPr>
        <w:t>entar la resistencia bacteriana</w:t>
      </w:r>
      <w:r w:rsidRPr="00A871B1">
        <w:rPr>
          <w:rFonts w:ascii="Times New Roman" w:eastAsia="Times New Roman" w:hAnsi="Times New Roman" w:cs="Times New Roman"/>
          <w:color w:val="1E1E1F"/>
          <w:sz w:val="24"/>
          <w:szCs w:val="24"/>
          <w:lang w:eastAsia="es-ES"/>
        </w:rPr>
        <w:t>. Los antibióticos suelen ser buenos cuando se utilizan adecuadamente para tratar o prevenir infecciones. Sin embargo, su uso excesivo o inadecuado es un problema. Cuando se abusa de ellos, acaban perdiendo eficacia tanto para los seres humanos como para los animales.</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¿Qué peligro tienen las resistencias a antibióticos en animales?</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El uso indebido y excesivo de los antimicrobianos en los animales puede generar el desarrollo de patógenos resistentes y comprometer la salud mundial. Puesto que puede utilizar y recetar el uso de antimicrobianos, usted ocupa un lugar fundamental en la lucha contra la RAM.</w:t>
      </w:r>
    </w:p>
    <w:p w:rsidR="0079680A" w:rsidRPr="00A4411C"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4411C">
        <w:rPr>
          <w:rFonts w:ascii="Times New Roman" w:eastAsia="Times New Roman" w:hAnsi="Times New Roman" w:cs="Times New Roman"/>
          <w:color w:val="1E1E1F"/>
          <w:sz w:val="24"/>
          <w:szCs w:val="24"/>
          <w:lang w:eastAsia="es-ES"/>
        </w:rPr>
        <w:t>¿Qué pasa si consumo pollo con antibióticos?</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4411C">
        <w:rPr>
          <w:rFonts w:ascii="Times New Roman" w:eastAsia="Times New Roman" w:hAnsi="Times New Roman" w:cs="Times New Roman"/>
          <w:color w:val="1E1E1F"/>
          <w:sz w:val="24"/>
          <w:szCs w:val="24"/>
          <w:lang w:eastAsia="es-ES"/>
        </w:rPr>
        <w:t>Si las personas se contagian de patógenos resistentes durante la preparación o el consumo de carne, esto puede conducir a infecciones graves en las que los antibióticos tienen poco o ningún efecto. En promedio, un tercio de las muestras de carne de pollo contienen patógenos resistentes a las quinolonas</w:t>
      </w:r>
      <w:r>
        <w:rPr>
          <w:rFonts w:ascii="Times New Roman" w:eastAsia="Times New Roman" w:hAnsi="Times New Roman" w:cs="Times New Roman"/>
          <w:color w:val="1E1E1F"/>
          <w:sz w:val="24"/>
          <w:szCs w:val="24"/>
          <w:lang w:eastAsia="es-ES"/>
        </w:rPr>
        <w:t>…</w:t>
      </w:r>
    </w:p>
    <w:p w:rsidR="0079680A" w:rsidRPr="00542E49"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876A44">
        <w:rPr>
          <w:rFonts w:ascii="Times New Roman" w:eastAsia="Times New Roman" w:hAnsi="Times New Roman" w:cs="Times New Roman"/>
          <w:b/>
          <w:color w:val="1E1E1F"/>
          <w:sz w:val="24"/>
          <w:szCs w:val="24"/>
          <w:lang w:eastAsia="es-ES"/>
        </w:rPr>
        <w:t>Nota</w:t>
      </w:r>
      <w:r>
        <w:rPr>
          <w:rFonts w:ascii="Times New Roman" w:eastAsia="Times New Roman" w:hAnsi="Times New Roman" w:cs="Times New Roman"/>
          <w:color w:val="1E1E1F"/>
          <w:sz w:val="24"/>
          <w:szCs w:val="24"/>
          <w:lang w:eastAsia="es-ES"/>
        </w:rPr>
        <w:t>: E</w:t>
      </w:r>
      <w:r w:rsidRPr="00A4411C">
        <w:rPr>
          <w:rFonts w:ascii="Times New Roman" w:eastAsia="Times New Roman" w:hAnsi="Times New Roman" w:cs="Times New Roman"/>
          <w:color w:val="1E1E1F"/>
          <w:sz w:val="24"/>
          <w:szCs w:val="24"/>
          <w:lang w:eastAsia="es-ES"/>
        </w:rPr>
        <w:t>stimaciones entregadas por The Alliance to Save Our Antibiotics indican que el 66% de los antibióticos en el mundo se administran en animales de granja.</w:t>
      </w:r>
      <w:r>
        <w:rPr>
          <w:rFonts w:ascii="Times New Roman" w:eastAsia="Times New Roman" w:hAnsi="Times New Roman" w:cs="Times New Roman"/>
          <w:color w:val="1E1E1F"/>
          <w:sz w:val="24"/>
          <w:szCs w:val="24"/>
          <w:lang w:eastAsia="es-ES"/>
        </w:rPr>
        <w:t xml:space="preserve"> (Wired - 28/6/23)</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¿Qué son los anabólicos en veterinaria?</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lastRenderedPageBreak/>
        <w:t>En la ganadería es práctica común el uso de anabólicos, que son sustancias que incrementan la tasa de aumento de peso del animal y la eficiencia alimenticia, a estimulando la retención de nitrógeno vía mayor síntesis de proteínas.</w:t>
      </w:r>
      <w:r>
        <w:rPr>
          <w:rFonts w:ascii="Times New Roman" w:eastAsia="Times New Roman" w:hAnsi="Times New Roman" w:cs="Times New Roman"/>
          <w:color w:val="1E1E1F"/>
          <w:sz w:val="24"/>
          <w:szCs w:val="24"/>
          <w:lang w:eastAsia="es-ES"/>
        </w:rPr>
        <w:t xml:space="preserve"> (</w:t>
      </w:r>
      <w:r w:rsidRPr="00A871B1">
        <w:rPr>
          <w:rFonts w:ascii="Times New Roman" w:eastAsia="Times New Roman" w:hAnsi="Times New Roman" w:cs="Times New Roman"/>
          <w:color w:val="1E1E1F"/>
          <w:sz w:val="24"/>
          <w:szCs w:val="24"/>
          <w:lang w:eastAsia="es-ES"/>
        </w:rPr>
        <w:t>19 dic 2017</w:t>
      </w:r>
      <w:r>
        <w:rPr>
          <w:rFonts w:ascii="Times New Roman" w:eastAsia="Times New Roman" w:hAnsi="Times New Roman" w:cs="Times New Roman"/>
          <w:color w:val="1E1E1F"/>
          <w:sz w:val="24"/>
          <w:szCs w:val="24"/>
          <w:lang w:eastAsia="es-ES"/>
        </w:rPr>
        <w:t>)</w:t>
      </w:r>
    </w:p>
    <w:p w:rsidR="0079680A" w:rsidRPr="00A871B1"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¿Qué es el anabolismo en animales?</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871B1">
        <w:rPr>
          <w:rFonts w:ascii="Times New Roman" w:eastAsia="Times New Roman" w:hAnsi="Times New Roman" w:cs="Times New Roman"/>
          <w:color w:val="1E1E1F"/>
          <w:sz w:val="24"/>
          <w:szCs w:val="24"/>
          <w:lang w:eastAsia="es-ES"/>
        </w:rPr>
        <w:t>Un anabólico se define como toda sustancia capaz de mejorar la retención de Nitrógeno en el animal y favorecer la acumulación de proteína. Las sustancias anabólicas, provocan un incremento en el crecimiento del músculo y una disminución en la deposición de grasa.</w:t>
      </w:r>
      <w:r>
        <w:rPr>
          <w:rFonts w:ascii="Times New Roman" w:eastAsia="Times New Roman" w:hAnsi="Times New Roman" w:cs="Times New Roman"/>
          <w:color w:val="1E1E1F"/>
          <w:sz w:val="24"/>
          <w:szCs w:val="24"/>
          <w:lang w:eastAsia="es-ES"/>
        </w:rPr>
        <w:t xml:space="preserve"> (</w:t>
      </w:r>
      <w:r w:rsidRPr="00A871B1">
        <w:rPr>
          <w:rFonts w:ascii="Times New Roman" w:eastAsia="Times New Roman" w:hAnsi="Times New Roman" w:cs="Times New Roman"/>
          <w:color w:val="1E1E1F"/>
          <w:sz w:val="24"/>
          <w:szCs w:val="24"/>
          <w:lang w:eastAsia="es-ES"/>
        </w:rPr>
        <w:t>3 jul 2017</w:t>
      </w:r>
      <w:r>
        <w:rPr>
          <w:rFonts w:ascii="Times New Roman" w:eastAsia="Times New Roman" w:hAnsi="Times New Roman" w:cs="Times New Roman"/>
          <w:color w:val="1E1E1F"/>
          <w:sz w:val="24"/>
          <w:szCs w:val="24"/>
          <w:lang w:eastAsia="es-ES"/>
        </w:rPr>
        <w:t>)</w:t>
      </w:r>
    </w:p>
    <w:p w:rsidR="0079680A" w:rsidRPr="00A4411C"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Pr>
          <w:rFonts w:ascii="Times New Roman" w:eastAsia="Times New Roman" w:hAnsi="Times New Roman" w:cs="Times New Roman"/>
          <w:color w:val="1E1E1F"/>
          <w:sz w:val="24"/>
          <w:szCs w:val="24"/>
          <w:lang w:eastAsia="es-ES"/>
        </w:rPr>
        <w:t>¿Qué le inyectan al ganado para que engorde</w:t>
      </w:r>
      <w:r w:rsidRPr="00A4411C">
        <w:rPr>
          <w:rFonts w:ascii="Times New Roman" w:eastAsia="Times New Roman" w:hAnsi="Times New Roman" w:cs="Times New Roman"/>
          <w:color w:val="1E1E1F"/>
          <w:sz w:val="24"/>
          <w:szCs w:val="24"/>
          <w:lang w:eastAsia="es-ES"/>
        </w:rPr>
        <w:t>?</w:t>
      </w:r>
    </w:p>
    <w:p w:rsidR="0079680A" w:rsidRDefault="0079680A" w:rsidP="0079680A">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A4411C">
        <w:rPr>
          <w:rFonts w:ascii="Times New Roman" w:eastAsia="Times New Roman" w:hAnsi="Times New Roman" w:cs="Times New Roman"/>
          <w:color w:val="1E1E1F"/>
          <w:sz w:val="24"/>
          <w:szCs w:val="24"/>
          <w:lang w:eastAsia="es-ES"/>
        </w:rPr>
        <w:t>El clenbuterol es un agente anabólico cuyo uso en la engorda de ganado está tipificado como delito en la Ley Federal de Sanidad Animal. Se utiliza para incrementar el peso en los bovinos y otras especies.</w:t>
      </w:r>
      <w:r>
        <w:rPr>
          <w:rFonts w:ascii="Times New Roman" w:eastAsia="Times New Roman" w:hAnsi="Times New Roman" w:cs="Times New Roman"/>
          <w:color w:val="1E1E1F"/>
          <w:sz w:val="24"/>
          <w:szCs w:val="24"/>
          <w:lang w:eastAsia="es-ES"/>
        </w:rPr>
        <w:t xml:space="preserve"> (</w:t>
      </w:r>
      <w:r w:rsidRPr="00A4411C">
        <w:rPr>
          <w:rFonts w:ascii="Times New Roman" w:eastAsia="Times New Roman" w:hAnsi="Times New Roman" w:cs="Times New Roman"/>
          <w:color w:val="1E1E1F"/>
          <w:sz w:val="24"/>
          <w:szCs w:val="24"/>
          <w:lang w:eastAsia="es-ES"/>
        </w:rPr>
        <w:t>15 ene 2020</w:t>
      </w:r>
      <w:r>
        <w:rPr>
          <w:rFonts w:ascii="Times New Roman" w:eastAsia="Times New Roman" w:hAnsi="Times New Roman" w:cs="Times New Roman"/>
          <w:color w:val="1E1E1F"/>
          <w:sz w:val="24"/>
          <w:szCs w:val="24"/>
          <w:lang w:eastAsia="es-ES"/>
        </w:rPr>
        <w:t>)</w:t>
      </w:r>
    </w:p>
    <w:p w:rsidR="00B22EA2" w:rsidRPr="00345D74" w:rsidRDefault="00371DD3" w:rsidP="0079680A">
      <w:pPr>
        <w:shd w:val="clear" w:color="auto" w:fill="FFFFFF"/>
        <w:spacing w:after="100" w:afterAutospacing="1" w:line="240" w:lineRule="auto"/>
        <w:jc w:val="both"/>
        <w:rPr>
          <w:rFonts w:ascii="Times New Roman" w:eastAsia="Times New Roman" w:hAnsi="Times New Roman" w:cs="Times New Roman"/>
          <w:b/>
          <w:sz w:val="24"/>
          <w:szCs w:val="24"/>
          <w:lang w:eastAsia="es-ES"/>
        </w:rPr>
      </w:pPr>
      <w:r w:rsidRPr="00345D74">
        <w:rPr>
          <w:rFonts w:ascii="Times New Roman" w:eastAsia="Times New Roman" w:hAnsi="Times New Roman" w:cs="Times New Roman"/>
          <w:b/>
          <w:sz w:val="24"/>
          <w:szCs w:val="24"/>
          <w:lang w:eastAsia="es-ES"/>
        </w:rPr>
        <w:t xml:space="preserve">Nota: </w:t>
      </w:r>
      <w:r w:rsidR="009169C0" w:rsidRPr="00345D74">
        <w:rPr>
          <w:rFonts w:ascii="Times New Roman" w:eastAsia="Times New Roman" w:hAnsi="Times New Roman" w:cs="Times New Roman"/>
          <w:b/>
          <w:sz w:val="24"/>
          <w:szCs w:val="24"/>
          <w:lang w:eastAsia="es-ES"/>
        </w:rPr>
        <w:t>Parole, parole, parole (con las cosas de comer no se juega)</w:t>
      </w:r>
    </w:p>
    <w:p w:rsidR="00371DD3" w:rsidRPr="00345D74" w:rsidRDefault="00371DD3" w:rsidP="00371DD3">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Nunca, jamás (y mira que hay ejemplos para partir, repartir, y compartir) hemos tenido un gobierno de la Unión Europea (Parlamento, Comisión, y Consejo) tan caro, tan inútil, y tan dividido. Y quieren seguir enredando, con su eterna ceremonia de la confusión.</w:t>
      </w:r>
    </w:p>
    <w:p w:rsidR="00371DD3" w:rsidRPr="00345D74" w:rsidRDefault="00371DD3" w:rsidP="00371DD3">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El continente europeo se apaga, presidido por la peor generación de políticos de su historia reciente. “Next generation”… ¿con ustedes al mando de la nave? No sean cínicos, hipócritas, cretino</w:t>
      </w:r>
      <w:r w:rsidR="00E02B28" w:rsidRPr="00345D74">
        <w:rPr>
          <w:rFonts w:ascii="Times New Roman" w:hAnsi="Times New Roman" w:cs="Times New Roman"/>
          <w:sz w:val="24"/>
          <w:szCs w:val="24"/>
        </w:rPr>
        <w:t>s, tramposos, ladrones, y también</w:t>
      </w:r>
      <w:r w:rsidRPr="00345D74">
        <w:rPr>
          <w:rFonts w:ascii="Times New Roman" w:hAnsi="Times New Roman" w:cs="Times New Roman"/>
          <w:sz w:val="24"/>
          <w:szCs w:val="24"/>
        </w:rPr>
        <w:t>… traidores. Además de robarnos el futuro, no ofendan nuestra inteligencia: “mean en nosotros y tenemos que decir que llueve”.</w:t>
      </w:r>
    </w:p>
    <w:p w:rsidR="00371DD3" w:rsidRPr="00345D74" w:rsidRDefault="00371DD3" w:rsidP="00371DD3">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Entre tantas mentiras constantes y sonantes, aunque desconocedor de algunos detalles del “sumario” (la mano que mece la cuna, quién paga los favores…), como mero espectador sí puedo constatar algunas mentiras, constantes y sonantes, que están llevando a la ruina a casi todos (lo de “casi”, pueden considerarlo un sarcasmo) los sectores de la economía europea. Sí puedo constatar que aunque los desvaríos son vuestros, los daños son nuestros.</w:t>
      </w:r>
    </w:p>
    <w:p w:rsidR="00371DD3" w:rsidRPr="00345D74" w:rsidRDefault="00371DD3" w:rsidP="00371DD3">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Como analista (observador) puedo reconocer que la política, y la economía, son espacios amorales donde muchos actores pueden comportarse con absoluta falta de escrúpulos, y que a veces hay que tomar decisiones difíciles. Pero eso no significa que la política, y la economía, deban ser completamente indiferentes a la moralidad. En el caso europeo, la amoralidad que se presume, se ha tornado una inmoralidad que se constata. Y así lo padece, la ciudadanía.</w:t>
      </w:r>
    </w:p>
    <w:p w:rsidR="00876A44" w:rsidRPr="00345D74" w:rsidRDefault="00876A44" w:rsidP="00876A44">
      <w:pPr>
        <w:pStyle w:val="NormalWeb"/>
        <w:shd w:val="clear" w:color="auto" w:fill="FFFFFF"/>
        <w:spacing w:before="0" w:beforeAutospacing="0" w:after="360" w:afterAutospacing="0"/>
        <w:jc w:val="both"/>
        <w:textAlignment w:val="baseline"/>
        <w:rPr>
          <w:sz w:val="22"/>
          <w:szCs w:val="22"/>
          <w:shd w:val="clear" w:color="auto" w:fill="FFFFFF"/>
        </w:rPr>
      </w:pPr>
      <w:r w:rsidRPr="00345D74">
        <w:t>“En Europa hay demasiadas reglas: por ejemplo, la prohibición de ciertos químicos en la producción agrícola que elevan los costos en comparación con otros países.</w:t>
      </w:r>
    </w:p>
    <w:p w:rsidR="00876A44" w:rsidRPr="00345D74" w:rsidRDefault="00876A44" w:rsidP="00876A44">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Menos ecologismo dogmático: la prohibición de motores de combustión en varios países europeos sin una infraestructura adecuada para vehículos eléctricos es un ejemplo de políticas que podrían revisarse.</w:t>
      </w:r>
    </w:p>
    <w:p w:rsidR="00876A44" w:rsidRPr="00345D74" w:rsidRDefault="00876A44" w:rsidP="00B22EA2">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 xml:space="preserve">Menos dependencia de Bruselas: la reforma de la Política Agrícola Común (PAC) podría dar a los Estados miembros más libertad para adaptar las políticas a sus necesidades locales, reduciendo regulaciones innecesarias. Conclusión: Europa debe despertar y </w:t>
      </w:r>
      <w:r w:rsidR="00345D74">
        <w:rPr>
          <w:rFonts w:ascii="Times New Roman" w:hAnsi="Times New Roman" w:cs="Times New Roman"/>
          <w:sz w:val="24"/>
          <w:szCs w:val="24"/>
        </w:rPr>
        <w:t xml:space="preserve">actuar”. (Fuente: Martin </w:t>
      </w:r>
      <w:r w:rsidRPr="00345D74">
        <w:rPr>
          <w:rFonts w:ascii="Times New Roman" w:hAnsi="Times New Roman" w:cs="Times New Roman"/>
          <w:sz w:val="24"/>
          <w:szCs w:val="24"/>
        </w:rPr>
        <w:t>Varsavsky - The Objective - 14/2/25)</w:t>
      </w:r>
    </w:p>
    <w:p w:rsidR="00B22EA2" w:rsidRPr="00345D74" w:rsidRDefault="00B22EA2" w:rsidP="00B22EA2">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lastRenderedPageBreak/>
        <w:t>- La Unión Europea de los idiotas (¿y la devolución de los dinosaurios, para cuándo?)</w:t>
      </w:r>
    </w:p>
    <w:p w:rsidR="00B22EA2" w:rsidRPr="003B4704" w:rsidRDefault="00B22EA2" w:rsidP="00B22EA2">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8E20A87" wp14:editId="52BABA1A">
            <wp:extent cx="5731933" cy="3714750"/>
            <wp:effectExtent l="0" t="0" r="2540" b="0"/>
            <wp:docPr id="151" name="Imagen 151" descr="Foto: Árboles afectados por la presencia de castores. (EFE/Jesús Di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Árboles afectados por la presencia de castores. (EFE/Jesús Diges)"/>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714476"/>
                    </a:xfrm>
                    <a:prstGeom prst="rect">
                      <a:avLst/>
                    </a:prstGeom>
                    <a:noFill/>
                    <a:ln>
                      <a:noFill/>
                    </a:ln>
                  </pic:spPr>
                </pic:pic>
              </a:graphicData>
            </a:graphic>
          </wp:inline>
        </w:drawing>
      </w:r>
      <w:r w:rsidRPr="003B4704">
        <w:rPr>
          <w:rFonts w:ascii="Times New Roman" w:hAnsi="Times New Roman" w:cs="Times New Roman"/>
          <w:sz w:val="24"/>
          <w:szCs w:val="24"/>
        </w:rPr>
        <w:t>Árboles afectados por la presencia de castores</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b/>
          <w:sz w:val="24"/>
          <w:szCs w:val="24"/>
        </w:rPr>
        <w:t>-</w:t>
      </w:r>
      <w:r>
        <w:rPr>
          <w:rFonts w:ascii="Times New Roman" w:hAnsi="Times New Roman" w:cs="Times New Roman"/>
          <w:b/>
          <w:color w:val="FF0000"/>
          <w:sz w:val="24"/>
          <w:szCs w:val="24"/>
        </w:rPr>
        <w:t xml:space="preserve"> </w:t>
      </w:r>
      <w:r w:rsidR="00E02B28">
        <w:rPr>
          <w:rFonts w:ascii="Times New Roman" w:hAnsi="Times New Roman" w:cs="Times New Roman"/>
          <w:sz w:val="24"/>
          <w:szCs w:val="24"/>
        </w:rPr>
        <w:t>“</w:t>
      </w:r>
      <w:r w:rsidRPr="003B4704">
        <w:rPr>
          <w:rFonts w:ascii="Times New Roman" w:hAnsi="Times New Roman" w:cs="Times New Roman"/>
          <w:sz w:val="24"/>
          <w:szCs w:val="24"/>
          <w:u w:val="single"/>
        </w:rPr>
        <w:t>Dejan los árboles como un lápiz</w:t>
      </w:r>
      <w:r w:rsidR="00E02B28">
        <w:rPr>
          <w:rFonts w:ascii="Times New Roman" w:hAnsi="Times New Roman" w:cs="Times New Roman"/>
          <w:sz w:val="24"/>
          <w:szCs w:val="24"/>
        </w:rPr>
        <w:t>”</w:t>
      </w:r>
      <w:r>
        <w:rPr>
          <w:rFonts w:ascii="Times New Roman" w:hAnsi="Times New Roman" w:cs="Times New Roman"/>
          <w:sz w:val="24"/>
          <w:szCs w:val="24"/>
        </w:rPr>
        <w:t xml:space="preserve"> (El Confidencial - </w:t>
      </w:r>
      <w:r w:rsidRPr="00625015">
        <w:rPr>
          <w:rFonts w:ascii="Times New Roman" w:hAnsi="Times New Roman" w:cs="Times New Roman"/>
          <w:b/>
          <w:sz w:val="24"/>
          <w:szCs w:val="24"/>
        </w:rPr>
        <w:t>10/2/25</w:t>
      </w:r>
      <w:r>
        <w:rPr>
          <w:rFonts w:ascii="Times New Roman" w:hAnsi="Times New Roman" w:cs="Times New Roman"/>
          <w:sz w:val="24"/>
          <w:szCs w:val="24"/>
        </w:rPr>
        <w:t>)</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sz w:val="24"/>
          <w:szCs w:val="24"/>
        </w:rPr>
        <w:t>Alguien ha devuelto los castores a España y están causando estragos en los frutales del Ebro</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sz w:val="24"/>
          <w:szCs w:val="24"/>
        </w:rPr>
        <w:t>Este roedor se ha asentado ya en el río más caudaloso del país tras ser introducido por unos activistas hace casi 20 años y da problemas a los agricultores. También se nota en el Guadalquivir y el Tormes</w:t>
      </w:r>
    </w:p>
    <w:p w:rsidR="00B22EA2" w:rsidRPr="003B4704" w:rsidRDefault="00B22EA2" w:rsidP="00B22EA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4704">
        <w:rPr>
          <w:rFonts w:ascii="Times New Roman" w:hAnsi="Times New Roman" w:cs="Times New Roman"/>
          <w:sz w:val="24"/>
          <w:szCs w:val="24"/>
        </w:rPr>
        <w:t>Por Carlos Rocha. Sevilla</w:t>
      </w:r>
      <w:r>
        <w:rPr>
          <w:rFonts w:ascii="Times New Roman" w:hAnsi="Times New Roman" w:cs="Times New Roman"/>
          <w:sz w:val="24"/>
          <w:szCs w:val="24"/>
        </w:rPr>
        <w:t>)</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sz w:val="24"/>
          <w:szCs w:val="24"/>
        </w:rPr>
        <w:t>Cuando Julio César fue cuestor de Hispalis en el río Betis había castores. Hispalis es el nombre romano de Sevilla y Betis es como César llamaba al Guadalquivir. No sabemos si vio algunos de estos roedores en su etapa en la Bética, antes de volver a Roma, pero en su época está probada la presencia de estos animales en los ríos de la península Ibérica. Después se extinguieron, pero veinte siglos después vuelve a haber castores en el Guadalquivir, aunque no se han detectado cerca de la capital andaluza, sino en el nacimiento, en la provincia de Jaén. Lo comprobó Jacinto Román, biólogo del CSIC que acudió a la zona donde se habían registrado los avistamientos que ya se habían dado en el Ebro en 2006, en el Tormes en 2022 y ahora se acaban de documentar en el Tajo. El científico adscrito a la Estación Biológica de Doñana explica que es imposible que los primeros ejemplares detectados en España en siglos hayan sido capaces de extenderse por el país en apenas dos décadas y en puntos tan lejanos entre sí. La incógnita sobre estos avistamientos tiene una res</w:t>
      </w:r>
      <w:r w:rsidR="00F13779">
        <w:rPr>
          <w:rFonts w:ascii="Times New Roman" w:hAnsi="Times New Roman" w:cs="Times New Roman"/>
          <w:sz w:val="24"/>
          <w:szCs w:val="24"/>
        </w:rPr>
        <w:t>puesta clara, la existencia de “</w:t>
      </w:r>
      <w:r w:rsidRPr="003B4704">
        <w:rPr>
          <w:rFonts w:ascii="Times New Roman" w:hAnsi="Times New Roman" w:cs="Times New Roman"/>
          <w:sz w:val="24"/>
          <w:szCs w:val="24"/>
        </w:rPr>
        <w:t>grupos de amigos de los</w:t>
      </w:r>
      <w:r w:rsidR="00F13779">
        <w:rPr>
          <w:rFonts w:ascii="Times New Roman" w:hAnsi="Times New Roman" w:cs="Times New Roman"/>
          <w:sz w:val="24"/>
          <w:szCs w:val="24"/>
        </w:rPr>
        <w:t xml:space="preserve"> castores”</w:t>
      </w:r>
      <w:r w:rsidRPr="003B4704">
        <w:rPr>
          <w:rFonts w:ascii="Times New Roman" w:hAnsi="Times New Roman" w:cs="Times New Roman"/>
          <w:sz w:val="24"/>
          <w:szCs w:val="24"/>
        </w:rPr>
        <w:t xml:space="preserve">, como los denomina este biólogo, que realizan sueltas ilegales por el país. Es un fenómeno que se conoce como beaver bombing, es decir, bombardeo de castores y que consiste en transportar a los animales a un río, soltarlos y esperar a que sean capaces de desarrollarse por su cuenta. Esto ha ocurrido en el Ebro de </w:t>
      </w:r>
      <w:r w:rsidRPr="003B4704">
        <w:rPr>
          <w:rFonts w:ascii="Times New Roman" w:hAnsi="Times New Roman" w:cs="Times New Roman"/>
          <w:sz w:val="24"/>
          <w:szCs w:val="24"/>
        </w:rPr>
        <w:lastRenderedPageBreak/>
        <w:t>forma natural y ahora hay agricultores en la ribera que ven cómo estos mamíferos están dejando</w:t>
      </w:r>
      <w:r w:rsidR="00F13779">
        <w:rPr>
          <w:rFonts w:ascii="Times New Roman" w:hAnsi="Times New Roman" w:cs="Times New Roman"/>
          <w:sz w:val="24"/>
          <w:szCs w:val="24"/>
        </w:rPr>
        <w:t xml:space="preserve"> a sus árboles “como un lápiz”</w:t>
      </w:r>
      <w:r>
        <w:rPr>
          <w:rFonts w:ascii="Times New Roman" w:hAnsi="Times New Roman" w:cs="Times New Roman"/>
          <w:sz w:val="24"/>
          <w:szCs w:val="24"/>
        </w:rPr>
        <w:t>.</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sz w:val="24"/>
          <w:szCs w:val="24"/>
        </w:rPr>
        <w:t xml:space="preserve"> El castor, explica Jacinto Román, estuvo a punto de extinguirse en Europa y ese peligro ya quedó atrás hace años, pero en España no se produjo una reintroducción natural. A principios </w:t>
      </w:r>
      <w:r w:rsidR="00F13779">
        <w:rPr>
          <w:rFonts w:ascii="Times New Roman" w:hAnsi="Times New Roman" w:cs="Times New Roman"/>
          <w:sz w:val="24"/>
          <w:szCs w:val="24"/>
        </w:rPr>
        <w:t>de este siglo, estos grupos de “amigos de los castores”</w:t>
      </w:r>
      <w:r w:rsidRPr="003B4704">
        <w:rPr>
          <w:rFonts w:ascii="Times New Roman" w:hAnsi="Times New Roman" w:cs="Times New Roman"/>
          <w:sz w:val="24"/>
          <w:szCs w:val="24"/>
        </w:rPr>
        <w:t xml:space="preserve"> anunciaron su intención de hacerlo por su cuenta, pero se trata de una prác</w:t>
      </w:r>
      <w:r w:rsidR="00F13779">
        <w:rPr>
          <w:rFonts w:ascii="Times New Roman" w:hAnsi="Times New Roman" w:cs="Times New Roman"/>
          <w:sz w:val="24"/>
          <w:szCs w:val="24"/>
        </w:rPr>
        <w:t>tica irregular. “</w:t>
      </w:r>
      <w:r w:rsidRPr="003B4704">
        <w:rPr>
          <w:rFonts w:ascii="Times New Roman" w:hAnsi="Times New Roman" w:cs="Times New Roman"/>
          <w:sz w:val="24"/>
          <w:szCs w:val="24"/>
        </w:rPr>
        <w:t>No hay planifi</w:t>
      </w:r>
      <w:r w:rsidR="00F13779">
        <w:rPr>
          <w:rFonts w:ascii="Times New Roman" w:hAnsi="Times New Roman" w:cs="Times New Roman"/>
          <w:sz w:val="24"/>
          <w:szCs w:val="24"/>
        </w:rPr>
        <w:t>cación, no hay estudios previos”</w:t>
      </w:r>
      <w:r w:rsidRPr="003B4704">
        <w:rPr>
          <w:rFonts w:ascii="Times New Roman" w:hAnsi="Times New Roman" w:cs="Times New Roman"/>
          <w:sz w:val="24"/>
          <w:szCs w:val="24"/>
        </w:rPr>
        <w:t>, se queja el biólogo del CSIC, que detalla que antes de proceder a este tipo de prácticas es necesario hacer un análisis de la viabilidad, controlar el estado sanitario de los especímenes y el impacto que tendrá su presencia en el medio ambi</w:t>
      </w:r>
      <w:r w:rsidR="00F13779">
        <w:rPr>
          <w:rFonts w:ascii="Times New Roman" w:hAnsi="Times New Roman" w:cs="Times New Roman"/>
          <w:sz w:val="24"/>
          <w:szCs w:val="24"/>
        </w:rPr>
        <w:t>ente y también a nivel social. “</w:t>
      </w:r>
      <w:r w:rsidRPr="003B4704">
        <w:rPr>
          <w:rFonts w:ascii="Times New Roman" w:hAnsi="Times New Roman" w:cs="Times New Roman"/>
          <w:sz w:val="24"/>
          <w:szCs w:val="24"/>
        </w:rPr>
        <w:t>Estos llegan con una furgoneta llena de castores y si salen adelante bien, y</w:t>
      </w:r>
      <w:r w:rsidR="00F13779">
        <w:rPr>
          <w:rFonts w:ascii="Times New Roman" w:hAnsi="Times New Roman" w:cs="Times New Roman"/>
          <w:sz w:val="24"/>
          <w:szCs w:val="24"/>
        </w:rPr>
        <w:t xml:space="preserve"> si no ya veremos en otro sitio”</w:t>
      </w:r>
      <w:r w:rsidRPr="003B4704">
        <w:rPr>
          <w:rFonts w:ascii="Times New Roman" w:hAnsi="Times New Roman" w:cs="Times New Roman"/>
          <w:sz w:val="24"/>
          <w:szCs w:val="24"/>
        </w:rPr>
        <w:t xml:space="preserve">, ilustra Román. La improvisación es tal que, según recuerda el experto, la intención inicial de estos activistas era hacer la primera suelta en Galicia, pero acabaron haciéndolo en el Ebro. En términos biológicos, la vuelta del castor a la península </w:t>
      </w:r>
      <w:r w:rsidR="00F13779">
        <w:rPr>
          <w:rFonts w:ascii="Times New Roman" w:hAnsi="Times New Roman" w:cs="Times New Roman"/>
          <w:sz w:val="24"/>
          <w:szCs w:val="24"/>
        </w:rPr>
        <w:t>Ibérica no parece perjudicial. “</w:t>
      </w:r>
      <w:r w:rsidRPr="003B4704">
        <w:rPr>
          <w:rFonts w:ascii="Times New Roman" w:hAnsi="Times New Roman" w:cs="Times New Roman"/>
          <w:sz w:val="24"/>
          <w:szCs w:val="24"/>
        </w:rPr>
        <w:t>Normalmente, aumentan la biodiversidad d</w:t>
      </w:r>
      <w:r w:rsidR="00F13779">
        <w:rPr>
          <w:rFonts w:ascii="Times New Roman" w:hAnsi="Times New Roman" w:cs="Times New Roman"/>
          <w:sz w:val="24"/>
          <w:szCs w:val="24"/>
        </w:rPr>
        <w:t>e los lugares donde se asientan”</w:t>
      </w:r>
      <w:r w:rsidRPr="003B4704">
        <w:rPr>
          <w:rFonts w:ascii="Times New Roman" w:hAnsi="Times New Roman" w:cs="Times New Roman"/>
          <w:sz w:val="24"/>
          <w:szCs w:val="24"/>
        </w:rPr>
        <w:t>, apunta Román. El pr</w:t>
      </w:r>
      <w:r w:rsidR="00F13779">
        <w:rPr>
          <w:rFonts w:ascii="Times New Roman" w:hAnsi="Times New Roman" w:cs="Times New Roman"/>
          <w:sz w:val="24"/>
          <w:szCs w:val="24"/>
        </w:rPr>
        <w:t>oblema para este experto es la “impunidad” con la que “los amigos de los castores”</w:t>
      </w:r>
      <w:r w:rsidRPr="003B4704">
        <w:rPr>
          <w:rFonts w:ascii="Times New Roman" w:hAnsi="Times New Roman" w:cs="Times New Roman"/>
          <w:sz w:val="24"/>
          <w:szCs w:val="24"/>
        </w:rPr>
        <w:t xml:space="preserve"> ponen en marcha sus acciones y la aleatoriedad de elegir a estos roedo</w:t>
      </w:r>
      <w:r w:rsidR="00F13779">
        <w:rPr>
          <w:rFonts w:ascii="Times New Roman" w:hAnsi="Times New Roman" w:cs="Times New Roman"/>
          <w:sz w:val="24"/>
          <w:szCs w:val="24"/>
        </w:rPr>
        <w:t>res antes que a otras especies “</w:t>
      </w:r>
      <w:r w:rsidRPr="003B4704">
        <w:rPr>
          <w:rFonts w:ascii="Times New Roman" w:hAnsi="Times New Roman" w:cs="Times New Roman"/>
          <w:sz w:val="24"/>
          <w:szCs w:val="24"/>
        </w:rPr>
        <w:t>mucho más amenazad</w:t>
      </w:r>
      <w:r w:rsidR="00F13779">
        <w:rPr>
          <w:rFonts w:ascii="Times New Roman" w:hAnsi="Times New Roman" w:cs="Times New Roman"/>
          <w:sz w:val="24"/>
          <w:szCs w:val="24"/>
        </w:rPr>
        <w:t>as”</w:t>
      </w:r>
      <w:r w:rsidRPr="003B4704">
        <w:rPr>
          <w:rFonts w:ascii="Times New Roman" w:hAnsi="Times New Roman" w:cs="Times New Roman"/>
          <w:sz w:val="24"/>
          <w:szCs w:val="24"/>
        </w:rPr>
        <w:t>.</w:t>
      </w:r>
    </w:p>
    <w:p w:rsidR="00B22EA2" w:rsidRPr="003B4704" w:rsidRDefault="00B22EA2" w:rsidP="00B22EA2">
      <w:pPr>
        <w:spacing w:line="240" w:lineRule="auto"/>
        <w:jc w:val="both"/>
        <w:rPr>
          <w:rFonts w:ascii="Times New Roman" w:hAnsi="Times New Roman" w:cs="Times New Roman"/>
          <w:sz w:val="24"/>
          <w:szCs w:val="24"/>
        </w:rPr>
      </w:pPr>
      <w:r w:rsidRPr="003B4704">
        <w:rPr>
          <w:rFonts w:ascii="Times New Roman" w:hAnsi="Times New Roman" w:cs="Times New Roman"/>
          <w:sz w:val="24"/>
          <w:szCs w:val="24"/>
        </w:rPr>
        <w:t>A pesar de que rechaza la práctica, el biólogo del CSIC aleja la situación española de la que se produjo en Chile y Argentina, donde a mediados del pasado siglo se produjo una introducción planificada del castor americano en los ríos de los dos países sudamerican</w:t>
      </w:r>
      <w:r w:rsidR="00F13779">
        <w:rPr>
          <w:rFonts w:ascii="Times New Roman" w:hAnsi="Times New Roman" w:cs="Times New Roman"/>
          <w:sz w:val="24"/>
          <w:szCs w:val="24"/>
        </w:rPr>
        <w:t>os con objetivos industriales. “</w:t>
      </w:r>
      <w:r w:rsidRPr="003B4704">
        <w:rPr>
          <w:rFonts w:ascii="Times New Roman" w:hAnsi="Times New Roman" w:cs="Times New Roman"/>
          <w:sz w:val="24"/>
          <w:szCs w:val="24"/>
        </w:rPr>
        <w:t>Allí jamás hubo castores, por lo que es una especie ajena y h</w:t>
      </w:r>
      <w:r w:rsidR="00F13779">
        <w:rPr>
          <w:rFonts w:ascii="Times New Roman" w:hAnsi="Times New Roman" w:cs="Times New Roman"/>
          <w:sz w:val="24"/>
          <w:szCs w:val="24"/>
        </w:rPr>
        <w:t>a provocado problemas tremendos”</w:t>
      </w:r>
      <w:r w:rsidRPr="003B4704">
        <w:rPr>
          <w:rFonts w:ascii="Times New Roman" w:hAnsi="Times New Roman" w:cs="Times New Roman"/>
          <w:sz w:val="24"/>
          <w:szCs w:val="24"/>
        </w:rPr>
        <w:t>, relata</w:t>
      </w:r>
      <w:r w:rsidR="00F13779">
        <w:rPr>
          <w:rFonts w:ascii="Times New Roman" w:hAnsi="Times New Roman" w:cs="Times New Roman"/>
          <w:sz w:val="24"/>
          <w:szCs w:val="24"/>
        </w:rPr>
        <w:t xml:space="preserve"> Román, que cuenta cómo con su “costumbre”</w:t>
      </w:r>
      <w:r w:rsidRPr="003B4704">
        <w:rPr>
          <w:rFonts w:ascii="Times New Roman" w:hAnsi="Times New Roman" w:cs="Times New Roman"/>
          <w:sz w:val="24"/>
          <w:szCs w:val="24"/>
        </w:rPr>
        <w:t xml:space="preserve"> de cortar árboles los roedores han transformado el ecosistema. Al no tener depredadores y estar protegidos de la caza, las 10 parejas iniciales que fueron liberadas en la Tierra del Fuego se han multiplicado y solo en Chile hay 23.000 hectáreas de bosque nativ</w:t>
      </w:r>
      <w:r>
        <w:rPr>
          <w:rFonts w:ascii="Times New Roman" w:hAnsi="Times New Roman" w:cs="Times New Roman"/>
          <w:sz w:val="24"/>
          <w:szCs w:val="24"/>
        </w:rPr>
        <w:t>o invadido por estos mamíferos.</w:t>
      </w:r>
    </w:p>
    <w:p w:rsidR="00B22EA2" w:rsidRPr="003B4704" w:rsidRDefault="00F13779" w:rsidP="00B22EA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22EA2" w:rsidRPr="003B4704">
        <w:rPr>
          <w:rFonts w:ascii="Times New Roman" w:hAnsi="Times New Roman" w:cs="Times New Roman"/>
          <w:sz w:val="24"/>
          <w:szCs w:val="24"/>
        </w:rPr>
        <w:t>No es necesariamente malo, pero no hay estudios que lo avalen, pero los que tienen frutales en la orilla d</w:t>
      </w:r>
      <w:r>
        <w:rPr>
          <w:rFonts w:ascii="Times New Roman" w:hAnsi="Times New Roman" w:cs="Times New Roman"/>
          <w:sz w:val="24"/>
          <w:szCs w:val="24"/>
        </w:rPr>
        <w:t>el Ebro dicen que son una plaga”</w:t>
      </w:r>
      <w:r w:rsidR="00B22EA2" w:rsidRPr="003B4704">
        <w:rPr>
          <w:rFonts w:ascii="Times New Roman" w:hAnsi="Times New Roman" w:cs="Times New Roman"/>
          <w:sz w:val="24"/>
          <w:szCs w:val="24"/>
        </w:rPr>
        <w:t>, zanja el experto de la Estación Biológica de Doñana. Manuel Cobos, que tiene frutales en Urrea del Jalón, lo ha comprobado en sus propias carnes. Concretamente en los ciruelos, manzanos, perales y melocotoneros que tiene plantados junto al afluent</w:t>
      </w:r>
      <w:r>
        <w:rPr>
          <w:rFonts w:ascii="Times New Roman" w:hAnsi="Times New Roman" w:cs="Times New Roman"/>
          <w:sz w:val="24"/>
          <w:szCs w:val="24"/>
        </w:rPr>
        <w:t>e del Ebro, cerca de Zaragoza. “Dejan los árboles como un lápiz”</w:t>
      </w:r>
      <w:r w:rsidR="00B22EA2" w:rsidRPr="003B4704">
        <w:rPr>
          <w:rFonts w:ascii="Times New Roman" w:hAnsi="Times New Roman" w:cs="Times New Roman"/>
          <w:sz w:val="24"/>
          <w:szCs w:val="24"/>
        </w:rPr>
        <w:t>, explica este agricultor de la huerta del Jalón, donde ahora están preparando los frutales y realizan</w:t>
      </w:r>
      <w:r>
        <w:rPr>
          <w:rFonts w:ascii="Times New Roman" w:hAnsi="Times New Roman" w:cs="Times New Roman"/>
          <w:sz w:val="24"/>
          <w:szCs w:val="24"/>
        </w:rPr>
        <w:t>do trabajos postcosecha por la “parada de la savia”. “</w:t>
      </w:r>
      <w:r w:rsidR="00B22EA2" w:rsidRPr="003B4704">
        <w:rPr>
          <w:rFonts w:ascii="Times New Roman" w:hAnsi="Times New Roman" w:cs="Times New Roman"/>
          <w:sz w:val="24"/>
          <w:szCs w:val="24"/>
        </w:rPr>
        <w:t>Se me ocurrió ir a un campo y estaban todos con las ramas c</w:t>
      </w:r>
      <w:r>
        <w:rPr>
          <w:rFonts w:ascii="Times New Roman" w:hAnsi="Times New Roman" w:cs="Times New Roman"/>
          <w:sz w:val="24"/>
          <w:szCs w:val="24"/>
        </w:rPr>
        <w:t>ortadas a la altura de mis ojos”</w:t>
      </w:r>
      <w:r w:rsidR="00B22EA2" w:rsidRPr="003B4704">
        <w:rPr>
          <w:rFonts w:ascii="Times New Roman" w:hAnsi="Times New Roman" w:cs="Times New Roman"/>
          <w:sz w:val="24"/>
          <w:szCs w:val="24"/>
        </w:rPr>
        <w:t xml:space="preserve">, lamenta el productor aragonés. Según relata Cobos, el problema principal se está registrando en las fincas situadas en la ribera del Ebro y sus afluentes, pero ya empieza a llegar más lejos porque los castores remontan las acequias </w:t>
      </w:r>
      <w:r>
        <w:rPr>
          <w:rFonts w:ascii="Times New Roman" w:hAnsi="Times New Roman" w:cs="Times New Roman"/>
          <w:sz w:val="24"/>
          <w:szCs w:val="24"/>
        </w:rPr>
        <w:t>y se aventuran tierra adentro. “</w:t>
      </w:r>
      <w:r w:rsidR="00B22EA2" w:rsidRPr="003B4704">
        <w:rPr>
          <w:rFonts w:ascii="Times New Roman" w:hAnsi="Times New Roman" w:cs="Times New Roman"/>
          <w:sz w:val="24"/>
          <w:szCs w:val="24"/>
        </w:rPr>
        <w:t xml:space="preserve">En una noche </w:t>
      </w:r>
      <w:r>
        <w:rPr>
          <w:rFonts w:ascii="Times New Roman" w:hAnsi="Times New Roman" w:cs="Times New Roman"/>
          <w:sz w:val="24"/>
          <w:szCs w:val="24"/>
        </w:rPr>
        <w:t>pueden arrancar 20 o 30 árboles”</w:t>
      </w:r>
      <w:r w:rsidR="00B22EA2" w:rsidRPr="003B4704">
        <w:rPr>
          <w:rFonts w:ascii="Times New Roman" w:hAnsi="Times New Roman" w:cs="Times New Roman"/>
          <w:sz w:val="24"/>
          <w:szCs w:val="24"/>
        </w:rPr>
        <w:t>, reconoce el agricultor zaragozano, que calcula que los especímenes pueden pesar más de 20 kilos. Tienen predilección, asegura, por los manzanos, pero también les gusta el peral de agua.</w:t>
      </w:r>
    </w:p>
    <w:p w:rsidR="00B22EA2" w:rsidRDefault="00F13779" w:rsidP="00B22EA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22EA2" w:rsidRPr="003B4704">
        <w:rPr>
          <w:rFonts w:ascii="Times New Roman" w:hAnsi="Times New Roman" w:cs="Times New Roman"/>
          <w:sz w:val="24"/>
          <w:szCs w:val="24"/>
        </w:rPr>
        <w:t xml:space="preserve">Yo tengo 1.400 melocotoneros que tienen ahora 7 u 8 años, pero si cuando den fruto vienen estos y me arruinan 600 tengo que arrancar el campo </w:t>
      </w:r>
      <w:r>
        <w:rPr>
          <w:rFonts w:ascii="Times New Roman" w:hAnsi="Times New Roman" w:cs="Times New Roman"/>
          <w:sz w:val="24"/>
          <w:szCs w:val="24"/>
        </w:rPr>
        <w:t>entero porque no sería rentable”</w:t>
      </w:r>
      <w:r w:rsidR="00B22EA2" w:rsidRPr="003B4704">
        <w:rPr>
          <w:rFonts w:ascii="Times New Roman" w:hAnsi="Times New Roman" w:cs="Times New Roman"/>
          <w:sz w:val="24"/>
          <w:szCs w:val="24"/>
        </w:rPr>
        <w:t>, reconoce el agricultor zaragozano, que para ahuyentar a los roedores ha colocado barreras de pelo de perro que recoge en la peluquera del suyo, ya que su o</w:t>
      </w:r>
      <w:r>
        <w:rPr>
          <w:rFonts w:ascii="Times New Roman" w:hAnsi="Times New Roman" w:cs="Times New Roman"/>
          <w:sz w:val="24"/>
          <w:szCs w:val="24"/>
        </w:rPr>
        <w:t>lor los espanta temporalmente. “</w:t>
      </w:r>
      <w:r w:rsidR="00B22EA2" w:rsidRPr="003B4704">
        <w:rPr>
          <w:rFonts w:ascii="Times New Roman" w:hAnsi="Times New Roman" w:cs="Times New Roman"/>
          <w:sz w:val="24"/>
          <w:szCs w:val="24"/>
        </w:rPr>
        <w:t xml:space="preserve">Nadie </w:t>
      </w:r>
      <w:r>
        <w:rPr>
          <w:rFonts w:ascii="Times New Roman" w:hAnsi="Times New Roman" w:cs="Times New Roman"/>
          <w:sz w:val="24"/>
          <w:szCs w:val="24"/>
        </w:rPr>
        <w:t>nos ha dado ninguna solución”</w:t>
      </w:r>
      <w:r w:rsidR="00B22EA2" w:rsidRPr="003B4704">
        <w:rPr>
          <w:rFonts w:ascii="Times New Roman" w:hAnsi="Times New Roman" w:cs="Times New Roman"/>
          <w:sz w:val="24"/>
          <w:szCs w:val="24"/>
        </w:rPr>
        <w:t xml:space="preserve">, se queja después de ver cómo los árboles jóvenes que han atacado los castores rebrotan, pero no lo hacen de forma correcta. El problema, cuenta, es que los seguros no incluyen las afecciones que provocan los castores en los frutales porque </w:t>
      </w:r>
      <w:r w:rsidR="00B22EA2" w:rsidRPr="003B4704">
        <w:rPr>
          <w:rFonts w:ascii="Times New Roman" w:hAnsi="Times New Roman" w:cs="Times New Roman"/>
          <w:sz w:val="24"/>
          <w:szCs w:val="24"/>
        </w:rPr>
        <w:lastRenderedPageBreak/>
        <w:t>no es un efecto meteorológico. José Manuel Roche, secretario general de UPA Aragón, insiste en este problema de los seguros agrarios y sus coberturas, por lo que reclama una respuesta de la Administración para compensar las pérdidas. Y añade que los daños no solo se circunscriben a las plantaciones de frutales, ya que los castores también están causando estragos en zonas urbanas. En la capital zaragozana hay registros de árboles como chopos y álamos de ribera afectados. Las zonas donde se han avistado a los roedores son el meandro de Ranillas y el mirador del Puente de Tablas, donde el Ayuntamiento de Zaragoza incluso ha retirado algún tronco deteriorado para evitar peligros de caídas sobre viandantes.</w:t>
      </w:r>
    </w:p>
    <w:p w:rsidR="003811BD" w:rsidRDefault="00FD4371" w:rsidP="00B22EA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Otros ejemplos </w:t>
      </w:r>
      <w:r w:rsidR="003811BD" w:rsidRPr="003811BD">
        <w:rPr>
          <w:rFonts w:ascii="Times New Roman" w:hAnsi="Times New Roman" w:cs="Times New Roman"/>
          <w:b/>
          <w:sz w:val="24"/>
          <w:szCs w:val="24"/>
        </w:rPr>
        <w:t xml:space="preserve">de la “conjura de los necios” </w:t>
      </w:r>
      <w:r>
        <w:rPr>
          <w:rFonts w:ascii="Times New Roman" w:hAnsi="Times New Roman" w:cs="Times New Roman"/>
          <w:b/>
          <w:sz w:val="24"/>
          <w:szCs w:val="24"/>
        </w:rPr>
        <w:t>(arbitraria y parcial)</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 xml:space="preserve">- </w:t>
      </w:r>
      <w:r w:rsidR="00F13779">
        <w:rPr>
          <w:rFonts w:ascii="Times New Roman" w:hAnsi="Times New Roman" w:cs="Times New Roman"/>
          <w:sz w:val="24"/>
          <w:szCs w:val="24"/>
          <w:u w:val="single"/>
        </w:rPr>
        <w:t>Dinamarca implanta el “impuesto al eructo”</w:t>
      </w:r>
      <w:r w:rsidRPr="00C51048">
        <w:rPr>
          <w:rFonts w:ascii="Times New Roman" w:hAnsi="Times New Roman" w:cs="Times New Roman"/>
          <w:sz w:val="24"/>
          <w:szCs w:val="24"/>
          <w:u w:val="single"/>
        </w:rPr>
        <w:t xml:space="preserve"> de cerdos y vacas que retiró Nueva Zelanda</w:t>
      </w:r>
      <w:r w:rsidRPr="00C51048">
        <w:rPr>
          <w:rFonts w:ascii="Times New Roman" w:hAnsi="Times New Roman" w:cs="Times New Roman"/>
          <w:sz w:val="24"/>
          <w:szCs w:val="24"/>
        </w:rPr>
        <w:t xml:space="preserve"> Libertad Digital - </w:t>
      </w:r>
      <w:r w:rsidRPr="00C51048">
        <w:rPr>
          <w:rFonts w:ascii="Times New Roman" w:hAnsi="Times New Roman" w:cs="Times New Roman"/>
          <w:b/>
          <w:sz w:val="24"/>
          <w:szCs w:val="24"/>
        </w:rPr>
        <w:t>27/11/24</w:t>
      </w:r>
      <w:r w:rsidRPr="00C51048">
        <w:rPr>
          <w:rFonts w:ascii="Times New Roman" w:hAnsi="Times New Roman" w:cs="Times New Roman"/>
          <w:sz w:val="24"/>
          <w:szCs w:val="24"/>
        </w:rPr>
        <w:t>)</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Los ganaderos tendrán que pagar unos 40 euros por cada tonelada de metano emitida por cerdos y vacas a partir de 2030.</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(Por Marta Arce)</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El Gobierno de Dinamarca ha anunciado que v</w:t>
      </w:r>
      <w:r w:rsidR="00F13779">
        <w:rPr>
          <w:rFonts w:ascii="Times New Roman" w:hAnsi="Times New Roman" w:cs="Times New Roman"/>
          <w:sz w:val="24"/>
          <w:szCs w:val="24"/>
        </w:rPr>
        <w:t>a a implantar el conocido como “impuesto al eructo”</w:t>
      </w:r>
      <w:r w:rsidRPr="00C51048">
        <w:rPr>
          <w:rFonts w:ascii="Times New Roman" w:hAnsi="Times New Roman" w:cs="Times New Roman"/>
          <w:sz w:val="24"/>
          <w:szCs w:val="24"/>
        </w:rPr>
        <w:t xml:space="preserve"> y, a partir del año 2030, los ganaderos tendrán que pagar por las emisiones de metano de las vacas y los cerdos. Nueva Zelanda fue el primer país en aprobar este impuesto que iba a entrar en vigor en 2025, aunque finalmente el nuevo ejecutivo conservador ha decidido descartarlo.</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Después de meses de negociaciones entre los principales partidos, los ganaderos, la industria, sindicatos y grupos ecologistas, finalmente se ha acordado que a partir de 2030, los agricultores tendrán que pagar algo más de 40 euros (300 coronas) por cada tonelada de metano emitida por el ganado. Esta tasa aumentará hasta los 100,50 euros (750 coronas) en 2035, según explica The Copenhagen Post.</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Además de los requisitos para que los agricultores reduzcan el consumo de nitrógeno, el Acuerdo para una Dinamarca Verde también implica un compromiso para plantar 250.000 hectáreas de nuevos bosques y crear cinco parques naturales nacionales más.</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Esto implica que, con la plantación de nuevos bosques, alrededor de 140.000 hectáreas de tierras bajas deberán ser eliminadas y no podrán volver a ser cultivadas.</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El sector ganadero en Dinamarca aporta cerca del 2,4% del PIB del país con un peso muy destacado para el sector porcino. La cabaña ganadera del país cuenta con unas 900.000 cabezas de ganado vacuno, de las que más de la mitad son vacas lecheras, y 11,5 millones de cerdos.</w:t>
      </w:r>
    </w:p>
    <w:p w:rsidR="00FD4371"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De los 32 millones de lechones que produce Dinamarca al año, 13,5 millones se venden vivos a países europeos como Alemania y Polonia para su engorde, mientras que el resto se sacrifica y procesa en el país para consumo interno o exportación.</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 xml:space="preserve">- </w:t>
      </w:r>
      <w:r w:rsidRPr="00C51048">
        <w:rPr>
          <w:rFonts w:ascii="Times New Roman" w:hAnsi="Times New Roman" w:cs="Times New Roman"/>
          <w:sz w:val="24"/>
          <w:szCs w:val="24"/>
          <w:u w:val="single"/>
        </w:rPr>
        <w:t>Tras el diario de la vaca, l</w:t>
      </w:r>
      <w:r w:rsidR="00F13779">
        <w:rPr>
          <w:rFonts w:ascii="Times New Roman" w:hAnsi="Times New Roman" w:cs="Times New Roman"/>
          <w:sz w:val="24"/>
          <w:szCs w:val="24"/>
          <w:u w:val="single"/>
        </w:rPr>
        <w:t>lega el veterinario de abejas: “</w:t>
      </w:r>
      <w:r w:rsidRPr="00C51048">
        <w:rPr>
          <w:rFonts w:ascii="Times New Roman" w:hAnsi="Times New Roman" w:cs="Times New Roman"/>
          <w:sz w:val="24"/>
          <w:szCs w:val="24"/>
          <w:u w:val="single"/>
        </w:rPr>
        <w:t>Es un g</w:t>
      </w:r>
      <w:r w:rsidR="00F13779">
        <w:rPr>
          <w:rFonts w:ascii="Times New Roman" w:hAnsi="Times New Roman" w:cs="Times New Roman"/>
          <w:sz w:val="24"/>
          <w:szCs w:val="24"/>
          <w:u w:val="single"/>
        </w:rPr>
        <w:t>asto innecesario”</w:t>
      </w:r>
      <w:r w:rsidRPr="00C51048">
        <w:rPr>
          <w:rFonts w:ascii="Times New Roman" w:hAnsi="Times New Roman" w:cs="Times New Roman"/>
          <w:sz w:val="24"/>
          <w:szCs w:val="24"/>
        </w:rPr>
        <w:t xml:space="preserve"> (Libertad Digital - </w:t>
      </w:r>
      <w:r w:rsidRPr="00C51048">
        <w:rPr>
          <w:rFonts w:ascii="Times New Roman" w:hAnsi="Times New Roman" w:cs="Times New Roman"/>
          <w:b/>
          <w:sz w:val="24"/>
          <w:szCs w:val="24"/>
        </w:rPr>
        <w:t>7/12/24</w:t>
      </w:r>
      <w:r w:rsidRPr="00C51048">
        <w:rPr>
          <w:rFonts w:ascii="Times New Roman" w:hAnsi="Times New Roman" w:cs="Times New Roman"/>
          <w:sz w:val="24"/>
          <w:szCs w:val="24"/>
        </w:rPr>
        <w:t>)</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Los apicultor</w:t>
      </w:r>
      <w:r w:rsidR="00B21A88">
        <w:rPr>
          <w:rFonts w:ascii="Times New Roman" w:hAnsi="Times New Roman" w:cs="Times New Roman"/>
          <w:sz w:val="24"/>
          <w:szCs w:val="24"/>
        </w:rPr>
        <w:t>es profesionales denuncian que “no necesitan”</w:t>
      </w:r>
      <w:r w:rsidRPr="00C51048">
        <w:rPr>
          <w:rFonts w:ascii="Times New Roman" w:hAnsi="Times New Roman" w:cs="Times New Roman"/>
          <w:sz w:val="24"/>
          <w:szCs w:val="24"/>
        </w:rPr>
        <w:t xml:space="preserve"> la figura del veterinario de explotación que el Gobierno quiere implantar.</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(Por Marta Arce)</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lastRenderedPageBreak/>
        <w:t>Los apicultores profesionales están que trinan ante la figura del veterinario de explotación que el Gobierno quiere implantar a partir de mediados de 2025 en todas las granjas, incluidas las apícolas. Insisten en que esta normativa, que cerró hace unos días la fase de audiencia pública, "no hace falta" y está provocando un enfrentamiento en el sector.</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El veterinario de explotación es el encargado de llevar a cabo una supervisión sanitaria y de bienestar animal de la explotación ganadera de manera presencial y de forma regular. Inicialmente, el Gobierno quiso que fuese obligatorio para todas las explotaciones, algo que indignó a los ganaderos debido al aumento de costes y burocracia que implicaba. Posteriormente el Gobierno reculó, sobre todo a raíz de las protestas del campo y las tractoradas, y finalmente, se ha comprometido a que la figura del veterinario de explotación sea voluntaria.</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Sin embargo, esta supuesta cesión ante los ganaderos tiene truco, según explica José Manuel Cortés,</w:t>
      </w:r>
      <w:r w:rsidR="00B21A88">
        <w:rPr>
          <w:rFonts w:ascii="Times New Roman" w:hAnsi="Times New Roman" w:cs="Times New Roman"/>
          <w:sz w:val="24"/>
          <w:szCs w:val="24"/>
        </w:rPr>
        <w:t xml:space="preserve"> presidente de COAG Salamanca: “</w:t>
      </w:r>
      <w:r w:rsidRPr="00C51048">
        <w:rPr>
          <w:rFonts w:ascii="Times New Roman" w:hAnsi="Times New Roman" w:cs="Times New Roman"/>
          <w:sz w:val="24"/>
          <w:szCs w:val="24"/>
        </w:rPr>
        <w:t>Va a ser voluntario. El tema es que el Ministerio de Agricultura se las está ingeniando para que no te quede más remedio que tenerlo porque, por lo que hemos visto en el borrador, va a estar vinculado a las ayudas. En el caso de los apicultores de más de 150 colmenas, el veterinario de explotación está vinculado a la Inter</w:t>
      </w:r>
      <w:r w:rsidR="00B21A88">
        <w:rPr>
          <w:rFonts w:ascii="Times New Roman" w:hAnsi="Times New Roman" w:cs="Times New Roman"/>
          <w:sz w:val="24"/>
          <w:szCs w:val="24"/>
        </w:rPr>
        <w:t>vención Sectorial Apícola (ISA)”</w:t>
      </w:r>
      <w:r w:rsidRPr="00C51048">
        <w:rPr>
          <w:rFonts w:ascii="Times New Roman" w:hAnsi="Times New Roman" w:cs="Times New Roman"/>
          <w:sz w:val="24"/>
          <w:szCs w:val="24"/>
        </w:rPr>
        <w:t>.</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Estas subvenciones cuentan con un presupuesto anual de 19 millones de euros para el período 2023-2027, financiado en parte por la Unión Europea, el Estado y las comunidades autónomas, que también son las encargadas de su gestión. Según datos del Ministerio de Agricultura, en nuestro país hay aproximadamente 36.500 apicultores registrados, de los cuales cerca del 20% son profesionales (con más de 150 colmenas), que son los que suelen recibir la mayor parte de las ayudas.</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 xml:space="preserve">Según Cortés, vincular el veterinario de explotación a las subvenciones ISA supone un agravio comparativo para </w:t>
      </w:r>
      <w:r w:rsidR="00B21A88">
        <w:rPr>
          <w:rFonts w:ascii="Times New Roman" w:hAnsi="Times New Roman" w:cs="Times New Roman"/>
          <w:sz w:val="24"/>
          <w:szCs w:val="24"/>
        </w:rPr>
        <w:t>los apicultores profesionales: “</w:t>
      </w:r>
      <w:r w:rsidRPr="00C51048">
        <w:rPr>
          <w:rFonts w:ascii="Times New Roman" w:hAnsi="Times New Roman" w:cs="Times New Roman"/>
          <w:sz w:val="24"/>
          <w:szCs w:val="24"/>
        </w:rPr>
        <w:t>Están enfrentando al sector. Se supone que el veterinario de explotación es bueno porque va a mejorar el control de las explotaciones en cuestiones como la sanidad y la trazabilidad. Pero, ¿acaso el que tiene 149 colmenas no produce miel? Al final es ponerle trabas al profesional y no se piensa en los que pagan impuestos y seguridad social, sino en los</w:t>
      </w:r>
      <w:r w:rsidR="00B21A88">
        <w:rPr>
          <w:rFonts w:ascii="Times New Roman" w:hAnsi="Times New Roman" w:cs="Times New Roman"/>
          <w:sz w:val="24"/>
          <w:szCs w:val="24"/>
        </w:rPr>
        <w:t xml:space="preserve"> aficionados”.</w:t>
      </w:r>
    </w:p>
    <w:p w:rsidR="00FD4371" w:rsidRPr="00C51048" w:rsidRDefault="00B21A88" w:rsidP="00FD437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D4371" w:rsidRPr="00C51048">
        <w:rPr>
          <w:rFonts w:ascii="Times New Roman" w:hAnsi="Times New Roman" w:cs="Times New Roman"/>
          <w:sz w:val="24"/>
          <w:szCs w:val="24"/>
        </w:rPr>
        <w:t>No necesitamo</w:t>
      </w:r>
      <w:r>
        <w:rPr>
          <w:rFonts w:ascii="Times New Roman" w:hAnsi="Times New Roman" w:cs="Times New Roman"/>
          <w:sz w:val="24"/>
          <w:szCs w:val="24"/>
        </w:rPr>
        <w:t>s un veterinario de explotación”</w:t>
      </w:r>
    </w:p>
    <w:p w:rsidR="00FD4371" w:rsidRPr="00C51048" w:rsidRDefault="00FD4371" w:rsidP="00FD4371">
      <w:pPr>
        <w:spacing w:line="240" w:lineRule="auto"/>
        <w:jc w:val="both"/>
        <w:rPr>
          <w:rFonts w:ascii="Times New Roman" w:hAnsi="Times New Roman" w:cs="Times New Roman"/>
          <w:sz w:val="24"/>
          <w:szCs w:val="24"/>
        </w:rPr>
      </w:pPr>
      <w:r w:rsidRPr="00C51048">
        <w:rPr>
          <w:rFonts w:ascii="Times New Roman" w:hAnsi="Times New Roman" w:cs="Times New Roman"/>
          <w:sz w:val="24"/>
          <w:szCs w:val="24"/>
        </w:rPr>
        <w:t>Pero lo más grave de la si</w:t>
      </w:r>
      <w:r w:rsidR="00B21A88">
        <w:rPr>
          <w:rFonts w:ascii="Times New Roman" w:hAnsi="Times New Roman" w:cs="Times New Roman"/>
          <w:sz w:val="24"/>
          <w:szCs w:val="24"/>
        </w:rPr>
        <w:t>tuación, señala Cortés, es que “</w:t>
      </w:r>
      <w:r w:rsidRPr="00C51048">
        <w:rPr>
          <w:rFonts w:ascii="Times New Roman" w:hAnsi="Times New Roman" w:cs="Times New Roman"/>
          <w:sz w:val="24"/>
          <w:szCs w:val="24"/>
        </w:rPr>
        <w:t xml:space="preserve">es un gasto innecesario y supone más burocracia y una mayor carga de trabajo que va a afectar sobre todo a apicultores de Salamanca y Extremadura que, en muchos </w:t>
      </w:r>
      <w:r w:rsidR="00B21A88">
        <w:rPr>
          <w:rFonts w:ascii="Times New Roman" w:hAnsi="Times New Roman" w:cs="Times New Roman"/>
          <w:sz w:val="24"/>
          <w:szCs w:val="24"/>
        </w:rPr>
        <w:t>casos, no lo van a poder asumir”</w:t>
      </w:r>
      <w:r w:rsidRPr="00C51048">
        <w:rPr>
          <w:rFonts w:ascii="Times New Roman" w:hAnsi="Times New Roman" w:cs="Times New Roman"/>
          <w:sz w:val="24"/>
          <w:szCs w:val="24"/>
        </w:rPr>
        <w:t>.</w:t>
      </w:r>
    </w:p>
    <w:p w:rsidR="00FD4371" w:rsidRPr="00C51048" w:rsidRDefault="00B21A88" w:rsidP="00FD4371">
      <w:pPr>
        <w:spacing w:line="240" w:lineRule="auto"/>
        <w:jc w:val="both"/>
        <w:rPr>
          <w:rFonts w:ascii="Times New Roman" w:hAnsi="Times New Roman" w:cs="Times New Roman"/>
          <w:sz w:val="24"/>
          <w:szCs w:val="24"/>
        </w:rPr>
      </w:pPr>
      <w:r>
        <w:rPr>
          <w:rFonts w:ascii="Times New Roman" w:hAnsi="Times New Roman" w:cs="Times New Roman"/>
          <w:sz w:val="24"/>
          <w:szCs w:val="24"/>
        </w:rPr>
        <w:t>Además, señala Cortés, “</w:t>
      </w:r>
      <w:r w:rsidR="00FD4371" w:rsidRPr="00C51048">
        <w:rPr>
          <w:rFonts w:ascii="Times New Roman" w:hAnsi="Times New Roman" w:cs="Times New Roman"/>
          <w:sz w:val="24"/>
          <w:szCs w:val="24"/>
        </w:rPr>
        <w:t>no hay riesgos de contaminación en la miel asociados a enfermedades de las abejas. Es cierto que el Ministerio tiene autorizados 24 antibióticos, pero no son necesarios porque no hay ninguna enfermedad asociada a las abejas que se cure con antibióticos. Lo único, es el ácaro de la varroa y solo hay un tratamiento del Ministerio, que es inocuo. Es decir, que no hay una transferencia o contaminación posible por manejo de productos químicos en la miel, el propóleo o el polen. Así que, no necesitamo</w:t>
      </w:r>
      <w:r>
        <w:rPr>
          <w:rFonts w:ascii="Times New Roman" w:hAnsi="Times New Roman" w:cs="Times New Roman"/>
          <w:sz w:val="24"/>
          <w:szCs w:val="24"/>
        </w:rPr>
        <w:t>s al veterinario de explotación”</w:t>
      </w:r>
      <w:r w:rsidR="00FD4371" w:rsidRPr="00C51048">
        <w:rPr>
          <w:rFonts w:ascii="Times New Roman" w:hAnsi="Times New Roman" w:cs="Times New Roman"/>
          <w:sz w:val="24"/>
          <w:szCs w:val="24"/>
        </w:rPr>
        <w:t>, insiste.</w:t>
      </w:r>
    </w:p>
    <w:p w:rsidR="00FD4371" w:rsidRPr="009E4C18" w:rsidRDefault="00FD4371" w:rsidP="00FD4371">
      <w:pPr>
        <w:pStyle w:val="NormalWeb"/>
        <w:shd w:val="clear" w:color="auto" w:fill="FFFFFF"/>
        <w:spacing w:after="225"/>
        <w:jc w:val="both"/>
      </w:pPr>
      <w:r w:rsidRPr="009E4C18">
        <w:t xml:space="preserve">- </w:t>
      </w:r>
      <w:r w:rsidR="00B21A88">
        <w:rPr>
          <w:u w:val="single"/>
        </w:rPr>
        <w:t>Polémica por las “dos inspectoras novatas”</w:t>
      </w:r>
      <w:r w:rsidRPr="009E4C18">
        <w:rPr>
          <w:u w:val="single"/>
        </w:rPr>
        <w:t xml:space="preserve"> que multaron a los agricultores por no tener váter en el campo</w:t>
      </w:r>
      <w:r w:rsidRPr="009E4C18">
        <w:t xml:space="preserve"> (Libertad Digital - </w:t>
      </w:r>
      <w:r w:rsidRPr="009E4C18">
        <w:rPr>
          <w:b/>
        </w:rPr>
        <w:t>30/1/25</w:t>
      </w:r>
      <w:r w:rsidRPr="009E4C18">
        <w:t>)</w:t>
      </w:r>
    </w:p>
    <w:p w:rsidR="00FD4371" w:rsidRPr="009E4C18" w:rsidRDefault="00FD4371" w:rsidP="00FD4371">
      <w:pPr>
        <w:pStyle w:val="NormalWeb"/>
        <w:shd w:val="clear" w:color="auto" w:fill="FFFFFF"/>
        <w:spacing w:after="225"/>
        <w:jc w:val="both"/>
      </w:pPr>
      <w:r w:rsidRPr="009E4C18">
        <w:lastRenderedPageBreak/>
        <w:t>Se desata la polémica durante la campaña de aceituna en Toledo por las sanciones de hasta 40.000 euros por no disponer de baños portátiles.</w:t>
      </w:r>
    </w:p>
    <w:p w:rsidR="00FD4371" w:rsidRPr="009E4C18" w:rsidRDefault="00FD4371" w:rsidP="00FD4371">
      <w:pPr>
        <w:pStyle w:val="NormalWeb"/>
        <w:shd w:val="clear" w:color="auto" w:fill="FFFFFF"/>
        <w:spacing w:after="225"/>
        <w:jc w:val="both"/>
      </w:pPr>
      <w:r w:rsidRPr="009E4C18">
        <w:t>(Por Marta Arce)</w:t>
      </w:r>
    </w:p>
    <w:p w:rsidR="00FD4371" w:rsidRPr="009E4C18" w:rsidRDefault="00FD4371" w:rsidP="00FD4371">
      <w:pPr>
        <w:pStyle w:val="NormalWeb"/>
        <w:shd w:val="clear" w:color="auto" w:fill="FFFFFF"/>
        <w:spacing w:after="225"/>
        <w:jc w:val="both"/>
      </w:pPr>
      <w:r w:rsidRPr="009E4C18">
        <w:t xml:space="preserve">A mediados de enero se han producido varias inspecciones de trabajo durante la campaña de aceituna en la provincia de Toledo que han </w:t>
      </w:r>
      <w:r w:rsidR="00B21A88">
        <w:t>acabado en sanción debido a la “</w:t>
      </w:r>
      <w:r w:rsidRPr="009E4C18">
        <w:t>inexistencia de servicio</w:t>
      </w:r>
      <w:r w:rsidR="00B21A88">
        <w:t>s para cagar y mear en el campo”</w:t>
      </w:r>
      <w:r w:rsidRPr="009E4C18">
        <w:t>, según ha denunciado la asociación agraria Unión de Uniones de Castilla-La Mancha. Es decir, multas por no tener un váter portátil en el campo de olivos.</w:t>
      </w:r>
    </w:p>
    <w:p w:rsidR="00FD4371" w:rsidRPr="009E4C18" w:rsidRDefault="00FD4371" w:rsidP="00FD4371">
      <w:pPr>
        <w:pStyle w:val="NormalWeb"/>
        <w:shd w:val="clear" w:color="auto" w:fill="FFFFFF"/>
        <w:spacing w:after="225"/>
        <w:jc w:val="both"/>
      </w:pPr>
      <w:r w:rsidRPr="009E4C18">
        <w:t>La situación ha llegado a superar lo absurdo,</w:t>
      </w:r>
      <w:r w:rsidR="00B21A88">
        <w:t xml:space="preserve"> según describe la asociación. “Dos inspectoras de trabajo -</w:t>
      </w:r>
      <w:r w:rsidRPr="009E4C18">
        <w:t>a</w:t>
      </w:r>
      <w:r w:rsidR="00B21A88">
        <w:t xml:space="preserve"> las que han bautizado como la “brigada dodotis”-</w:t>
      </w:r>
      <w:r w:rsidRPr="009E4C18">
        <w:t xml:space="preserve"> deben de tener la perturbadora idea de que el campesino es incapaz de ir tras un olivar o un matorral cualquiera a cumplir </w:t>
      </w:r>
      <w:r w:rsidR="00B21A88">
        <w:t>con la llamada de la naturaleza”</w:t>
      </w:r>
      <w:r w:rsidRPr="009E4C18">
        <w:t>, ironizan.</w:t>
      </w:r>
    </w:p>
    <w:p w:rsidR="00FD4371" w:rsidRPr="009E4C18" w:rsidRDefault="00FD4371" w:rsidP="00FD4371">
      <w:pPr>
        <w:pStyle w:val="NormalWeb"/>
        <w:shd w:val="clear" w:color="auto" w:fill="FFFFFF"/>
        <w:spacing w:after="225"/>
        <w:jc w:val="both"/>
      </w:pPr>
      <w:r w:rsidRPr="009E4C18">
        <w:t>Tras difundirse en las redes sociales la denuncia de que varios agricultores de la zona se enfrentaban a sanciones de hasta 40.000 euros por no disponer de un aliviadero en el campo, la Inspección de Trabajo ha suspendido los controles y, según fuentes de Unión CLM, los exped</w:t>
      </w:r>
      <w:r w:rsidR="00B21A88">
        <w:t>ientes han quedado archivados. “El sentido común se ha impuesto”</w:t>
      </w:r>
      <w:r w:rsidRPr="009E4C18">
        <w:t>, señalan a Libre Mercado.</w:t>
      </w:r>
    </w:p>
    <w:p w:rsidR="00FD4371" w:rsidRPr="009E4C18" w:rsidRDefault="00FD4371" w:rsidP="00FD4371">
      <w:pPr>
        <w:pStyle w:val="NormalWeb"/>
        <w:shd w:val="clear" w:color="auto" w:fill="FFFFFF"/>
        <w:spacing w:after="225"/>
        <w:jc w:val="both"/>
      </w:pPr>
      <w:r w:rsidRPr="009E4C18">
        <w:t>¿Es obligatorio tener váter en el campo?</w:t>
      </w:r>
    </w:p>
    <w:p w:rsidR="00FD4371" w:rsidRPr="009E4C18" w:rsidRDefault="00FD4371" w:rsidP="00FD4371">
      <w:pPr>
        <w:pStyle w:val="NormalWeb"/>
        <w:shd w:val="clear" w:color="auto" w:fill="FFFFFF"/>
        <w:spacing w:after="225"/>
        <w:jc w:val="both"/>
      </w:pPr>
      <w:r w:rsidRPr="009E4C18">
        <w:t>Los agricultores atri</w:t>
      </w:r>
      <w:r w:rsidR="00B21A88">
        <w:t>buyen lo sucedido a un “exceso de celo” de las dos inspectoras “novatas”, que han aplicado “con extrema dureza”</w:t>
      </w:r>
      <w:r w:rsidRPr="009E4C18">
        <w:t xml:space="preserve"> la ley de Prevención de Riesgos Laborales, que obliga a los empleadores a garantizar condiciones de trabajo seguras y saludables para sus emplea</w:t>
      </w:r>
      <w:r w:rsidR="00B21A88">
        <w:t>dos “en cualquier entorno”</w:t>
      </w:r>
      <w:r w:rsidRPr="009E4C18">
        <w:t>.</w:t>
      </w:r>
    </w:p>
    <w:p w:rsidR="00FD4371" w:rsidRPr="009E4C18" w:rsidRDefault="00FD4371" w:rsidP="00FD4371">
      <w:pPr>
        <w:pStyle w:val="NormalWeb"/>
        <w:shd w:val="clear" w:color="auto" w:fill="FFFFFF"/>
        <w:spacing w:after="225"/>
        <w:jc w:val="both"/>
      </w:pPr>
      <w:r w:rsidRPr="009E4C18">
        <w:t>Sin embargo, el Real Decreto 486/1997 sobre seguridad y salud en los lugares de trabajo señala que la obligación de disponer de baños o ves</w:t>
      </w:r>
      <w:r w:rsidR="00B21A88">
        <w:t>tuarios no es de aplicación en “</w:t>
      </w:r>
      <w:r w:rsidRPr="009E4C18">
        <w:t xml:space="preserve">los campos de cultivo, bosques y otros terrenos que formen parte de una empresa o centro de trabajo agrícola o forestal pero que estén situados fuera de </w:t>
      </w:r>
      <w:r w:rsidR="00B21A88">
        <w:t>la zona edificada de los mismos”</w:t>
      </w:r>
      <w:r w:rsidRPr="009E4C18">
        <w:t>.</w:t>
      </w:r>
    </w:p>
    <w:p w:rsidR="00FD4371" w:rsidRPr="009E4C18" w:rsidRDefault="00FD4371" w:rsidP="00FD4371">
      <w:pPr>
        <w:pStyle w:val="NormalWeb"/>
        <w:shd w:val="clear" w:color="auto" w:fill="FFFFFF"/>
        <w:spacing w:after="225"/>
        <w:jc w:val="both"/>
      </w:pPr>
      <w:r w:rsidRPr="009E4C18">
        <w:t>Esta distinción es importante porque las obligaciones en materia de seguridad y salud laboral pueden variar dependiendo de si el trabajo se realiza en una instalación fija (como una nave agrícola o invernadero) o en terrenos abiertos (como un campo de olivos o una plantación de pinos).</w:t>
      </w:r>
    </w:p>
    <w:p w:rsidR="00C51048" w:rsidRPr="00386099" w:rsidRDefault="00C51048" w:rsidP="00C5104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1E3C">
        <w:rPr>
          <w:rFonts w:ascii="Times New Roman" w:hAnsi="Times New Roman" w:cs="Times New Roman"/>
          <w:sz w:val="24"/>
          <w:szCs w:val="24"/>
          <w:u w:val="single"/>
        </w:rPr>
        <w:t>La granja de insectos de Salamanca, en el pun</w:t>
      </w:r>
      <w:r w:rsidR="00B21A88">
        <w:rPr>
          <w:rFonts w:ascii="Times New Roman" w:hAnsi="Times New Roman" w:cs="Times New Roman"/>
          <w:sz w:val="24"/>
          <w:szCs w:val="24"/>
          <w:u w:val="single"/>
        </w:rPr>
        <w:t>to de mira de los animalistas: “</w:t>
      </w:r>
      <w:r w:rsidRPr="00551E3C">
        <w:rPr>
          <w:rFonts w:ascii="Times New Roman" w:hAnsi="Times New Roman" w:cs="Times New Roman"/>
          <w:sz w:val="24"/>
          <w:szCs w:val="24"/>
          <w:u w:val="single"/>
        </w:rPr>
        <w:t>Pueden sentir dolor</w:t>
      </w:r>
      <w:r w:rsidRPr="00386099">
        <w:rPr>
          <w:rFonts w:ascii="Times New Roman" w:hAnsi="Times New Roman" w:cs="Times New Roman"/>
          <w:sz w:val="24"/>
          <w:szCs w:val="24"/>
        </w:rPr>
        <w:t>"</w:t>
      </w:r>
      <w:r>
        <w:rPr>
          <w:rFonts w:ascii="Times New Roman" w:hAnsi="Times New Roman" w:cs="Times New Roman"/>
          <w:sz w:val="24"/>
          <w:szCs w:val="24"/>
        </w:rPr>
        <w:t xml:space="preserve"> (Libertad Digital - </w:t>
      </w:r>
      <w:r w:rsidRPr="00551E3C">
        <w:rPr>
          <w:rFonts w:ascii="Times New Roman" w:hAnsi="Times New Roman" w:cs="Times New Roman"/>
          <w:b/>
          <w:sz w:val="24"/>
          <w:szCs w:val="24"/>
        </w:rPr>
        <w:t>5/2/25</w:t>
      </w:r>
      <w:r>
        <w:rPr>
          <w:rFonts w:ascii="Times New Roman" w:hAnsi="Times New Roman" w:cs="Times New Roman"/>
          <w:sz w:val="24"/>
          <w:szCs w:val="24"/>
        </w:rPr>
        <w:t>)</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Eurogroup for Animals pide normas que garanticen "el bienestar y las necesi</w:t>
      </w:r>
      <w:r w:rsidR="00B21A88">
        <w:rPr>
          <w:rFonts w:ascii="Times New Roman" w:hAnsi="Times New Roman" w:cs="Times New Roman"/>
          <w:sz w:val="24"/>
          <w:szCs w:val="24"/>
        </w:rPr>
        <w:t>dades básicas de comportamiento”</w:t>
      </w:r>
      <w:r w:rsidRPr="00386099">
        <w:rPr>
          <w:rFonts w:ascii="Times New Roman" w:hAnsi="Times New Roman" w:cs="Times New Roman"/>
          <w:sz w:val="24"/>
          <w:szCs w:val="24"/>
        </w:rPr>
        <w:t xml:space="preserve"> de los insectos criados en granjas.</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 xml:space="preserve">La empresa Tebrio colocó la primera piedra de la que será la granja de insectos más grande del mundo en una ceremonia simbólica celebrada hace apenas unas semanas. La nueva planta tendrá una producción anual de 100.000 toneladas de Tenebrio molitor, o gusano de la harina, destinado principalmente a la fabricación de pienso para animales y fertilizante. Sin embargo, el grupo ecologista con más influencia en la Unión Europea, Eurogroup for Animals, se ha </w:t>
      </w:r>
      <w:r w:rsidRPr="00386099">
        <w:rPr>
          <w:rFonts w:ascii="Times New Roman" w:hAnsi="Times New Roman" w:cs="Times New Roman"/>
          <w:sz w:val="24"/>
          <w:szCs w:val="24"/>
        </w:rPr>
        <w:lastRenderedPageBreak/>
        <w:t>puesto en contacto con Libre Mercado para expresar sus reticencias sobre este proyecto, especialmente en lo relativo al bienestar animal de los insectos.</w:t>
      </w:r>
    </w:p>
    <w:p w:rsidR="00C51048" w:rsidRPr="00386099" w:rsidRDefault="00B21A88" w:rsidP="00C5104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51048" w:rsidRPr="00386099">
        <w:rPr>
          <w:rFonts w:ascii="Times New Roman" w:hAnsi="Times New Roman" w:cs="Times New Roman"/>
          <w:sz w:val="24"/>
          <w:szCs w:val="24"/>
        </w:rPr>
        <w:t>Cada vez hay más pruebas que indican que los insectos pueden sentir dolor y</w:t>
      </w:r>
      <w:r>
        <w:rPr>
          <w:rFonts w:ascii="Times New Roman" w:hAnsi="Times New Roman" w:cs="Times New Roman"/>
          <w:sz w:val="24"/>
          <w:szCs w:val="24"/>
        </w:rPr>
        <w:t xml:space="preserve"> tener necesidades de bienestar”</w:t>
      </w:r>
      <w:r w:rsidR="00C51048" w:rsidRPr="00386099">
        <w:rPr>
          <w:rFonts w:ascii="Times New Roman" w:hAnsi="Times New Roman" w:cs="Times New Roman"/>
          <w:sz w:val="24"/>
          <w:szCs w:val="24"/>
        </w:rPr>
        <w:t>, señalan desde Eurogroup for Animals, aunque también reconocen que no existe un consenso científico en este sentido. En cualquier caso, además de reclamar una mayor investigación para determinar cómo de sintientes son los seres invertebr</w:t>
      </w:r>
      <w:r>
        <w:rPr>
          <w:rFonts w:ascii="Times New Roman" w:hAnsi="Times New Roman" w:cs="Times New Roman"/>
          <w:sz w:val="24"/>
          <w:szCs w:val="24"/>
        </w:rPr>
        <w:t>ados, el grupo animalista pide “</w:t>
      </w:r>
      <w:r w:rsidR="00C51048" w:rsidRPr="00386099">
        <w:rPr>
          <w:rFonts w:ascii="Times New Roman" w:hAnsi="Times New Roman" w:cs="Times New Roman"/>
          <w:sz w:val="24"/>
          <w:szCs w:val="24"/>
        </w:rPr>
        <w:t>implementar medidas para garantizar el bienestar y las necesidades básicas de comportamiento de los insectos de gr</w:t>
      </w:r>
      <w:r>
        <w:rPr>
          <w:rFonts w:ascii="Times New Roman" w:hAnsi="Times New Roman" w:cs="Times New Roman"/>
          <w:sz w:val="24"/>
          <w:szCs w:val="24"/>
        </w:rPr>
        <w:t>anja”</w:t>
      </w:r>
      <w:r w:rsidR="00C51048" w:rsidRPr="00386099">
        <w:rPr>
          <w:rFonts w:ascii="Times New Roman" w:hAnsi="Times New Roman" w:cs="Times New Roman"/>
          <w:sz w:val="24"/>
          <w:szCs w:val="24"/>
        </w:rPr>
        <w:t>, al igual que se hace con las vacas, los cerdos o las gallinas.</w:t>
      </w:r>
    </w:p>
    <w:p w:rsidR="00C51048" w:rsidRPr="00386099" w:rsidRDefault="00B21A88" w:rsidP="00C5104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51048" w:rsidRPr="00386099">
        <w:rPr>
          <w:rFonts w:ascii="Times New Roman" w:hAnsi="Times New Roman" w:cs="Times New Roman"/>
          <w:sz w:val="24"/>
          <w:szCs w:val="24"/>
        </w:rPr>
        <w:t>En las granjas de insectos, las preocupaciones sobre el bienestar animal suelen desestimarse. Los productores suelen afirmar que todos los insectos prosperan en altas densidades, que el canibalismo no es un problema o que la muerte por sacrificio es indolora. Todo esto está lejos de demostrarse y muchos</w:t>
      </w:r>
      <w:r>
        <w:rPr>
          <w:rFonts w:ascii="Times New Roman" w:hAnsi="Times New Roman" w:cs="Times New Roman"/>
          <w:sz w:val="24"/>
          <w:szCs w:val="24"/>
        </w:rPr>
        <w:t xml:space="preserve"> estudios sugieren lo contrario”</w:t>
      </w:r>
      <w:r w:rsidR="00C51048" w:rsidRPr="00386099">
        <w:rPr>
          <w:rFonts w:ascii="Times New Roman" w:hAnsi="Times New Roman" w:cs="Times New Roman"/>
          <w:sz w:val="24"/>
          <w:szCs w:val="24"/>
        </w:rPr>
        <w:t>, señalan desde el</w:t>
      </w:r>
      <w:r>
        <w:rPr>
          <w:rFonts w:ascii="Times New Roman" w:hAnsi="Times New Roman" w:cs="Times New Roman"/>
          <w:sz w:val="24"/>
          <w:szCs w:val="24"/>
        </w:rPr>
        <w:t xml:space="preserve"> grupo animalista, e insisten: “</w:t>
      </w:r>
      <w:r w:rsidR="00C51048" w:rsidRPr="00386099">
        <w:rPr>
          <w:rFonts w:ascii="Times New Roman" w:hAnsi="Times New Roman" w:cs="Times New Roman"/>
          <w:sz w:val="24"/>
          <w:szCs w:val="24"/>
        </w:rPr>
        <w:t>No se aplican normas integrales sobre el bienestar de los insectos a nivel europeo o nacional, algo que resulta alarmante teniendo en cuenta la cantidad de ins</w:t>
      </w:r>
      <w:r>
        <w:rPr>
          <w:rFonts w:ascii="Times New Roman" w:hAnsi="Times New Roman" w:cs="Times New Roman"/>
          <w:sz w:val="24"/>
          <w:szCs w:val="24"/>
        </w:rPr>
        <w:t>ectos que se crían actualmente”.</w:t>
      </w:r>
    </w:p>
    <w:p w:rsidR="00C51048"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En este sentido, la CEO de Tebrio, Adriana Casillas, señaló</w:t>
      </w:r>
      <w:r w:rsidR="00B21A88">
        <w:rPr>
          <w:rFonts w:ascii="Times New Roman" w:hAnsi="Times New Roman" w:cs="Times New Roman"/>
          <w:sz w:val="24"/>
          <w:szCs w:val="24"/>
        </w:rPr>
        <w:t xml:space="preserve"> hace días a Libre Mercado que “</w:t>
      </w:r>
      <w:r w:rsidRPr="00386099">
        <w:rPr>
          <w:rFonts w:ascii="Times New Roman" w:hAnsi="Times New Roman" w:cs="Times New Roman"/>
          <w:sz w:val="24"/>
          <w:szCs w:val="24"/>
        </w:rPr>
        <w:t>lo preocupante es que estos animalistas entiendan que la cría de insectos es igual q</w:t>
      </w:r>
      <w:r w:rsidR="00B21A88">
        <w:rPr>
          <w:rFonts w:ascii="Times New Roman" w:hAnsi="Times New Roman" w:cs="Times New Roman"/>
          <w:sz w:val="24"/>
          <w:szCs w:val="24"/>
        </w:rPr>
        <w:t>ue la cría de cerdos o gallinas”. Y añadió: “</w:t>
      </w:r>
      <w:r w:rsidRPr="00386099">
        <w:rPr>
          <w:rFonts w:ascii="Times New Roman" w:hAnsi="Times New Roman" w:cs="Times New Roman"/>
          <w:sz w:val="24"/>
          <w:szCs w:val="24"/>
        </w:rPr>
        <w:t>Entiendo a los animalistas, pero un gusano no necesita tres hectáreas para ser feliz, sino estar muy ju</w:t>
      </w:r>
      <w:r w:rsidR="00B21A88">
        <w:rPr>
          <w:rFonts w:ascii="Times New Roman" w:hAnsi="Times New Roman" w:cs="Times New Roman"/>
          <w:sz w:val="24"/>
          <w:szCs w:val="24"/>
        </w:rPr>
        <w:t>ntito con otros para sobrevivir”</w:t>
      </w:r>
      <w:r w:rsidRPr="00386099">
        <w:rPr>
          <w:rFonts w:ascii="Times New Roman" w:hAnsi="Times New Roman" w:cs="Times New Roman"/>
          <w:sz w:val="24"/>
          <w:szCs w:val="24"/>
        </w:rPr>
        <w:t>. Casillas también i</w:t>
      </w:r>
      <w:r w:rsidR="00B21A88">
        <w:rPr>
          <w:rFonts w:ascii="Times New Roman" w:hAnsi="Times New Roman" w:cs="Times New Roman"/>
          <w:sz w:val="24"/>
          <w:szCs w:val="24"/>
        </w:rPr>
        <w:t>nsistió en que el “conocimiento científico”</w:t>
      </w:r>
      <w:r w:rsidRPr="00386099">
        <w:rPr>
          <w:rFonts w:ascii="Times New Roman" w:hAnsi="Times New Roman" w:cs="Times New Roman"/>
          <w:sz w:val="24"/>
          <w:szCs w:val="24"/>
        </w:rPr>
        <w:t xml:space="preserve"> es lo que debe guiar las decision</w:t>
      </w:r>
      <w:r w:rsidR="00B21A88">
        <w:rPr>
          <w:rFonts w:ascii="Times New Roman" w:hAnsi="Times New Roman" w:cs="Times New Roman"/>
          <w:sz w:val="24"/>
          <w:szCs w:val="24"/>
        </w:rPr>
        <w:t>es sobre bienestar animal y no “</w:t>
      </w:r>
      <w:r w:rsidRPr="00386099">
        <w:rPr>
          <w:rFonts w:ascii="Times New Roman" w:hAnsi="Times New Roman" w:cs="Times New Roman"/>
          <w:sz w:val="24"/>
          <w:szCs w:val="24"/>
        </w:rPr>
        <w:t>las opin</w:t>
      </w:r>
      <w:r w:rsidR="00B21A88">
        <w:rPr>
          <w:rFonts w:ascii="Times New Roman" w:hAnsi="Times New Roman" w:cs="Times New Roman"/>
          <w:sz w:val="24"/>
          <w:szCs w:val="24"/>
        </w:rPr>
        <w:t>iones de grupos marketinianos”</w:t>
      </w:r>
      <w:r>
        <w:rPr>
          <w:rFonts w:ascii="Times New Roman" w:hAnsi="Times New Roman" w:cs="Times New Roman"/>
          <w:sz w:val="24"/>
          <w:szCs w:val="24"/>
        </w:rPr>
        <w:t>.</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Fabricación de pienso y fertilizante</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Más allá del bienestar animal, Eurogroup for Animals está preocupado por otros aspectos de la cría de insectos y de la nueva gran</w:t>
      </w:r>
      <w:r w:rsidR="00B21A88">
        <w:rPr>
          <w:rFonts w:ascii="Times New Roman" w:hAnsi="Times New Roman" w:cs="Times New Roman"/>
          <w:sz w:val="24"/>
          <w:szCs w:val="24"/>
        </w:rPr>
        <w:t>ja de Tebrio, en concreto, que “</w:t>
      </w:r>
      <w:r w:rsidRPr="00386099">
        <w:rPr>
          <w:rFonts w:ascii="Times New Roman" w:hAnsi="Times New Roman" w:cs="Times New Roman"/>
          <w:sz w:val="24"/>
          <w:szCs w:val="24"/>
        </w:rPr>
        <w:t>los impactos ambientales son mayores de lo que se sugiere, en particular cuando se utilizan proteínas de insectos para sustituir la soja, la harina de pescado o la c</w:t>
      </w:r>
      <w:r w:rsidR="00B21A88">
        <w:rPr>
          <w:rFonts w:ascii="Times New Roman" w:hAnsi="Times New Roman" w:cs="Times New Roman"/>
          <w:sz w:val="24"/>
          <w:szCs w:val="24"/>
        </w:rPr>
        <w:t>omida para mascotas”</w:t>
      </w:r>
      <w:r w:rsidRPr="00386099">
        <w:rPr>
          <w:rFonts w:ascii="Times New Roman" w:hAnsi="Times New Roman" w:cs="Times New Roman"/>
          <w:sz w:val="24"/>
          <w:szCs w:val="24"/>
        </w:rPr>
        <w:t>.</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Sobr</w:t>
      </w:r>
      <w:r w:rsidR="00B21A88">
        <w:rPr>
          <w:rFonts w:ascii="Times New Roman" w:hAnsi="Times New Roman" w:cs="Times New Roman"/>
          <w:sz w:val="24"/>
          <w:szCs w:val="24"/>
        </w:rPr>
        <w:t>e esto, Tebrio ha señalado que “</w:t>
      </w:r>
      <w:r w:rsidRPr="00386099">
        <w:rPr>
          <w:rFonts w:ascii="Times New Roman" w:hAnsi="Times New Roman" w:cs="Times New Roman"/>
          <w:sz w:val="24"/>
          <w:szCs w:val="24"/>
        </w:rPr>
        <w:t>la cría y transformación del Tenebrio molitor no implica contaminación del aire ni del suelo, ya que se trata de un insecto que no emite metano, amoni</w:t>
      </w:r>
      <w:r w:rsidR="00B21A88">
        <w:rPr>
          <w:rFonts w:ascii="Times New Roman" w:hAnsi="Times New Roman" w:cs="Times New Roman"/>
          <w:sz w:val="24"/>
          <w:szCs w:val="24"/>
        </w:rPr>
        <w:t>aco u otros compuestos químicos”</w:t>
      </w:r>
      <w:r w:rsidRPr="00386099">
        <w:rPr>
          <w:rFonts w:ascii="Times New Roman" w:hAnsi="Times New Roman" w:cs="Times New Roman"/>
          <w:sz w:val="24"/>
          <w:szCs w:val="24"/>
        </w:rPr>
        <w:t xml:space="preserve"> y, sobre la nue</w:t>
      </w:r>
      <w:r w:rsidR="00B21A88">
        <w:rPr>
          <w:rFonts w:ascii="Times New Roman" w:hAnsi="Times New Roman" w:cs="Times New Roman"/>
          <w:sz w:val="24"/>
          <w:szCs w:val="24"/>
        </w:rPr>
        <w:t>va planta en Salamanca, “</w:t>
      </w:r>
      <w:r w:rsidRPr="00386099">
        <w:rPr>
          <w:rFonts w:ascii="Times New Roman" w:hAnsi="Times New Roman" w:cs="Times New Roman"/>
          <w:sz w:val="24"/>
          <w:szCs w:val="24"/>
        </w:rPr>
        <w:t>se alimentará de fuentes renovables y triplicará su actual porcentaje de autosuficiencia energétic</w:t>
      </w:r>
      <w:r w:rsidR="00B21A88">
        <w:rPr>
          <w:rFonts w:ascii="Times New Roman" w:hAnsi="Times New Roman" w:cs="Times New Roman"/>
          <w:sz w:val="24"/>
          <w:szCs w:val="24"/>
        </w:rPr>
        <w:t>a por el uso de paneles solares”</w:t>
      </w:r>
      <w:r w:rsidRPr="00386099">
        <w:rPr>
          <w:rFonts w:ascii="Times New Roman" w:hAnsi="Times New Roman" w:cs="Times New Roman"/>
          <w:sz w:val="24"/>
          <w:szCs w:val="24"/>
        </w:rPr>
        <w:t>.</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Además del pienso para animales, la fabricación de fertilizante orgánico (oFrass) es una de las vías de negocio más interesantes para las granjas como Tebrio. Este tipo de fertilizante fabricado con los excrementos del gusano está catalogado como ecológico y muchos agricultores lo demandan debido a las restricciones impuestas por la Unión Europea hacia los fertilizantes químicos.</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Sin embargo, Eu</w:t>
      </w:r>
      <w:r w:rsidR="00B21A88">
        <w:rPr>
          <w:rFonts w:ascii="Times New Roman" w:hAnsi="Times New Roman" w:cs="Times New Roman"/>
          <w:sz w:val="24"/>
          <w:szCs w:val="24"/>
        </w:rPr>
        <w:t>rogroup for Animals afirma que “</w:t>
      </w:r>
      <w:r w:rsidRPr="00386099">
        <w:rPr>
          <w:rFonts w:ascii="Times New Roman" w:hAnsi="Times New Roman" w:cs="Times New Roman"/>
          <w:sz w:val="24"/>
          <w:szCs w:val="24"/>
        </w:rPr>
        <w:t>los beneficios de los excrementos de insectos aún son inciertos, ya que estudios recientes muestran que podrían obstaculizar el crecimiento de los cultivos y presentar riesgos para la salud si se incluyen productos desperdiciado</w:t>
      </w:r>
      <w:r w:rsidR="00B21A88">
        <w:rPr>
          <w:rFonts w:ascii="Times New Roman" w:hAnsi="Times New Roman" w:cs="Times New Roman"/>
          <w:sz w:val="24"/>
          <w:szCs w:val="24"/>
        </w:rPr>
        <w:t>s en las dietas de los insectos”</w:t>
      </w:r>
      <w:r w:rsidRPr="00386099">
        <w:rPr>
          <w:rFonts w:ascii="Times New Roman" w:hAnsi="Times New Roman" w:cs="Times New Roman"/>
          <w:sz w:val="24"/>
          <w:szCs w:val="24"/>
        </w:rPr>
        <w:t>.</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t>¿Quién es Eurogroup for Animals?</w:t>
      </w:r>
    </w:p>
    <w:p w:rsidR="00C51048" w:rsidRPr="00386099" w:rsidRDefault="00C51048" w:rsidP="00C51048">
      <w:pPr>
        <w:spacing w:line="240" w:lineRule="auto"/>
        <w:jc w:val="both"/>
        <w:rPr>
          <w:rFonts w:ascii="Times New Roman" w:hAnsi="Times New Roman" w:cs="Times New Roman"/>
          <w:sz w:val="24"/>
          <w:szCs w:val="24"/>
        </w:rPr>
      </w:pPr>
      <w:r w:rsidRPr="00386099">
        <w:rPr>
          <w:rFonts w:ascii="Times New Roman" w:hAnsi="Times New Roman" w:cs="Times New Roman"/>
          <w:sz w:val="24"/>
          <w:szCs w:val="24"/>
        </w:rPr>
        <w:lastRenderedPageBreak/>
        <w:t>La iniciativa liderada por Eurogroup for Animals para que las granjas de insectos estén sometidas a normativas de bienestar animal a nivel europeo no debe tomarse a la ligera. Estamos hablando del grupo animalista más influyente de la Unión Europea. Son los que lideran la propuesta de iniciativas ciudadanas relativas al bienestar animal que se debaten en el Europarlamento.</w:t>
      </w:r>
    </w:p>
    <w:p w:rsidR="00C51048" w:rsidRPr="00B21A88" w:rsidRDefault="00C51048" w:rsidP="00C51048">
      <w:pPr>
        <w:spacing w:line="240" w:lineRule="auto"/>
        <w:jc w:val="both"/>
        <w:rPr>
          <w:rFonts w:ascii="Times New Roman" w:hAnsi="Times New Roman" w:cs="Times New Roman"/>
          <w:sz w:val="24"/>
          <w:szCs w:val="24"/>
        </w:rPr>
      </w:pPr>
      <w:r w:rsidRPr="00B21A88">
        <w:rPr>
          <w:rFonts w:ascii="Times New Roman" w:hAnsi="Times New Roman" w:cs="Times New Roman"/>
          <w:sz w:val="24"/>
          <w:szCs w:val="24"/>
        </w:rPr>
        <w:t>Si existen dudas sobre su grado de influencia, sólo hay que echar un ojo a los grandes éxitos de su agenda ideológica</w:t>
      </w:r>
      <w:r w:rsidR="00B21A88" w:rsidRPr="00B21A88">
        <w:rPr>
          <w:rFonts w:ascii="Times New Roman" w:hAnsi="Times New Roman" w:cs="Times New Roman"/>
          <w:sz w:val="24"/>
          <w:szCs w:val="24"/>
        </w:rPr>
        <w:t>: promovieron la “</w:t>
      </w:r>
      <w:r w:rsidRPr="00B21A88">
        <w:rPr>
          <w:rFonts w:ascii="Times New Roman" w:hAnsi="Times New Roman" w:cs="Times New Roman"/>
          <w:sz w:val="24"/>
          <w:szCs w:val="24"/>
        </w:rPr>
        <w:t>con</w:t>
      </w:r>
      <w:r w:rsidR="00B21A88" w:rsidRPr="00B21A88">
        <w:rPr>
          <w:rFonts w:ascii="Times New Roman" w:hAnsi="Times New Roman" w:cs="Times New Roman"/>
          <w:sz w:val="24"/>
          <w:szCs w:val="24"/>
        </w:rPr>
        <w:t>vivencia con grandes carnívoros”</w:t>
      </w:r>
      <w:r w:rsidRPr="00B21A88">
        <w:rPr>
          <w:rFonts w:ascii="Times New Roman" w:hAnsi="Times New Roman" w:cs="Times New Roman"/>
          <w:sz w:val="24"/>
          <w:szCs w:val="24"/>
        </w:rPr>
        <w:t>, lo que acabó en la protección del lobo; exigieron la prohibición de animales de circo y el listado positivo, algo que en España se cumplió a pies juntillas con la ley de Bienestar Animal; también exigieron el fin de las jaulas en la ganadería, que ya está afectando al sector avícola.</w:t>
      </w:r>
    </w:p>
    <w:p w:rsidR="00B22EA2" w:rsidRPr="001E3179" w:rsidRDefault="00B22EA2" w:rsidP="00B22EA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3179">
        <w:rPr>
          <w:rFonts w:ascii="Times New Roman" w:hAnsi="Times New Roman" w:cs="Times New Roman"/>
          <w:sz w:val="24"/>
          <w:szCs w:val="24"/>
          <w:u w:val="single"/>
        </w:rPr>
        <w:t>Un ganadero de 84 años, condenado a 4 meses de prisión por cazar un lobo con un cepo</w:t>
      </w:r>
      <w:r>
        <w:rPr>
          <w:rFonts w:ascii="Times New Roman" w:hAnsi="Times New Roman" w:cs="Times New Roman"/>
          <w:sz w:val="24"/>
          <w:szCs w:val="24"/>
        </w:rPr>
        <w:t xml:space="preserve"> (Libertad Digital - </w:t>
      </w:r>
      <w:r w:rsidRPr="001E3179">
        <w:rPr>
          <w:rFonts w:ascii="Times New Roman" w:hAnsi="Times New Roman" w:cs="Times New Roman"/>
          <w:b/>
          <w:sz w:val="24"/>
          <w:szCs w:val="24"/>
        </w:rPr>
        <w:t>8/2/25</w:t>
      </w:r>
      <w:r>
        <w:rPr>
          <w:rFonts w:ascii="Times New Roman" w:hAnsi="Times New Roman" w:cs="Times New Roman"/>
          <w:sz w:val="24"/>
          <w:szCs w:val="24"/>
        </w:rPr>
        <w:t>)</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El depredador, incluido en el listado de especies especialmente protegidas, acabó muriendo a consecuencia de las heridas.</w:t>
      </w:r>
    </w:p>
    <w:p w:rsidR="00B22EA2" w:rsidRPr="001E3179" w:rsidRDefault="00B22EA2" w:rsidP="00B22EA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E3179">
        <w:rPr>
          <w:rFonts w:ascii="Times New Roman" w:hAnsi="Times New Roman" w:cs="Times New Roman"/>
          <w:sz w:val="24"/>
          <w:szCs w:val="24"/>
        </w:rPr>
        <w:t>Marta Arce</w:t>
      </w:r>
      <w:r>
        <w:rPr>
          <w:rFonts w:ascii="Times New Roman" w:hAnsi="Times New Roman" w:cs="Times New Roman"/>
          <w:sz w:val="24"/>
          <w:szCs w:val="24"/>
        </w:rPr>
        <w:t>)</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Un ganadero de Valladolid de 84 años ha sido condenado a cuatro meses de prisión y el pago de una multa de 6.000 euros por delitos contra la fauna después de que un lobo ibérico muriese tras quedar atrapado en un cepo que el ganadero instaló para evitar que el depredad</w:t>
      </w:r>
      <w:r>
        <w:rPr>
          <w:rFonts w:ascii="Times New Roman" w:hAnsi="Times New Roman" w:cs="Times New Roman"/>
          <w:sz w:val="24"/>
          <w:szCs w:val="24"/>
        </w:rPr>
        <w:t>or siguiera atacando al ganado.</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 xml:space="preserve">Según la sentencia de la Audiencia Provincial de Valladolid a la que ha tenido acceso Libertad Digital, todo sucedió en noviembre de 2022. El ganadero entró en la nave donde encierra a sus ovejas y allí encontró el cadáver de una de ellas, devorada por un lobo. Así que decidió colocar dos </w:t>
      </w:r>
      <w:r w:rsidR="00B21A88">
        <w:rPr>
          <w:rFonts w:ascii="Times New Roman" w:hAnsi="Times New Roman" w:cs="Times New Roman"/>
          <w:sz w:val="24"/>
          <w:szCs w:val="24"/>
        </w:rPr>
        <w:t>cepos “para cazar al animal”</w:t>
      </w:r>
      <w:r w:rsidRPr="001E3179">
        <w:rPr>
          <w:rFonts w:ascii="Times New Roman" w:hAnsi="Times New Roman" w:cs="Times New Roman"/>
          <w:sz w:val="24"/>
          <w:szCs w:val="24"/>
        </w:rPr>
        <w:t>: uno en el exterior del vallado y o</w:t>
      </w:r>
      <w:r>
        <w:rPr>
          <w:rFonts w:ascii="Times New Roman" w:hAnsi="Times New Roman" w:cs="Times New Roman"/>
          <w:sz w:val="24"/>
          <w:szCs w:val="24"/>
        </w:rPr>
        <w:t>tro en el interior del recinto.</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Un ejemplar joven de lobo ibérico macho quedó atrapado en el segundo, el ubicado en el interior de la nave. El acusado lo dejó dentro de las instalaciones y avisó al veterinario de la zona, que a su vez se lo comunicó a los Agentes Medioambientales. El lobo fue trasladado a un centro de recuperación de animales silvestres, pero transcurridas 24 horas, hubo que sacrificarlo debido a la gravedad de las heridas.</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Prohibido cazar lobos y usar cepos</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La sentencia argumenta que el lobo ibérico (Canis lupus), está incluido en Listado de Especies Silvestres en Régimen de Protección Especial (LESPRE), lo que implica, como su nombre indica, que la especie goza de una protección especial y debe ser conservada a toda costa.</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 xml:space="preserve">Por otra parte, la Ley 42/2007 de 13 de diciembre, del Patrimonio </w:t>
      </w:r>
      <w:r w:rsidR="00B21A88">
        <w:rPr>
          <w:rFonts w:ascii="Times New Roman" w:hAnsi="Times New Roman" w:cs="Times New Roman"/>
          <w:sz w:val="24"/>
          <w:szCs w:val="24"/>
        </w:rPr>
        <w:t>Natural y de la Biodiversidad, “</w:t>
      </w:r>
      <w:r w:rsidRPr="001E3179">
        <w:rPr>
          <w:rFonts w:ascii="Times New Roman" w:hAnsi="Times New Roman" w:cs="Times New Roman"/>
          <w:sz w:val="24"/>
          <w:szCs w:val="24"/>
        </w:rPr>
        <w:t>prohíbe la utilización para la captura de a</w:t>
      </w:r>
      <w:r w:rsidR="00B21A88">
        <w:rPr>
          <w:rFonts w:ascii="Times New Roman" w:hAnsi="Times New Roman" w:cs="Times New Roman"/>
          <w:sz w:val="24"/>
          <w:szCs w:val="24"/>
        </w:rPr>
        <w:t>nimales de cepos y trampas-cepo”</w:t>
      </w:r>
      <w:r w:rsidRPr="001E3179">
        <w:rPr>
          <w:rFonts w:ascii="Times New Roman" w:hAnsi="Times New Roman" w:cs="Times New Roman"/>
          <w:sz w:val="24"/>
          <w:szCs w:val="24"/>
        </w:rPr>
        <w:t>, al igual que el RD.1095/1989, que</w:t>
      </w:r>
      <w:r w:rsidR="00B21A88">
        <w:rPr>
          <w:rFonts w:ascii="Times New Roman" w:hAnsi="Times New Roman" w:cs="Times New Roman"/>
          <w:sz w:val="24"/>
          <w:szCs w:val="24"/>
        </w:rPr>
        <w:t xml:space="preserve"> los considera “</w:t>
      </w:r>
      <w:r w:rsidRPr="001E3179">
        <w:rPr>
          <w:rFonts w:ascii="Times New Roman" w:hAnsi="Times New Roman" w:cs="Times New Roman"/>
          <w:sz w:val="24"/>
          <w:szCs w:val="24"/>
        </w:rPr>
        <w:t>procedimientos masivos y no selectivos prohibidos para la</w:t>
      </w:r>
      <w:r w:rsidR="00B21A88">
        <w:rPr>
          <w:rFonts w:ascii="Times New Roman" w:hAnsi="Times New Roman" w:cs="Times New Roman"/>
          <w:sz w:val="24"/>
          <w:szCs w:val="24"/>
        </w:rPr>
        <w:t xml:space="preserve"> captura o muerte de animales”</w:t>
      </w:r>
      <w:r>
        <w:rPr>
          <w:rFonts w:ascii="Times New Roman" w:hAnsi="Times New Roman" w:cs="Times New Roman"/>
          <w:sz w:val="24"/>
          <w:szCs w:val="24"/>
        </w:rPr>
        <w:t>.</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 xml:space="preserve">Teniendo esto en cuenta, la Audiencia Provincial de Valladolid ha ratificado la sentencia inicial del Juzgado de lo Penal n.º 4 de Valladolid, que condenó al ganadero por un delito contra la fauna a una pena de prisión de cuatro meses y la inhabilitación de un año para </w:t>
      </w:r>
      <w:r w:rsidRPr="001E3179">
        <w:rPr>
          <w:rFonts w:ascii="Times New Roman" w:hAnsi="Times New Roman" w:cs="Times New Roman"/>
          <w:sz w:val="24"/>
          <w:szCs w:val="24"/>
        </w:rPr>
        <w:lastRenderedPageBreak/>
        <w:t>trabajar como ganadero y/o cazar. Además, en concepto de responsabilidad civil, deberá indemnizar a la Junta de Castilla y León</w:t>
      </w:r>
      <w:r>
        <w:rPr>
          <w:rFonts w:ascii="Times New Roman" w:hAnsi="Times New Roman" w:cs="Times New Roman"/>
          <w:sz w:val="24"/>
          <w:szCs w:val="24"/>
        </w:rPr>
        <w:t xml:space="preserve"> en la cantidad de 6.000 euros.</w:t>
      </w:r>
    </w:p>
    <w:p w:rsidR="00B22EA2" w:rsidRPr="001E3179"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La sentencia también recuerda que la pena impuesta podría ser incluso mayor teniendo en cuenta el artículo 334 del Código Penal,</w:t>
      </w:r>
      <w:r w:rsidR="00B21A88">
        <w:rPr>
          <w:rFonts w:ascii="Times New Roman" w:hAnsi="Times New Roman" w:cs="Times New Roman"/>
          <w:sz w:val="24"/>
          <w:szCs w:val="24"/>
        </w:rPr>
        <w:t xml:space="preserve"> que castiga esta misma acción “</w:t>
      </w:r>
      <w:r w:rsidRPr="001E3179">
        <w:rPr>
          <w:rFonts w:ascii="Times New Roman" w:hAnsi="Times New Roman" w:cs="Times New Roman"/>
          <w:sz w:val="24"/>
          <w:szCs w:val="24"/>
        </w:rPr>
        <w:t>con la pena de prisión de seis meses a dos años o multa de ocho a veinticuatro meses y, en todo caso, inhabilitación especial para profesión u oficio po</w:t>
      </w:r>
      <w:r>
        <w:rPr>
          <w:rFonts w:ascii="Times New Roman" w:hAnsi="Times New Roman" w:cs="Times New Roman"/>
          <w:sz w:val="24"/>
          <w:szCs w:val="24"/>
        </w:rPr>
        <w:t>r tiempo de dos a cuatro años".</w:t>
      </w:r>
    </w:p>
    <w:p w:rsidR="00B22EA2" w:rsidRDefault="00B22EA2" w:rsidP="00B22EA2">
      <w:pPr>
        <w:spacing w:line="240" w:lineRule="auto"/>
        <w:jc w:val="both"/>
        <w:rPr>
          <w:rFonts w:ascii="Times New Roman" w:hAnsi="Times New Roman" w:cs="Times New Roman"/>
          <w:sz w:val="24"/>
          <w:szCs w:val="24"/>
        </w:rPr>
      </w:pPr>
      <w:r w:rsidRPr="001E3179">
        <w:rPr>
          <w:rFonts w:ascii="Times New Roman" w:hAnsi="Times New Roman" w:cs="Times New Roman"/>
          <w:sz w:val="24"/>
          <w:szCs w:val="24"/>
        </w:rPr>
        <w:t>De igual modo, los magistrados argumentan que el hecho de que el ganadero tenga 84 años no le convierte en una persona incapaz y aseguran que "su te</w:t>
      </w:r>
      <w:r w:rsidR="00B21A88">
        <w:rPr>
          <w:rFonts w:ascii="Times New Roman" w:hAnsi="Times New Roman" w:cs="Times New Roman"/>
          <w:sz w:val="24"/>
          <w:szCs w:val="24"/>
        </w:rPr>
        <w:t>stimonio fue lúcido y coherente”</w:t>
      </w:r>
      <w:r w:rsidRPr="001E3179">
        <w:rPr>
          <w:rFonts w:ascii="Times New Roman" w:hAnsi="Times New Roman" w:cs="Times New Roman"/>
          <w:sz w:val="24"/>
          <w:szCs w:val="24"/>
        </w:rPr>
        <w:t>. También co</w:t>
      </w:r>
      <w:r w:rsidR="00B21A88">
        <w:rPr>
          <w:rFonts w:ascii="Times New Roman" w:hAnsi="Times New Roman" w:cs="Times New Roman"/>
          <w:sz w:val="24"/>
          <w:szCs w:val="24"/>
        </w:rPr>
        <w:t>nsideran probado que el hombre “sí tenía intención de cazar” al lobo que “</w:t>
      </w:r>
      <w:r w:rsidRPr="001E3179">
        <w:rPr>
          <w:rFonts w:ascii="Times New Roman" w:hAnsi="Times New Roman" w:cs="Times New Roman"/>
          <w:sz w:val="24"/>
          <w:szCs w:val="24"/>
        </w:rPr>
        <w:t xml:space="preserve">había </w:t>
      </w:r>
      <w:r w:rsidR="00B21A88">
        <w:rPr>
          <w:rFonts w:ascii="Times New Roman" w:hAnsi="Times New Roman" w:cs="Times New Roman"/>
          <w:sz w:val="24"/>
          <w:szCs w:val="24"/>
        </w:rPr>
        <w:t>dado muerte a dos de sus ovejas”</w:t>
      </w:r>
      <w:r w:rsidRPr="001E3179">
        <w:rPr>
          <w:rFonts w:ascii="Times New Roman" w:hAnsi="Times New Roman" w:cs="Times New Roman"/>
          <w:sz w:val="24"/>
          <w:szCs w:val="24"/>
        </w:rPr>
        <w:t>.</w:t>
      </w:r>
    </w:p>
    <w:p w:rsidR="00B22EA2" w:rsidRPr="00345D74" w:rsidRDefault="00B22EA2" w:rsidP="00B22EA2">
      <w:pPr>
        <w:spacing w:line="240" w:lineRule="auto"/>
        <w:jc w:val="both"/>
        <w:rPr>
          <w:rFonts w:ascii="Times New Roman" w:hAnsi="Times New Roman" w:cs="Times New Roman"/>
          <w:sz w:val="24"/>
          <w:szCs w:val="24"/>
        </w:rPr>
      </w:pPr>
      <w:r w:rsidRPr="00345D74">
        <w:rPr>
          <w:rFonts w:ascii="Times New Roman" w:hAnsi="Times New Roman" w:cs="Times New Roman"/>
          <w:b/>
          <w:sz w:val="24"/>
          <w:szCs w:val="24"/>
        </w:rPr>
        <w:t>Nota I</w:t>
      </w:r>
      <w:r w:rsidRPr="00345D74">
        <w:rPr>
          <w:rFonts w:ascii="Times New Roman" w:hAnsi="Times New Roman" w:cs="Times New Roman"/>
          <w:sz w:val="24"/>
          <w:szCs w:val="24"/>
        </w:rPr>
        <w:t xml:space="preserve">: esto es parte (una mínima parte) del insípido argumentario (armazón) de unos burócratas que nada tienen que ofrecer a los ciudadanos europeos que dicen representar. Pero con sus </w:t>
      </w:r>
      <w:r w:rsidR="003811BD" w:rsidRPr="00345D74">
        <w:rPr>
          <w:rFonts w:ascii="Times New Roman" w:hAnsi="Times New Roman" w:cs="Times New Roman"/>
          <w:sz w:val="24"/>
          <w:szCs w:val="24"/>
        </w:rPr>
        <w:t xml:space="preserve">deposiciones (evacuaciones), </w:t>
      </w:r>
      <w:r w:rsidR="00FD4371" w:rsidRPr="00345D74">
        <w:rPr>
          <w:rFonts w:ascii="Times New Roman" w:hAnsi="Times New Roman" w:cs="Times New Roman"/>
          <w:sz w:val="24"/>
          <w:szCs w:val="24"/>
        </w:rPr>
        <w:t>les</w:t>
      </w:r>
      <w:r w:rsidRPr="00345D74">
        <w:rPr>
          <w:rFonts w:ascii="Times New Roman" w:hAnsi="Times New Roman" w:cs="Times New Roman"/>
          <w:sz w:val="24"/>
          <w:szCs w:val="24"/>
        </w:rPr>
        <w:t xml:space="preserve"> joden la vida a productores y consumidores. O sea.</w:t>
      </w:r>
    </w:p>
    <w:p w:rsidR="000E08B2" w:rsidRPr="00345D74" w:rsidRDefault="00B22EA2" w:rsidP="00B22EA2">
      <w:pPr>
        <w:spacing w:line="240" w:lineRule="auto"/>
        <w:jc w:val="both"/>
        <w:rPr>
          <w:rFonts w:ascii="Times New Roman" w:hAnsi="Times New Roman" w:cs="Times New Roman"/>
          <w:sz w:val="24"/>
          <w:szCs w:val="24"/>
        </w:rPr>
      </w:pPr>
      <w:r w:rsidRPr="00345D74">
        <w:rPr>
          <w:rFonts w:ascii="Times New Roman" w:hAnsi="Times New Roman" w:cs="Times New Roman"/>
          <w:b/>
          <w:sz w:val="24"/>
          <w:szCs w:val="24"/>
        </w:rPr>
        <w:t>Nota II</w:t>
      </w:r>
      <w:r w:rsidRPr="00345D74">
        <w:rPr>
          <w:rFonts w:ascii="Times New Roman" w:hAnsi="Times New Roman" w:cs="Times New Roman"/>
          <w:sz w:val="24"/>
          <w:szCs w:val="24"/>
        </w:rPr>
        <w:t>: cuando no es el lobo (fauna protegida), son los gallos (que violan a las gallinas), o los</w:t>
      </w:r>
      <w:r w:rsidR="00B21A88" w:rsidRPr="00345D74">
        <w:rPr>
          <w:rFonts w:ascii="Times New Roman" w:hAnsi="Times New Roman" w:cs="Times New Roman"/>
          <w:sz w:val="24"/>
          <w:szCs w:val="24"/>
        </w:rPr>
        <w:t xml:space="preserve"> huevos (que no hay que retirarlos</w:t>
      </w:r>
      <w:r w:rsidRPr="00345D74">
        <w:rPr>
          <w:rFonts w:ascii="Times New Roman" w:hAnsi="Times New Roman" w:cs="Times New Roman"/>
          <w:sz w:val="24"/>
          <w:szCs w:val="24"/>
        </w:rPr>
        <w:t xml:space="preserve"> del nido porque las gallinas sufren), o los cerdos y terneros (que deben ser transportados de noche, o con aire acondicionado), o los cursos obligatorios para los dueños de mascotas… sin olvidar el diario de la vaca, o los etólogos caninos para atender a los animales estresados. </w:t>
      </w:r>
    </w:p>
    <w:p w:rsidR="00B22EA2" w:rsidRPr="00345D74" w:rsidRDefault="00B22EA2" w:rsidP="00B22EA2">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Lo dicho</w:t>
      </w:r>
      <w:r w:rsidR="000E08B2" w:rsidRPr="00345D74">
        <w:rPr>
          <w:rFonts w:ascii="Times New Roman" w:hAnsi="Times New Roman" w:cs="Times New Roman"/>
          <w:sz w:val="24"/>
          <w:szCs w:val="24"/>
        </w:rPr>
        <w:t xml:space="preserve"> Señores</w:t>
      </w:r>
      <w:r w:rsidRPr="00345D74">
        <w:rPr>
          <w:rFonts w:ascii="Times New Roman" w:hAnsi="Times New Roman" w:cs="Times New Roman"/>
          <w:sz w:val="24"/>
          <w:szCs w:val="24"/>
        </w:rPr>
        <w:t>: ¡en Europa, ya no cabe un tonto más!</w:t>
      </w:r>
    </w:p>
    <w:p w:rsidR="00966665" w:rsidRPr="00345D74" w:rsidRDefault="00966665" w:rsidP="00966665">
      <w:pPr>
        <w:spacing w:line="240" w:lineRule="auto"/>
        <w:jc w:val="both"/>
        <w:rPr>
          <w:rFonts w:ascii="Times New Roman" w:hAnsi="Times New Roman" w:cs="Times New Roman"/>
          <w:sz w:val="24"/>
          <w:szCs w:val="24"/>
        </w:rPr>
      </w:pPr>
      <w:r w:rsidRPr="00345D74">
        <w:rPr>
          <w:rFonts w:ascii="Times New Roman" w:hAnsi="Times New Roman" w:cs="Times New Roman"/>
          <w:b/>
          <w:sz w:val="24"/>
          <w:szCs w:val="24"/>
        </w:rPr>
        <w:t>Nota III</w:t>
      </w:r>
      <w:r w:rsidR="00B21A88" w:rsidRPr="00345D74">
        <w:rPr>
          <w:rFonts w:ascii="Times New Roman" w:hAnsi="Times New Roman" w:cs="Times New Roman"/>
          <w:sz w:val="24"/>
          <w:szCs w:val="24"/>
        </w:rPr>
        <w:t>: La “agenda verde”</w:t>
      </w:r>
      <w:r w:rsidRPr="00345D74">
        <w:rPr>
          <w:rFonts w:ascii="Times New Roman" w:hAnsi="Times New Roman" w:cs="Times New Roman"/>
          <w:sz w:val="24"/>
          <w:szCs w:val="24"/>
        </w:rPr>
        <w:t xml:space="preserve"> está empobreciendo a Europa. Esa es la conclusión central que arroja un informe del think tank Fond</w:t>
      </w:r>
      <w:r w:rsidR="00B21A88" w:rsidRPr="00345D74">
        <w:rPr>
          <w:rFonts w:ascii="Times New Roman" w:hAnsi="Times New Roman" w:cs="Times New Roman"/>
          <w:sz w:val="24"/>
          <w:szCs w:val="24"/>
        </w:rPr>
        <w:t>apol en el que se advierte de “la deriva política”</w:t>
      </w:r>
      <w:r w:rsidRPr="00345D74">
        <w:rPr>
          <w:rFonts w:ascii="Times New Roman" w:hAnsi="Times New Roman" w:cs="Times New Roman"/>
          <w:sz w:val="24"/>
          <w:szCs w:val="24"/>
        </w:rPr>
        <w:t xml:space="preserve"> que </w:t>
      </w:r>
      <w:r w:rsidR="00B21A88" w:rsidRPr="00345D74">
        <w:rPr>
          <w:rFonts w:ascii="Times New Roman" w:hAnsi="Times New Roman" w:cs="Times New Roman"/>
          <w:sz w:val="24"/>
          <w:szCs w:val="24"/>
        </w:rPr>
        <w:t>ha llevado al Viejo Continente “</w:t>
      </w:r>
      <w:r w:rsidRPr="00345D74">
        <w:rPr>
          <w:rFonts w:ascii="Times New Roman" w:hAnsi="Times New Roman" w:cs="Times New Roman"/>
          <w:sz w:val="24"/>
          <w:szCs w:val="24"/>
        </w:rPr>
        <w:t>de la transición energ</w:t>
      </w:r>
      <w:r w:rsidR="00B21A88" w:rsidRPr="00345D74">
        <w:rPr>
          <w:rFonts w:ascii="Times New Roman" w:hAnsi="Times New Roman" w:cs="Times New Roman"/>
          <w:sz w:val="24"/>
          <w:szCs w:val="24"/>
        </w:rPr>
        <w:t>ética a la burocracia ecológica”</w:t>
      </w:r>
      <w:r w:rsidRPr="00345D74">
        <w:rPr>
          <w:rFonts w:ascii="Times New Roman" w:hAnsi="Times New Roman" w:cs="Times New Roman"/>
          <w:sz w:val="24"/>
          <w:szCs w:val="24"/>
        </w:rPr>
        <w:t>. Los datos del estudio, centrado en el caso francés, ponen de manifiesto el notable encarecimiento de precios que están enfrentando los consumidores como consecuencia de las regulaciones promovidas por Bruselas y adoptadas por los países miembros de la Unión Europea.</w:t>
      </w:r>
    </w:p>
    <w:p w:rsidR="00966665" w:rsidRPr="00345D74" w:rsidRDefault="00966665" w:rsidP="00966665">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El informe ha sido elaborado por los alcaldes de Cannes y Saint-Raphaël, David Lisnard y Frédéric Masquelier, quienes denunci</w:t>
      </w:r>
      <w:r w:rsidR="00B21A88" w:rsidRPr="00345D74">
        <w:rPr>
          <w:rFonts w:ascii="Times New Roman" w:hAnsi="Times New Roman" w:cs="Times New Roman"/>
          <w:sz w:val="24"/>
          <w:szCs w:val="24"/>
        </w:rPr>
        <w:t>an que la transición ecológica “</w:t>
      </w:r>
      <w:r w:rsidRPr="00345D74">
        <w:rPr>
          <w:rFonts w:ascii="Times New Roman" w:hAnsi="Times New Roman" w:cs="Times New Roman"/>
          <w:sz w:val="24"/>
          <w:szCs w:val="24"/>
        </w:rPr>
        <w:t>ha derivado en un modelo administrativo inflexible que afecta notablemente al curso de la economía, la inversión y el desarrollo de la v</w:t>
      </w:r>
      <w:r w:rsidR="00B21A88" w:rsidRPr="00345D74">
        <w:rPr>
          <w:rFonts w:ascii="Times New Roman" w:hAnsi="Times New Roman" w:cs="Times New Roman"/>
          <w:sz w:val="24"/>
          <w:szCs w:val="24"/>
        </w:rPr>
        <w:t>ida cotidiana de los ciudadanos”</w:t>
      </w:r>
      <w:r w:rsidRPr="00345D74">
        <w:rPr>
          <w:rFonts w:ascii="Times New Roman" w:hAnsi="Times New Roman" w:cs="Times New Roman"/>
          <w:sz w:val="24"/>
          <w:szCs w:val="24"/>
        </w:rPr>
        <w:t>.</w:t>
      </w:r>
    </w:p>
    <w:p w:rsidR="00966665" w:rsidRPr="00345D74" w:rsidRDefault="00966665" w:rsidP="00966665">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El estudio señala que la políti</w:t>
      </w:r>
      <w:r w:rsidR="00B21A88" w:rsidRPr="00345D74">
        <w:rPr>
          <w:rFonts w:ascii="Times New Roman" w:hAnsi="Times New Roman" w:cs="Times New Roman"/>
          <w:sz w:val="24"/>
          <w:szCs w:val="24"/>
        </w:rPr>
        <w:t>ca climática “</w:t>
      </w:r>
      <w:r w:rsidRPr="00345D74">
        <w:rPr>
          <w:rFonts w:ascii="Times New Roman" w:hAnsi="Times New Roman" w:cs="Times New Roman"/>
          <w:sz w:val="24"/>
          <w:szCs w:val="24"/>
        </w:rPr>
        <w:t xml:space="preserve">ha sido capturada por una </w:t>
      </w:r>
      <w:r w:rsidR="00B21A88" w:rsidRPr="00345D74">
        <w:rPr>
          <w:rFonts w:ascii="Times New Roman" w:hAnsi="Times New Roman" w:cs="Times New Roman"/>
          <w:sz w:val="24"/>
          <w:szCs w:val="24"/>
        </w:rPr>
        <w:t>burocracia ecologista expansiva”</w:t>
      </w:r>
      <w:r w:rsidRPr="00345D74">
        <w:rPr>
          <w:rFonts w:ascii="Times New Roman" w:hAnsi="Times New Roman" w:cs="Times New Roman"/>
          <w:sz w:val="24"/>
          <w:szCs w:val="24"/>
        </w:rPr>
        <w:t>. Desde la celebraci</w:t>
      </w:r>
      <w:r w:rsidR="00B21A88" w:rsidRPr="00345D74">
        <w:rPr>
          <w:rFonts w:ascii="Times New Roman" w:hAnsi="Times New Roman" w:cs="Times New Roman"/>
          <w:sz w:val="24"/>
          <w:szCs w:val="24"/>
        </w:rPr>
        <w:t>ón de la cumbre COP21 en 2015, “</w:t>
      </w:r>
      <w:r w:rsidRPr="00345D74">
        <w:rPr>
          <w:rFonts w:ascii="Times New Roman" w:hAnsi="Times New Roman" w:cs="Times New Roman"/>
          <w:sz w:val="24"/>
          <w:szCs w:val="24"/>
        </w:rPr>
        <w:t>el Estado ha centralizad</w:t>
      </w:r>
      <w:r w:rsidR="00B21A88" w:rsidRPr="00345D74">
        <w:rPr>
          <w:rFonts w:ascii="Times New Roman" w:hAnsi="Times New Roman" w:cs="Times New Roman"/>
          <w:sz w:val="24"/>
          <w:szCs w:val="24"/>
        </w:rPr>
        <w:t>o las decisiones en materia de “</w:t>
      </w:r>
      <w:r w:rsidRPr="00345D74">
        <w:rPr>
          <w:rFonts w:ascii="Times New Roman" w:hAnsi="Times New Roman" w:cs="Times New Roman"/>
          <w:sz w:val="24"/>
          <w:szCs w:val="24"/>
        </w:rPr>
        <w:t>tr</w:t>
      </w:r>
      <w:r w:rsidR="00B21A88" w:rsidRPr="00345D74">
        <w:rPr>
          <w:rFonts w:ascii="Times New Roman" w:hAnsi="Times New Roman" w:cs="Times New Roman"/>
          <w:sz w:val="24"/>
          <w:szCs w:val="24"/>
        </w:rPr>
        <w:t>ansición ecológica y energética”</w:t>
      </w:r>
      <w:r w:rsidRPr="00345D74">
        <w:rPr>
          <w:rFonts w:ascii="Times New Roman" w:hAnsi="Times New Roman" w:cs="Times New Roman"/>
          <w:sz w:val="24"/>
          <w:szCs w:val="24"/>
        </w:rPr>
        <w:t>, imponiendo normas rígidas y sanciones que no toman en cuenta las realidades locales. Esta estructura, en lugar de incentivar la innovación y la inversión sostenible, ha convertido la regulación en un fin en sí mismo, ignor</w:t>
      </w:r>
      <w:r w:rsidR="00B21A88" w:rsidRPr="00345D74">
        <w:rPr>
          <w:rFonts w:ascii="Times New Roman" w:hAnsi="Times New Roman" w:cs="Times New Roman"/>
          <w:sz w:val="24"/>
          <w:szCs w:val="24"/>
        </w:rPr>
        <w:t>ando sus nefastas consecuencias”</w:t>
      </w:r>
      <w:r w:rsidRPr="00345D74">
        <w:rPr>
          <w:rFonts w:ascii="Times New Roman" w:hAnsi="Times New Roman" w:cs="Times New Roman"/>
          <w:sz w:val="24"/>
          <w:szCs w:val="24"/>
        </w:rPr>
        <w:t>.</w:t>
      </w:r>
    </w:p>
    <w:p w:rsidR="00966665" w:rsidRPr="00345D74" w:rsidRDefault="00B21A88" w:rsidP="00966665">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Los autores destacan que esta “</w:t>
      </w:r>
      <w:r w:rsidR="00966665" w:rsidRPr="00345D74">
        <w:rPr>
          <w:rFonts w:ascii="Times New Roman" w:hAnsi="Times New Roman" w:cs="Times New Roman"/>
          <w:sz w:val="24"/>
          <w:szCs w:val="24"/>
        </w:rPr>
        <w:t>burocraci</w:t>
      </w:r>
      <w:r w:rsidRPr="00345D74">
        <w:rPr>
          <w:rFonts w:ascii="Times New Roman" w:hAnsi="Times New Roman" w:cs="Times New Roman"/>
          <w:sz w:val="24"/>
          <w:szCs w:val="24"/>
        </w:rPr>
        <w:t>a ecológica”</w:t>
      </w:r>
      <w:r w:rsidR="00966665" w:rsidRPr="00345D74">
        <w:rPr>
          <w:rFonts w:ascii="Times New Roman" w:hAnsi="Times New Roman" w:cs="Times New Roman"/>
          <w:sz w:val="24"/>
          <w:szCs w:val="24"/>
        </w:rPr>
        <w:t xml:space="preserve"> basa su actuación en introducir un sinfín de prohibiciones, restricciones y sanciones, en lugar de apoyarse en incentivos efectivos y tomar en consideración la libertad económica y las prefe</w:t>
      </w:r>
      <w:r w:rsidRPr="00345D74">
        <w:rPr>
          <w:rFonts w:ascii="Times New Roman" w:hAnsi="Times New Roman" w:cs="Times New Roman"/>
          <w:sz w:val="24"/>
          <w:szCs w:val="24"/>
        </w:rPr>
        <w:t>rencias ciudadanas. Tal modelo “</w:t>
      </w:r>
      <w:r w:rsidR="00966665" w:rsidRPr="00345D74">
        <w:rPr>
          <w:rFonts w:ascii="Times New Roman" w:hAnsi="Times New Roman" w:cs="Times New Roman"/>
          <w:sz w:val="24"/>
          <w:szCs w:val="24"/>
        </w:rPr>
        <w:t>actúa sin una evaluación realista de los costos y consecuencias, lo que termina af</w:t>
      </w:r>
      <w:r w:rsidRPr="00345D74">
        <w:rPr>
          <w:rFonts w:ascii="Times New Roman" w:hAnsi="Times New Roman" w:cs="Times New Roman"/>
          <w:sz w:val="24"/>
          <w:szCs w:val="24"/>
        </w:rPr>
        <w:t>ectando a ciudadanos y empresas”</w:t>
      </w:r>
      <w:r w:rsidR="00966665" w:rsidRPr="00345D74">
        <w:rPr>
          <w:rFonts w:ascii="Times New Roman" w:hAnsi="Times New Roman" w:cs="Times New Roman"/>
          <w:sz w:val="24"/>
          <w:szCs w:val="24"/>
        </w:rPr>
        <w:t>. (Fuente: Libertad Digital - 20/2/25)</w:t>
      </w:r>
    </w:p>
    <w:p w:rsidR="00966665" w:rsidRPr="00345D74" w:rsidRDefault="00966665" w:rsidP="00966665">
      <w:pPr>
        <w:spacing w:line="240" w:lineRule="auto"/>
        <w:jc w:val="both"/>
        <w:rPr>
          <w:rFonts w:ascii="Times New Roman" w:hAnsi="Times New Roman" w:cs="Times New Roman"/>
          <w:sz w:val="24"/>
          <w:szCs w:val="24"/>
        </w:rPr>
      </w:pPr>
    </w:p>
    <w:p w:rsidR="00AB220E" w:rsidRPr="00AB220E" w:rsidRDefault="00AB220E" w:rsidP="00AB220E">
      <w:pPr>
        <w:spacing w:line="240" w:lineRule="auto"/>
        <w:jc w:val="both"/>
        <w:rPr>
          <w:rFonts w:ascii="Times New Roman" w:hAnsi="Times New Roman" w:cs="Times New Roman"/>
          <w:b/>
          <w:sz w:val="24"/>
          <w:szCs w:val="24"/>
        </w:rPr>
      </w:pPr>
      <w:r w:rsidRPr="00AB220E">
        <w:rPr>
          <w:rFonts w:ascii="Times New Roman" w:hAnsi="Times New Roman" w:cs="Times New Roman"/>
          <w:b/>
          <w:sz w:val="24"/>
          <w:szCs w:val="24"/>
        </w:rPr>
        <w:lastRenderedPageBreak/>
        <w:t xml:space="preserve">- ¿Miedo en el cuerpo? o ¿Dar vuelta el calcetín? Europa lo tiene fácil: solo debe </w:t>
      </w:r>
      <w:r w:rsidR="000E08B2">
        <w:rPr>
          <w:rFonts w:ascii="Times New Roman" w:hAnsi="Times New Roman" w:cs="Times New Roman"/>
          <w:b/>
          <w:sz w:val="24"/>
          <w:szCs w:val="24"/>
        </w:rPr>
        <w:t>“</w:t>
      </w:r>
      <w:r w:rsidRPr="00AB220E">
        <w:rPr>
          <w:rFonts w:ascii="Times New Roman" w:hAnsi="Times New Roman" w:cs="Times New Roman"/>
          <w:b/>
          <w:sz w:val="24"/>
          <w:szCs w:val="24"/>
        </w:rPr>
        <w:t>volver a sus orígenes</w:t>
      </w:r>
      <w:r w:rsidR="000E08B2">
        <w:rPr>
          <w:rFonts w:ascii="Times New Roman" w:hAnsi="Times New Roman" w:cs="Times New Roman"/>
          <w:b/>
          <w:sz w:val="24"/>
          <w:szCs w:val="24"/>
        </w:rPr>
        <w:t>”</w:t>
      </w:r>
      <w:r w:rsidR="005D36A3">
        <w:rPr>
          <w:rFonts w:ascii="Times New Roman" w:hAnsi="Times New Roman" w:cs="Times New Roman"/>
          <w:b/>
          <w:sz w:val="24"/>
          <w:szCs w:val="24"/>
        </w:rPr>
        <w:t xml:space="preserve"> </w:t>
      </w:r>
    </w:p>
    <w:p w:rsidR="00B22EA2" w:rsidRDefault="00AB220E" w:rsidP="00B20E14">
      <w:pPr>
        <w:spacing w:line="240" w:lineRule="auto"/>
        <w:jc w:val="both"/>
        <w:rPr>
          <w:rFonts w:ascii="Times New Roman" w:hAnsi="Times New Roman" w:cs="Times New Roman"/>
          <w:b/>
          <w:sz w:val="24"/>
          <w:szCs w:val="24"/>
        </w:rPr>
      </w:pPr>
      <w:r>
        <w:rPr>
          <w:noProof/>
          <w:lang w:eastAsia="es-ES"/>
        </w:rPr>
        <w:drawing>
          <wp:inline distT="0" distB="0" distL="0" distR="0" wp14:anchorId="1F6DC610" wp14:editId="51540F28">
            <wp:extent cx="5731510" cy="3820795"/>
            <wp:effectExtent l="0" t="0" r="2540" b="8255"/>
            <wp:docPr id="120" name="Imagen 120" descr="https://s.libertaddigital.com/2025/02/06/1920/1080/fit/playa-moto-electrica-jubilados-benid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5/02/06/1920/1080/fit/playa-moto-electrica-jubilados-benidorm.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1510" cy="3820795"/>
                    </a:xfrm>
                    <a:prstGeom prst="rect">
                      <a:avLst/>
                    </a:prstGeom>
                    <a:noFill/>
                    <a:ln>
                      <a:noFill/>
                    </a:ln>
                  </pic:spPr>
                </pic:pic>
              </a:graphicData>
            </a:graphic>
          </wp:inline>
        </w:drawing>
      </w:r>
    </w:p>
    <w:p w:rsidR="00B20E14" w:rsidRPr="009D717A" w:rsidRDefault="00B20E14" w:rsidP="00B20E14">
      <w:pPr>
        <w:spacing w:line="240" w:lineRule="auto"/>
        <w:jc w:val="both"/>
        <w:rPr>
          <w:rFonts w:ascii="Times New Roman" w:hAnsi="Times New Roman" w:cs="Times New Roman"/>
          <w:b/>
          <w:sz w:val="24"/>
          <w:szCs w:val="24"/>
        </w:rPr>
      </w:pPr>
      <w:r w:rsidRPr="009D717A">
        <w:rPr>
          <w:rFonts w:ascii="Times New Roman" w:hAnsi="Times New Roman" w:cs="Times New Roman"/>
          <w:b/>
          <w:sz w:val="24"/>
          <w:szCs w:val="24"/>
        </w:rPr>
        <w:t>¿</w:t>
      </w:r>
      <w:r w:rsidR="009D717A" w:rsidRPr="009D717A">
        <w:rPr>
          <w:rFonts w:ascii="Times New Roman" w:hAnsi="Times New Roman" w:cs="Times New Roman"/>
          <w:b/>
          <w:sz w:val="24"/>
          <w:szCs w:val="24"/>
        </w:rPr>
        <w:t>“</w:t>
      </w:r>
      <w:r w:rsidRPr="009D717A">
        <w:rPr>
          <w:rFonts w:ascii="Times New Roman" w:hAnsi="Times New Roman" w:cs="Times New Roman"/>
          <w:b/>
          <w:sz w:val="24"/>
          <w:szCs w:val="24"/>
        </w:rPr>
        <w:t>Quo vadis</w:t>
      </w:r>
      <w:r w:rsidR="009D717A" w:rsidRPr="009D717A">
        <w:rPr>
          <w:rFonts w:ascii="Times New Roman" w:hAnsi="Times New Roman" w:cs="Times New Roman"/>
          <w:b/>
          <w:sz w:val="24"/>
          <w:szCs w:val="24"/>
        </w:rPr>
        <w:t>”,</w:t>
      </w:r>
      <w:r w:rsidRPr="009D717A">
        <w:rPr>
          <w:rFonts w:ascii="Times New Roman" w:hAnsi="Times New Roman" w:cs="Times New Roman"/>
          <w:b/>
          <w:sz w:val="24"/>
          <w:szCs w:val="24"/>
        </w:rPr>
        <w:t xml:space="preserve"> E</w:t>
      </w:r>
      <w:r w:rsidR="00C84805">
        <w:rPr>
          <w:rFonts w:ascii="Times New Roman" w:hAnsi="Times New Roman" w:cs="Times New Roman"/>
          <w:b/>
          <w:sz w:val="24"/>
          <w:szCs w:val="24"/>
        </w:rPr>
        <w:t>uropa? P</w:t>
      </w:r>
      <w:r w:rsidR="009D717A" w:rsidRPr="009D717A">
        <w:rPr>
          <w:rFonts w:ascii="Times New Roman" w:hAnsi="Times New Roman" w:cs="Times New Roman"/>
          <w:b/>
          <w:sz w:val="24"/>
          <w:szCs w:val="24"/>
        </w:rPr>
        <w:t>arque temático, o</w:t>
      </w:r>
      <w:r w:rsidR="00C84805">
        <w:rPr>
          <w:rFonts w:ascii="Times New Roman" w:hAnsi="Times New Roman" w:cs="Times New Roman"/>
          <w:b/>
          <w:sz w:val="24"/>
          <w:szCs w:val="24"/>
        </w:rPr>
        <w:t xml:space="preserve"> </w:t>
      </w:r>
      <w:r w:rsidR="009D717A" w:rsidRPr="009D717A">
        <w:rPr>
          <w:rFonts w:ascii="Times New Roman" w:hAnsi="Times New Roman" w:cs="Times New Roman"/>
          <w:b/>
          <w:sz w:val="24"/>
          <w:szCs w:val="24"/>
        </w:rPr>
        <w:t>bosque</w:t>
      </w:r>
      <w:r w:rsidR="00345D74">
        <w:rPr>
          <w:rFonts w:ascii="Times New Roman" w:hAnsi="Times New Roman" w:cs="Times New Roman"/>
          <w:b/>
          <w:sz w:val="24"/>
          <w:szCs w:val="24"/>
        </w:rPr>
        <w:t xml:space="preserve"> animado (</w:t>
      </w:r>
      <w:r w:rsidR="009D717A" w:rsidRPr="009D717A">
        <w:rPr>
          <w:rFonts w:ascii="Times New Roman" w:hAnsi="Times New Roman" w:cs="Times New Roman"/>
          <w:b/>
          <w:sz w:val="24"/>
          <w:szCs w:val="24"/>
        </w:rPr>
        <w:t>“</w:t>
      </w:r>
      <w:r w:rsidRPr="009D717A">
        <w:rPr>
          <w:rFonts w:ascii="Times New Roman" w:hAnsi="Times New Roman" w:cs="Times New Roman"/>
          <w:b/>
          <w:sz w:val="24"/>
          <w:szCs w:val="24"/>
        </w:rPr>
        <w:t>sin ánimo de lucro</w:t>
      </w:r>
      <w:r w:rsidR="009D717A" w:rsidRPr="009D717A">
        <w:rPr>
          <w:rFonts w:ascii="Times New Roman" w:hAnsi="Times New Roman" w:cs="Times New Roman"/>
          <w:b/>
          <w:sz w:val="24"/>
          <w:szCs w:val="24"/>
        </w:rPr>
        <w:t>”</w:t>
      </w:r>
      <w:r w:rsidR="00345D74">
        <w:rPr>
          <w:rFonts w:ascii="Times New Roman" w:hAnsi="Times New Roman" w:cs="Times New Roman"/>
          <w:b/>
          <w:sz w:val="24"/>
          <w:szCs w:val="24"/>
        </w:rPr>
        <w:t>)</w:t>
      </w:r>
    </w:p>
    <w:p w:rsidR="00B20E14" w:rsidRPr="00345D74" w:rsidRDefault="00B20E14" w:rsidP="00B20E14">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El principal problema del campo europeo estriba en las cada vez más duras restricciones que impone la Política Agraria Común (PAC), junto con la consecución de objetivos medioambientales derivados del Pacto Verde de la UE. El aumento de costes regulatorios, laborales y fiscales, han terminado por desatar una crisis que no sólo afecta a toda Europa</w:t>
      </w:r>
      <w:r w:rsidR="000E08B2" w:rsidRPr="00345D74">
        <w:rPr>
          <w:rFonts w:ascii="Times New Roman" w:hAnsi="Times New Roman" w:cs="Times New Roman"/>
          <w:sz w:val="24"/>
          <w:szCs w:val="24"/>
        </w:rPr>
        <w:t>.</w:t>
      </w:r>
    </w:p>
    <w:p w:rsidR="00B20E14" w:rsidRPr="00345D74" w:rsidRDefault="00B20E14" w:rsidP="00B20E14">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Esa particular losa lastra la competitividad de agricultores y ganaderos, en detrimento de los productos de terceros países, cuyo precio es inferior. De ahí, precisamente, que a</w:t>
      </w:r>
      <w:r w:rsidR="00B21A88" w:rsidRPr="00345D74">
        <w:rPr>
          <w:rFonts w:ascii="Times New Roman" w:hAnsi="Times New Roman" w:cs="Times New Roman"/>
          <w:sz w:val="24"/>
          <w:szCs w:val="24"/>
        </w:rPr>
        <w:t>lgunos analistas, apunten a la “competencia desleal”</w:t>
      </w:r>
      <w:r w:rsidRPr="00345D74">
        <w:rPr>
          <w:rFonts w:ascii="Times New Roman" w:hAnsi="Times New Roman" w:cs="Times New Roman"/>
          <w:sz w:val="24"/>
          <w:szCs w:val="24"/>
        </w:rPr>
        <w:t xml:space="preserve"> para evitar la llegada de importaciones alimentarias bajo el argumento de que no tienen que cumplir las mismas exigencias que el productor europeo. La cuestión es que restringir las importaciones ataca las consecuencias, no la raíz del problema, que no es otro que la regulación ecologista de la UE. Y, además, de imponerse, se traduce en una sustancial subida de precios de los alimentos para el consumidor final.</w:t>
      </w:r>
    </w:p>
    <w:p w:rsidR="00B20E14" w:rsidRPr="00345D74" w:rsidRDefault="00B20E14" w:rsidP="00B20E14">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La clave está que el campo europeo no tenga que afrontar altos costes de producción fruto de una legislación contraproducente para, de este modo, poder competir en los mercados globales. Y, llegados a este punto, lo que demuestran los datos es que el sector primario español</w:t>
      </w:r>
      <w:r w:rsidR="000E08B2" w:rsidRPr="00345D74">
        <w:rPr>
          <w:rFonts w:ascii="Times New Roman" w:hAnsi="Times New Roman" w:cs="Times New Roman"/>
          <w:sz w:val="24"/>
          <w:szCs w:val="24"/>
        </w:rPr>
        <w:t>, en particular, y europeo, en general,</w:t>
      </w:r>
      <w:r w:rsidRPr="00345D74">
        <w:rPr>
          <w:rFonts w:ascii="Times New Roman" w:hAnsi="Times New Roman" w:cs="Times New Roman"/>
          <w:sz w:val="24"/>
          <w:szCs w:val="24"/>
        </w:rPr>
        <w:t xml:space="preserve"> no debería temer el libre comercio ni la competencia exterior procedente de terceros países.</w:t>
      </w:r>
      <w:r w:rsidR="000E08B2" w:rsidRPr="00345D74">
        <w:rPr>
          <w:rFonts w:ascii="Times New Roman" w:hAnsi="Times New Roman" w:cs="Times New Roman"/>
          <w:sz w:val="24"/>
          <w:szCs w:val="24"/>
        </w:rPr>
        <w:t xml:space="preserve"> En “iguales condiciones”, abiertos a competir. Con las “mismas reglas de juego”</w:t>
      </w:r>
      <w:r w:rsidR="00681917" w:rsidRPr="00345D74">
        <w:rPr>
          <w:rFonts w:ascii="Times New Roman" w:hAnsi="Times New Roman" w:cs="Times New Roman"/>
          <w:sz w:val="24"/>
          <w:szCs w:val="24"/>
        </w:rPr>
        <w:t>… ¡todos a una!</w:t>
      </w:r>
      <w:r w:rsidR="000E08B2" w:rsidRPr="00345D74">
        <w:rPr>
          <w:rFonts w:ascii="Times New Roman" w:hAnsi="Times New Roman" w:cs="Times New Roman"/>
          <w:sz w:val="24"/>
          <w:szCs w:val="24"/>
        </w:rPr>
        <w:t xml:space="preserve"> </w:t>
      </w:r>
      <w:r w:rsidR="00681917" w:rsidRPr="00345D74">
        <w:rPr>
          <w:rFonts w:ascii="Times New Roman" w:hAnsi="Times New Roman" w:cs="Times New Roman"/>
          <w:sz w:val="24"/>
          <w:szCs w:val="24"/>
        </w:rPr>
        <w:t>Sin “fanatismo climático”… ¡ancha es Castilla! O sea.</w:t>
      </w:r>
      <w:r w:rsidR="000E08B2" w:rsidRPr="00345D74">
        <w:rPr>
          <w:rFonts w:ascii="Times New Roman" w:hAnsi="Times New Roman" w:cs="Times New Roman"/>
          <w:sz w:val="24"/>
          <w:szCs w:val="24"/>
        </w:rPr>
        <w:t xml:space="preserve"> </w:t>
      </w:r>
    </w:p>
    <w:p w:rsidR="00B20E14" w:rsidRPr="00345D74" w:rsidRDefault="00B20E14" w:rsidP="00B20E14">
      <w:pPr>
        <w:spacing w:line="240" w:lineRule="auto"/>
        <w:jc w:val="both"/>
        <w:rPr>
          <w:rFonts w:ascii="Times New Roman" w:hAnsi="Times New Roman" w:cs="Times New Roman"/>
          <w:sz w:val="24"/>
          <w:szCs w:val="24"/>
        </w:rPr>
      </w:pPr>
    </w:p>
    <w:p w:rsidR="00B20E14" w:rsidRPr="00B20E14" w:rsidRDefault="00B20E14" w:rsidP="00B20E14">
      <w:pPr>
        <w:spacing w:line="240" w:lineRule="auto"/>
        <w:jc w:val="both"/>
        <w:rPr>
          <w:rFonts w:ascii="Times New Roman" w:hAnsi="Times New Roman" w:cs="Times New Roman"/>
          <w:sz w:val="24"/>
          <w:szCs w:val="24"/>
        </w:rPr>
      </w:pPr>
      <w:r w:rsidRPr="00B20E14">
        <w:rPr>
          <w:rFonts w:ascii="Times New Roman" w:hAnsi="Times New Roman" w:cs="Times New Roman"/>
          <w:b/>
          <w:sz w:val="24"/>
          <w:szCs w:val="24"/>
        </w:rPr>
        <w:lastRenderedPageBreak/>
        <w:t>Todo lo que hay que saber sobre el sector agrario de la UE</w:t>
      </w:r>
      <w:r>
        <w:rPr>
          <w:rFonts w:ascii="Times New Roman" w:hAnsi="Times New Roman" w:cs="Times New Roman"/>
          <w:sz w:val="24"/>
          <w:szCs w:val="24"/>
        </w:rPr>
        <w:t xml:space="preserve"> (Fuente: Euronews - 13/2/24)</w:t>
      </w:r>
    </w:p>
    <w:p w:rsidR="00B20E14" w:rsidRPr="00681917" w:rsidRDefault="00B20E14" w:rsidP="00681917">
      <w:pPr>
        <w:spacing w:line="240" w:lineRule="auto"/>
        <w:jc w:val="both"/>
        <w:rPr>
          <w:rFonts w:ascii="Times New Roman" w:hAnsi="Times New Roman" w:cs="Times New Roman"/>
          <w:sz w:val="24"/>
          <w:szCs w:val="24"/>
        </w:rPr>
      </w:pPr>
      <w:r w:rsidRPr="00681917">
        <w:rPr>
          <w:rFonts w:ascii="Times New Roman" w:hAnsi="Times New Roman" w:cs="Times New Roman"/>
          <w:sz w:val="24"/>
          <w:szCs w:val="24"/>
        </w:rPr>
        <w:t>Los agricultores descontentos se han echado a la calle en toda la Unión Europea. Pero, ¿qué importancia tiene el sector agrícola para la economía del bloque? Euronews lo analiza.</w:t>
      </w:r>
    </w:p>
    <w:p w:rsidR="00B20E14" w:rsidRPr="00681917" w:rsidRDefault="00B20E14" w:rsidP="00681917">
      <w:pPr>
        <w:spacing w:line="240" w:lineRule="auto"/>
        <w:jc w:val="both"/>
        <w:rPr>
          <w:rFonts w:ascii="Times New Roman" w:hAnsi="Times New Roman" w:cs="Times New Roman"/>
          <w:sz w:val="24"/>
          <w:szCs w:val="24"/>
        </w:rPr>
      </w:pPr>
      <w:r w:rsidRPr="00681917">
        <w:rPr>
          <w:rFonts w:ascii="Times New Roman" w:hAnsi="Times New Roman" w:cs="Times New Roman"/>
          <w:sz w:val="24"/>
          <w:szCs w:val="24"/>
        </w:rPr>
        <w:t>Entre sus quejas, los agricultores denuncian la crisis del coste de la vida, los impuestos sobre el combustible, la normativa medioambiental, la onerosa burocracia, la competencia desleal y los acuerdos de libre comercio.</w:t>
      </w:r>
    </w:p>
    <w:p w:rsidR="00AB220E" w:rsidRPr="00681917" w:rsidRDefault="00AB220E" w:rsidP="00681917">
      <w:pPr>
        <w:pStyle w:val="NormalWeb"/>
        <w:spacing w:before="240" w:beforeAutospacing="0"/>
        <w:jc w:val="both"/>
        <w:rPr>
          <w:spacing w:val="-5"/>
        </w:rPr>
      </w:pPr>
      <w:r w:rsidRPr="00681917">
        <w:rPr>
          <w:spacing w:val="-5"/>
        </w:rPr>
        <w:t>El movimiento, aparentemente coordinado y que </w:t>
      </w:r>
      <w:r w:rsidRPr="00681917">
        <w:rPr>
          <w:rStyle w:val="Textoennegrita"/>
          <w:rFonts w:eastAsiaTheme="majorEastAsia"/>
          <w:b w:val="0"/>
          <w:spacing w:val="-5"/>
        </w:rPr>
        <w:t>ya ha llegado a países como Alemania, Francia, Italia y España</w:t>
      </w:r>
      <w:r w:rsidRPr="00681917">
        <w:rPr>
          <w:spacing w:val="-5"/>
        </w:rPr>
        <w:t>, ha cogido desprevenida a Bruselas y ha sometido al </w:t>
      </w:r>
      <w:hyperlink r:id="rId99" w:history="1">
        <w:r w:rsidRPr="00681917">
          <w:rPr>
            <w:rStyle w:val="Textoennegrita"/>
            <w:rFonts w:eastAsiaTheme="majorEastAsia"/>
            <w:b w:val="0"/>
            <w:spacing w:val="-5"/>
          </w:rPr>
          <w:t>Pacto Verde</w:t>
        </w:r>
      </w:hyperlink>
      <w:r w:rsidRPr="00681917">
        <w:rPr>
          <w:spacing w:val="-5"/>
        </w:rPr>
        <w:t> a una fuerte presión política ante las próximas elecciones al Parlamento Europeo.</w:t>
      </w:r>
    </w:p>
    <w:p w:rsidR="00AB220E" w:rsidRPr="00681917" w:rsidRDefault="00AB220E" w:rsidP="00681917">
      <w:pPr>
        <w:pStyle w:val="NormalWeb"/>
        <w:spacing w:before="240" w:beforeAutospacing="0"/>
        <w:jc w:val="both"/>
        <w:rPr>
          <w:spacing w:val="-5"/>
        </w:rPr>
      </w:pPr>
      <w:r w:rsidRPr="00681917">
        <w:rPr>
          <w:rStyle w:val="Textoennegrita"/>
          <w:rFonts w:eastAsiaTheme="majorEastAsia"/>
          <w:b w:val="0"/>
          <w:spacing w:val="-5"/>
        </w:rPr>
        <w:t>Ursula von der Leyen</w:t>
      </w:r>
      <w:r w:rsidRPr="00681917">
        <w:rPr>
          <w:spacing w:val="-5"/>
        </w:rPr>
        <w:t>, la mente maestra detrás del Pacto Verde, reaccionó elogiando públicamente a los agricultores, celebrando su fortaleza, dedicación y contribución económica, y prometiendo prestar mayor atención a sus preocupaciones.</w:t>
      </w:r>
    </w:p>
    <w:p w:rsidR="00AB220E" w:rsidRPr="00681917" w:rsidRDefault="00AB220E" w:rsidP="00681917">
      <w:pPr>
        <w:pStyle w:val="NormalWeb"/>
        <w:spacing w:before="240" w:beforeAutospacing="0"/>
        <w:jc w:val="both"/>
        <w:rPr>
          <w:spacing w:val="-5"/>
        </w:rPr>
      </w:pPr>
      <w:r w:rsidRPr="00681917">
        <w:rPr>
          <w:spacing w:val="-5"/>
        </w:rPr>
        <w:t>Los agricultores </w:t>
      </w:r>
      <w:r w:rsidR="006204E9">
        <w:rPr>
          <w:rStyle w:val="Textoennegrita"/>
          <w:rFonts w:eastAsiaTheme="majorEastAsia"/>
          <w:b w:val="0"/>
          <w:spacing w:val="-5"/>
        </w:rPr>
        <w:t>“</w:t>
      </w:r>
      <w:r w:rsidRPr="00681917">
        <w:rPr>
          <w:rStyle w:val="Textoennegrita"/>
          <w:rFonts w:eastAsiaTheme="majorEastAsia"/>
          <w:b w:val="0"/>
          <w:spacing w:val="-5"/>
        </w:rPr>
        <w:t>trabajan duro cada día, para producir los alimentos de calidad que comemos. Por ello, creo que les debemos ap</w:t>
      </w:r>
      <w:r w:rsidR="006204E9">
        <w:rPr>
          <w:rStyle w:val="Textoennegrita"/>
          <w:rFonts w:eastAsiaTheme="majorEastAsia"/>
          <w:b w:val="0"/>
          <w:spacing w:val="-5"/>
        </w:rPr>
        <w:t>recio, agradecimiento y respeto”</w:t>
      </w:r>
      <w:r w:rsidRPr="00681917">
        <w:rPr>
          <w:spacing w:val="-5"/>
        </w:rPr>
        <w:t>, declaró la presidenta de la Comisión Europea a principios de mes al anunciar la retirada de una </w:t>
      </w:r>
      <w:hyperlink r:id="rId100" w:history="1">
        <w:r w:rsidRPr="00681917">
          <w:rPr>
            <w:rStyle w:val="Textoennegrita"/>
            <w:rFonts w:eastAsiaTheme="majorEastAsia"/>
            <w:b w:val="0"/>
            <w:spacing w:val="-5"/>
          </w:rPr>
          <w:t>polémica ley sobre pesticidas</w:t>
        </w:r>
        <w:r w:rsidRPr="00681917">
          <w:rPr>
            <w:rStyle w:val="Hipervnculo"/>
            <w:color w:val="auto"/>
            <w:spacing w:val="-5"/>
            <w:u w:val="none"/>
          </w:rPr>
          <w:t>.</w:t>
        </w:r>
      </w:hyperlink>
    </w:p>
    <w:p w:rsidR="00AB220E" w:rsidRPr="00681917" w:rsidRDefault="006204E9" w:rsidP="00681917">
      <w:pPr>
        <w:spacing w:line="240" w:lineRule="auto"/>
        <w:jc w:val="both"/>
        <w:rPr>
          <w:rFonts w:ascii="Times New Roman" w:hAnsi="Times New Roman" w:cs="Times New Roman"/>
          <w:sz w:val="24"/>
          <w:szCs w:val="24"/>
        </w:rPr>
      </w:pPr>
      <w:r>
        <w:rPr>
          <w:rFonts w:ascii="Times New Roman" w:hAnsi="Times New Roman" w:cs="Times New Roman"/>
          <w:spacing w:val="-5"/>
          <w:sz w:val="24"/>
          <w:szCs w:val="24"/>
        </w:rPr>
        <w:t>“</w:t>
      </w:r>
      <w:r w:rsidR="00AB220E" w:rsidRPr="00681917">
        <w:rPr>
          <w:rFonts w:ascii="Times New Roman" w:hAnsi="Times New Roman" w:cs="Times New Roman"/>
          <w:spacing w:val="-5"/>
          <w:sz w:val="24"/>
          <w:szCs w:val="24"/>
        </w:rPr>
        <w:t>Los problemas se han agravado en los últimos años. </w:t>
      </w:r>
      <w:r w:rsidR="00AB220E" w:rsidRPr="00681917">
        <w:rPr>
          <w:rStyle w:val="Textoennegrita"/>
          <w:rFonts w:ascii="Times New Roman" w:hAnsi="Times New Roman" w:cs="Times New Roman"/>
          <w:b w:val="0"/>
          <w:spacing w:val="-5"/>
          <w:sz w:val="24"/>
          <w:szCs w:val="24"/>
        </w:rPr>
        <w:t>Nuestros agricultores merecen que se les escuche.</w:t>
      </w:r>
      <w:r w:rsidR="00AB220E" w:rsidRPr="00681917">
        <w:rPr>
          <w:rFonts w:ascii="Times New Roman" w:hAnsi="Times New Roman" w:cs="Times New Roman"/>
          <w:spacing w:val="-5"/>
          <w:sz w:val="24"/>
          <w:szCs w:val="24"/>
        </w:rPr>
        <w:t> Sé que están preocupados por el futuro de la agricultura y por su futuro como agricultore</w:t>
      </w:r>
      <w:r>
        <w:rPr>
          <w:rFonts w:ascii="Times New Roman" w:hAnsi="Times New Roman" w:cs="Times New Roman"/>
          <w:spacing w:val="-5"/>
          <w:sz w:val="24"/>
          <w:szCs w:val="24"/>
        </w:rPr>
        <w:t>s”.</w:t>
      </w:r>
    </w:p>
    <w:p w:rsidR="00B22EA2" w:rsidRPr="00681917" w:rsidRDefault="00AB220E" w:rsidP="00681917">
      <w:pPr>
        <w:pStyle w:val="NormalWeb"/>
        <w:spacing w:before="240" w:beforeAutospacing="0"/>
        <w:jc w:val="both"/>
        <w:rPr>
          <w:spacing w:val="-5"/>
        </w:rPr>
      </w:pPr>
      <w:r w:rsidRPr="00681917">
        <w:rPr>
          <w:spacing w:val="-5"/>
        </w:rPr>
        <w:t>Esto es lo que debe saber</w:t>
      </w:r>
      <w:r w:rsidR="00B22EA2" w:rsidRPr="00681917">
        <w:rPr>
          <w:spacing w:val="-5"/>
        </w:rPr>
        <w:t xml:space="preserve"> sobre la agricultura en la UE.</w:t>
      </w:r>
    </w:p>
    <w:p w:rsidR="00AB220E" w:rsidRPr="00681917" w:rsidRDefault="00AB220E" w:rsidP="00681917">
      <w:pPr>
        <w:pStyle w:val="NormalWeb"/>
        <w:spacing w:before="240" w:beforeAutospacing="0"/>
        <w:jc w:val="both"/>
        <w:rPr>
          <w:spacing w:val="-5"/>
        </w:rPr>
      </w:pPr>
      <w:r w:rsidRPr="00681917">
        <w:t>Un sector pequeño pero vital</w:t>
      </w:r>
    </w:p>
    <w:p w:rsidR="00AB220E" w:rsidRPr="00681917" w:rsidRDefault="00AB220E" w:rsidP="00681917">
      <w:pPr>
        <w:pStyle w:val="NormalWeb"/>
        <w:spacing w:before="240" w:beforeAutospacing="0"/>
        <w:jc w:val="both"/>
        <w:rPr>
          <w:spacing w:val="-5"/>
        </w:rPr>
      </w:pPr>
      <w:r w:rsidRPr="00681917">
        <w:rPr>
          <w:spacing w:val="-5"/>
        </w:rPr>
        <w:t>La agricultura es uno de los medios de producción más antiguos del mundo: se remonta a 12.000 años atrás, cuando las civilizaciones prehistóricas pasaron de la caza-recolección nómada a la agricultura en asentamientos permanentes. En los milenios que siguieron, la agricultura actuó como </w:t>
      </w:r>
      <w:r w:rsidRPr="00681917">
        <w:rPr>
          <w:rStyle w:val="Textoennegrita"/>
          <w:rFonts w:eastAsiaTheme="majorEastAsia"/>
          <w:b w:val="0"/>
          <w:spacing w:val="-5"/>
        </w:rPr>
        <w:t>una importante fuerza de progreso</w:t>
      </w:r>
      <w:r w:rsidRPr="00681917">
        <w:rPr>
          <w:spacing w:val="-5"/>
        </w:rPr>
        <w:t> y contribuyó al desarrollo de muchas de las ciudades europeas que hoy conocemos.</w:t>
      </w:r>
    </w:p>
    <w:p w:rsidR="00AB220E" w:rsidRPr="00681917" w:rsidRDefault="00AB220E" w:rsidP="00681917">
      <w:pPr>
        <w:pStyle w:val="NormalWeb"/>
        <w:spacing w:before="240" w:beforeAutospacing="0"/>
        <w:jc w:val="both"/>
        <w:rPr>
          <w:spacing w:val="-5"/>
        </w:rPr>
      </w:pPr>
      <w:r w:rsidRPr="00681917">
        <w:rPr>
          <w:spacing w:val="-5"/>
        </w:rPr>
        <w:t>Pero con la llegada de la Revolución Industrial, la agricultura fue perdiendo protagonismo a medida que los países se orientaban hacia la industria manufacturera y, más tarde, los servicios.</w:t>
      </w:r>
    </w:p>
    <w:p w:rsidR="00AB220E" w:rsidRPr="00681917" w:rsidRDefault="00B20E14" w:rsidP="00681917">
      <w:pPr>
        <w:pStyle w:val="NormalWeb"/>
        <w:spacing w:before="240" w:beforeAutospacing="0"/>
        <w:jc w:val="both"/>
        <w:rPr>
          <w:spacing w:val="-5"/>
        </w:rPr>
      </w:pPr>
      <w:r w:rsidRPr="00681917">
        <w:rPr>
          <w:spacing w:val="-5"/>
        </w:rPr>
        <w:t>En la actualidad</w:t>
      </w:r>
      <w:r w:rsidR="00AB220E" w:rsidRPr="00681917">
        <w:rPr>
          <w:spacing w:val="-5"/>
        </w:rPr>
        <w:t>, el sector representa una ínfima</w:t>
      </w:r>
      <w:r w:rsidR="00681917">
        <w:rPr>
          <w:spacing w:val="-5"/>
        </w:rPr>
        <w:t xml:space="preserve"> parte de la economía de la UE</w:t>
      </w:r>
      <w:r w:rsidR="00AB220E" w:rsidRPr="00681917">
        <w:rPr>
          <w:spacing w:val="-5"/>
        </w:rPr>
        <w:t>: según </w:t>
      </w:r>
      <w:hyperlink r:id="rId101" w:history="1">
        <w:r w:rsidR="00AB220E" w:rsidRPr="00681917">
          <w:rPr>
            <w:rStyle w:val="Textoennegrita"/>
            <w:rFonts w:eastAsiaTheme="majorEastAsia"/>
            <w:b w:val="0"/>
            <w:spacing w:val="-5"/>
          </w:rPr>
          <w:t>Eurostat</w:t>
        </w:r>
      </w:hyperlink>
      <w:r w:rsidR="00AB220E" w:rsidRPr="00681917">
        <w:rPr>
          <w:spacing w:val="-5"/>
        </w:rPr>
        <w:t>, la agricultura aportó </w:t>
      </w:r>
      <w:r w:rsidR="00AB220E" w:rsidRPr="00681917">
        <w:rPr>
          <w:rStyle w:val="Textoennegrita"/>
          <w:rFonts w:eastAsiaTheme="majorEastAsia"/>
          <w:b w:val="0"/>
          <w:spacing w:val="-5"/>
        </w:rPr>
        <w:t>215.500 millones de euros</w:t>
      </w:r>
      <w:r w:rsidR="00AB220E" w:rsidRPr="00681917">
        <w:rPr>
          <w:spacing w:val="-5"/>
        </w:rPr>
        <w:t> al producto interior bruto (PIB) del bloque en 2022. En términos relativos, esto supone el </w:t>
      </w:r>
      <w:r w:rsidR="00AB220E" w:rsidRPr="00681917">
        <w:rPr>
          <w:rStyle w:val="Textoennegrita"/>
          <w:rFonts w:eastAsiaTheme="majorEastAsia"/>
          <w:b w:val="0"/>
          <w:spacing w:val="-5"/>
        </w:rPr>
        <w:t>1,4% del PIB total</w:t>
      </w:r>
      <w:r w:rsidR="00AB220E" w:rsidRPr="00681917">
        <w:rPr>
          <w:spacing w:val="-5"/>
        </w:rPr>
        <w:t>, una proporción que se ha mantenido estable en los últimos 20 años.</w:t>
      </w:r>
    </w:p>
    <w:p w:rsidR="00AB220E" w:rsidRPr="00681917" w:rsidRDefault="00AB220E" w:rsidP="00681917">
      <w:pPr>
        <w:pStyle w:val="NormalWeb"/>
        <w:spacing w:before="240" w:beforeAutospacing="0"/>
        <w:jc w:val="both"/>
        <w:rPr>
          <w:spacing w:val="-5"/>
        </w:rPr>
      </w:pPr>
      <w:r w:rsidRPr="00681917">
        <w:rPr>
          <w:spacing w:val="-5"/>
        </w:rPr>
        <w:t>Tras vender sus numerosos productos en los mercados, </w:t>
      </w:r>
      <w:r w:rsidRPr="00681917">
        <w:rPr>
          <w:rStyle w:val="Textoennegrita"/>
          <w:rFonts w:eastAsiaTheme="majorEastAsia"/>
          <w:b w:val="0"/>
          <w:spacing w:val="-5"/>
        </w:rPr>
        <w:t>el sector cosechó más de 537.000 millones de euros en 2022</w:t>
      </w:r>
      <w:r w:rsidRPr="00681917">
        <w:rPr>
          <w:spacing w:val="-5"/>
        </w:rPr>
        <w:t>, de los cuales 287.900 millones procedieron de cultivos como cereales, hortalizas, frutas, vino y patatas, y 206.000 millones de leche, ganado porcino, vacuno, aves de corral y huevos.</w:t>
      </w:r>
    </w:p>
    <w:p w:rsidR="00B20E14" w:rsidRPr="00681917" w:rsidRDefault="00B20E14" w:rsidP="00681917">
      <w:pPr>
        <w:pStyle w:val="NormalWeb"/>
        <w:spacing w:before="240" w:beforeAutospacing="0"/>
        <w:jc w:val="both"/>
        <w:rPr>
          <w:spacing w:val="-5"/>
        </w:rPr>
      </w:pPr>
      <w:r w:rsidRPr="00681917">
        <w:rPr>
          <w:spacing w:val="-5"/>
        </w:rPr>
        <w:t>Francia fue el mayor vendedor ese año, con 97.100 millones de euros, seguida de Alemania (76.200 millones), Italia (71.500 millones), España (63.000 millones) y Polonia (39.500 millones).</w:t>
      </w:r>
    </w:p>
    <w:p w:rsidR="00681917" w:rsidRDefault="00AB220E" w:rsidP="00681917">
      <w:pPr>
        <w:pStyle w:val="NormalWeb"/>
        <w:spacing w:before="240" w:beforeAutospacing="0"/>
        <w:jc w:val="both"/>
        <w:rPr>
          <w:spacing w:val="-5"/>
        </w:rPr>
      </w:pPr>
      <w:r w:rsidRPr="00681917">
        <w:rPr>
          <w:rStyle w:val="Textoennegrita"/>
          <w:rFonts w:eastAsiaTheme="majorEastAsia"/>
          <w:b w:val="0"/>
          <w:spacing w:val="-5"/>
        </w:rPr>
        <w:lastRenderedPageBreak/>
        <w:t>Los costes de producción ascendieron a 316.700 millones de euros en 2022</w:t>
      </w:r>
      <w:r w:rsidRPr="00681917">
        <w:rPr>
          <w:spacing w:val="-5"/>
        </w:rPr>
        <w:t>, lo que supone </w:t>
      </w:r>
      <w:r w:rsidRPr="00681917">
        <w:rPr>
          <w:rStyle w:val="Textoennegrita"/>
          <w:rFonts w:eastAsiaTheme="majorEastAsia"/>
          <w:b w:val="0"/>
          <w:spacing w:val="-5"/>
        </w:rPr>
        <w:t>un aumento de casi el 22%</w:t>
      </w:r>
      <w:r w:rsidRPr="00681917">
        <w:rPr>
          <w:spacing w:val="-5"/>
        </w:rPr>
        <w:t> respecto al año anterior. El aumento se debió principalmente a la </w:t>
      </w:r>
      <w:hyperlink r:id="rId102" w:history="1">
        <w:r w:rsidRPr="00681917">
          <w:rPr>
            <w:rStyle w:val="Textoennegrita"/>
            <w:rFonts w:eastAsiaTheme="majorEastAsia"/>
            <w:b w:val="0"/>
            <w:spacing w:val="-5"/>
          </w:rPr>
          <w:t>invasión de Ucrania por Rusia</w:t>
        </w:r>
      </w:hyperlink>
      <w:r w:rsidRPr="00681917">
        <w:rPr>
          <w:spacing w:val="-5"/>
        </w:rPr>
        <w:t>, que disparó los precios de la energía y los fert</w:t>
      </w:r>
      <w:r w:rsidR="00681917">
        <w:rPr>
          <w:spacing w:val="-5"/>
        </w:rPr>
        <w:t>ilizantes a máximos históricos.</w:t>
      </w:r>
    </w:p>
    <w:p w:rsidR="00AB220E" w:rsidRPr="00681917" w:rsidRDefault="00AB220E" w:rsidP="00681917">
      <w:pPr>
        <w:pStyle w:val="NormalWeb"/>
        <w:spacing w:before="240" w:beforeAutospacing="0"/>
        <w:jc w:val="both"/>
        <w:rPr>
          <w:spacing w:val="-5"/>
        </w:rPr>
      </w:pPr>
      <w:r w:rsidRPr="00681917">
        <w:t>Fuerte concentración</w:t>
      </w:r>
    </w:p>
    <w:p w:rsidR="00AB220E" w:rsidRPr="00681917" w:rsidRDefault="00AB220E" w:rsidP="00681917">
      <w:pPr>
        <w:pStyle w:val="NormalWeb"/>
        <w:spacing w:before="240" w:beforeAutospacing="0"/>
        <w:jc w:val="both"/>
        <w:rPr>
          <w:spacing w:val="-5"/>
        </w:rPr>
      </w:pPr>
      <w:r w:rsidRPr="00681917">
        <w:rPr>
          <w:spacing w:val="-5"/>
        </w:rPr>
        <w:t>Se calcula que </w:t>
      </w:r>
      <w:r w:rsidRPr="00681917">
        <w:rPr>
          <w:rStyle w:val="Textoennegrita"/>
          <w:rFonts w:eastAsiaTheme="majorEastAsia"/>
          <w:b w:val="0"/>
          <w:spacing w:val="-5"/>
        </w:rPr>
        <w:t>8,6 millones de personas</w:t>
      </w:r>
      <w:r w:rsidRPr="00681917">
        <w:rPr>
          <w:spacing w:val="-5"/>
        </w:rPr>
        <w:t> trabajan en el sector agrario, lo que representa el 4,2% del empleo de la UE. </w:t>
      </w:r>
      <w:r w:rsidRPr="00681917">
        <w:rPr>
          <w:rStyle w:val="Textoennegrita"/>
          <w:rFonts w:eastAsiaTheme="majorEastAsia"/>
          <w:b w:val="0"/>
          <w:spacing w:val="-5"/>
        </w:rPr>
        <w:t>Rumanía (1,76 millones) y Polonia (1,46 millones) son, con mucho, los mayores empleadores.</w:t>
      </w:r>
      <w:r w:rsidRPr="00681917">
        <w:rPr>
          <w:spacing w:val="-5"/>
        </w:rPr>
        <w:t> Sin embargo, estas cifras no ofrecen una imagen completa porque la cosecha es una actividad estacional que emplea a muchas personas con contratos temporales a tiempo parcial. Teniendo en cuenta estas particularidades, Eurostat cifra la </w:t>
      </w:r>
      <w:r w:rsidRPr="00681917">
        <w:rPr>
          <w:rStyle w:val="Textoennegrita"/>
          <w:rFonts w:eastAsiaTheme="majorEastAsia"/>
          <w:b w:val="0"/>
          <w:spacing w:val="-5"/>
        </w:rPr>
        <w:t>mano de obra en 17 millones de personas</w:t>
      </w:r>
      <w:r w:rsidRPr="00681917">
        <w:rPr>
          <w:spacing w:val="-5"/>
        </w:rPr>
        <w:t>, más del doble de la cifra principal.</w:t>
      </w:r>
    </w:p>
    <w:p w:rsidR="00AB220E" w:rsidRPr="00681917" w:rsidRDefault="00AB220E" w:rsidP="00681917">
      <w:pPr>
        <w:pStyle w:val="NormalWeb"/>
        <w:spacing w:before="240" w:beforeAutospacing="0"/>
        <w:jc w:val="both"/>
        <w:rPr>
          <w:spacing w:val="-5"/>
        </w:rPr>
      </w:pPr>
      <w:r w:rsidRPr="00681917">
        <w:rPr>
          <w:spacing w:val="-5"/>
        </w:rPr>
        <w:t>El sector es </w:t>
      </w:r>
      <w:hyperlink r:id="rId103" w:history="1">
        <w:r w:rsidRPr="00681917">
          <w:rPr>
            <w:rStyle w:val="Textoennegrita"/>
            <w:rFonts w:eastAsiaTheme="majorEastAsia"/>
            <w:b w:val="0"/>
            <w:spacing w:val="-5"/>
          </w:rPr>
          <w:t>masculino y está envejecido</w:t>
        </w:r>
      </w:hyperlink>
      <w:r w:rsidRPr="00681917">
        <w:rPr>
          <w:spacing w:val="-5"/>
        </w:rPr>
        <w:t>: una gran mayoría de los jefes de explotación son </w:t>
      </w:r>
      <w:r w:rsidRPr="00681917">
        <w:rPr>
          <w:rStyle w:val="Textoennegrita"/>
          <w:rFonts w:eastAsiaTheme="majorEastAsia"/>
          <w:b w:val="0"/>
          <w:spacing w:val="-5"/>
        </w:rPr>
        <w:t>hombres (68,4%)</w:t>
      </w:r>
      <w:r w:rsidRPr="00681917">
        <w:rPr>
          <w:spacing w:val="-5"/>
        </w:rPr>
        <w:t> y </w:t>
      </w:r>
      <w:r w:rsidRPr="00681917">
        <w:rPr>
          <w:rStyle w:val="Textoennegrita"/>
          <w:rFonts w:eastAsiaTheme="majorEastAsia"/>
          <w:b w:val="0"/>
          <w:spacing w:val="-5"/>
        </w:rPr>
        <w:t>mayores de 55 años (57,6%)</w:t>
      </w:r>
      <w:r w:rsidRPr="00681917">
        <w:rPr>
          <w:spacing w:val="-5"/>
        </w:rPr>
        <w:t>. Los Países Bajos presentan el desequilibrio de género más pronunciado, ya que sólo el 5,6% de los agricultores son mujeres, mientras que </w:t>
      </w:r>
      <w:r w:rsidRPr="00681917">
        <w:rPr>
          <w:rStyle w:val="Textoennegrita"/>
          <w:rFonts w:eastAsiaTheme="majorEastAsia"/>
          <w:b w:val="0"/>
          <w:spacing w:val="-5"/>
        </w:rPr>
        <w:t>Letonia y Lituania son los países que más cerca están de alcanzar una proporción de igualdad del 50%</w:t>
      </w:r>
      <w:r w:rsidRPr="00681917">
        <w:rPr>
          <w:spacing w:val="-5"/>
        </w:rPr>
        <w:t>.</w:t>
      </w:r>
    </w:p>
    <w:p w:rsidR="00AB220E" w:rsidRPr="00681917" w:rsidRDefault="00AB220E" w:rsidP="00681917">
      <w:pPr>
        <w:pStyle w:val="NormalWeb"/>
        <w:spacing w:before="480" w:beforeAutospacing="0"/>
        <w:jc w:val="both"/>
        <w:rPr>
          <w:spacing w:val="-5"/>
        </w:rPr>
      </w:pPr>
      <w:r w:rsidRPr="00681917">
        <w:rPr>
          <w:spacing w:val="-5"/>
        </w:rPr>
        <w:t>Todos estos agricultores trabajan en </w:t>
      </w:r>
      <w:r w:rsidRPr="00681917">
        <w:rPr>
          <w:rStyle w:val="Textoennegrita"/>
          <w:rFonts w:eastAsiaTheme="majorEastAsia"/>
          <w:b w:val="0"/>
          <w:spacing w:val="-5"/>
        </w:rPr>
        <w:t>157 millones de hectárea</w:t>
      </w:r>
      <w:r w:rsidRPr="00681917">
        <w:rPr>
          <w:spacing w:val="-5"/>
        </w:rPr>
        <w:t>s de </w:t>
      </w:r>
      <w:hyperlink r:id="rId104" w:history="1">
        <w:r w:rsidRPr="00681917">
          <w:rPr>
            <w:rStyle w:val="Textoennegrita"/>
            <w:rFonts w:eastAsiaTheme="majorEastAsia"/>
            <w:b w:val="0"/>
            <w:spacing w:val="-5"/>
          </w:rPr>
          <w:t>tierras agrícolas</w:t>
        </w:r>
      </w:hyperlink>
      <w:r w:rsidRPr="00681917">
        <w:rPr>
          <w:spacing w:val="-5"/>
        </w:rPr>
        <w:t>, repartidas a su vez en </w:t>
      </w:r>
      <w:r w:rsidRPr="00681917">
        <w:rPr>
          <w:rStyle w:val="Textoennegrita"/>
          <w:rFonts w:eastAsiaTheme="majorEastAsia"/>
          <w:b w:val="0"/>
          <w:spacing w:val="-5"/>
        </w:rPr>
        <w:t>9,1 millones de explotaciones.</w:t>
      </w:r>
      <w:r w:rsidRPr="00681917">
        <w:rPr>
          <w:spacing w:val="-5"/>
        </w:rPr>
        <w:t> Pero este reparto es marcadamente desigual: alrededor del 52% de las tierras agrícolas están controladas por el 4% de todas las explotaciones, las mayores de 100 hectáreas. Por el contrario, las pequeñas explotaciones, las de menos de 5 hectáreas, sólo utilizan el 6% de toda la tierra disponible, a pesar de representar el 40% de todas las explotaciones.</w:t>
      </w:r>
    </w:p>
    <w:p w:rsidR="00AB220E" w:rsidRPr="00681917" w:rsidRDefault="00AB220E" w:rsidP="00681917">
      <w:pPr>
        <w:pStyle w:val="NormalWeb"/>
        <w:spacing w:before="240" w:beforeAutospacing="0"/>
        <w:jc w:val="both"/>
        <w:rPr>
          <w:spacing w:val="-5"/>
        </w:rPr>
      </w:pPr>
      <w:r w:rsidRPr="00681917">
        <w:rPr>
          <w:spacing w:val="-5"/>
        </w:rPr>
        <w:t>Esta fuerte concentración de la tierra refleja la </w:t>
      </w:r>
      <w:r w:rsidRPr="00681917">
        <w:rPr>
          <w:rStyle w:val="Textoennegrita"/>
          <w:rFonts w:eastAsiaTheme="majorEastAsia"/>
          <w:b w:val="0"/>
          <w:spacing w:val="-5"/>
        </w:rPr>
        <w:t>industrialización de la agricultura</w:t>
      </w:r>
      <w:r w:rsidRPr="00681917">
        <w:rPr>
          <w:spacing w:val="-5"/>
        </w:rPr>
        <w:t>, donde unas pocas corporaciones se permiten desplegar tecnologías, maquinaria y métodos avanzados para producir cultivos a gran escala y venderlos a nivel mundial.</w:t>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Miles de millones en subvenciones</w:t>
      </w:r>
    </w:p>
    <w:p w:rsidR="00AB220E" w:rsidRPr="00681917" w:rsidRDefault="00AB220E" w:rsidP="00681917">
      <w:pPr>
        <w:pStyle w:val="NormalWeb"/>
        <w:spacing w:before="240" w:beforeAutospacing="0"/>
        <w:jc w:val="both"/>
        <w:rPr>
          <w:spacing w:val="-5"/>
        </w:rPr>
      </w:pPr>
      <w:r w:rsidRPr="00681917">
        <w:rPr>
          <w:spacing w:val="-5"/>
        </w:rPr>
        <w:t>La agricultura es un negocio arriesgado que </w:t>
      </w:r>
      <w:r w:rsidRPr="00681917">
        <w:rPr>
          <w:rStyle w:val="Textoennegrita"/>
          <w:rFonts w:eastAsiaTheme="majorEastAsia"/>
          <w:b w:val="0"/>
          <w:spacing w:val="-5"/>
        </w:rPr>
        <w:t>está a merced de los fenómenos meteorológicos</w:t>
      </w:r>
      <w:r w:rsidRPr="00681917">
        <w:rPr>
          <w:spacing w:val="-5"/>
        </w:rPr>
        <w:t>, la volatilidad de la demanda y la competencia extranjera, lo que dificulta la obtención de beneficios y la atracción de inversiones. Esto explica por qué la agricultura es una de las industrias más subvencionadas de la UE, a pesar de su minúscula contribución al crecimiento económico.</w:t>
      </w:r>
    </w:p>
    <w:p w:rsidR="00AB220E" w:rsidRPr="00681917" w:rsidRDefault="00AB220E" w:rsidP="00681917">
      <w:pPr>
        <w:pStyle w:val="NormalWeb"/>
        <w:spacing w:before="240" w:beforeAutospacing="0"/>
        <w:jc w:val="both"/>
        <w:rPr>
          <w:spacing w:val="-5"/>
        </w:rPr>
      </w:pPr>
      <w:r w:rsidRPr="00681917">
        <w:rPr>
          <w:spacing w:val="-5"/>
        </w:rPr>
        <w:t>Creada en 1962, la </w:t>
      </w:r>
      <w:r w:rsidRPr="00681917">
        <w:rPr>
          <w:rStyle w:val="Textoennegrita"/>
          <w:rFonts w:eastAsiaTheme="majorEastAsia"/>
          <w:b w:val="0"/>
          <w:spacing w:val="-5"/>
        </w:rPr>
        <w:t>Política Agrícola Común (PAC)</w:t>
      </w:r>
      <w:r w:rsidRPr="00681917">
        <w:rPr>
          <w:spacing w:val="-5"/>
        </w:rPr>
        <w:t> es un programa masivo de ayudas estatales cuyo objetivo es garantizar que los agricultores europeos </w:t>
      </w:r>
      <w:r w:rsidRPr="00681917">
        <w:rPr>
          <w:rStyle w:val="Textoennegrita"/>
          <w:rFonts w:eastAsiaTheme="majorEastAsia"/>
          <w:b w:val="0"/>
          <w:spacing w:val="-5"/>
        </w:rPr>
        <w:t>reciban unos ingresos mínimos y estables y puedan competir más allá de sus fronteras</w:t>
      </w:r>
      <w:r w:rsidRPr="00681917">
        <w:rPr>
          <w:spacing w:val="-5"/>
        </w:rPr>
        <w:t>. Durante décadas, la PAC fue la </w:t>
      </w:r>
      <w:r w:rsidRPr="00681917">
        <w:rPr>
          <w:rStyle w:val="nfasis"/>
          <w:spacing w:val="-5"/>
        </w:rPr>
        <w:t>razón de ser</w:t>
      </w:r>
      <w:r w:rsidRPr="00681917">
        <w:rPr>
          <w:spacing w:val="-5"/>
        </w:rPr>
        <w:t> del presupuesto común, con más del 60% del gasto total. Hoy representa un tercio.</w:t>
      </w:r>
    </w:p>
    <w:p w:rsidR="00AB220E" w:rsidRPr="00681917" w:rsidRDefault="00AB220E" w:rsidP="00681917">
      <w:pPr>
        <w:pStyle w:val="NormalWeb"/>
        <w:spacing w:before="240" w:beforeAutospacing="0"/>
        <w:jc w:val="both"/>
        <w:rPr>
          <w:spacing w:val="-5"/>
        </w:rPr>
      </w:pPr>
      <w:r w:rsidRPr="00681917">
        <w:rPr>
          <w:spacing w:val="-5"/>
        </w:rPr>
        <w:t>La PAC </w:t>
      </w:r>
      <w:hyperlink r:id="rId105" w:history="1">
        <w:r w:rsidRPr="00681917">
          <w:rPr>
            <w:rStyle w:val="Textoennegrita"/>
            <w:rFonts w:eastAsiaTheme="majorEastAsia"/>
            <w:b w:val="0"/>
            <w:spacing w:val="-5"/>
          </w:rPr>
          <w:t>asigna</w:t>
        </w:r>
      </w:hyperlink>
      <w:r w:rsidR="00681917">
        <w:rPr>
          <w:rStyle w:val="Textoennegrita"/>
          <w:rFonts w:eastAsiaTheme="majorEastAsia"/>
          <w:b w:val="0"/>
          <w:spacing w:val="-5"/>
        </w:rPr>
        <w:t xml:space="preserve"> </w:t>
      </w:r>
      <w:r w:rsidRPr="00681917">
        <w:rPr>
          <w:rStyle w:val="Textoennegrita"/>
          <w:rFonts w:eastAsiaTheme="majorEastAsia"/>
          <w:b w:val="0"/>
          <w:spacing w:val="-5"/>
        </w:rPr>
        <w:t>264.000 millones de euros para el periodo 2023-2027</w:t>
      </w:r>
      <w:r w:rsidRPr="00681917">
        <w:rPr>
          <w:spacing w:val="-5"/>
        </w:rPr>
        <w:t>, dedicados principalmente a dos líneas de actuación: </w:t>
      </w:r>
      <w:r w:rsidRPr="00681917">
        <w:rPr>
          <w:rStyle w:val="Textoennegrita"/>
          <w:rFonts w:eastAsiaTheme="majorEastAsia"/>
          <w:b w:val="0"/>
          <w:spacing w:val="-5"/>
        </w:rPr>
        <w:t>189.200 millones para ayudas a la renta</w:t>
      </w:r>
      <w:r w:rsidRPr="00681917">
        <w:rPr>
          <w:spacing w:val="-5"/>
        </w:rPr>
        <w:t>, los pagos directos que compensan a los agricultores, y </w:t>
      </w:r>
      <w:r w:rsidRPr="00681917">
        <w:rPr>
          <w:rStyle w:val="Textoennegrita"/>
          <w:rFonts w:eastAsiaTheme="majorEastAsia"/>
          <w:b w:val="0"/>
          <w:spacing w:val="-5"/>
        </w:rPr>
        <w:t>66.000 millones para desarrollo rural</w:t>
      </w:r>
      <w:r w:rsidRPr="00681917">
        <w:rPr>
          <w:spacing w:val="-5"/>
        </w:rPr>
        <w:t>, con el fin de afrontar los retos de las zonas empobrecidas.</w:t>
      </w:r>
    </w:p>
    <w:p w:rsidR="00AB220E" w:rsidRPr="00681917" w:rsidRDefault="00AB220E" w:rsidP="00681917">
      <w:pPr>
        <w:pStyle w:val="NormalWeb"/>
        <w:spacing w:before="240" w:beforeAutospacing="0"/>
        <w:jc w:val="both"/>
        <w:rPr>
          <w:spacing w:val="-5"/>
        </w:rPr>
      </w:pPr>
      <w:r w:rsidRPr="00681917">
        <w:rPr>
          <w:spacing w:val="-5"/>
        </w:rPr>
        <w:t xml:space="preserve">Los pagos directos no están vinculados, fundamentalmente, a la cantidad de cosecha que producen los agricultores. Bruselas argumenta que este vínculo incentivaría la sobreproducción para obtener una mayor parte de las subvenciones y desestabilizar el mercado. En su lugar, los pagos se </w:t>
      </w:r>
      <w:r w:rsidRPr="00681917">
        <w:rPr>
          <w:spacing w:val="-5"/>
        </w:rPr>
        <w:lastRenderedPageBreak/>
        <w:t>distribuyen </w:t>
      </w:r>
      <w:r w:rsidRPr="00681917">
        <w:rPr>
          <w:rStyle w:val="Textoennegrita"/>
          <w:rFonts w:eastAsiaTheme="majorEastAsia"/>
          <w:b w:val="0"/>
          <w:spacing w:val="-5"/>
        </w:rPr>
        <w:t>en función de las hectáreas</w:t>
      </w:r>
      <w:r w:rsidRPr="00681917">
        <w:rPr>
          <w:spacing w:val="-5"/>
        </w:rPr>
        <w:t> (tierras cultivadas) y el respeto de la biodiversidad y las normas de bienestar y sanidad animal.</w:t>
      </w:r>
    </w:p>
    <w:p w:rsidR="00AB220E" w:rsidRPr="00681917" w:rsidRDefault="00AB220E" w:rsidP="00681917">
      <w:pPr>
        <w:pStyle w:val="NormalWeb"/>
        <w:spacing w:before="240" w:beforeAutospacing="0"/>
        <w:jc w:val="both"/>
        <w:rPr>
          <w:spacing w:val="-5"/>
        </w:rPr>
      </w:pPr>
      <w:r w:rsidRPr="00681917">
        <w:rPr>
          <w:spacing w:val="-5"/>
        </w:rPr>
        <w:t>La PAC es uno de los elementos más discutidos de la política de la UE y ha recibido </w:t>
      </w:r>
      <w:r w:rsidRPr="00681917">
        <w:rPr>
          <w:rStyle w:val="Textoennegrita"/>
          <w:rFonts w:eastAsiaTheme="majorEastAsia"/>
          <w:b w:val="0"/>
          <w:spacing w:val="-5"/>
        </w:rPr>
        <w:t>continuas críticas</w:t>
      </w:r>
      <w:r w:rsidRPr="00681917">
        <w:rPr>
          <w:spacing w:val="-5"/>
        </w:rPr>
        <w:t> por, entre otras cosas, su </w:t>
      </w:r>
      <w:r w:rsidRPr="00681917">
        <w:rPr>
          <w:rStyle w:val="Textoennegrita"/>
          <w:rFonts w:eastAsiaTheme="majorEastAsia"/>
          <w:b w:val="0"/>
          <w:spacing w:val="-5"/>
        </w:rPr>
        <w:t>desequilibrada distribución</w:t>
      </w:r>
      <w:r w:rsidRPr="00681917">
        <w:rPr>
          <w:spacing w:val="-5"/>
        </w:rPr>
        <w:t> (cerca del 80% del presupuesto acaba en manos del 20% de los agricultores), su cuestionable eficacia (los ingresos de los agricultores siguen siendo un 40% inferiores a los salarios medios de la UE) y la distorsión comercial que provoca frente a la Organización Mundial del Comercio (OMC).</w:t>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Profusión de metano</w:t>
      </w:r>
    </w:p>
    <w:p w:rsidR="00AB220E" w:rsidRPr="00681917" w:rsidRDefault="00AB220E" w:rsidP="00681917">
      <w:pPr>
        <w:pStyle w:val="NormalWeb"/>
        <w:spacing w:before="240" w:beforeAutospacing="0"/>
        <w:jc w:val="both"/>
        <w:rPr>
          <w:spacing w:val="-5"/>
        </w:rPr>
      </w:pPr>
      <w:r w:rsidRPr="00681917">
        <w:rPr>
          <w:spacing w:val="-5"/>
        </w:rPr>
        <w:t>Otra acusación recurrente contra la PAC es su escasa aplicación de las normas medioambientales. Esto se debe a que la agricultura es un importante factor de contaminación, ya que </w:t>
      </w:r>
      <w:hyperlink r:id="rId106" w:history="1">
        <w:r w:rsidRPr="00681917">
          <w:rPr>
            <w:rStyle w:val="Textoennegrita"/>
            <w:rFonts w:eastAsiaTheme="majorEastAsia"/>
            <w:b w:val="0"/>
            <w:spacing w:val="-5"/>
          </w:rPr>
          <w:t>representa</w:t>
        </w:r>
      </w:hyperlink>
      <w:r w:rsidRPr="00681917">
        <w:rPr>
          <w:spacing w:val="-5"/>
        </w:rPr>
        <w:t> más del 10% de las emisiones de gases de efecto invernadero de la UE.</w:t>
      </w:r>
    </w:p>
    <w:p w:rsidR="00AB220E" w:rsidRPr="00681917" w:rsidRDefault="00AB220E" w:rsidP="00681917">
      <w:pPr>
        <w:pStyle w:val="NormalWeb"/>
        <w:spacing w:before="240" w:beforeAutospacing="0"/>
        <w:jc w:val="both"/>
        <w:rPr>
          <w:spacing w:val="-5"/>
        </w:rPr>
      </w:pPr>
      <w:r w:rsidRPr="00681917">
        <w:rPr>
          <w:spacing w:val="-5"/>
        </w:rPr>
        <w:t>La Agencia </w:t>
      </w:r>
      <w:hyperlink r:id="rId107" w:history="1">
        <w:r w:rsidRPr="00681917">
          <w:rPr>
            <w:rStyle w:val="Textoennegrita"/>
            <w:rFonts w:eastAsiaTheme="majorEastAsia"/>
            <w:b w:val="0"/>
            <w:spacing w:val="-5"/>
          </w:rPr>
          <w:t>Europea</w:t>
        </w:r>
      </w:hyperlink>
      <w:r w:rsidRPr="00681917">
        <w:rPr>
          <w:spacing w:val="-5"/>
        </w:rPr>
        <w:t> de </w:t>
      </w:r>
      <w:hyperlink r:id="rId108" w:history="1">
        <w:r w:rsidRPr="00681917">
          <w:rPr>
            <w:rStyle w:val="Textoennegrita"/>
            <w:rFonts w:eastAsiaTheme="majorEastAsia"/>
            <w:b w:val="0"/>
            <w:spacing w:val="-5"/>
          </w:rPr>
          <w:t>Medio</w:t>
        </w:r>
      </w:hyperlink>
      <w:r w:rsidRPr="00681917">
        <w:rPr>
          <w:spacing w:val="-5"/>
        </w:rPr>
        <w:t> Ambiente (AEMA) atribuye estas emisiones a tres fuentes:</w:t>
      </w:r>
    </w:p>
    <w:p w:rsidR="00AB220E" w:rsidRPr="00681917" w:rsidRDefault="00AB220E" w:rsidP="00681917">
      <w:pPr>
        <w:numPr>
          <w:ilvl w:val="0"/>
          <w:numId w:val="38"/>
        </w:numPr>
        <w:spacing w:before="100" w:beforeAutospacing="1" w:after="100" w:afterAutospacing="1" w:line="240" w:lineRule="auto"/>
        <w:ind w:left="75"/>
        <w:jc w:val="both"/>
        <w:rPr>
          <w:rFonts w:ascii="Times New Roman" w:hAnsi="Times New Roman" w:cs="Times New Roman"/>
          <w:spacing w:val="-5"/>
          <w:sz w:val="24"/>
          <w:szCs w:val="24"/>
        </w:rPr>
      </w:pPr>
      <w:r w:rsidRPr="00681917">
        <w:rPr>
          <w:rStyle w:val="Textoennegrita"/>
          <w:rFonts w:ascii="Times New Roman" w:hAnsi="Times New Roman" w:cs="Times New Roman"/>
          <w:b w:val="0"/>
          <w:spacing w:val="-5"/>
          <w:sz w:val="24"/>
          <w:szCs w:val="24"/>
        </w:rPr>
        <w:t>CH4 (metano)</w:t>
      </w:r>
      <w:r w:rsidRPr="00681917">
        <w:rPr>
          <w:rFonts w:ascii="Times New Roman" w:hAnsi="Times New Roman" w:cs="Times New Roman"/>
          <w:spacing w:val="-5"/>
          <w:sz w:val="24"/>
          <w:szCs w:val="24"/>
        </w:rPr>
        <w:t> procedente de la fermentación entérica, que se refiere al proceso digestivo en animales rumiantes como vacas, ovejas y cabras.</w:t>
      </w:r>
    </w:p>
    <w:p w:rsidR="00AB220E" w:rsidRPr="00681917" w:rsidRDefault="00AB220E" w:rsidP="00681917">
      <w:pPr>
        <w:numPr>
          <w:ilvl w:val="0"/>
          <w:numId w:val="38"/>
        </w:numPr>
        <w:spacing w:before="100" w:beforeAutospacing="1" w:after="100" w:afterAutospacing="1" w:line="240" w:lineRule="auto"/>
        <w:ind w:left="75"/>
        <w:jc w:val="both"/>
        <w:rPr>
          <w:rFonts w:ascii="Times New Roman" w:hAnsi="Times New Roman" w:cs="Times New Roman"/>
          <w:spacing w:val="-5"/>
          <w:sz w:val="24"/>
          <w:szCs w:val="24"/>
        </w:rPr>
      </w:pPr>
      <w:r w:rsidRPr="00681917">
        <w:rPr>
          <w:rStyle w:val="Textoennegrita"/>
          <w:rFonts w:ascii="Times New Roman" w:hAnsi="Times New Roman" w:cs="Times New Roman"/>
          <w:b w:val="0"/>
          <w:spacing w:val="-5"/>
          <w:sz w:val="24"/>
          <w:szCs w:val="24"/>
        </w:rPr>
        <w:t>N2O (óxido nitroso)</w:t>
      </w:r>
      <w:r w:rsidRPr="00681917">
        <w:rPr>
          <w:rFonts w:ascii="Times New Roman" w:hAnsi="Times New Roman" w:cs="Times New Roman"/>
          <w:spacing w:val="-5"/>
          <w:sz w:val="24"/>
          <w:szCs w:val="24"/>
        </w:rPr>
        <w:t> procedente principalmente del uso de fertilizantes sintéticos a base de nitrógeno.</w:t>
      </w:r>
    </w:p>
    <w:p w:rsidR="00AB220E" w:rsidRPr="00681917" w:rsidRDefault="00AB220E" w:rsidP="00681917">
      <w:pPr>
        <w:numPr>
          <w:ilvl w:val="0"/>
          <w:numId w:val="38"/>
        </w:numPr>
        <w:spacing w:before="100" w:beforeAutospacing="1" w:after="100" w:afterAutospacing="1" w:line="240" w:lineRule="auto"/>
        <w:ind w:left="75"/>
        <w:jc w:val="both"/>
        <w:rPr>
          <w:rFonts w:ascii="Times New Roman" w:hAnsi="Times New Roman" w:cs="Times New Roman"/>
          <w:spacing w:val="-5"/>
          <w:sz w:val="24"/>
          <w:szCs w:val="24"/>
        </w:rPr>
      </w:pPr>
      <w:r w:rsidRPr="00681917">
        <w:rPr>
          <w:rStyle w:val="Textoennegrita"/>
          <w:rFonts w:ascii="Times New Roman" w:hAnsi="Times New Roman" w:cs="Times New Roman"/>
          <w:b w:val="0"/>
          <w:spacing w:val="-5"/>
          <w:sz w:val="24"/>
          <w:szCs w:val="24"/>
        </w:rPr>
        <w:t>CH4 (metano)</w:t>
      </w:r>
      <w:r w:rsidRPr="00681917">
        <w:rPr>
          <w:rFonts w:ascii="Times New Roman" w:hAnsi="Times New Roman" w:cs="Times New Roman"/>
          <w:spacing w:val="-5"/>
          <w:sz w:val="24"/>
          <w:szCs w:val="24"/>
        </w:rPr>
        <w:t> procedente de la gestión y eliminación del estiércol.</w:t>
      </w:r>
    </w:p>
    <w:p w:rsidR="00AB220E" w:rsidRPr="00681917" w:rsidRDefault="00AB220E" w:rsidP="00681917">
      <w:pPr>
        <w:pStyle w:val="NormalWeb"/>
        <w:spacing w:before="240" w:beforeAutospacing="0"/>
        <w:jc w:val="both"/>
        <w:rPr>
          <w:spacing w:val="-5"/>
        </w:rPr>
      </w:pPr>
      <w:r w:rsidRPr="00681917">
        <w:rPr>
          <w:spacing w:val="-5"/>
        </w:rPr>
        <w:t>Aunque el sector agrario está sujeto al objetivo general de la UE de reducir gradualmente las emisiones de gases de efecto invernadero y </w:t>
      </w:r>
      <w:r w:rsidRPr="00681917">
        <w:rPr>
          <w:rStyle w:val="Textoennegrita"/>
          <w:rFonts w:eastAsiaTheme="majorEastAsia"/>
          <w:b w:val="0"/>
          <w:spacing w:val="-5"/>
        </w:rPr>
        <w:t>alcanzar la neutralidad climática en 2050, la reducción lograda hasta ahora ha sido extremadamente limitada.</w:t>
      </w:r>
    </w:p>
    <w:p w:rsidR="00AB220E" w:rsidRPr="00681917" w:rsidRDefault="00AB220E" w:rsidP="00681917">
      <w:pPr>
        <w:pStyle w:val="NormalWeb"/>
        <w:spacing w:before="240" w:beforeAutospacing="0"/>
        <w:jc w:val="both"/>
        <w:rPr>
          <w:spacing w:val="-5"/>
        </w:rPr>
      </w:pPr>
      <w:r w:rsidRPr="00681917">
        <w:rPr>
          <w:spacing w:val="-5"/>
        </w:rPr>
        <w:t>De hecho, entre 2005 y 2021, la AEMA calcula que las emisiones agrícolas aumentaron en 13 Estados miembros, con Estonia superando la barrera del 30%. Basándose en las proyecciones actuales, </w:t>
      </w:r>
      <w:r w:rsidRPr="00681917">
        <w:rPr>
          <w:rStyle w:val="Textoennegrita"/>
          <w:rFonts w:eastAsiaTheme="majorEastAsia"/>
          <w:b w:val="0"/>
          <w:spacing w:val="-5"/>
        </w:rPr>
        <w:t>la agencia prevé un modesto descenso del 4% para 2030 en comparación con los niveles de 2005</w:t>
      </w:r>
      <w:r w:rsidRPr="00681917">
        <w:rPr>
          <w:spacing w:val="-5"/>
        </w:rPr>
        <w:t>, que podría ampliarse al 8% si se ponen en marcha medidas climáticas adicionales.</w:t>
      </w:r>
    </w:p>
    <w:p w:rsidR="00AB220E" w:rsidRPr="00681917" w:rsidRDefault="00AB220E" w:rsidP="00681917">
      <w:pPr>
        <w:pStyle w:val="NormalWeb"/>
        <w:spacing w:before="240" w:beforeAutospacing="0"/>
        <w:jc w:val="both"/>
        <w:rPr>
          <w:spacing w:val="-5"/>
        </w:rPr>
      </w:pPr>
      <w:r w:rsidRPr="00681917">
        <w:rPr>
          <w:spacing w:val="-5"/>
        </w:rPr>
        <w:t>Esta lentitud es especialmente preocupante si se tiene en cuenta que al menos el 25% del calentamiento global se debe al </w:t>
      </w:r>
      <w:r w:rsidRPr="00681917">
        <w:rPr>
          <w:rStyle w:val="Textoennegrita"/>
          <w:rFonts w:eastAsiaTheme="majorEastAsia"/>
          <w:b w:val="0"/>
          <w:spacing w:val="-5"/>
        </w:rPr>
        <w:t>metano</w:t>
      </w:r>
      <w:r w:rsidRPr="00681917">
        <w:rPr>
          <w:spacing w:val="-5"/>
        </w:rPr>
        <w:t>, un gas inodoro que es 80 veces más nocivo que el CO2 en los primeros 20 años tras su liberación a la atmósfera. Por otra parte, los </w:t>
      </w:r>
      <w:hyperlink r:id="rId109" w:history="1">
        <w:r w:rsidRPr="00681917">
          <w:rPr>
            <w:rStyle w:val="Textoennegrita"/>
            <w:rFonts w:eastAsiaTheme="majorEastAsia"/>
            <w:b w:val="0"/>
            <w:spacing w:val="-5"/>
          </w:rPr>
          <w:t>pesticidas químicos</w:t>
        </w:r>
      </w:hyperlink>
      <w:r w:rsidRPr="00681917">
        <w:rPr>
          <w:spacing w:val="-5"/>
        </w:rPr>
        <w:t> que se utilizan habitualmente para mantener el rendimiento de los cultivos son uno de los factores causantes de la pérdida de biodiversidad, la </w:t>
      </w:r>
      <w:r w:rsidRPr="00681917">
        <w:rPr>
          <w:rStyle w:val="Textoennegrita"/>
          <w:rFonts w:eastAsiaTheme="majorEastAsia"/>
          <w:b w:val="0"/>
          <w:spacing w:val="-5"/>
        </w:rPr>
        <w:t>mala calidad del agua</w:t>
      </w:r>
      <w:r w:rsidRPr="00681917">
        <w:rPr>
          <w:spacing w:val="-5"/>
        </w:rPr>
        <w:t>, la degradación de los suelos y la resistencia a las plagas, y se han relacionado con </w:t>
      </w:r>
      <w:r w:rsidRPr="00681917">
        <w:rPr>
          <w:rStyle w:val="Textoennegrita"/>
          <w:rFonts w:eastAsiaTheme="majorEastAsia"/>
          <w:b w:val="0"/>
          <w:spacing w:val="-5"/>
        </w:rPr>
        <w:t>enfermedades crónicas</w:t>
      </w:r>
      <w:r w:rsidRPr="00681917">
        <w:rPr>
          <w:spacing w:val="-5"/>
        </w:rPr>
        <w:t>.</w:t>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El camino hacia la autosuficiencia</w:t>
      </w:r>
    </w:p>
    <w:p w:rsidR="00AB220E" w:rsidRPr="00681917" w:rsidRDefault="00AB220E" w:rsidP="00681917">
      <w:pPr>
        <w:pStyle w:val="NormalWeb"/>
        <w:spacing w:before="240" w:beforeAutospacing="0"/>
        <w:jc w:val="both"/>
        <w:rPr>
          <w:spacing w:val="-5"/>
        </w:rPr>
      </w:pPr>
      <w:r w:rsidRPr="00681917">
        <w:rPr>
          <w:spacing w:val="-5"/>
        </w:rPr>
        <w:t>Como reacción a la pandemia de COVID-19, la guerra de Ucrania y la crisis energética, la Comisión Europea ha adoptado la </w:t>
      </w:r>
      <w:r w:rsidR="006204E9">
        <w:rPr>
          <w:rStyle w:val="Textoennegrita"/>
          <w:rFonts w:eastAsiaTheme="majorEastAsia"/>
          <w:b w:val="0"/>
          <w:spacing w:val="-5"/>
        </w:rPr>
        <w:t>“autonomía estratégica”</w:t>
      </w:r>
      <w:r w:rsidRPr="00681917">
        <w:rPr>
          <w:rStyle w:val="Textoennegrita"/>
          <w:rFonts w:eastAsiaTheme="majorEastAsia"/>
          <w:b w:val="0"/>
          <w:spacing w:val="-5"/>
        </w:rPr>
        <w:t xml:space="preserve"> como filosofía rectora</w:t>
      </w:r>
      <w:r w:rsidRPr="00681917">
        <w:rPr>
          <w:spacing w:val="-5"/>
        </w:rPr>
        <w:t> para reducir las costosas dependencias de proveedores poco fiables.</w:t>
      </w:r>
    </w:p>
    <w:p w:rsidR="00AB220E" w:rsidRPr="00681917" w:rsidRDefault="00AB220E" w:rsidP="00681917">
      <w:pPr>
        <w:pStyle w:val="NormalWeb"/>
        <w:spacing w:before="240" w:beforeAutospacing="0"/>
        <w:jc w:val="both"/>
        <w:rPr>
          <w:spacing w:val="-5"/>
        </w:rPr>
      </w:pPr>
      <w:r w:rsidRPr="00681917">
        <w:rPr>
          <w:spacing w:val="-5"/>
        </w:rPr>
        <w:t>Por suerte para Bruselas, la agricultura es un sector muy avanzado en ese sentido.</w:t>
      </w:r>
    </w:p>
    <w:p w:rsidR="00AB220E" w:rsidRPr="00681917" w:rsidRDefault="00AB220E" w:rsidP="00681917">
      <w:pPr>
        <w:pStyle w:val="NormalWeb"/>
        <w:spacing w:before="240" w:beforeAutospacing="0"/>
        <w:jc w:val="both"/>
        <w:rPr>
          <w:spacing w:val="-5"/>
        </w:rPr>
      </w:pPr>
      <w:r w:rsidRPr="00681917">
        <w:rPr>
          <w:spacing w:val="-5"/>
        </w:rPr>
        <w:t xml:space="preserve">La UE ha adquirido la autosuficiencia (es decir, puede satisfacer todas sus necesidades internas mediante la producción nacional) en una amplia gama de bienes que consumimos a diario, como </w:t>
      </w:r>
      <w:r w:rsidRPr="00681917">
        <w:rPr>
          <w:spacing w:val="-5"/>
        </w:rPr>
        <w:lastRenderedPageBreak/>
        <w:t>trigo, aceite de oliva, tomates, manzanas, melocotones, queso, mantequilla, carne de vacuno, porcino y aves de corral. (Para otros, como el arroz, el azúcar, las semillas oleaginosas y el aceite vegetal, las importaciones siguen siendo muy necesarias).</w:t>
      </w:r>
    </w:p>
    <w:p w:rsidR="00AB220E" w:rsidRPr="00681917" w:rsidRDefault="00AB220E" w:rsidP="00681917">
      <w:pPr>
        <w:pStyle w:val="NormalWeb"/>
        <w:spacing w:before="240" w:beforeAutospacing="0"/>
        <w:jc w:val="both"/>
        <w:rPr>
          <w:spacing w:val="-5"/>
        </w:rPr>
      </w:pPr>
      <w:r w:rsidRPr="00681917">
        <w:rPr>
          <w:spacing w:val="-5"/>
        </w:rPr>
        <w:t>Esto ha permitido al bloque convertirse en </w:t>
      </w:r>
      <w:r w:rsidRPr="00681917">
        <w:rPr>
          <w:rStyle w:val="Textoennegrita"/>
          <w:rFonts w:eastAsiaTheme="majorEastAsia"/>
          <w:b w:val="0"/>
          <w:spacing w:val="-5"/>
        </w:rPr>
        <w:t>una potencia comercial en los mercados mundiales:</w:t>
      </w:r>
      <w:r w:rsidR="00681917">
        <w:rPr>
          <w:rStyle w:val="Textoennegrita"/>
          <w:rFonts w:eastAsiaTheme="majorEastAsia"/>
          <w:b w:val="0"/>
          <w:spacing w:val="-5"/>
        </w:rPr>
        <w:t xml:space="preserve"> </w:t>
      </w:r>
      <w:hyperlink r:id="rId110" w:history="1">
        <w:r w:rsidRPr="00681917">
          <w:rPr>
            <w:rStyle w:val="Textoennegrita"/>
            <w:rFonts w:eastAsiaTheme="majorEastAsia"/>
            <w:b w:val="0"/>
            <w:spacing w:val="-5"/>
          </w:rPr>
          <w:t>en 2022</w:t>
        </w:r>
      </w:hyperlink>
      <w:r w:rsidRPr="00681917">
        <w:rPr>
          <w:rStyle w:val="Textoennegrita"/>
          <w:rFonts w:eastAsiaTheme="majorEastAsia"/>
          <w:b w:val="0"/>
          <w:spacing w:val="-5"/>
        </w:rPr>
        <w:t>, el bloque exportó</w:t>
      </w:r>
      <w:r w:rsidR="00681917">
        <w:rPr>
          <w:rStyle w:val="Textoennegrita"/>
          <w:rFonts w:eastAsiaTheme="majorEastAsia"/>
          <w:b w:val="0"/>
          <w:spacing w:val="-5"/>
        </w:rPr>
        <w:t xml:space="preserve"> </w:t>
      </w:r>
      <w:r w:rsidRPr="00681917">
        <w:rPr>
          <w:rStyle w:val="Textoennegrita"/>
          <w:rFonts w:eastAsiaTheme="majorEastAsia"/>
          <w:b w:val="0"/>
          <w:spacing w:val="-5"/>
        </w:rPr>
        <w:t>229.100 millones de euros</w:t>
      </w:r>
      <w:r w:rsidRPr="00681917">
        <w:rPr>
          <w:spacing w:val="-5"/>
        </w:rPr>
        <w:t> en productos agrícolas e importó 195.600 millones, lo que arrojó un cómodo superávit de 33.400 millones. La exportación más valiosa de la UE fue la de bebidas y licores, con 39.000 millones de euros.</w:t>
      </w:r>
    </w:p>
    <w:p w:rsidR="00AB220E" w:rsidRPr="00681917" w:rsidRDefault="00AB220E" w:rsidP="00681917">
      <w:pPr>
        <w:pStyle w:val="NormalWeb"/>
        <w:spacing w:before="480" w:beforeAutospacing="0"/>
        <w:jc w:val="both"/>
        <w:rPr>
          <w:spacing w:val="-5"/>
        </w:rPr>
      </w:pPr>
      <w:r w:rsidRPr="00681917">
        <w:rPr>
          <w:spacing w:val="-5"/>
        </w:rPr>
        <w:t>Sin embargo, esto no significa que la UE esté completamente fuera de peligro.</w:t>
      </w:r>
    </w:p>
    <w:p w:rsidR="00AB220E" w:rsidRPr="00681917" w:rsidRDefault="00AB220E" w:rsidP="00681917">
      <w:pPr>
        <w:pStyle w:val="NormalWeb"/>
        <w:spacing w:before="240" w:beforeAutospacing="0"/>
        <w:jc w:val="both"/>
        <w:rPr>
          <w:spacing w:val="-5"/>
        </w:rPr>
      </w:pPr>
      <w:r w:rsidRPr="00681917">
        <w:rPr>
          <w:rStyle w:val="Textoennegrita"/>
          <w:rFonts w:eastAsiaTheme="majorEastAsia"/>
          <w:b w:val="0"/>
          <w:spacing w:val="-5"/>
        </w:rPr>
        <w:t>Los fenómenos meteorológicos extremos y el aumento de las temperaturas suponen una grave amenaza</w:t>
      </w:r>
      <w:r w:rsidRPr="00681917">
        <w:rPr>
          <w:spacing w:val="-5"/>
        </w:rPr>
        <w:t> para la seguridad alimentaria y podrían provocar un aumento de determinadas importaciones a largo plazo. Al mismo tiempo, algunos de los clientes del bloque están desarrollando estrategias de autosuficiencia y puede que en el futuro no compren tantos alimentos fabricados en la UE como ahora.</w:t>
      </w:r>
    </w:p>
    <w:p w:rsidR="00AB220E" w:rsidRPr="00681917" w:rsidRDefault="00AB220E" w:rsidP="00681917">
      <w:pPr>
        <w:pStyle w:val="NormalWeb"/>
        <w:spacing w:before="240" w:beforeAutospacing="0"/>
        <w:jc w:val="both"/>
        <w:rPr>
          <w:spacing w:val="-5"/>
        </w:rPr>
      </w:pPr>
      <w:r w:rsidRPr="00681917">
        <w:rPr>
          <w:spacing w:val="-5"/>
        </w:rPr>
        <w:t>Un reciente </w:t>
      </w:r>
      <w:hyperlink r:id="rId111" w:history="1">
        <w:r w:rsidRPr="00681917">
          <w:rPr>
            <w:rStyle w:val="Textoennegrita"/>
            <w:rFonts w:eastAsiaTheme="majorEastAsia"/>
            <w:b w:val="0"/>
            <w:spacing w:val="-5"/>
          </w:rPr>
          <w:t>informe</w:t>
        </w:r>
      </w:hyperlink>
      <w:r w:rsidRPr="00681917">
        <w:rPr>
          <w:spacing w:val="-5"/>
        </w:rPr>
        <w:t> de la Comisión Europea advertía de que la </w:t>
      </w:r>
      <w:r w:rsidRPr="00681917">
        <w:rPr>
          <w:rStyle w:val="Textoennegrita"/>
          <w:rFonts w:eastAsiaTheme="majorEastAsia"/>
          <w:b w:val="0"/>
          <w:spacing w:val="-5"/>
        </w:rPr>
        <w:t>ralentización económica de China,</w:t>
      </w:r>
      <w:r w:rsidRPr="00681917">
        <w:rPr>
          <w:spacing w:val="-5"/>
        </w:rPr>
        <w:t> que se agravará debido al rápido envejecimiento de su población, podría limitar gravemente las exportaciones mundiales de trigo blando, maíz, cebada, carne de vacuno y porcino y la mayoría de los productos lácteos.</w:t>
      </w:r>
    </w:p>
    <w:p w:rsidR="00AB220E" w:rsidRPr="00681917" w:rsidRDefault="00AB220E" w:rsidP="00681917">
      <w:pPr>
        <w:pStyle w:val="Ttulo1"/>
        <w:spacing w:line="240" w:lineRule="auto"/>
        <w:jc w:val="both"/>
        <w:rPr>
          <w:rFonts w:ascii="Times New Roman" w:hAnsi="Times New Roman" w:cs="Times New Roman"/>
          <w:b w:val="0"/>
          <w:color w:val="auto"/>
          <w:spacing w:val="-7"/>
          <w:sz w:val="24"/>
          <w:szCs w:val="24"/>
        </w:rPr>
      </w:pPr>
      <w:r w:rsidRPr="00681917">
        <w:rPr>
          <w:rFonts w:ascii="Times New Roman" w:hAnsi="Times New Roman" w:cs="Times New Roman"/>
          <w:color w:val="auto"/>
          <w:spacing w:val="-7"/>
          <w:sz w:val="24"/>
          <w:szCs w:val="24"/>
        </w:rPr>
        <w:t xml:space="preserve">Las políticas de la UE ponen en peligro la independencia alimentaria, según el 50% de los europeos </w:t>
      </w:r>
      <w:r w:rsidRPr="00681917">
        <w:rPr>
          <w:rFonts w:ascii="Times New Roman" w:hAnsi="Times New Roman" w:cs="Times New Roman"/>
          <w:b w:val="0"/>
          <w:color w:val="auto"/>
          <w:spacing w:val="-7"/>
          <w:sz w:val="24"/>
          <w:szCs w:val="24"/>
        </w:rPr>
        <w:t>(Fuente: Euronews - 29/3/24)</w:t>
      </w:r>
    </w:p>
    <w:p w:rsidR="00AB220E" w:rsidRPr="00681917" w:rsidRDefault="00AB220E" w:rsidP="00681917">
      <w:pPr>
        <w:spacing w:line="240" w:lineRule="auto"/>
        <w:jc w:val="both"/>
        <w:rPr>
          <w:rFonts w:ascii="Times New Roman" w:hAnsi="Times New Roman" w:cs="Times New Roman"/>
          <w:sz w:val="24"/>
          <w:szCs w:val="24"/>
        </w:rPr>
      </w:pPr>
    </w:p>
    <w:p w:rsidR="00AB220E" w:rsidRPr="00681917" w:rsidRDefault="00AB220E" w:rsidP="00681917">
      <w:pPr>
        <w:spacing w:line="240" w:lineRule="auto"/>
        <w:jc w:val="both"/>
        <w:rPr>
          <w:rFonts w:ascii="Times New Roman" w:hAnsi="Times New Roman" w:cs="Times New Roman"/>
          <w:sz w:val="24"/>
          <w:szCs w:val="24"/>
        </w:rPr>
      </w:pPr>
      <w:r w:rsidRPr="00681917">
        <w:rPr>
          <w:rFonts w:ascii="Times New Roman" w:hAnsi="Times New Roman" w:cs="Times New Roman"/>
          <w:sz w:val="24"/>
          <w:szCs w:val="24"/>
        </w:rPr>
        <w:t>(Por </w:t>
      </w:r>
      <w:hyperlink r:id="rId112" w:tgtFrame="_blank" w:history="1">
        <w:r w:rsidRPr="00681917">
          <w:rPr>
            <w:rStyle w:val="Hipervnculo"/>
            <w:rFonts w:ascii="Times New Roman" w:hAnsi="Times New Roman" w:cs="Times New Roman"/>
            <w:color w:val="auto"/>
            <w:sz w:val="24"/>
            <w:szCs w:val="24"/>
            <w:u w:val="none"/>
          </w:rPr>
          <w:t>Gerardo Fortuna</w:t>
        </w:r>
      </w:hyperlink>
      <w:r w:rsidRPr="00681917">
        <w:rPr>
          <w:rFonts w:ascii="Times New Roman" w:hAnsi="Times New Roman" w:cs="Times New Roman"/>
          <w:sz w:val="24"/>
          <w:szCs w:val="24"/>
        </w:rPr>
        <w:t>)</w:t>
      </w:r>
    </w:p>
    <w:p w:rsidR="00AB220E" w:rsidRPr="00681917" w:rsidRDefault="00AB220E" w:rsidP="00681917">
      <w:pPr>
        <w:pStyle w:val="c-article-summary"/>
        <w:jc w:val="both"/>
        <w:rPr>
          <w:spacing w:val="-5"/>
        </w:rPr>
      </w:pPr>
      <w:r w:rsidRPr="00681917">
        <w:rPr>
          <w:spacing w:val="-5"/>
        </w:rPr>
        <w:t>Los votantes europeos están descontentos con la protección que el bloque ofrece a la agricultura, que representa la mayor parte del presupuesto de la UE.</w:t>
      </w:r>
    </w:p>
    <w:p w:rsidR="00AB220E" w:rsidRPr="00681917" w:rsidRDefault="00AB220E" w:rsidP="00681917">
      <w:pPr>
        <w:pStyle w:val="NormalWeb"/>
        <w:spacing w:before="240" w:beforeAutospacing="0"/>
        <w:jc w:val="both"/>
        <w:rPr>
          <w:spacing w:val="-5"/>
        </w:rPr>
      </w:pPr>
      <w:r w:rsidRPr="00681917">
        <w:rPr>
          <w:spacing w:val="-5"/>
        </w:rPr>
        <w:t xml:space="preserve">Casi la mitad de los encuestados en un </w:t>
      </w:r>
      <w:r w:rsidR="006204E9">
        <w:rPr>
          <w:spacing w:val="-5"/>
        </w:rPr>
        <w:t>sondeo exclusivo de Ipsos para “Euronews”</w:t>
      </w:r>
      <w:r w:rsidRPr="00681917">
        <w:rPr>
          <w:spacing w:val="-5"/>
        </w:rPr>
        <w:t xml:space="preserve"> considera que las medidas de la UE </w:t>
      </w:r>
      <w:r w:rsidRPr="00681917">
        <w:rPr>
          <w:rStyle w:val="Textoennegrita"/>
          <w:rFonts w:eastAsiaTheme="majorEastAsia"/>
          <w:b w:val="0"/>
          <w:spacing w:val="-5"/>
        </w:rPr>
        <w:t>repercuten negativamente</w:t>
      </w:r>
      <w:r w:rsidRPr="00681917">
        <w:rPr>
          <w:spacing w:val="-5"/>
        </w:rPr>
        <w:t> en la protección de la agricultura europea y la independencia alimentaria del bloque.</w:t>
      </w:r>
    </w:p>
    <w:p w:rsidR="00AB220E" w:rsidRPr="00681917" w:rsidRDefault="00AB220E" w:rsidP="00681917">
      <w:pPr>
        <w:pStyle w:val="NormalWeb"/>
        <w:spacing w:before="240" w:beforeAutospacing="0"/>
        <w:jc w:val="both"/>
        <w:rPr>
          <w:spacing w:val="-5"/>
        </w:rPr>
      </w:pPr>
      <w:r w:rsidRPr="00681917">
        <w:rPr>
          <w:spacing w:val="-5"/>
        </w:rPr>
        <w:t>Ambos aspectos ocupan </w:t>
      </w:r>
      <w:r w:rsidRPr="00681917">
        <w:rPr>
          <w:rStyle w:val="Textoennegrita"/>
          <w:rFonts w:eastAsiaTheme="majorEastAsia"/>
          <w:b w:val="0"/>
          <w:spacing w:val="-5"/>
        </w:rPr>
        <w:t>un lugar central</w:t>
      </w:r>
      <w:r w:rsidRPr="00681917">
        <w:rPr>
          <w:spacing w:val="-5"/>
        </w:rPr>
        <w:t> en el programa de subvenciones agrícolas de la UE, </w:t>
      </w:r>
      <w:hyperlink r:id="rId113" w:history="1">
        <w:r w:rsidRPr="00681917">
          <w:rPr>
            <w:rStyle w:val="Hipervnculo"/>
            <w:color w:val="auto"/>
            <w:spacing w:val="-5"/>
            <w:u w:val="none"/>
          </w:rPr>
          <w:t>la Política Agrícola Común (PAC)</w:t>
        </w:r>
      </w:hyperlink>
      <w:r w:rsidRPr="00681917">
        <w:rPr>
          <w:spacing w:val="-5"/>
        </w:rPr>
        <w:t>, que también es una de las mayores dotaciones económicas del bloque.</w:t>
      </w:r>
    </w:p>
    <w:p w:rsidR="00AB220E" w:rsidRPr="00681917" w:rsidRDefault="00AB220E" w:rsidP="00681917">
      <w:pPr>
        <w:pStyle w:val="NormalWeb"/>
        <w:spacing w:before="240" w:beforeAutospacing="0"/>
        <w:jc w:val="both"/>
        <w:rPr>
          <w:spacing w:val="-5"/>
        </w:rPr>
      </w:pPr>
      <w:r w:rsidRPr="00681917">
        <w:rPr>
          <w:spacing w:val="-5"/>
        </w:rPr>
        <w:t>El resultado de la encuesta puede considerarse </w:t>
      </w:r>
      <w:r w:rsidRPr="00681917">
        <w:rPr>
          <w:rStyle w:val="Textoennegrita"/>
          <w:rFonts w:eastAsiaTheme="majorEastAsia"/>
          <w:b w:val="0"/>
          <w:spacing w:val="-5"/>
        </w:rPr>
        <w:t>un fracaso sustancial</w:t>
      </w:r>
      <w:r w:rsidRPr="00681917">
        <w:rPr>
          <w:spacing w:val="-5"/>
        </w:rPr>
        <w:t> de la principal política agrícola de la UE, ya que los legisladores europeos no aprovechan los fondos destinados específicamente a la agricultura, que representa </w:t>
      </w:r>
      <w:hyperlink r:id="rId114" w:history="1">
        <w:r w:rsidRPr="00681917">
          <w:rPr>
            <w:rStyle w:val="Hipervnculo"/>
            <w:color w:val="auto"/>
            <w:spacing w:val="-5"/>
            <w:u w:val="none"/>
          </w:rPr>
          <w:t>un tercio del presupuesto total de la UE</w:t>
        </w:r>
      </w:hyperlink>
      <w:r w:rsidRPr="00681917">
        <w:rPr>
          <w:spacing w:val="-5"/>
        </w:rPr>
        <w:t>.</w:t>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Los grandes productores están insatisfechos</w:t>
      </w:r>
    </w:p>
    <w:p w:rsidR="00AB220E" w:rsidRPr="00681917" w:rsidRDefault="00AB220E" w:rsidP="00681917">
      <w:pPr>
        <w:pStyle w:val="NormalWeb"/>
        <w:spacing w:before="240" w:beforeAutospacing="0"/>
        <w:jc w:val="both"/>
        <w:rPr>
          <w:spacing w:val="-5"/>
        </w:rPr>
      </w:pPr>
      <w:r w:rsidRPr="00681917">
        <w:rPr>
          <w:spacing w:val="-5"/>
        </w:rPr>
        <w:t>Aunque sólo una quinta parte de los encuestados </w:t>
      </w:r>
      <w:r w:rsidRPr="00681917">
        <w:rPr>
          <w:rStyle w:val="Textoennegrita"/>
          <w:rFonts w:eastAsiaTheme="majorEastAsia"/>
          <w:b w:val="0"/>
          <w:spacing w:val="-5"/>
        </w:rPr>
        <w:t>está satisfecha con la actuación de la UE</w:t>
      </w:r>
      <w:r w:rsidRPr="00681917">
        <w:rPr>
          <w:spacing w:val="-5"/>
        </w:rPr>
        <w:t> para garantizar la protección de la agricultura europea, el descontento parece ser mayor en los países que son grandes productores alimentarios, con excepciones como Dinamarca y Rumanía.</w:t>
      </w:r>
      <w:r w:rsidRPr="00681917">
        <w:t>:362:00</w:t>
      </w:r>
    </w:p>
    <w:p w:rsidR="00AB220E" w:rsidRPr="00681917" w:rsidRDefault="006204E9" w:rsidP="00681917">
      <w:pPr>
        <w:spacing w:line="240" w:lineRule="auto"/>
        <w:jc w:val="both"/>
        <w:rPr>
          <w:rFonts w:ascii="Times New Roman" w:hAnsi="Times New Roman" w:cs="Times New Roman"/>
          <w:sz w:val="24"/>
          <w:szCs w:val="24"/>
        </w:rPr>
      </w:pPr>
      <w:r>
        <w:rPr>
          <w:rFonts w:ascii="Times New Roman" w:hAnsi="Times New Roman" w:cs="Times New Roman"/>
          <w:spacing w:val="-5"/>
          <w:sz w:val="24"/>
          <w:szCs w:val="24"/>
        </w:rPr>
        <w:lastRenderedPageBreak/>
        <w:t>“</w:t>
      </w:r>
      <w:r w:rsidR="00AB220E" w:rsidRPr="00681917">
        <w:rPr>
          <w:rFonts w:ascii="Times New Roman" w:hAnsi="Times New Roman" w:cs="Times New Roman"/>
          <w:spacing w:val="-5"/>
          <w:sz w:val="24"/>
          <w:szCs w:val="24"/>
        </w:rPr>
        <w:t>Es interesante que los encuestados de los mayores productores de la UE, encabezados por Francia, pero también Polonia, España e Italia, </w:t>
      </w:r>
      <w:r w:rsidR="00AB220E" w:rsidRPr="00681917">
        <w:rPr>
          <w:rStyle w:val="Textoennegrita"/>
          <w:rFonts w:ascii="Times New Roman" w:eastAsiaTheme="majorEastAsia" w:hAnsi="Times New Roman" w:cs="Times New Roman"/>
          <w:b w:val="0"/>
          <w:spacing w:val="-5"/>
          <w:sz w:val="24"/>
          <w:szCs w:val="24"/>
        </w:rPr>
        <w:t>tengan las opiniones más negativas</w:t>
      </w:r>
      <w:r>
        <w:rPr>
          <w:rFonts w:ascii="Times New Roman" w:hAnsi="Times New Roman" w:cs="Times New Roman"/>
          <w:spacing w:val="-5"/>
          <w:sz w:val="24"/>
          <w:szCs w:val="24"/>
        </w:rPr>
        <w:t>”</w:t>
      </w:r>
      <w:r w:rsidR="00AB220E" w:rsidRPr="00681917">
        <w:rPr>
          <w:rFonts w:ascii="Times New Roman" w:hAnsi="Times New Roman" w:cs="Times New Roman"/>
          <w:spacing w:val="-5"/>
          <w:sz w:val="24"/>
          <w:szCs w:val="24"/>
        </w:rPr>
        <w:t>, declaró a 'Euronews' Alan Matthews, profesor de Política Agrícola Europea en el Trinity College de Dublín.</w:t>
      </w:r>
    </w:p>
    <w:p w:rsidR="00AB220E" w:rsidRPr="00681917" w:rsidRDefault="00AB220E" w:rsidP="00681917">
      <w:pPr>
        <w:pStyle w:val="NormalWeb"/>
        <w:spacing w:before="240" w:beforeAutospacing="0"/>
        <w:jc w:val="both"/>
        <w:rPr>
          <w:spacing w:val="-5"/>
        </w:rPr>
      </w:pPr>
      <w:r w:rsidRPr="00681917">
        <w:rPr>
          <w:spacing w:val="-5"/>
        </w:rPr>
        <w:t xml:space="preserve">Para Matthews, destacado experto en el programa de la PAC, si los encuestados responden </w:t>
      </w:r>
      <w:r w:rsidR="006204E9">
        <w:rPr>
          <w:spacing w:val="-5"/>
        </w:rPr>
        <w:t>así es “</w:t>
      </w:r>
      <w:r w:rsidRPr="00681917">
        <w:rPr>
          <w:spacing w:val="-5"/>
        </w:rPr>
        <w:t>porque piensan que el impulso a favor de una mayor ambición medioambiental </w:t>
      </w:r>
      <w:r w:rsidRPr="00681917">
        <w:rPr>
          <w:rStyle w:val="Textoennegrita"/>
          <w:rFonts w:eastAsiaTheme="majorEastAsia"/>
          <w:b w:val="0"/>
          <w:spacing w:val="-5"/>
        </w:rPr>
        <w:t>ha restado competitividad</w:t>
      </w:r>
      <w:r w:rsidRPr="00681917">
        <w:rPr>
          <w:spacing w:val="-5"/>
        </w:rPr>
        <w:t> a la agricultura de la UE o porque piensan que la UE no ha tomado medidas suficientes para impedir </w:t>
      </w:r>
      <w:hyperlink r:id="rId115" w:history="1">
        <w:r w:rsidRPr="00681917">
          <w:rPr>
            <w:rStyle w:val="Hipervnculo"/>
            <w:color w:val="auto"/>
            <w:spacing w:val="-5"/>
            <w:u w:val="none"/>
          </w:rPr>
          <w:t>importaciones más competitivas</w:t>
        </w:r>
      </w:hyperlink>
      <w:r w:rsidRPr="00681917">
        <w:rPr>
          <w:spacing w:val="-5"/>
        </w:rPr>
        <w:t xml:space="preserve"> a </w:t>
      </w:r>
      <w:r w:rsidR="006204E9">
        <w:rPr>
          <w:spacing w:val="-5"/>
        </w:rPr>
        <w:t>través de la política comercial”</w:t>
      </w:r>
      <w:r w:rsidRPr="00681917">
        <w:rPr>
          <w:spacing w:val="-5"/>
        </w:rPr>
        <w:t>.</w:t>
      </w:r>
    </w:p>
    <w:p w:rsidR="00AB220E" w:rsidRPr="00681917" w:rsidRDefault="00AB220E" w:rsidP="00681917">
      <w:pPr>
        <w:pStyle w:val="NormalWeb"/>
        <w:spacing w:before="240" w:beforeAutospacing="0"/>
        <w:jc w:val="both"/>
        <w:rPr>
          <w:spacing w:val="-5"/>
        </w:rPr>
      </w:pPr>
      <w:r w:rsidRPr="00681917">
        <w:rPr>
          <w:noProof/>
          <w:spacing w:val="-5"/>
        </w:rPr>
        <w:drawing>
          <wp:inline distT="0" distB="0" distL="0" distR="0" wp14:anchorId="35D6717C" wp14:editId="7ECC834D">
            <wp:extent cx="5731667" cy="3378200"/>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378108"/>
                    </a:xfrm>
                    <a:prstGeom prst="rect">
                      <a:avLst/>
                    </a:prstGeom>
                  </pic:spPr>
                </pic:pic>
              </a:graphicData>
            </a:graphic>
          </wp:inline>
        </w:drawing>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Un punto delicado para Ursula von der Leyen</w:t>
      </w:r>
    </w:p>
    <w:p w:rsidR="00AB220E" w:rsidRPr="00681917" w:rsidRDefault="00AB220E" w:rsidP="00681917">
      <w:pPr>
        <w:pStyle w:val="NormalWeb"/>
        <w:spacing w:before="240" w:beforeAutospacing="0"/>
        <w:jc w:val="both"/>
        <w:rPr>
          <w:spacing w:val="-5"/>
        </w:rPr>
      </w:pPr>
      <w:r w:rsidRPr="00681917">
        <w:rPr>
          <w:spacing w:val="-5"/>
        </w:rPr>
        <w:t>La política agroalimentaria de la UE ha sido un punto delicado para la administración de Ursula von der Leyen. </w:t>
      </w:r>
      <w:hyperlink r:id="rId117" w:history="1">
        <w:r w:rsidR="006204E9">
          <w:rPr>
            <w:rStyle w:val="Hipervnculo"/>
            <w:color w:val="auto"/>
            <w:spacing w:val="-5"/>
            <w:u w:val="none"/>
          </w:rPr>
          <w:t>“</w:t>
        </w:r>
      </w:hyperlink>
      <w:r w:rsidRPr="00681917">
        <w:rPr>
          <w:spacing w:val="-5"/>
        </w:rPr>
        <w:t>, más de la mitad de las promesas de la emblemática estrategia "De la granja al tenedor", presentada al principio del mandato de la presidenta, </w:t>
      </w:r>
      <w:r w:rsidRPr="00681917">
        <w:rPr>
          <w:rStyle w:val="Textoennegrita"/>
          <w:rFonts w:eastAsiaTheme="majorEastAsia"/>
          <w:b w:val="0"/>
          <w:spacing w:val="-5"/>
        </w:rPr>
        <w:t>siguen sin cumplirse</w:t>
      </w:r>
      <w:r w:rsidRPr="00681917">
        <w:rPr>
          <w:spacing w:val="-5"/>
        </w:rPr>
        <w:t>.</w:t>
      </w:r>
    </w:p>
    <w:p w:rsidR="00AB220E" w:rsidRPr="00681917" w:rsidRDefault="00AB220E" w:rsidP="00681917">
      <w:pPr>
        <w:pStyle w:val="NormalWeb"/>
        <w:spacing w:before="240" w:beforeAutospacing="0"/>
        <w:jc w:val="both"/>
        <w:rPr>
          <w:spacing w:val="-5"/>
        </w:rPr>
      </w:pPr>
      <w:r w:rsidRPr="00681917">
        <w:rPr>
          <w:spacing w:val="-5"/>
        </w:rPr>
        <w:t>La creciente polarización entre las partes del sector llevó a la Comisión a pedir tiempo y </w:t>
      </w:r>
      <w:r w:rsidRPr="00681917">
        <w:rPr>
          <w:rStyle w:val="Textoennegrita"/>
          <w:rFonts w:eastAsiaTheme="majorEastAsia"/>
          <w:b w:val="0"/>
          <w:spacing w:val="-5"/>
        </w:rPr>
        <w:t>suspender las nuevas propuestas en preparación</w:t>
      </w:r>
      <w:r w:rsidR="006204E9">
        <w:rPr>
          <w:spacing w:val="-5"/>
        </w:rPr>
        <w:t>, convocando en su lugar un “</w:t>
      </w:r>
      <w:hyperlink r:id="rId118" w:history="1">
        <w:r w:rsidRPr="00681917">
          <w:rPr>
            <w:rStyle w:val="Hipervnculo"/>
            <w:color w:val="auto"/>
            <w:spacing w:val="-5"/>
            <w:u w:val="none"/>
          </w:rPr>
          <w:t>diálogo estratégico</w:t>
        </w:r>
      </w:hyperlink>
      <w:r w:rsidR="006204E9">
        <w:rPr>
          <w:spacing w:val="-5"/>
        </w:rPr>
        <w:t>”</w:t>
      </w:r>
      <w:r w:rsidRPr="00681917">
        <w:rPr>
          <w:spacing w:val="-5"/>
        </w:rPr>
        <w:t xml:space="preserve"> antes de las elecciones europeas para acercar a las partes.</w:t>
      </w:r>
    </w:p>
    <w:p w:rsidR="00AB220E" w:rsidRPr="00681917" w:rsidRDefault="00AB220E" w:rsidP="00681917">
      <w:pPr>
        <w:pStyle w:val="NormalWeb"/>
        <w:spacing w:before="240" w:beforeAutospacing="0"/>
        <w:jc w:val="both"/>
        <w:rPr>
          <w:spacing w:val="-5"/>
        </w:rPr>
      </w:pPr>
      <w:r w:rsidRPr="00681917">
        <w:rPr>
          <w:spacing w:val="-5"/>
        </w:rPr>
        <w:t>Sin e</w:t>
      </w:r>
      <w:r w:rsidR="006204E9">
        <w:rPr>
          <w:spacing w:val="-5"/>
        </w:rPr>
        <w:t>mbargo, el sondeo exclusivo de “Euronews”</w:t>
      </w:r>
      <w:r w:rsidRPr="00681917">
        <w:rPr>
          <w:spacing w:val="-5"/>
        </w:rPr>
        <w:t xml:space="preserve"> revela también el surgimiento de </w:t>
      </w:r>
      <w:r w:rsidRPr="00681917">
        <w:rPr>
          <w:rStyle w:val="Textoennegrita"/>
          <w:rFonts w:eastAsiaTheme="majorEastAsia"/>
          <w:b w:val="0"/>
          <w:spacing w:val="-5"/>
        </w:rPr>
        <w:t>una línea de fractura política</w:t>
      </w:r>
      <w:r w:rsidRPr="00681917">
        <w:rPr>
          <w:spacing w:val="-5"/>
        </w:rPr>
        <w:t>.</w:t>
      </w:r>
    </w:p>
    <w:p w:rsidR="00AB220E" w:rsidRPr="00681917" w:rsidRDefault="006204E9" w:rsidP="00681917">
      <w:pPr>
        <w:pStyle w:val="NormalWeb"/>
        <w:spacing w:before="240" w:beforeAutospacing="0"/>
        <w:jc w:val="both"/>
        <w:rPr>
          <w:spacing w:val="-5"/>
        </w:rPr>
      </w:pPr>
      <w:r>
        <w:rPr>
          <w:spacing w:val="-5"/>
        </w:rPr>
        <w:t>“</w:t>
      </w:r>
      <w:r w:rsidR="00AB220E" w:rsidRPr="00681917">
        <w:rPr>
          <w:spacing w:val="-5"/>
        </w:rPr>
        <w:t>Lo interesante es la clara división izquierda-der</w:t>
      </w:r>
      <w:r>
        <w:rPr>
          <w:spacing w:val="-5"/>
        </w:rPr>
        <w:t>echa entre los grupos políticos”</w:t>
      </w:r>
      <w:r w:rsidR="00AB220E" w:rsidRPr="00681917">
        <w:rPr>
          <w:spacing w:val="-5"/>
        </w:rPr>
        <w:t>, comentó Matthews, señalando que las opiniones más negativas las tenían quienes expresaban su apoyo </w:t>
      </w:r>
      <w:r w:rsidR="00AB220E" w:rsidRPr="00681917">
        <w:rPr>
          <w:rStyle w:val="Textoennegrita"/>
          <w:rFonts w:eastAsiaTheme="majorEastAsia"/>
          <w:b w:val="0"/>
          <w:spacing w:val="-5"/>
        </w:rPr>
        <w:t>a los partidos de extrema derecha (ID)</w:t>
      </w:r>
      <w:r w:rsidR="00AB220E" w:rsidRPr="00681917">
        <w:rPr>
          <w:spacing w:val="-5"/>
        </w:rPr>
        <w:t> y derecha (ECR), mientras que un mayor número de votantes que apoyaban a los grupos de Izquierda y Verdes consideraban que la UE estaba haciendo al menos </w:t>
      </w:r>
      <w:r w:rsidR="00AB220E" w:rsidRPr="00681917">
        <w:rPr>
          <w:rStyle w:val="Textoennegrita"/>
          <w:rFonts w:eastAsiaTheme="majorEastAsia"/>
          <w:b w:val="0"/>
          <w:spacing w:val="-5"/>
        </w:rPr>
        <w:t>un trabajo razonable</w:t>
      </w:r>
      <w:r w:rsidR="00AB220E" w:rsidRPr="00681917">
        <w:rPr>
          <w:spacing w:val="-5"/>
        </w:rPr>
        <w:t>.</w:t>
      </w:r>
    </w:p>
    <w:p w:rsidR="00C84805" w:rsidRDefault="00AB220E" w:rsidP="00C84805">
      <w:pPr>
        <w:pStyle w:val="NormalWeb"/>
        <w:spacing w:before="240" w:beforeAutospacing="0"/>
        <w:jc w:val="both"/>
        <w:rPr>
          <w:spacing w:val="-5"/>
        </w:rPr>
      </w:pPr>
      <w:r w:rsidRPr="00681917">
        <w:rPr>
          <w:spacing w:val="-5"/>
        </w:rPr>
        <w:lastRenderedPageBreak/>
        <w:t>La arquitectura general de la PAC, acordada por los legisladores a principios de esta legislatura, ya </w:t>
      </w:r>
      <w:hyperlink r:id="rId119" w:history="1">
        <w:r w:rsidRPr="00681917">
          <w:rPr>
            <w:rStyle w:val="Textoennegrita"/>
            <w:rFonts w:eastAsiaTheme="majorEastAsia"/>
            <w:b w:val="0"/>
            <w:spacing w:val="-5"/>
          </w:rPr>
          <w:t>ha sufrido modificaciones</w:t>
        </w:r>
      </w:hyperlink>
      <w:r w:rsidRPr="00681917">
        <w:rPr>
          <w:spacing w:val="-5"/>
        </w:rPr>
        <w:t> para responder a las preo</w:t>
      </w:r>
      <w:r w:rsidR="00C84805">
        <w:rPr>
          <w:spacing w:val="-5"/>
        </w:rPr>
        <w:t>cupaciones de los agricultores.</w:t>
      </w:r>
    </w:p>
    <w:p w:rsidR="00AB220E" w:rsidRPr="00C84805" w:rsidRDefault="00AB220E" w:rsidP="00C84805">
      <w:pPr>
        <w:pStyle w:val="NormalWeb"/>
        <w:spacing w:before="240" w:beforeAutospacing="0"/>
        <w:jc w:val="both"/>
        <w:rPr>
          <w:spacing w:val="-5"/>
        </w:rPr>
      </w:pPr>
      <w:r w:rsidRPr="00C84805">
        <w:t>Cambios necesarios</w:t>
      </w:r>
    </w:p>
    <w:p w:rsidR="00AB220E" w:rsidRPr="00681917" w:rsidRDefault="00AB220E" w:rsidP="00681917">
      <w:pPr>
        <w:pStyle w:val="NormalWeb"/>
        <w:spacing w:before="240" w:beforeAutospacing="0"/>
        <w:jc w:val="both"/>
        <w:rPr>
          <w:spacing w:val="-5"/>
        </w:rPr>
      </w:pPr>
      <w:r w:rsidRPr="00681917">
        <w:rPr>
          <w:spacing w:val="-5"/>
        </w:rPr>
        <w:t>Según el ministro de Agricultura italiano, Francesco Lollobrigida, estos cambios se consideraron necesarios para </w:t>
      </w:r>
      <w:r w:rsidRPr="00681917">
        <w:rPr>
          <w:rStyle w:val="Textoennegrita"/>
          <w:rFonts w:eastAsiaTheme="majorEastAsia"/>
          <w:b w:val="0"/>
          <w:spacing w:val="-5"/>
        </w:rPr>
        <w:t>corregir algunos defectos del diseño de la PAC</w:t>
      </w:r>
      <w:r w:rsidRPr="00681917">
        <w:rPr>
          <w:spacing w:val="-5"/>
        </w:rPr>
        <w:t> planteados originalmente por las fuerzas políticas progresistas y verdes.</w:t>
      </w:r>
    </w:p>
    <w:p w:rsidR="00AB220E" w:rsidRPr="00681917" w:rsidRDefault="006204E9" w:rsidP="00681917">
      <w:pPr>
        <w:pStyle w:val="NormalWeb"/>
        <w:spacing w:before="240" w:beforeAutospacing="0"/>
        <w:jc w:val="both"/>
        <w:rPr>
          <w:spacing w:val="-5"/>
        </w:rPr>
      </w:pPr>
      <w:r>
        <w:rPr>
          <w:spacing w:val="-5"/>
        </w:rPr>
        <w:t>“</w:t>
      </w:r>
      <w:r w:rsidR="00AB220E" w:rsidRPr="00681917">
        <w:rPr>
          <w:spacing w:val="-5"/>
        </w:rPr>
        <w:t>La PAC estaba condicionada por (el anterior vicepresidente de la Comisión) Timmermans, que tenía </w:t>
      </w:r>
      <w:r w:rsidR="00AB220E" w:rsidRPr="00681917">
        <w:rPr>
          <w:rStyle w:val="Textoennegrita"/>
          <w:rFonts w:eastAsiaTheme="majorEastAsia"/>
          <w:b w:val="0"/>
          <w:spacing w:val="-5"/>
        </w:rPr>
        <w:t>un enfoque ideológico</w:t>
      </w:r>
      <w:r w:rsidR="00AB220E" w:rsidRPr="00681917">
        <w:rPr>
          <w:spacing w:val="-5"/>
        </w:rPr>
        <w:t> y que afortunadamente ya no co</w:t>
      </w:r>
      <w:r>
        <w:rPr>
          <w:spacing w:val="-5"/>
        </w:rPr>
        <w:t>ndiciona las políticas europeas”</w:t>
      </w:r>
      <w:r w:rsidR="00AB220E" w:rsidRPr="00681917">
        <w:rPr>
          <w:spacing w:val="-5"/>
        </w:rPr>
        <w:t>, dijo el político conservador en la reunión mensual de ministros de Agricultura de los Veintisiete celebrada en marzo en Bruselas.</w:t>
      </w:r>
    </w:p>
    <w:p w:rsidR="00AB220E" w:rsidRPr="00681917" w:rsidRDefault="00AB220E" w:rsidP="00681917">
      <w:pPr>
        <w:pStyle w:val="NormalWeb"/>
        <w:spacing w:before="240" w:beforeAutospacing="0"/>
        <w:jc w:val="both"/>
        <w:rPr>
          <w:spacing w:val="-5"/>
        </w:rPr>
      </w:pPr>
      <w:r w:rsidRPr="00681917">
        <w:rPr>
          <w:spacing w:val="-5"/>
        </w:rPr>
        <w:t>El adiós de Timmermans puso a los grupos políti</w:t>
      </w:r>
      <w:r w:rsidR="006204E9">
        <w:rPr>
          <w:spacing w:val="-5"/>
        </w:rPr>
        <w:t>cos de derecha y conservadores “</w:t>
      </w:r>
      <w:r w:rsidRPr="00681917">
        <w:rPr>
          <w:spacing w:val="-5"/>
        </w:rPr>
        <w:t>en condiciones de </w:t>
      </w:r>
      <w:r w:rsidRPr="00681917">
        <w:rPr>
          <w:rStyle w:val="Textoennegrita"/>
          <w:rFonts w:eastAsiaTheme="majorEastAsia"/>
          <w:b w:val="0"/>
          <w:spacing w:val="-5"/>
        </w:rPr>
        <w:t>revisar el marco</w:t>
      </w:r>
      <w:r w:rsidRPr="00681917">
        <w:rPr>
          <w:spacing w:val="-5"/>
        </w:rPr>
        <w:t> que vincula la sostenibilidad medioambienta</w:t>
      </w:r>
      <w:r w:rsidR="006204E9">
        <w:rPr>
          <w:spacing w:val="-5"/>
        </w:rPr>
        <w:t>l a la sostenibilidad económica”</w:t>
      </w:r>
      <w:r w:rsidRPr="00681917">
        <w:rPr>
          <w:spacing w:val="-5"/>
        </w:rPr>
        <w:t>, dijo.</w:t>
      </w:r>
    </w:p>
    <w:p w:rsidR="00AB220E" w:rsidRPr="00681917" w:rsidRDefault="00AB220E" w:rsidP="00681917">
      <w:pPr>
        <w:pStyle w:val="NormalWeb"/>
        <w:spacing w:before="240" w:beforeAutospacing="0"/>
        <w:jc w:val="both"/>
        <w:rPr>
          <w:spacing w:val="-5"/>
        </w:rPr>
      </w:pPr>
      <w:r w:rsidRPr="00681917">
        <w:rPr>
          <w:noProof/>
          <w:spacing w:val="-5"/>
        </w:rPr>
        <w:drawing>
          <wp:inline distT="0" distB="0" distL="0" distR="0" wp14:anchorId="4EA16C16" wp14:editId="21BC6A43">
            <wp:extent cx="5727700" cy="3454400"/>
            <wp:effectExtent l="0" t="0" r="635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456698"/>
                    </a:xfrm>
                    <a:prstGeom prst="rect">
                      <a:avLst/>
                    </a:prstGeom>
                  </pic:spPr>
                </pic:pic>
              </a:graphicData>
            </a:graphic>
          </wp:inline>
        </w:drawing>
      </w:r>
    </w:p>
    <w:p w:rsidR="00AB220E" w:rsidRPr="00681917" w:rsidRDefault="00AB220E" w:rsidP="00681917">
      <w:pPr>
        <w:pStyle w:val="Ttulo2"/>
        <w:spacing w:before="480" w:line="240" w:lineRule="auto"/>
        <w:jc w:val="both"/>
        <w:rPr>
          <w:rFonts w:ascii="Times New Roman" w:hAnsi="Times New Roman" w:cs="Times New Roman"/>
          <w:b w:val="0"/>
          <w:color w:val="auto"/>
          <w:sz w:val="24"/>
          <w:szCs w:val="24"/>
        </w:rPr>
      </w:pPr>
      <w:r w:rsidRPr="00681917">
        <w:rPr>
          <w:rFonts w:ascii="Times New Roman" w:hAnsi="Times New Roman" w:cs="Times New Roman"/>
          <w:b w:val="0"/>
          <w:color w:val="auto"/>
          <w:sz w:val="24"/>
          <w:szCs w:val="24"/>
        </w:rPr>
        <w:t>Independencia y soberanía alimentarias</w:t>
      </w:r>
    </w:p>
    <w:p w:rsidR="00AB220E" w:rsidRPr="00681917" w:rsidRDefault="006204E9" w:rsidP="00681917">
      <w:pPr>
        <w:pStyle w:val="NormalWeb"/>
        <w:spacing w:before="240" w:beforeAutospacing="0"/>
        <w:jc w:val="both"/>
        <w:rPr>
          <w:spacing w:val="-5"/>
        </w:rPr>
      </w:pPr>
      <w:r>
        <w:rPr>
          <w:spacing w:val="-5"/>
        </w:rPr>
        <w:t>La encuesta exclusiva de “Euronews”</w:t>
      </w:r>
      <w:r w:rsidR="00AB220E" w:rsidRPr="00681917">
        <w:rPr>
          <w:spacing w:val="-5"/>
        </w:rPr>
        <w:t xml:space="preserve"> también mostró </w:t>
      </w:r>
      <w:r>
        <w:rPr>
          <w:rStyle w:val="Textoennegrita"/>
          <w:rFonts w:eastAsiaTheme="majorEastAsia"/>
          <w:b w:val="0"/>
          <w:spacing w:val="-5"/>
        </w:rPr>
        <w:t>un renovado interés por la “independencia alimentaria”</w:t>
      </w:r>
      <w:r w:rsidR="00AB220E" w:rsidRPr="00681917">
        <w:rPr>
          <w:spacing w:val="-5"/>
        </w:rPr>
        <w:t>, cada v</w:t>
      </w:r>
      <w:r>
        <w:rPr>
          <w:spacing w:val="-5"/>
        </w:rPr>
        <w:t>ez más asociada al concepto de “</w:t>
      </w:r>
      <w:r w:rsidR="00AB220E" w:rsidRPr="00681917">
        <w:rPr>
          <w:spacing w:val="-5"/>
        </w:rPr>
        <w:t>soberanía al</w:t>
      </w:r>
      <w:r>
        <w:rPr>
          <w:spacing w:val="-5"/>
        </w:rPr>
        <w:t>imentaria”</w:t>
      </w:r>
      <w:r w:rsidR="00AB220E" w:rsidRPr="00681917">
        <w:rPr>
          <w:spacing w:val="-5"/>
        </w:rPr>
        <w:t>.</w:t>
      </w:r>
    </w:p>
    <w:p w:rsidR="00AB220E" w:rsidRPr="00681917" w:rsidRDefault="00AB220E" w:rsidP="00681917">
      <w:pPr>
        <w:pStyle w:val="NormalWeb"/>
        <w:spacing w:before="240" w:beforeAutospacing="0"/>
        <w:jc w:val="both"/>
        <w:rPr>
          <w:spacing w:val="-5"/>
        </w:rPr>
      </w:pPr>
      <w:r w:rsidRPr="00681917">
        <w:rPr>
          <w:spacing w:val="-5"/>
        </w:rPr>
        <w:t>Acuñado originalmente por el movimiento agroecológico en los años 90, la soberanía alimentaria está de moda en el </w:t>
      </w:r>
      <w:r w:rsidRPr="00681917">
        <w:rPr>
          <w:rStyle w:val="Textoennegrita"/>
          <w:rFonts w:eastAsiaTheme="majorEastAsia"/>
          <w:b w:val="0"/>
          <w:spacing w:val="-5"/>
        </w:rPr>
        <w:t>discurso político actual</w:t>
      </w:r>
      <w:r w:rsidRPr="00681917">
        <w:rPr>
          <w:spacing w:val="-5"/>
        </w:rPr>
        <w:t>, sobre todo en Francia e Italia.</w:t>
      </w:r>
    </w:p>
    <w:p w:rsidR="00AB220E" w:rsidRPr="00681917" w:rsidRDefault="00AB220E" w:rsidP="00681917">
      <w:pPr>
        <w:pStyle w:val="NormalWeb"/>
        <w:spacing w:before="240" w:beforeAutospacing="0"/>
        <w:jc w:val="both"/>
        <w:rPr>
          <w:spacing w:val="-5"/>
        </w:rPr>
      </w:pPr>
      <w:r w:rsidRPr="00681917">
        <w:rPr>
          <w:spacing w:val="-5"/>
        </w:rPr>
        <w:t>Sin embargo, la definición de soberanía alimentaria en la UE </w:t>
      </w:r>
      <w:r w:rsidRPr="00681917">
        <w:rPr>
          <w:rStyle w:val="Textoennegrita"/>
          <w:rFonts w:eastAsiaTheme="majorEastAsia"/>
          <w:b w:val="0"/>
          <w:spacing w:val="-5"/>
        </w:rPr>
        <w:t>no está clara</w:t>
      </w:r>
      <w:r w:rsidRPr="00681917">
        <w:rPr>
          <w:spacing w:val="-5"/>
        </w:rPr>
        <w:t>: algunos creen que debería formar parte de un replanteamiento de la política comercial del bloque, mientras que otros pretenden impulsar a toda costa la producción agrícola interna de la UE.</w:t>
      </w:r>
    </w:p>
    <w:p w:rsidR="00AB220E" w:rsidRPr="00681917" w:rsidRDefault="00AB220E" w:rsidP="00681917">
      <w:pPr>
        <w:pStyle w:val="NormalWeb"/>
        <w:spacing w:before="240" w:beforeAutospacing="0"/>
        <w:jc w:val="both"/>
        <w:rPr>
          <w:spacing w:val="-5"/>
        </w:rPr>
      </w:pPr>
      <w:r w:rsidRPr="00681917">
        <w:rPr>
          <w:spacing w:val="-5"/>
        </w:rPr>
        <w:lastRenderedPageBreak/>
        <w:t>Matthews relaci</w:t>
      </w:r>
      <w:r w:rsidR="006204E9">
        <w:rPr>
          <w:spacing w:val="-5"/>
        </w:rPr>
        <w:t>onó el resultado del sondeo de “Euronews”</w:t>
      </w:r>
      <w:r w:rsidRPr="00681917">
        <w:rPr>
          <w:spacing w:val="-5"/>
        </w:rPr>
        <w:t xml:space="preserve"> con una reciente encuesta del Eurobarómetro que sondeaba la opinión de los ciudadanos sobre </w:t>
      </w:r>
      <w:r w:rsidRPr="00681917">
        <w:rPr>
          <w:rStyle w:val="Textoennegrita"/>
          <w:rFonts w:eastAsiaTheme="majorEastAsia"/>
          <w:b w:val="0"/>
          <w:spacing w:val="-5"/>
        </w:rPr>
        <w:t>la relación entre el comercio internacional y la agricultura</w:t>
      </w:r>
      <w:r w:rsidRPr="00681917">
        <w:rPr>
          <w:spacing w:val="-5"/>
        </w:rPr>
        <w:t>.</w:t>
      </w:r>
    </w:p>
    <w:p w:rsidR="00AB220E" w:rsidRPr="00681917" w:rsidRDefault="00AB220E" w:rsidP="00681917">
      <w:pPr>
        <w:pStyle w:val="NormalWeb"/>
        <w:spacing w:before="240" w:beforeAutospacing="0"/>
        <w:jc w:val="both"/>
        <w:rPr>
          <w:spacing w:val="-5"/>
        </w:rPr>
      </w:pPr>
      <w:r w:rsidRPr="00681917">
        <w:rPr>
          <w:spacing w:val="-5"/>
        </w:rPr>
        <w:t>"Casi nueve de cada diez encuestados estaban de acuerdo en que las importaciones agrícolas de cualquier origen </w:t>
      </w:r>
      <w:r w:rsidRPr="00681917">
        <w:rPr>
          <w:rStyle w:val="Textoennegrita"/>
          <w:rFonts w:eastAsiaTheme="majorEastAsia"/>
          <w:b w:val="0"/>
          <w:spacing w:val="-5"/>
        </w:rPr>
        <w:t>sólo deberían entrar en la UE si su producción cumplía las normas medioambientales</w:t>
      </w:r>
      <w:r w:rsidRPr="00681917">
        <w:rPr>
          <w:spacing w:val="-5"/>
        </w:rPr>
        <w:t> y de </w:t>
      </w:r>
      <w:hyperlink r:id="rId121" w:history="1">
        <w:r w:rsidRPr="00681917">
          <w:rPr>
            <w:rStyle w:val="Hipervnculo"/>
            <w:color w:val="auto"/>
            <w:spacing w:val="-5"/>
            <w:u w:val="none"/>
          </w:rPr>
          <w:t>bienestar animal de la UE</w:t>
        </w:r>
      </w:hyperlink>
      <w:r w:rsidRPr="00681917">
        <w:rPr>
          <w:spacing w:val="-5"/>
        </w:rPr>
        <w:t>", dijo, añadiendo que la mayoría de los encuestados en el Eurobarómetro también apoyaban las barreras comerciales a las importaciones, excepto para los países en desarrollo.</w:t>
      </w:r>
    </w:p>
    <w:p w:rsidR="00AB220E" w:rsidRPr="00681917" w:rsidRDefault="00AB220E" w:rsidP="00681917">
      <w:pPr>
        <w:pStyle w:val="NormalWeb"/>
        <w:spacing w:before="240" w:beforeAutospacing="0"/>
        <w:jc w:val="both"/>
        <w:rPr>
          <w:spacing w:val="-5"/>
        </w:rPr>
      </w:pPr>
      <w:r w:rsidRPr="00681917">
        <w:rPr>
          <w:spacing w:val="-5"/>
        </w:rPr>
        <w:t>Un indicador de sostenibilidad presentado recientemente y elaborado por el grupo de reflexión FarmEurope indicaba que la soberanía alimentaria de la UE </w:t>
      </w:r>
      <w:r w:rsidRPr="00681917">
        <w:rPr>
          <w:rStyle w:val="Textoennegrita"/>
          <w:rFonts w:eastAsiaTheme="majorEastAsia"/>
          <w:b w:val="0"/>
          <w:spacing w:val="-5"/>
        </w:rPr>
        <w:t>está mejorando tanto en productos de carne como en lácteos</w:t>
      </w:r>
      <w:r w:rsidRPr="00681917">
        <w:rPr>
          <w:spacing w:val="-5"/>
        </w:rPr>
        <w:t>, con un superávit en la producción de cultivos liderado por Francia, así como por los países de Europa central y los bálticos.</w:t>
      </w:r>
    </w:p>
    <w:p w:rsidR="00B20E14" w:rsidRPr="00681917" w:rsidRDefault="00B20E14" w:rsidP="00681917">
      <w:pPr>
        <w:pStyle w:val="NormalWeb"/>
        <w:spacing w:before="240" w:beforeAutospacing="0"/>
        <w:jc w:val="both"/>
        <w:rPr>
          <w:spacing w:val="-5"/>
        </w:rPr>
      </w:pPr>
      <w:r w:rsidRPr="00681917">
        <w:rPr>
          <w:spacing w:val="-5"/>
        </w:rPr>
        <w:t>Sin embargo, la autosuficiencia de la UE en piensos para el ganado parece deteriorarse rápidamente, </w:t>
      </w:r>
      <w:r w:rsidRPr="00681917">
        <w:rPr>
          <w:rStyle w:val="Textoennegrita"/>
          <w:rFonts w:eastAsiaTheme="majorEastAsia"/>
          <w:b w:val="0"/>
          <w:spacing w:val="-5"/>
        </w:rPr>
        <w:t>con graves déficits en la Península Ibérica, Alemania e Italia</w:t>
      </w:r>
      <w:r w:rsidRPr="00681917">
        <w:rPr>
          <w:spacing w:val="-5"/>
        </w:rPr>
        <w:t>.</w:t>
      </w:r>
    </w:p>
    <w:p w:rsidR="00B20E14" w:rsidRPr="00681917" w:rsidRDefault="00B20E14" w:rsidP="00681917">
      <w:pPr>
        <w:pStyle w:val="NormalWeb"/>
        <w:spacing w:before="240"/>
        <w:jc w:val="both"/>
        <w:rPr>
          <w:spacing w:val="-5"/>
        </w:rPr>
      </w:pPr>
      <w:r w:rsidRPr="00681917">
        <w:rPr>
          <w:b/>
          <w:spacing w:val="-5"/>
        </w:rPr>
        <w:t>Agenda 2030: ¿Qué dice sobre el campo?</w:t>
      </w:r>
      <w:r w:rsidRPr="00681917">
        <w:rPr>
          <w:spacing w:val="-5"/>
        </w:rPr>
        <w:t xml:space="preserve"> (Fuente: agronewscomunitatvalenciana.com - 10/2/24)</w:t>
      </w:r>
    </w:p>
    <w:p w:rsidR="00B20E14" w:rsidRPr="00681917" w:rsidRDefault="00B20E14" w:rsidP="00681917">
      <w:pPr>
        <w:pStyle w:val="NormalWeb"/>
        <w:spacing w:before="240"/>
        <w:jc w:val="both"/>
        <w:rPr>
          <w:spacing w:val="-5"/>
        </w:rPr>
      </w:pPr>
      <w:r w:rsidRPr="00681917">
        <w:rPr>
          <w:spacing w:val="-5"/>
        </w:rPr>
        <w:t>"La presente Agenda es un plan de acción en favor de las personas, el planeta y la prosperidad. También tiene por objeto fortalecer la paz universal dentro de un concepto más amplio de la libertad". Estas son las tres primeras líneas del preámbulo del acuerdo alcanzado en la Sede de las Naciones Unidas en Nueva York del 25 al 27 de septiembre de 2015 por 193 países donde se definen la</w:t>
      </w:r>
      <w:r w:rsidR="00681917">
        <w:rPr>
          <w:spacing w:val="-5"/>
        </w:rPr>
        <w:t>s</w:t>
      </w:r>
      <w:r w:rsidRPr="00681917">
        <w:rPr>
          <w:spacing w:val="-5"/>
        </w:rPr>
        <w:t xml:space="preserve"> líneas de actuación de la denominada Agenda 2030.</w:t>
      </w:r>
    </w:p>
    <w:p w:rsidR="00B20E14" w:rsidRPr="00681917" w:rsidRDefault="00B20E14" w:rsidP="00681917">
      <w:pPr>
        <w:pStyle w:val="NormalWeb"/>
        <w:spacing w:before="240" w:beforeAutospacing="0"/>
        <w:jc w:val="both"/>
        <w:rPr>
          <w:spacing w:val="-5"/>
        </w:rPr>
      </w:pPr>
      <w:r w:rsidRPr="00681917">
        <w:rPr>
          <w:spacing w:val="-5"/>
        </w:rPr>
        <w:t>17 objetivos, 169 metas y 750 compromisos asumidos en este caso por España articulan la hoja de ruta marcada con este acuerdo.</w:t>
      </w:r>
    </w:p>
    <w:p w:rsidR="00AB220E" w:rsidRPr="00681917" w:rsidRDefault="006204E9" w:rsidP="00681917">
      <w:pPr>
        <w:pStyle w:val="NormalWeb"/>
        <w:shd w:val="clear" w:color="auto" w:fill="FFFFFF"/>
        <w:spacing w:before="0" w:beforeAutospacing="0" w:after="150" w:afterAutospacing="0"/>
        <w:jc w:val="both"/>
      </w:pPr>
      <w:r>
        <w:t>Se pueden “destacar”</w:t>
      </w:r>
      <w:r w:rsidR="00AB220E" w:rsidRPr="00681917">
        <w:t xml:space="preserve"> algunas de las propuestas vinculadas con el sector agrario.</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2 - Poner fin al hambre, lograr la seguridad alimentaria y la mejora de la nutrición y promover la agricultura sostenible</w:t>
      </w:r>
    </w:p>
    <w:p w:rsidR="00AB220E" w:rsidRPr="00681917" w:rsidRDefault="00AB220E" w:rsidP="00681917">
      <w:pPr>
        <w:pStyle w:val="NormalWeb"/>
        <w:shd w:val="clear" w:color="auto" w:fill="FFFFFF"/>
        <w:spacing w:before="0" w:beforeAutospacing="0" w:after="150" w:afterAutospacing="0"/>
        <w:jc w:val="both"/>
      </w:pPr>
      <w:r w:rsidRPr="00681917">
        <w:t xml:space="preserve">Aquí, destacar como la Agenda </w:t>
      </w:r>
      <w:r w:rsidR="006204E9">
        <w:t>2030 se propone, en esa fecha, “</w:t>
      </w:r>
      <w:r w:rsidRPr="00681917">
        <w:t>dup</w:t>
      </w:r>
      <w:r w:rsidR="006204E9">
        <w:t>licar la productividad agrícola” así como los “</w:t>
      </w:r>
      <w:r w:rsidRPr="00681917">
        <w:t>ingresos de los productore</w:t>
      </w:r>
      <w:r w:rsidR="006204E9">
        <w:t>s de alimentos a pequeña escala”, apoyando “</w:t>
      </w:r>
      <w:r w:rsidRPr="00681917">
        <w:t>a los agri</w:t>
      </w:r>
      <w:r w:rsidR="006204E9">
        <w:t>cultores y ganaderos familiares”</w:t>
      </w:r>
      <w:r w:rsidRPr="00681917">
        <w:t>.</w:t>
      </w:r>
    </w:p>
    <w:p w:rsidR="00AB220E" w:rsidRPr="00681917" w:rsidRDefault="00AB220E" w:rsidP="00681917">
      <w:pPr>
        <w:pStyle w:val="NormalWeb"/>
        <w:shd w:val="clear" w:color="auto" w:fill="FFFFFF"/>
        <w:spacing w:before="0" w:beforeAutospacing="0" w:after="150" w:afterAutospacing="0"/>
        <w:jc w:val="both"/>
      </w:pPr>
      <w:r w:rsidRPr="00681917">
        <w:t>Esto se</w:t>
      </w:r>
      <w:r w:rsidR="006204E9">
        <w:t xml:space="preserve"> lograría mediante un “</w:t>
      </w:r>
      <w:r w:rsidRPr="00681917">
        <w:t>acceso se</w:t>
      </w:r>
      <w:r w:rsidR="006204E9">
        <w:t>guro y equitativo a las tierras”, pero también a los “insumos de producción”</w:t>
      </w:r>
      <w:r w:rsidRPr="00681917">
        <w:t>. </w:t>
      </w:r>
      <w:r w:rsidR="006204E9">
        <w:t xml:space="preserve"> La Agenda 2030 apuesta por la “</w:t>
      </w:r>
      <w:r w:rsidRPr="00681917">
        <w:t xml:space="preserve">sostenibilidad de los sistemas de producción de alimentos, aplicando </w:t>
      </w:r>
      <w:r w:rsidR="006204E9">
        <w:t>prácticas agrícolas resilientes”</w:t>
      </w:r>
      <w:r w:rsidRPr="00681917">
        <w:t>.</w:t>
      </w:r>
    </w:p>
    <w:p w:rsidR="00AB220E" w:rsidRPr="00681917" w:rsidRDefault="00AB220E" w:rsidP="00681917">
      <w:pPr>
        <w:pStyle w:val="NormalWeb"/>
        <w:shd w:val="clear" w:color="auto" w:fill="FFFFFF"/>
        <w:spacing w:before="0" w:beforeAutospacing="0" w:after="150" w:afterAutospacing="0"/>
        <w:jc w:val="both"/>
      </w:pPr>
      <w:r w:rsidRPr="00681917">
        <w:t xml:space="preserve">Además, el </w:t>
      </w:r>
      <w:r w:rsidR="006204E9">
        <w:t>acuerdo pide proteger la “</w:t>
      </w:r>
      <w:r w:rsidRPr="00681917">
        <w:t>dive</w:t>
      </w:r>
      <w:r w:rsidR="006204E9">
        <w:t>rsidad genética de las semillas”</w:t>
      </w:r>
      <w:r w:rsidRPr="00681917">
        <w:t>, así como el aumento de las infraestructuras rurales.</w:t>
      </w:r>
    </w:p>
    <w:p w:rsidR="00AB220E" w:rsidRPr="00681917" w:rsidRDefault="00AB220E" w:rsidP="00681917">
      <w:pPr>
        <w:pStyle w:val="NormalWeb"/>
        <w:shd w:val="clear" w:color="auto" w:fill="FFFFFF"/>
        <w:spacing w:before="0" w:beforeAutospacing="0" w:after="150" w:afterAutospacing="0"/>
        <w:jc w:val="both"/>
      </w:pPr>
      <w:r w:rsidRPr="00681917">
        <w:t>La Agenda 2030 reclama la eliminación de todas las formas de subvención a las exportaciones agrícolas y aquí se podría entender que se ataca de forma directa a las ay</w:t>
      </w:r>
      <w:r w:rsidR="006204E9">
        <w:t>udas de la PAC que ya en algún “panel”</w:t>
      </w:r>
      <w:r w:rsidRPr="00681917">
        <w:t xml:space="preserve"> de la Organización Mundial del Comercio las ha considerado apoyos encubiertos a las ventas en el exterior de la UE.</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lastRenderedPageBreak/>
        <w:t>Agenda 2030: Objetivo 6 - Garantizar la disponibilidad y gestión sostenible del agua y el saneamiento para todos</w:t>
      </w:r>
    </w:p>
    <w:p w:rsidR="00AB220E" w:rsidRPr="00681917" w:rsidRDefault="003A53AF" w:rsidP="00681917">
      <w:pPr>
        <w:pStyle w:val="NormalWeb"/>
        <w:shd w:val="clear" w:color="auto" w:fill="FFFFFF"/>
        <w:spacing w:before="0" w:beforeAutospacing="0" w:after="150" w:afterAutospacing="0"/>
        <w:jc w:val="both"/>
      </w:pPr>
      <w:r>
        <w:t>El</w:t>
      </w:r>
      <w:r w:rsidR="006204E9">
        <w:t xml:space="preserve"> fin aquí es “</w:t>
      </w:r>
      <w:r w:rsidR="00AB220E" w:rsidRPr="00681917">
        <w:t>aumentar considerablemente el uso eficiente de los recursos</w:t>
      </w:r>
      <w:r w:rsidR="006204E9">
        <w:t xml:space="preserve"> hídricos en todos los sectores”</w:t>
      </w:r>
      <w:r w:rsidR="00AB220E" w:rsidRPr="00681917">
        <w:t>.</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 Garantizar el acceso a una energía asequible, fiable y sostenible.</w:t>
      </w:r>
    </w:p>
    <w:p w:rsidR="00AB220E" w:rsidRPr="00681917" w:rsidRDefault="00AB220E" w:rsidP="00681917">
      <w:pPr>
        <w:pStyle w:val="NormalWeb"/>
        <w:shd w:val="clear" w:color="auto" w:fill="FFFFFF"/>
        <w:spacing w:before="0" w:beforeAutospacing="0" w:after="150" w:afterAutospacing="0"/>
        <w:jc w:val="both"/>
      </w:pPr>
      <w:r w:rsidRPr="00681917">
        <w:t>Los firmantes de la Agenda 2030 confían en duplicar, en esa fecha, la tasa mundial de mejora de la eficiencia energética</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- 8 Promover el crecimiento económico sostenido</w:t>
      </w:r>
    </w:p>
    <w:p w:rsidR="00AB220E" w:rsidRPr="00681917" w:rsidRDefault="00AB220E" w:rsidP="00681917">
      <w:pPr>
        <w:pStyle w:val="NormalWeb"/>
        <w:shd w:val="clear" w:color="auto" w:fill="FFFFFF"/>
        <w:spacing w:before="0" w:beforeAutospacing="0" w:after="150" w:afterAutospacing="0"/>
        <w:jc w:val="both"/>
      </w:pPr>
      <w:r w:rsidRPr="00681917">
        <w:t>Re</w:t>
      </w:r>
      <w:r w:rsidR="006204E9">
        <w:t>calca el documento que hay que “</w:t>
      </w:r>
      <w:r w:rsidRPr="00681917">
        <w:t>procurar desvincular el crecimiento económico de la</w:t>
      </w:r>
      <w:r w:rsidR="006204E9">
        <w:t xml:space="preserve"> degradación del medio ambiente”</w:t>
      </w:r>
      <w:r w:rsidRPr="00681917">
        <w:t>.</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10 - Reducir la desigualdad en los países y entre ellos</w:t>
      </w:r>
    </w:p>
    <w:p w:rsidR="00AB220E" w:rsidRPr="00681917" w:rsidRDefault="00AB220E" w:rsidP="00681917">
      <w:pPr>
        <w:pStyle w:val="NormalWeb"/>
        <w:shd w:val="clear" w:color="auto" w:fill="FFFFFF"/>
        <w:spacing w:before="0" w:beforeAutospacing="0" w:after="150" w:afterAutospacing="0"/>
        <w:jc w:val="both"/>
      </w:pPr>
      <w:r w:rsidRPr="00681917">
        <w:t xml:space="preserve">Uno de los aspectos que más se ha destacado en estas protestas agrarias es el tema de las importaciones de países terceros a la UE. En este </w:t>
      </w:r>
      <w:r w:rsidR="006204E9">
        <w:t>Objetivo se pide “</w:t>
      </w:r>
      <w:r w:rsidRPr="00681917">
        <w:t>aplicar el principio de trato especial y diferenciado para los países en desarrollo, en par</w:t>
      </w:r>
      <w:r w:rsidR="006204E9">
        <w:t>ticular a los menos adelantados”</w:t>
      </w:r>
      <w:r w:rsidRPr="00681917">
        <w:t>.</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12 - Garantizar modalidades de consumo y producción sostenibles</w:t>
      </w:r>
    </w:p>
    <w:p w:rsidR="00AB220E" w:rsidRPr="00681917" w:rsidRDefault="00AB220E" w:rsidP="00681917">
      <w:pPr>
        <w:pStyle w:val="NormalWeb"/>
        <w:shd w:val="clear" w:color="auto" w:fill="FFFFFF"/>
        <w:spacing w:before="0" w:beforeAutospacing="0" w:after="150" w:afterAutospacing="0"/>
        <w:jc w:val="both"/>
      </w:pPr>
      <w:r w:rsidRPr="00681917">
        <w:t>Subrayar que se busca reducir, en 2030, a la mitad el desperdicio de alimentos per cápita mundial en las ventas al por menor y a nivel de los consumidores y reducir las pérdidas de alimentos en las cadenas de producción y suministro, incluidas las posteriores a la cosecha.</w:t>
      </w:r>
    </w:p>
    <w:p w:rsidR="00AB220E" w:rsidRPr="00681917" w:rsidRDefault="00AB220E" w:rsidP="00681917">
      <w:pPr>
        <w:pStyle w:val="Ttulo5"/>
        <w:shd w:val="clear" w:color="auto" w:fill="FFFFFF"/>
        <w:spacing w:before="173" w:after="173" w:line="240" w:lineRule="auto"/>
        <w:jc w:val="both"/>
        <w:rPr>
          <w:rFonts w:ascii="Times New Roman" w:hAnsi="Times New Roman" w:cs="Times New Roman"/>
          <w:color w:val="auto"/>
          <w:sz w:val="24"/>
          <w:szCs w:val="24"/>
        </w:rPr>
      </w:pPr>
      <w:r w:rsidRPr="00681917">
        <w:rPr>
          <w:rFonts w:ascii="Times New Roman" w:hAnsi="Times New Roman" w:cs="Times New Roman"/>
          <w:color w:val="auto"/>
          <w:sz w:val="24"/>
          <w:szCs w:val="24"/>
        </w:rPr>
        <w:t>Agenda 2030: Objetivo 15 - Promover el uso sostenible de los ecosistemas terrestres</w:t>
      </w:r>
    </w:p>
    <w:p w:rsidR="00AB220E" w:rsidRPr="00681917" w:rsidRDefault="00AB220E" w:rsidP="00681917">
      <w:pPr>
        <w:pStyle w:val="NormalWeb"/>
        <w:shd w:val="clear" w:color="auto" w:fill="FFFFFF"/>
        <w:spacing w:before="0" w:beforeAutospacing="0" w:after="150" w:afterAutospacing="0"/>
        <w:jc w:val="both"/>
      </w:pPr>
      <w:r w:rsidRPr="00681917">
        <w:t>La Agenda 2030 propone rehabilitar las tierras y los suelos degradados, incluidas las afectadas por la desertificación o la sequía.</w:t>
      </w:r>
    </w:p>
    <w:p w:rsidR="00AB220E" w:rsidRPr="00681917" w:rsidRDefault="00AB220E" w:rsidP="00681917">
      <w:pPr>
        <w:pStyle w:val="NormalWeb"/>
        <w:shd w:val="clear" w:color="auto" w:fill="FFFFFF"/>
        <w:spacing w:after="150"/>
        <w:jc w:val="both"/>
      </w:pPr>
      <w:r w:rsidRPr="00681917">
        <w:rPr>
          <w:b/>
        </w:rPr>
        <w:t xml:space="preserve">¿Qué supone el Pacto Verde Europeo? </w:t>
      </w:r>
      <w:r w:rsidRPr="00681917">
        <w:t xml:space="preserve">(Fuente: BBVA Research) </w:t>
      </w:r>
    </w:p>
    <w:p w:rsidR="00AB220E" w:rsidRPr="00681917" w:rsidRDefault="00AB220E" w:rsidP="00681917">
      <w:pPr>
        <w:pStyle w:val="NormalWeb"/>
        <w:shd w:val="clear" w:color="auto" w:fill="FFFFFF"/>
        <w:spacing w:before="0" w:beforeAutospacing="0" w:after="150" w:afterAutospacing="0"/>
        <w:jc w:val="both"/>
      </w:pPr>
      <w:r w:rsidRPr="00681917">
        <w:t>La necesidad de crear un entorno global habitable que respete y preserve la biodiversidad está impulsando iniciativas como el Pacto Verde Europeo, con una vocación integradora bajo el paraguas de un desarrollo sostenible e inclusivo. El objetivo de este acuerdo es poner en marcha una serie de medidas que permitan abordar los desafíos relacionados con el clima y el medioambiente.</w:t>
      </w:r>
    </w:p>
    <w:p w:rsidR="00AB220E" w:rsidRPr="00681917" w:rsidRDefault="00AB220E" w:rsidP="00681917">
      <w:pPr>
        <w:pStyle w:val="NormalWeb"/>
        <w:shd w:val="clear" w:color="auto" w:fill="FFFFFF"/>
        <w:spacing w:before="0" w:beforeAutospacing="0" w:after="150" w:afterAutospacing="0"/>
        <w:jc w:val="both"/>
      </w:pPr>
      <w:r w:rsidRPr="00681917">
        <w:t>El </w:t>
      </w:r>
      <w:hyperlink r:id="rId122" w:tgtFrame="_blank" w:history="1">
        <w:r w:rsidRPr="00681917">
          <w:rPr>
            <w:rStyle w:val="Textoennegrita"/>
          </w:rPr>
          <w:t>Pacto Verde Europeo,</w:t>
        </w:r>
      </w:hyperlink>
      <w:r w:rsidRPr="00681917">
        <w:t> presentado el 11 de diciembre de 2019 por la Comisión Europea, recoge medidas de control de polución, políticas sociales y acciones contra el </w:t>
      </w:r>
      <w:hyperlink r:id="rId123" w:history="1">
        <w:r w:rsidRPr="00681917">
          <w:rPr>
            <w:rStyle w:val="Textoennegrita"/>
          </w:rPr>
          <w:t>cambio climático</w:t>
        </w:r>
      </w:hyperlink>
      <w:r w:rsidRPr="00681917">
        <w:t>, </w:t>
      </w:r>
      <w:r w:rsidRPr="00681917">
        <w:rPr>
          <w:rStyle w:val="Textoennegrita"/>
        </w:rPr>
        <w:t>leyes de </w:t>
      </w:r>
      <w:hyperlink r:id="rId124" w:history="1">
        <w:r w:rsidRPr="00681917">
          <w:rPr>
            <w:rStyle w:val="Hipervnculo"/>
            <w:bCs/>
            <w:color w:val="auto"/>
            <w:u w:val="none"/>
          </w:rPr>
          <w:t>sostenibilidad</w:t>
        </w:r>
      </w:hyperlink>
      <w:r w:rsidRPr="00681917">
        <w:t>, reducción de las emisiones de gas, eficiencia energética, economía circular y economía verde. Además, se incluyen acciones destinadas al crecimiento estratégico de la Unión Europea en base al desarrollo de distintas políticas medioambientales.</w:t>
      </w:r>
    </w:p>
    <w:p w:rsidR="00AB220E" w:rsidRPr="00681917" w:rsidRDefault="00AB220E" w:rsidP="00681917">
      <w:pPr>
        <w:pStyle w:val="NormalWeb"/>
        <w:shd w:val="clear" w:color="auto" w:fill="FFFFFF"/>
        <w:spacing w:before="0" w:beforeAutospacing="0" w:after="0" w:afterAutospacing="0"/>
        <w:jc w:val="both"/>
      </w:pPr>
      <w:r w:rsidRPr="00681917">
        <w:t>Tal como recoge el comunicado de la Comisión, este pacto pretende también, </w:t>
      </w:r>
      <w:r w:rsidRPr="00681917">
        <w:rPr>
          <w:rStyle w:val="Textoennegrita"/>
        </w:rPr>
        <w:t>preservar, mantener y mejorar el capital natural de la UE, así como proteger la salud y el bienestar de los ciudadanos frente a los riesgos y efectos medioambientales.</w:t>
      </w:r>
      <w:r w:rsidRPr="00681917">
        <w:t> Pero va más allá, porque hace hincapié en que esta transición debe ser justa e integradora, otorgando prioridad a la dimensión humana.</w:t>
      </w:r>
    </w:p>
    <w:p w:rsidR="00AB220E" w:rsidRPr="00681917" w:rsidRDefault="00AB220E" w:rsidP="00681917">
      <w:pPr>
        <w:pStyle w:val="NormalWeb"/>
        <w:shd w:val="clear" w:color="auto" w:fill="FFFFFF"/>
        <w:spacing w:before="0" w:beforeAutospacing="0" w:after="150" w:afterAutospacing="0"/>
        <w:jc w:val="both"/>
      </w:pPr>
    </w:p>
    <w:p w:rsidR="00AB220E" w:rsidRPr="00681917" w:rsidRDefault="00AB220E" w:rsidP="00681917">
      <w:pPr>
        <w:pStyle w:val="NormalWeb"/>
        <w:shd w:val="clear" w:color="auto" w:fill="FFFFFF"/>
        <w:spacing w:before="0" w:beforeAutospacing="0" w:after="150" w:afterAutospacing="0"/>
        <w:jc w:val="both"/>
      </w:pPr>
      <w:r w:rsidRPr="00681917">
        <w:t>Estos son los distintos </w:t>
      </w:r>
      <w:r w:rsidRPr="00681917">
        <w:rPr>
          <w:rStyle w:val="Textoennegrita"/>
        </w:rPr>
        <w:t>elementos que conforman el Pacto Verde Europeo</w:t>
      </w:r>
      <w:r w:rsidRPr="00681917">
        <w:t>:</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lastRenderedPageBreak/>
        <w:t>Un mayor nivel de ambición climática de la UE para 2030 y 2050.</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Lograr una contaminación cero en un entorno sin sustancias tóxicas.</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Suministro de </w:t>
      </w:r>
      <w:hyperlink r:id="rId125" w:history="1">
        <w:r w:rsidRPr="00681917">
          <w:rPr>
            <w:rStyle w:val="Hipervnculo"/>
            <w:rFonts w:ascii="Times New Roman" w:hAnsi="Times New Roman" w:cs="Times New Roman"/>
            <w:color w:val="auto"/>
            <w:sz w:val="24"/>
            <w:szCs w:val="24"/>
            <w:u w:val="none"/>
          </w:rPr>
          <w:t>energía</w:t>
        </w:r>
      </w:hyperlink>
      <w:r w:rsidRPr="00681917">
        <w:rPr>
          <w:rFonts w:ascii="Times New Roman" w:hAnsi="Times New Roman" w:cs="Times New Roman"/>
          <w:sz w:val="24"/>
          <w:szCs w:val="24"/>
        </w:rPr>
        <w:t> limpia, asequible y segura.</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Preservación y restablecimiento de los ecosistemas y la biodiversidad.</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Movilización de la industria en pro de una </w:t>
      </w:r>
      <w:hyperlink r:id="rId126" w:history="1">
        <w:r w:rsidRPr="00681917">
          <w:rPr>
            <w:rStyle w:val="Hipervnculo"/>
            <w:rFonts w:ascii="Times New Roman" w:hAnsi="Times New Roman" w:cs="Times New Roman"/>
            <w:color w:val="auto"/>
            <w:sz w:val="24"/>
            <w:szCs w:val="24"/>
            <w:u w:val="none"/>
          </w:rPr>
          <w:t>economía limpia y sostenible</w:t>
        </w:r>
      </w:hyperlink>
      <w:r w:rsidRPr="00681917">
        <w:rPr>
          <w:rFonts w:ascii="Times New Roman" w:hAnsi="Times New Roman" w:cs="Times New Roman"/>
          <w:sz w:val="24"/>
          <w:szCs w:val="24"/>
        </w:rPr>
        <w:t>.</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Logro de un sistema alimentario justo, saludable y respetuoso con el medioambiente.</w:t>
      </w:r>
    </w:p>
    <w:p w:rsidR="00AB220E" w:rsidRPr="00681917" w:rsidRDefault="00AB220E" w:rsidP="00681917">
      <w:pPr>
        <w:numPr>
          <w:ilvl w:val="0"/>
          <w:numId w:val="37"/>
        </w:numPr>
        <w:shd w:val="clear" w:color="auto" w:fill="FFFFFF"/>
        <w:spacing w:before="210" w:after="100" w:afterAutospacing="1"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Uso eficiente de la energía y los recursos en la construcción y renovación.</w:t>
      </w:r>
    </w:p>
    <w:p w:rsidR="00AB220E" w:rsidRPr="00681917" w:rsidRDefault="00AB220E" w:rsidP="00681917">
      <w:pPr>
        <w:numPr>
          <w:ilvl w:val="0"/>
          <w:numId w:val="37"/>
        </w:numPr>
        <w:shd w:val="clear" w:color="auto" w:fill="FFFFFF"/>
        <w:spacing w:before="210" w:after="0" w:line="240" w:lineRule="auto"/>
        <w:ind w:left="0"/>
        <w:jc w:val="both"/>
        <w:rPr>
          <w:rFonts w:ascii="Times New Roman" w:hAnsi="Times New Roman" w:cs="Times New Roman"/>
          <w:sz w:val="24"/>
          <w:szCs w:val="24"/>
        </w:rPr>
      </w:pPr>
      <w:r w:rsidRPr="00681917">
        <w:rPr>
          <w:rFonts w:ascii="Times New Roman" w:hAnsi="Times New Roman" w:cs="Times New Roman"/>
          <w:sz w:val="24"/>
          <w:szCs w:val="24"/>
        </w:rPr>
        <w:t>Aceleración de la transición a una </w:t>
      </w:r>
      <w:hyperlink r:id="rId127" w:history="1">
        <w:r w:rsidRPr="00681917">
          <w:rPr>
            <w:rStyle w:val="Hipervnculo"/>
            <w:rFonts w:ascii="Times New Roman" w:hAnsi="Times New Roman" w:cs="Times New Roman"/>
            <w:color w:val="auto"/>
            <w:sz w:val="24"/>
            <w:szCs w:val="24"/>
            <w:u w:val="none"/>
          </w:rPr>
          <w:t>movilidad sostenible</w:t>
        </w:r>
      </w:hyperlink>
      <w:r w:rsidRPr="00681917">
        <w:rPr>
          <w:rFonts w:ascii="Times New Roman" w:hAnsi="Times New Roman" w:cs="Times New Roman"/>
          <w:sz w:val="24"/>
          <w:szCs w:val="24"/>
        </w:rPr>
        <w:t> e inteligente.</w:t>
      </w:r>
    </w:p>
    <w:p w:rsidR="00AB220E" w:rsidRPr="00681917" w:rsidRDefault="00AB220E" w:rsidP="00681917">
      <w:pPr>
        <w:spacing w:line="240" w:lineRule="auto"/>
        <w:jc w:val="both"/>
        <w:rPr>
          <w:rFonts w:ascii="Times New Roman" w:hAnsi="Times New Roman" w:cs="Times New Roman"/>
          <w:sz w:val="24"/>
          <w:szCs w:val="24"/>
        </w:rPr>
      </w:pPr>
    </w:p>
    <w:p w:rsidR="00AB220E" w:rsidRPr="00345D74" w:rsidRDefault="00AB220E" w:rsidP="00AB220E">
      <w:pPr>
        <w:pStyle w:val="NormalWeb"/>
        <w:shd w:val="clear" w:color="auto" w:fill="FFFFFF"/>
        <w:spacing w:before="0" w:beforeAutospacing="0" w:after="225" w:afterAutospacing="0"/>
        <w:jc w:val="both"/>
      </w:pPr>
      <w:r w:rsidRPr="00345D74">
        <w:rPr>
          <w:b/>
        </w:rPr>
        <w:t>Nota</w:t>
      </w:r>
      <w:r w:rsidRPr="00345D74">
        <w:t>: En realidad, el Pacto Verde es el modo como la UE ha plasmado algunos de los objetivos de la Agenda 2030 y no sólo los relativos a la producción agraria. (Fuente: agronegocios.es - 1/4/24)</w:t>
      </w:r>
    </w:p>
    <w:p w:rsidR="00AB220E" w:rsidRPr="00345D74" w:rsidRDefault="00AB220E" w:rsidP="00AB220E">
      <w:pPr>
        <w:pStyle w:val="NormalWeb"/>
        <w:shd w:val="clear" w:color="auto" w:fill="FFFFFF"/>
        <w:spacing w:before="0" w:beforeAutospacing="0" w:after="225" w:afterAutospacing="0"/>
        <w:jc w:val="both"/>
      </w:pPr>
      <w:r w:rsidRPr="00345D74">
        <w:t>La estrategia “De la granja a la mesa” afecta directamente a la agricultura en tanto plantea la reducción del consumo de fertilizantes y pesticidas y el aumento de la producción ecológica. Por su parte, la estrategia “</w:t>
      </w:r>
      <w:hyperlink w:history="1">
        <w:r w:rsidRPr="00345D74">
          <w:rPr>
            <w:rStyle w:val="Hipervnculo"/>
            <w:color w:val="auto"/>
          </w:rPr>
          <w:t>Biodiversidad</w:t>
        </w:r>
      </w:hyperlink>
      <w:r w:rsidRPr="00345D74">
        <w:t>” impulsa iniciativas que tienen efectos indirectos sobre la actividad agraria, como la del reglamento de restauración de la naturaleza, recientemente aprobado por el Parlamento europeo. Pero ambas estrategias aún no están aplicándose, sino que son unos futuribles que determinados grupos de agricultores perciben como amenazas anticipándose a sus posibles efectos.</w:t>
      </w:r>
    </w:p>
    <w:p w:rsidR="00AB220E" w:rsidRPr="00345D74" w:rsidRDefault="00AB220E" w:rsidP="00AB220E">
      <w:pPr>
        <w:pStyle w:val="NormalWeb"/>
        <w:shd w:val="clear" w:color="auto" w:fill="FFFFFF"/>
        <w:spacing w:before="0" w:beforeAutospacing="0" w:after="225" w:afterAutospacing="0"/>
        <w:jc w:val="both"/>
      </w:pPr>
      <w:r w:rsidRPr="00345D74">
        <w:t>Lo único real y tangible, a día de hoy, son las medidas de la </w:t>
      </w:r>
      <w:hyperlink w:history="1">
        <w:r w:rsidRPr="00345D74">
          <w:rPr>
            <w:rStyle w:val="Hipervnculo"/>
            <w:color w:val="auto"/>
          </w:rPr>
          <w:t>PAC</w:t>
        </w:r>
      </w:hyperlink>
      <w:r w:rsidRPr="00345D74">
        <w:t> 2023-2027, como las condicionalidades ambientales para el cobro de las ayudas directas, el programa de los ecorregímenes o la inclusión del cuaderno digital de explotación. Pero esas medidas se incluyeron en la PAC antes de que se aprobara el Pacto Verde Europeo y, por tanto, no tienen nada que ver ni con éste ni con la Agenda 2030.</w:t>
      </w:r>
    </w:p>
    <w:p w:rsidR="00AB220E" w:rsidRPr="00345D74" w:rsidRDefault="00AB220E" w:rsidP="00AB220E">
      <w:pPr>
        <w:pStyle w:val="NormalWeb"/>
        <w:shd w:val="clear" w:color="auto" w:fill="FFFFFF"/>
        <w:spacing w:before="0" w:beforeAutospacing="0" w:after="225" w:afterAutospacing="0"/>
        <w:jc w:val="both"/>
      </w:pPr>
      <w:r w:rsidRPr="00345D74">
        <w:t>Otra cosa distinta son los posibles efectos que pudiera tener la filosofía de esos dos documentos en las próximas reformas de la PAC. Y en esto sí tiene sentido la reivindicación del sector agrario de que los objetivos de la transición ecológica, implícitos en el Pacto Verde, se logren de forma gradual, con plazos realistas y con opciones alternativas para que los agricultores puedan adaptarse a una transición que muy pocos discuten.</w:t>
      </w:r>
    </w:p>
    <w:p w:rsidR="007525AE" w:rsidRPr="007525AE" w:rsidRDefault="007525AE" w:rsidP="007525AE">
      <w:pPr>
        <w:pStyle w:val="NormalWeb"/>
        <w:shd w:val="clear" w:color="auto" w:fill="FFFFFF"/>
        <w:spacing w:before="0" w:beforeAutospacing="0" w:after="225" w:afterAutospacing="0"/>
        <w:jc w:val="both"/>
        <w:rPr>
          <w:b/>
        </w:rPr>
      </w:pPr>
      <w:r w:rsidRPr="007525AE">
        <w:rPr>
          <w:b/>
        </w:rPr>
        <w:t>Informe sobre el impacto del Pacto Verde Europeo desde un enfoque de sistema alimentario global</w:t>
      </w:r>
      <w:r>
        <w:t xml:space="preserve"> (Fuente: </w:t>
      </w:r>
      <w:r w:rsidRPr="00EE78A7">
        <w:t>Informe Triptolemos</w:t>
      </w:r>
      <w:r>
        <w:t xml:space="preserve"> - 2021)</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Fundación Triptolemos es una entidad privada que promueve el desarrollo del Sistema Alimentario Global Sostenible y contribuye con sus acciones a la optimización del sistema alimentario, a alcanzar una alimentación adecuada para toda la población, a mejorar la confianza del ciudadano y a la dignificación del sector. Sus actividades están </w:t>
      </w:r>
      <w:r w:rsidR="006204E9">
        <w:rPr>
          <w:rFonts w:ascii="Times New Roman" w:hAnsi="Times New Roman" w:cs="Times New Roman"/>
          <w:sz w:val="24"/>
          <w:szCs w:val="24"/>
        </w:rPr>
        <w:t xml:space="preserve">avaladas por la Cátedra UNESCO </w:t>
      </w:r>
      <w:r w:rsidR="006204E9" w:rsidRPr="006204E9">
        <w:rPr>
          <w:rFonts w:ascii="Times New Roman" w:hAnsi="Times New Roman" w:cs="Times New Roman"/>
          <w:b/>
          <w:sz w:val="24"/>
          <w:szCs w:val="24"/>
        </w:rPr>
        <w:t>“</w:t>
      </w:r>
      <w:r w:rsidRPr="006204E9">
        <w:rPr>
          <w:rFonts w:ascii="Times New Roman" w:hAnsi="Times New Roman" w:cs="Times New Roman"/>
          <w:b/>
          <w:sz w:val="24"/>
          <w:szCs w:val="24"/>
        </w:rPr>
        <w:t>Science and Innovation for Sustainable Development: Gl</w:t>
      </w:r>
      <w:r w:rsidR="006204E9" w:rsidRPr="006204E9">
        <w:rPr>
          <w:rFonts w:ascii="Times New Roman" w:hAnsi="Times New Roman" w:cs="Times New Roman"/>
          <w:b/>
          <w:sz w:val="24"/>
          <w:szCs w:val="24"/>
        </w:rPr>
        <w:t>obal Food Production and Safety”</w:t>
      </w:r>
      <w:r w:rsidRPr="006204E9">
        <w:rPr>
          <w:rFonts w:ascii="Times New Roman" w:hAnsi="Times New Roman" w:cs="Times New Roman"/>
          <w:b/>
          <w:sz w:val="24"/>
          <w:szCs w:val="24"/>
        </w:rPr>
        <w:t>.</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R</w:t>
      </w:r>
      <w:r>
        <w:rPr>
          <w:rFonts w:ascii="Times New Roman" w:hAnsi="Times New Roman" w:cs="Times New Roman"/>
          <w:sz w:val="24"/>
          <w:szCs w:val="24"/>
        </w:rPr>
        <w:t>esumen ejecutivo</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lastRenderedPageBreak/>
        <w:t>La Comisión Europea presentó, en diciembre de 2019, la Co</w:t>
      </w:r>
      <w:r>
        <w:rPr>
          <w:rFonts w:ascii="Times New Roman" w:hAnsi="Times New Roman" w:cs="Times New Roman"/>
          <w:sz w:val="24"/>
          <w:szCs w:val="24"/>
        </w:rPr>
        <w:t xml:space="preserve">municación sobre el Pacto Verde </w:t>
      </w:r>
      <w:r w:rsidRPr="00EE78A7">
        <w:rPr>
          <w:rFonts w:ascii="Times New Roman" w:hAnsi="Times New Roman" w:cs="Times New Roman"/>
          <w:sz w:val="24"/>
          <w:szCs w:val="24"/>
        </w:rPr>
        <w:t>(Green Deal), en el que se proponía un ambicioso conjunto de líneas de acción que d</w:t>
      </w:r>
      <w:r>
        <w:rPr>
          <w:rFonts w:ascii="Times New Roman" w:hAnsi="Times New Roman" w:cs="Times New Roman"/>
          <w:sz w:val="24"/>
          <w:szCs w:val="24"/>
        </w:rPr>
        <w:t xml:space="preserve">eberían </w:t>
      </w:r>
      <w:r w:rsidRPr="00EE78A7">
        <w:rPr>
          <w:rFonts w:ascii="Times New Roman" w:hAnsi="Times New Roman" w:cs="Times New Roman"/>
          <w:sz w:val="24"/>
          <w:szCs w:val="24"/>
        </w:rPr>
        <w:t>convertir a la UE en una zona climáticamente neutra en el 2050.</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El Pacto Verde Europeo afecta a la producción alimentar</w:t>
      </w:r>
      <w:r>
        <w:rPr>
          <w:rFonts w:ascii="Times New Roman" w:hAnsi="Times New Roman" w:cs="Times New Roman"/>
          <w:sz w:val="24"/>
          <w:szCs w:val="24"/>
        </w:rPr>
        <w:t xml:space="preserve">ia a través, sobre todo, de las </w:t>
      </w:r>
      <w:r w:rsidRPr="00EE78A7">
        <w:rPr>
          <w:rFonts w:ascii="Times New Roman" w:hAnsi="Times New Roman" w:cs="Times New Roman"/>
          <w:sz w:val="24"/>
          <w:szCs w:val="24"/>
        </w:rPr>
        <w:t xml:space="preserve">estrategias “De la granja a la mesa” (Farm to Fork - F2F), </w:t>
      </w:r>
      <w:r>
        <w:rPr>
          <w:rFonts w:ascii="Times New Roman" w:hAnsi="Times New Roman" w:cs="Times New Roman"/>
          <w:sz w:val="24"/>
          <w:szCs w:val="24"/>
        </w:rPr>
        <w:t xml:space="preserve">(European Commission 2020) y la </w:t>
      </w:r>
      <w:r w:rsidRPr="00EE78A7">
        <w:rPr>
          <w:rFonts w:ascii="Times New Roman" w:hAnsi="Times New Roman" w:cs="Times New Roman"/>
          <w:sz w:val="24"/>
          <w:szCs w:val="24"/>
        </w:rPr>
        <w:t>estrategia sobre la Biodiversidad. Ambas están estrecha</w:t>
      </w:r>
      <w:r>
        <w:rPr>
          <w:rFonts w:ascii="Times New Roman" w:hAnsi="Times New Roman" w:cs="Times New Roman"/>
          <w:sz w:val="24"/>
          <w:szCs w:val="24"/>
        </w:rPr>
        <w:t xml:space="preserve">mente relacionadas, dado que la </w:t>
      </w:r>
      <w:r w:rsidRPr="00EE78A7">
        <w:rPr>
          <w:rFonts w:ascii="Times New Roman" w:hAnsi="Times New Roman" w:cs="Times New Roman"/>
          <w:sz w:val="24"/>
          <w:szCs w:val="24"/>
        </w:rPr>
        <w:t>actividad agroforestal o la actividad bioeconómica se desa</w:t>
      </w:r>
      <w:r>
        <w:rPr>
          <w:rFonts w:ascii="Times New Roman" w:hAnsi="Times New Roman" w:cs="Times New Roman"/>
          <w:sz w:val="24"/>
          <w:szCs w:val="24"/>
        </w:rPr>
        <w:t xml:space="preserve">rrollan necesariamente ocupando </w:t>
      </w:r>
      <w:r w:rsidRPr="00EE78A7">
        <w:rPr>
          <w:rFonts w:ascii="Times New Roman" w:hAnsi="Times New Roman" w:cs="Times New Roman"/>
          <w:sz w:val="24"/>
          <w:szCs w:val="24"/>
        </w:rPr>
        <w:t>el espacio natural.</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Hay que resaltar que en principio resulta insólito, que la Comisi</w:t>
      </w:r>
      <w:r>
        <w:rPr>
          <w:rFonts w:ascii="Times New Roman" w:hAnsi="Times New Roman" w:cs="Times New Roman"/>
          <w:sz w:val="24"/>
          <w:szCs w:val="24"/>
        </w:rPr>
        <w:t xml:space="preserve">ón haya escogido tratar un </w:t>
      </w:r>
      <w:r w:rsidRPr="00EE78A7">
        <w:rPr>
          <w:rFonts w:ascii="Times New Roman" w:hAnsi="Times New Roman" w:cs="Times New Roman"/>
          <w:sz w:val="24"/>
          <w:szCs w:val="24"/>
        </w:rPr>
        <w:t>tema tan importante mediante este tipo de documentos inform</w:t>
      </w:r>
      <w:r>
        <w:rPr>
          <w:rFonts w:ascii="Times New Roman" w:hAnsi="Times New Roman" w:cs="Times New Roman"/>
          <w:sz w:val="24"/>
          <w:szCs w:val="24"/>
        </w:rPr>
        <w:t xml:space="preserve">ativos, por lo que las acciones </w:t>
      </w:r>
      <w:r w:rsidRPr="00EE78A7">
        <w:rPr>
          <w:rFonts w:ascii="Times New Roman" w:hAnsi="Times New Roman" w:cs="Times New Roman"/>
          <w:sz w:val="24"/>
          <w:szCs w:val="24"/>
        </w:rPr>
        <w:t>proyectadas se formulan con la ambigüedad y generalidad inherentes a una Comunicación.</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Sin embargo, los efectos de su futura aplicación pueden ser d</w:t>
      </w:r>
      <w:r>
        <w:rPr>
          <w:rFonts w:ascii="Times New Roman" w:hAnsi="Times New Roman" w:cs="Times New Roman"/>
          <w:sz w:val="24"/>
          <w:szCs w:val="24"/>
        </w:rPr>
        <w:t xml:space="preserve">e gran trascendencia para todos </w:t>
      </w:r>
      <w:r w:rsidRPr="00EE78A7">
        <w:rPr>
          <w:rFonts w:ascii="Times New Roman" w:hAnsi="Times New Roman" w:cs="Times New Roman"/>
          <w:sz w:val="24"/>
          <w:szCs w:val="24"/>
        </w:rPr>
        <w:t>los eslabones de la cadena alimentaria.</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El presente informe analiza el impacto del Green Deal desd</w:t>
      </w:r>
      <w:r>
        <w:rPr>
          <w:rFonts w:ascii="Times New Roman" w:hAnsi="Times New Roman" w:cs="Times New Roman"/>
          <w:sz w:val="24"/>
          <w:szCs w:val="24"/>
        </w:rPr>
        <w:t xml:space="preserve">e un enfoque del funcionamiento </w:t>
      </w:r>
      <w:r w:rsidRPr="00EE78A7">
        <w:rPr>
          <w:rFonts w:ascii="Times New Roman" w:hAnsi="Times New Roman" w:cs="Times New Roman"/>
          <w:sz w:val="24"/>
          <w:szCs w:val="24"/>
        </w:rPr>
        <w:t>del sistema alimentario global sostenible. Considera no solo aspectos medioambiental</w:t>
      </w:r>
      <w:r>
        <w:rPr>
          <w:rFonts w:ascii="Times New Roman" w:hAnsi="Times New Roman" w:cs="Times New Roman"/>
          <w:sz w:val="24"/>
          <w:szCs w:val="24"/>
        </w:rPr>
        <w:t xml:space="preserve">es o </w:t>
      </w:r>
      <w:r w:rsidRPr="00EE78A7">
        <w:rPr>
          <w:rFonts w:ascii="Times New Roman" w:hAnsi="Times New Roman" w:cs="Times New Roman"/>
          <w:sz w:val="24"/>
          <w:szCs w:val="24"/>
        </w:rPr>
        <w:t>económicos, sino también culturales, nutricionales, legislativos</w:t>
      </w:r>
      <w:r>
        <w:rPr>
          <w:rFonts w:ascii="Times New Roman" w:hAnsi="Times New Roman" w:cs="Times New Roman"/>
          <w:sz w:val="24"/>
          <w:szCs w:val="24"/>
        </w:rPr>
        <w:t xml:space="preserve">, etc., y lo hace de la mano de </w:t>
      </w:r>
      <w:r w:rsidRPr="00EE78A7">
        <w:rPr>
          <w:rFonts w:ascii="Times New Roman" w:hAnsi="Times New Roman" w:cs="Times New Roman"/>
          <w:sz w:val="24"/>
          <w:szCs w:val="24"/>
        </w:rPr>
        <w:t>30 investigadores de diferentes disciplinas.</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Según la descripción que se hizo en la COP 21 de París (201</w:t>
      </w:r>
      <w:r>
        <w:rPr>
          <w:rFonts w:ascii="Times New Roman" w:hAnsi="Times New Roman" w:cs="Times New Roman"/>
          <w:sz w:val="24"/>
          <w:szCs w:val="24"/>
        </w:rPr>
        <w:t xml:space="preserve">5), corroborada en la COP 22 de </w:t>
      </w:r>
      <w:r w:rsidRPr="00EE78A7">
        <w:rPr>
          <w:rFonts w:ascii="Times New Roman" w:hAnsi="Times New Roman" w:cs="Times New Roman"/>
          <w:sz w:val="24"/>
          <w:szCs w:val="24"/>
        </w:rPr>
        <w:t>Marraquech (2016), y en la COP26 de Glasgow (2021), el s</w:t>
      </w:r>
      <w:r>
        <w:rPr>
          <w:rFonts w:ascii="Times New Roman" w:hAnsi="Times New Roman" w:cs="Times New Roman"/>
          <w:sz w:val="24"/>
          <w:szCs w:val="24"/>
        </w:rPr>
        <w:t xml:space="preserve">ector agropecuario es causa del </w:t>
      </w:r>
      <w:r w:rsidRPr="00EE78A7">
        <w:rPr>
          <w:rFonts w:ascii="Times New Roman" w:hAnsi="Times New Roman" w:cs="Times New Roman"/>
          <w:sz w:val="24"/>
          <w:szCs w:val="24"/>
        </w:rPr>
        <w:t>cambio climático, pero también lo padece y puede contrib</w:t>
      </w:r>
      <w:r>
        <w:rPr>
          <w:rFonts w:ascii="Times New Roman" w:hAnsi="Times New Roman" w:cs="Times New Roman"/>
          <w:sz w:val="24"/>
          <w:szCs w:val="24"/>
        </w:rPr>
        <w:t xml:space="preserve">uir de forma significativa a su </w:t>
      </w:r>
      <w:r w:rsidRPr="00EE78A7">
        <w:rPr>
          <w:rFonts w:ascii="Times New Roman" w:hAnsi="Times New Roman" w:cs="Times New Roman"/>
          <w:sz w:val="24"/>
          <w:szCs w:val="24"/>
        </w:rPr>
        <w:t>reducción. El papel de la agricultura y la ganadería es cla</w:t>
      </w:r>
      <w:r>
        <w:rPr>
          <w:rFonts w:ascii="Times New Roman" w:hAnsi="Times New Roman" w:cs="Times New Roman"/>
          <w:sz w:val="24"/>
          <w:szCs w:val="24"/>
        </w:rPr>
        <w:t xml:space="preserve">ve, tanto para la producción de </w:t>
      </w:r>
      <w:r w:rsidRPr="00EE78A7">
        <w:rPr>
          <w:rFonts w:ascii="Times New Roman" w:hAnsi="Times New Roman" w:cs="Times New Roman"/>
          <w:sz w:val="24"/>
          <w:szCs w:val="24"/>
        </w:rPr>
        <w:t>alimentos, como para mitigar el impacto del cambio climático.</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 xml:space="preserve">En principio, los objetivos del Pacto Verde son pertinentes </w:t>
      </w:r>
      <w:r>
        <w:rPr>
          <w:rFonts w:ascii="Times New Roman" w:hAnsi="Times New Roman" w:cs="Times New Roman"/>
          <w:sz w:val="24"/>
          <w:szCs w:val="24"/>
        </w:rPr>
        <w:t xml:space="preserve">frente a los actuales retos del </w:t>
      </w:r>
      <w:r w:rsidRPr="00EE78A7">
        <w:rPr>
          <w:rFonts w:ascii="Times New Roman" w:hAnsi="Times New Roman" w:cs="Times New Roman"/>
          <w:sz w:val="24"/>
          <w:szCs w:val="24"/>
        </w:rPr>
        <w:t>cambio climático, aumento de población, escasez d</w:t>
      </w:r>
      <w:r>
        <w:rPr>
          <w:rFonts w:ascii="Times New Roman" w:hAnsi="Times New Roman" w:cs="Times New Roman"/>
          <w:sz w:val="24"/>
          <w:szCs w:val="24"/>
        </w:rPr>
        <w:t xml:space="preserve">e recursos..., pero los riesgos </w:t>
      </w:r>
      <w:r w:rsidRPr="00EE78A7">
        <w:rPr>
          <w:rFonts w:ascii="Times New Roman" w:hAnsi="Times New Roman" w:cs="Times New Roman"/>
          <w:sz w:val="24"/>
          <w:szCs w:val="24"/>
        </w:rPr>
        <w:t>socioeconómicos de una aplicación incondicionada de las</w:t>
      </w:r>
      <w:r>
        <w:rPr>
          <w:rFonts w:ascii="Times New Roman" w:hAnsi="Times New Roman" w:cs="Times New Roman"/>
          <w:sz w:val="24"/>
          <w:szCs w:val="24"/>
        </w:rPr>
        <w:t xml:space="preserve"> medidas anunciadas, en algunos </w:t>
      </w:r>
      <w:r w:rsidRPr="00EE78A7">
        <w:rPr>
          <w:rFonts w:ascii="Times New Roman" w:hAnsi="Times New Roman" w:cs="Times New Roman"/>
          <w:sz w:val="24"/>
          <w:szCs w:val="24"/>
        </w:rPr>
        <w:t xml:space="preserve">casos apenas esbozadas, no son desdeñables ni anodinas. Por </w:t>
      </w:r>
      <w:r>
        <w:rPr>
          <w:rFonts w:ascii="Times New Roman" w:hAnsi="Times New Roman" w:cs="Times New Roman"/>
          <w:sz w:val="24"/>
          <w:szCs w:val="24"/>
        </w:rPr>
        <w:t xml:space="preserve">ello, se impone una sistemática </w:t>
      </w:r>
      <w:r w:rsidRPr="00EE78A7">
        <w:rPr>
          <w:rFonts w:ascii="Times New Roman" w:hAnsi="Times New Roman" w:cs="Times New Roman"/>
          <w:sz w:val="24"/>
          <w:szCs w:val="24"/>
        </w:rPr>
        <w:t>evaluación previa (y también a posteriori) de dichos riesgo</w:t>
      </w:r>
      <w:r>
        <w:rPr>
          <w:rFonts w:ascii="Times New Roman" w:hAnsi="Times New Roman" w:cs="Times New Roman"/>
          <w:sz w:val="24"/>
          <w:szCs w:val="24"/>
        </w:rPr>
        <w:t xml:space="preserve">s y del impacto en los sectores </w:t>
      </w:r>
      <w:r w:rsidRPr="00EE78A7">
        <w:rPr>
          <w:rFonts w:ascii="Times New Roman" w:hAnsi="Times New Roman" w:cs="Times New Roman"/>
          <w:sz w:val="24"/>
          <w:szCs w:val="24"/>
        </w:rPr>
        <w:t xml:space="preserve">económicos y los propios consumidores, especialmente en el caso de los más vulnerables. </w:t>
      </w:r>
      <w:r>
        <w:rPr>
          <w:rFonts w:ascii="Times New Roman" w:hAnsi="Times New Roman" w:cs="Times New Roman"/>
          <w:sz w:val="24"/>
          <w:szCs w:val="24"/>
        </w:rPr>
        <w:t xml:space="preserve">Una </w:t>
      </w:r>
      <w:r w:rsidRPr="00EE78A7">
        <w:rPr>
          <w:rFonts w:ascii="Times New Roman" w:hAnsi="Times New Roman" w:cs="Times New Roman"/>
          <w:sz w:val="24"/>
          <w:szCs w:val="24"/>
        </w:rPr>
        <w:t>complicación y una contraproducente dificultad que posiblemente habrían podido evitarse.</w:t>
      </w:r>
    </w:p>
    <w:p w:rsidR="007525AE" w:rsidRPr="00EE78A7" w:rsidRDefault="005D36A3" w:rsidP="007525AE">
      <w:pPr>
        <w:spacing w:line="240" w:lineRule="auto"/>
        <w:jc w:val="both"/>
        <w:rPr>
          <w:rFonts w:ascii="Times New Roman" w:hAnsi="Times New Roman" w:cs="Times New Roman"/>
          <w:sz w:val="24"/>
          <w:szCs w:val="24"/>
        </w:rPr>
      </w:pPr>
      <w:r>
        <w:rPr>
          <w:rFonts w:ascii="Times New Roman" w:hAnsi="Times New Roman" w:cs="Times New Roman"/>
          <w:sz w:val="24"/>
          <w:szCs w:val="24"/>
        </w:rPr>
        <w:t>En la primera parte</w:t>
      </w:r>
      <w:r w:rsidR="007525AE" w:rsidRPr="00EE78A7">
        <w:rPr>
          <w:rFonts w:ascii="Times New Roman" w:hAnsi="Times New Roman" w:cs="Times New Roman"/>
          <w:sz w:val="24"/>
          <w:szCs w:val="24"/>
        </w:rPr>
        <w:t xml:space="preserve"> del presente informe se plantea la compleja pregunta ¿Es aut</w:t>
      </w:r>
      <w:r w:rsidR="007525AE">
        <w:rPr>
          <w:rFonts w:ascii="Times New Roman" w:hAnsi="Times New Roman" w:cs="Times New Roman"/>
          <w:sz w:val="24"/>
          <w:szCs w:val="24"/>
        </w:rPr>
        <w:t xml:space="preserve">osuficiente </w:t>
      </w:r>
      <w:r w:rsidR="007525AE" w:rsidRPr="00EE78A7">
        <w:rPr>
          <w:rFonts w:ascii="Times New Roman" w:hAnsi="Times New Roman" w:cs="Times New Roman"/>
          <w:sz w:val="24"/>
          <w:szCs w:val="24"/>
        </w:rPr>
        <w:t>la UE desde una perspectiva alimentaria? Responder a est</w:t>
      </w:r>
      <w:r w:rsidR="007525AE">
        <w:rPr>
          <w:rFonts w:ascii="Times New Roman" w:hAnsi="Times New Roman" w:cs="Times New Roman"/>
          <w:sz w:val="24"/>
          <w:szCs w:val="24"/>
        </w:rPr>
        <w:t xml:space="preserve">a pregunta no ha sido fácil, ha </w:t>
      </w:r>
      <w:r w:rsidR="007525AE" w:rsidRPr="00EE78A7">
        <w:rPr>
          <w:rFonts w:ascii="Times New Roman" w:hAnsi="Times New Roman" w:cs="Times New Roman"/>
          <w:sz w:val="24"/>
          <w:szCs w:val="24"/>
        </w:rPr>
        <w:t xml:space="preserve">requerido analizar el balance entre la energía alimentaria </w:t>
      </w:r>
      <w:r w:rsidR="007525AE">
        <w:rPr>
          <w:rFonts w:ascii="Times New Roman" w:hAnsi="Times New Roman" w:cs="Times New Roman"/>
          <w:sz w:val="24"/>
          <w:szCs w:val="24"/>
        </w:rPr>
        <w:t xml:space="preserve">producida en la UE y la energía </w:t>
      </w:r>
      <w:r w:rsidR="007525AE" w:rsidRPr="00EE78A7">
        <w:rPr>
          <w:rFonts w:ascii="Times New Roman" w:hAnsi="Times New Roman" w:cs="Times New Roman"/>
          <w:sz w:val="24"/>
          <w:szCs w:val="24"/>
        </w:rPr>
        <w:t>necesaria para satisfacer la demanda de la población. Los resulta</w:t>
      </w:r>
      <w:r w:rsidR="007525AE">
        <w:rPr>
          <w:rFonts w:ascii="Times New Roman" w:hAnsi="Times New Roman" w:cs="Times New Roman"/>
          <w:sz w:val="24"/>
          <w:szCs w:val="24"/>
        </w:rPr>
        <w:t xml:space="preserve">dos obtenidos indican que el </w:t>
      </w:r>
      <w:r w:rsidR="007525AE" w:rsidRPr="00EE78A7">
        <w:rPr>
          <w:rFonts w:ascii="Times New Roman" w:hAnsi="Times New Roman" w:cs="Times New Roman"/>
          <w:sz w:val="24"/>
          <w:szCs w:val="24"/>
        </w:rPr>
        <w:t>grado de autosuficiencia energética alimentaria de UE 27 pa</w:t>
      </w:r>
      <w:r w:rsidR="007525AE">
        <w:rPr>
          <w:rFonts w:ascii="Times New Roman" w:hAnsi="Times New Roman" w:cs="Times New Roman"/>
          <w:sz w:val="24"/>
          <w:szCs w:val="24"/>
        </w:rPr>
        <w:t xml:space="preserve">ra el período considerado es de </w:t>
      </w:r>
      <w:r w:rsidR="007525AE" w:rsidRPr="00EE78A7">
        <w:rPr>
          <w:rFonts w:ascii="Times New Roman" w:hAnsi="Times New Roman" w:cs="Times New Roman"/>
          <w:sz w:val="24"/>
          <w:szCs w:val="24"/>
        </w:rPr>
        <w:t xml:space="preserve">un 105%, en la forma de consumo actual. Resultado que roza el </w:t>
      </w:r>
      <w:r w:rsidR="007525AE">
        <w:rPr>
          <w:rFonts w:ascii="Times New Roman" w:hAnsi="Times New Roman" w:cs="Times New Roman"/>
          <w:sz w:val="24"/>
          <w:szCs w:val="24"/>
        </w:rPr>
        <w:t xml:space="preserve">punto de equilibrio. Ello tiene </w:t>
      </w:r>
      <w:r w:rsidR="007525AE" w:rsidRPr="00EE78A7">
        <w:rPr>
          <w:rFonts w:ascii="Times New Roman" w:hAnsi="Times New Roman" w:cs="Times New Roman"/>
          <w:sz w:val="24"/>
          <w:szCs w:val="24"/>
        </w:rPr>
        <w:t>implicaciones en la estrategia Green Deal que, tal vez, p</w:t>
      </w:r>
      <w:r w:rsidR="007525AE">
        <w:rPr>
          <w:rFonts w:ascii="Times New Roman" w:hAnsi="Times New Roman" w:cs="Times New Roman"/>
          <w:sz w:val="24"/>
          <w:szCs w:val="24"/>
        </w:rPr>
        <w:t xml:space="preserve">odría derivar en una producción </w:t>
      </w:r>
      <w:r w:rsidR="007525AE" w:rsidRPr="00EE78A7">
        <w:rPr>
          <w:rFonts w:ascii="Times New Roman" w:hAnsi="Times New Roman" w:cs="Times New Roman"/>
          <w:sz w:val="24"/>
          <w:szCs w:val="24"/>
        </w:rPr>
        <w:t>agraria que convierta el reducido superávit actual de autosuf</w:t>
      </w:r>
      <w:r w:rsidR="007525AE">
        <w:rPr>
          <w:rFonts w:ascii="Times New Roman" w:hAnsi="Times New Roman" w:cs="Times New Roman"/>
          <w:sz w:val="24"/>
          <w:szCs w:val="24"/>
        </w:rPr>
        <w:t xml:space="preserve">iciencia energética alimentaria </w:t>
      </w:r>
      <w:r w:rsidR="007525AE" w:rsidRPr="00EE78A7">
        <w:rPr>
          <w:rFonts w:ascii="Times New Roman" w:hAnsi="Times New Roman" w:cs="Times New Roman"/>
          <w:sz w:val="24"/>
          <w:szCs w:val="24"/>
        </w:rPr>
        <w:t>en la UE, en un déficit que podría por tanto, aumentar la nec</w:t>
      </w:r>
      <w:r w:rsidR="007525AE">
        <w:rPr>
          <w:rFonts w:ascii="Times New Roman" w:hAnsi="Times New Roman" w:cs="Times New Roman"/>
          <w:sz w:val="24"/>
          <w:szCs w:val="24"/>
        </w:rPr>
        <w:t xml:space="preserve">esidad de importar alimentos de </w:t>
      </w:r>
      <w:r w:rsidR="007525AE" w:rsidRPr="00EE78A7">
        <w:rPr>
          <w:rFonts w:ascii="Times New Roman" w:hAnsi="Times New Roman" w:cs="Times New Roman"/>
          <w:sz w:val="24"/>
          <w:szCs w:val="24"/>
        </w:rPr>
        <w:t>terceros países, que podrían o no guiarse por los mismos princ</w:t>
      </w:r>
      <w:r w:rsidR="007525AE">
        <w:rPr>
          <w:rFonts w:ascii="Times New Roman" w:hAnsi="Times New Roman" w:cs="Times New Roman"/>
          <w:sz w:val="24"/>
          <w:szCs w:val="24"/>
        </w:rPr>
        <w:t xml:space="preserve">ipios que determina la UE en su </w:t>
      </w:r>
      <w:r w:rsidR="007525AE" w:rsidRPr="00EE78A7">
        <w:rPr>
          <w:rFonts w:ascii="Times New Roman" w:hAnsi="Times New Roman" w:cs="Times New Roman"/>
          <w:sz w:val="24"/>
          <w:szCs w:val="24"/>
        </w:rPr>
        <w:t>Pacto Verde, es decir, que “las nuevas políticas sos</w:t>
      </w:r>
      <w:r w:rsidR="007525AE">
        <w:rPr>
          <w:rFonts w:ascii="Times New Roman" w:hAnsi="Times New Roman" w:cs="Times New Roman"/>
          <w:sz w:val="24"/>
          <w:szCs w:val="24"/>
        </w:rPr>
        <w:t xml:space="preserve">tenibles comporten el riesgo de </w:t>
      </w:r>
      <w:r w:rsidR="007525AE" w:rsidRPr="00EE78A7">
        <w:rPr>
          <w:rFonts w:ascii="Times New Roman" w:hAnsi="Times New Roman" w:cs="Times New Roman"/>
          <w:sz w:val="24"/>
          <w:szCs w:val="24"/>
        </w:rPr>
        <w:t>importaciones insostenibles”, y por otro lado, se podrían incl</w:t>
      </w:r>
      <w:r w:rsidR="007525AE">
        <w:rPr>
          <w:rFonts w:ascii="Times New Roman" w:hAnsi="Times New Roman" w:cs="Times New Roman"/>
          <w:sz w:val="24"/>
          <w:szCs w:val="24"/>
        </w:rPr>
        <w:t xml:space="preserve">uso llegar a cuestionar algunas </w:t>
      </w:r>
      <w:r w:rsidR="007525AE" w:rsidRPr="00EE78A7">
        <w:rPr>
          <w:rFonts w:ascii="Times New Roman" w:hAnsi="Times New Roman" w:cs="Times New Roman"/>
          <w:sz w:val="24"/>
          <w:szCs w:val="24"/>
        </w:rPr>
        <w:t>exportaciones.</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lastRenderedPageBreak/>
        <w:t>El Pacto Verde corre el riesgo de acabar siendo más un ca</w:t>
      </w:r>
      <w:r>
        <w:rPr>
          <w:rFonts w:ascii="Times New Roman" w:hAnsi="Times New Roman" w:cs="Times New Roman"/>
          <w:sz w:val="24"/>
          <w:szCs w:val="24"/>
        </w:rPr>
        <w:t xml:space="preserve">mbio de formas que de fondo del </w:t>
      </w:r>
      <w:r w:rsidRPr="00EE78A7">
        <w:rPr>
          <w:rFonts w:ascii="Times New Roman" w:hAnsi="Times New Roman" w:cs="Times New Roman"/>
          <w:sz w:val="24"/>
          <w:szCs w:val="24"/>
        </w:rPr>
        <w:t>sector agroalimentario europeo, si solo se plantea un cambio</w:t>
      </w:r>
      <w:r>
        <w:rPr>
          <w:rFonts w:ascii="Times New Roman" w:hAnsi="Times New Roman" w:cs="Times New Roman"/>
          <w:sz w:val="24"/>
          <w:szCs w:val="24"/>
        </w:rPr>
        <w:t xml:space="preserve"> de sistema productivo, sin que </w:t>
      </w:r>
      <w:r w:rsidRPr="00EE78A7">
        <w:rPr>
          <w:rFonts w:ascii="Times New Roman" w:hAnsi="Times New Roman" w:cs="Times New Roman"/>
          <w:sz w:val="24"/>
          <w:szCs w:val="24"/>
        </w:rPr>
        <w:t>se lleven a cabo valoraciones respecto de lo que est</w:t>
      </w:r>
      <w:r>
        <w:rPr>
          <w:rFonts w:ascii="Times New Roman" w:hAnsi="Times New Roman" w:cs="Times New Roman"/>
          <w:sz w:val="24"/>
          <w:szCs w:val="24"/>
        </w:rPr>
        <w:t xml:space="preserve">e puede representar en aspectos </w:t>
      </w:r>
      <w:r w:rsidRPr="00EE78A7">
        <w:rPr>
          <w:rFonts w:ascii="Times New Roman" w:hAnsi="Times New Roman" w:cs="Times New Roman"/>
          <w:sz w:val="24"/>
          <w:szCs w:val="24"/>
        </w:rPr>
        <w:t>cuantitativos y cualitativos y, por ende, en los agricultores y sectores asociados, más teniendo</w:t>
      </w:r>
      <w:r>
        <w:rPr>
          <w:rFonts w:ascii="Times New Roman" w:hAnsi="Times New Roman" w:cs="Times New Roman"/>
          <w:sz w:val="24"/>
          <w:szCs w:val="24"/>
        </w:rPr>
        <w:t xml:space="preserve"> </w:t>
      </w:r>
      <w:r w:rsidRPr="00EE78A7">
        <w:rPr>
          <w:rFonts w:ascii="Times New Roman" w:hAnsi="Times New Roman" w:cs="Times New Roman"/>
          <w:sz w:val="24"/>
          <w:szCs w:val="24"/>
        </w:rPr>
        <w:t>en cuenta la enorme diferencia edafoclimática y cultural de los diferentes países y regiones</w:t>
      </w:r>
      <w:r>
        <w:rPr>
          <w:rFonts w:ascii="Times New Roman" w:hAnsi="Times New Roman" w:cs="Times New Roman"/>
          <w:sz w:val="24"/>
          <w:szCs w:val="24"/>
        </w:rPr>
        <w:t xml:space="preserve"> </w:t>
      </w:r>
      <w:r w:rsidRPr="00EE78A7">
        <w:rPr>
          <w:rFonts w:ascii="Times New Roman" w:hAnsi="Times New Roman" w:cs="Times New Roman"/>
          <w:sz w:val="24"/>
          <w:szCs w:val="24"/>
        </w:rPr>
        <w:t>de la UE. Europa aspira a convertirse en líder mundial en so</w:t>
      </w:r>
      <w:r>
        <w:rPr>
          <w:rFonts w:ascii="Times New Roman" w:hAnsi="Times New Roman" w:cs="Times New Roman"/>
          <w:sz w:val="24"/>
          <w:szCs w:val="24"/>
        </w:rPr>
        <w:t xml:space="preserve">stenibilidad y competitividad y </w:t>
      </w:r>
      <w:r w:rsidRPr="00EE78A7">
        <w:rPr>
          <w:rFonts w:ascii="Times New Roman" w:hAnsi="Times New Roman" w:cs="Times New Roman"/>
          <w:sz w:val="24"/>
          <w:szCs w:val="24"/>
        </w:rPr>
        <w:t xml:space="preserve">para conseguirlo, el sector agroalimentario deberá jugar un </w:t>
      </w:r>
      <w:r>
        <w:rPr>
          <w:rFonts w:ascii="Times New Roman" w:hAnsi="Times New Roman" w:cs="Times New Roman"/>
          <w:sz w:val="24"/>
          <w:szCs w:val="24"/>
        </w:rPr>
        <w:t xml:space="preserve">papel crucial, pero la Comisión </w:t>
      </w:r>
      <w:r w:rsidRPr="00EE78A7">
        <w:rPr>
          <w:rFonts w:ascii="Times New Roman" w:hAnsi="Times New Roman" w:cs="Times New Roman"/>
          <w:sz w:val="24"/>
          <w:szCs w:val="24"/>
        </w:rPr>
        <w:t>Europea parece excesivamente optimista en sus plante</w:t>
      </w:r>
      <w:r w:rsidR="005D36A3">
        <w:rPr>
          <w:rFonts w:ascii="Times New Roman" w:hAnsi="Times New Roman" w:cs="Times New Roman"/>
          <w:sz w:val="24"/>
          <w:szCs w:val="24"/>
        </w:rPr>
        <w:t xml:space="preserve">amientos… </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Es por ello por lo que se considera más necesario que n</w:t>
      </w:r>
      <w:r>
        <w:rPr>
          <w:rFonts w:ascii="Times New Roman" w:hAnsi="Times New Roman" w:cs="Times New Roman"/>
          <w:sz w:val="24"/>
          <w:szCs w:val="24"/>
        </w:rPr>
        <w:t xml:space="preserve">unca mantener e incrementar los </w:t>
      </w:r>
      <w:r w:rsidRPr="00EE78A7">
        <w:rPr>
          <w:rFonts w:ascii="Times New Roman" w:hAnsi="Times New Roman" w:cs="Times New Roman"/>
          <w:sz w:val="24"/>
          <w:szCs w:val="24"/>
        </w:rPr>
        <w:t>esfuerzos en investigación, innovación y transferencia de tecnología para</w:t>
      </w:r>
      <w:r>
        <w:rPr>
          <w:rFonts w:ascii="Times New Roman" w:hAnsi="Times New Roman" w:cs="Times New Roman"/>
          <w:sz w:val="24"/>
          <w:szCs w:val="24"/>
        </w:rPr>
        <w:t xml:space="preserve"> generar nuevo </w:t>
      </w:r>
      <w:r w:rsidRPr="00EE78A7">
        <w:rPr>
          <w:rFonts w:ascii="Times New Roman" w:hAnsi="Times New Roman" w:cs="Times New Roman"/>
          <w:sz w:val="24"/>
          <w:szCs w:val="24"/>
        </w:rPr>
        <w:t>conocimiento básico sobre la fisiología de plantas y animale</w:t>
      </w:r>
      <w:r>
        <w:rPr>
          <w:rFonts w:ascii="Times New Roman" w:hAnsi="Times New Roman" w:cs="Times New Roman"/>
          <w:sz w:val="24"/>
          <w:szCs w:val="24"/>
        </w:rPr>
        <w:t xml:space="preserve">s, con el fin último de generar </w:t>
      </w:r>
      <w:r w:rsidRPr="00EE78A7">
        <w:rPr>
          <w:rFonts w:ascii="Times New Roman" w:hAnsi="Times New Roman" w:cs="Times New Roman"/>
          <w:sz w:val="24"/>
          <w:szCs w:val="24"/>
        </w:rPr>
        <w:t>nuevas herramientas agronómicas, biotecnológicas, ag</w:t>
      </w:r>
      <w:r>
        <w:rPr>
          <w:rFonts w:ascii="Times New Roman" w:hAnsi="Times New Roman" w:cs="Times New Roman"/>
          <w:sz w:val="24"/>
          <w:szCs w:val="24"/>
        </w:rPr>
        <w:t xml:space="preserve">roecológicas, de producción, de </w:t>
      </w:r>
      <w:r w:rsidRPr="00EE78A7">
        <w:rPr>
          <w:rFonts w:ascii="Times New Roman" w:hAnsi="Times New Roman" w:cs="Times New Roman"/>
          <w:sz w:val="24"/>
          <w:szCs w:val="24"/>
        </w:rPr>
        <w:t xml:space="preserve">procesado y conservación que permitan mejorar la productividad y </w:t>
      </w:r>
      <w:r>
        <w:rPr>
          <w:rFonts w:ascii="Times New Roman" w:hAnsi="Times New Roman" w:cs="Times New Roman"/>
          <w:sz w:val="24"/>
          <w:szCs w:val="24"/>
        </w:rPr>
        <w:t xml:space="preserve">resiliencia de nuestros </w:t>
      </w:r>
      <w:r w:rsidR="005D36A3">
        <w:rPr>
          <w:rFonts w:ascii="Times New Roman" w:hAnsi="Times New Roman" w:cs="Times New Roman"/>
          <w:sz w:val="24"/>
          <w:szCs w:val="24"/>
        </w:rPr>
        <w:t>sistemas alimentarios..</w:t>
      </w:r>
      <w:r w:rsidRPr="00EE78A7">
        <w:rPr>
          <w:rFonts w:ascii="Times New Roman" w:hAnsi="Times New Roman" w:cs="Times New Roman"/>
          <w:sz w:val="24"/>
          <w:szCs w:val="24"/>
        </w:rPr>
        <w:t>.</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La UE es un actor global en materia de seguridad alimen</w:t>
      </w:r>
      <w:r>
        <w:rPr>
          <w:rFonts w:ascii="Times New Roman" w:hAnsi="Times New Roman" w:cs="Times New Roman"/>
          <w:sz w:val="24"/>
          <w:szCs w:val="24"/>
        </w:rPr>
        <w:t xml:space="preserve">taria, y sus decisiones afectan </w:t>
      </w:r>
      <w:r w:rsidRPr="00EE78A7">
        <w:rPr>
          <w:rFonts w:ascii="Times New Roman" w:hAnsi="Times New Roman" w:cs="Times New Roman"/>
          <w:sz w:val="24"/>
          <w:szCs w:val="24"/>
        </w:rPr>
        <w:t>sustancialmente al comercio mundial de alimentos y a las políticas alimentarias del rest</w:t>
      </w:r>
      <w:r>
        <w:rPr>
          <w:rFonts w:ascii="Times New Roman" w:hAnsi="Times New Roman" w:cs="Times New Roman"/>
          <w:sz w:val="24"/>
          <w:szCs w:val="24"/>
        </w:rPr>
        <w:t xml:space="preserve">o de </w:t>
      </w:r>
      <w:r w:rsidRPr="00EE78A7">
        <w:rPr>
          <w:rFonts w:ascii="Times New Roman" w:hAnsi="Times New Roman" w:cs="Times New Roman"/>
          <w:sz w:val="24"/>
          <w:szCs w:val="24"/>
        </w:rPr>
        <w:t xml:space="preserve">los Estados. Dentro de dichas iniciativas destacan la reforma </w:t>
      </w:r>
      <w:r>
        <w:rPr>
          <w:rFonts w:ascii="Times New Roman" w:hAnsi="Times New Roman" w:cs="Times New Roman"/>
          <w:sz w:val="24"/>
          <w:szCs w:val="24"/>
        </w:rPr>
        <w:t xml:space="preserve">de la PAC, que está previsto se </w:t>
      </w:r>
      <w:r w:rsidRPr="00EE78A7">
        <w:rPr>
          <w:rFonts w:ascii="Times New Roman" w:hAnsi="Times New Roman" w:cs="Times New Roman"/>
          <w:sz w:val="24"/>
          <w:szCs w:val="24"/>
        </w:rPr>
        <w:t>aplique a partir de enero de 2023, y la Estrategia Farm to For</w:t>
      </w:r>
      <w:r>
        <w:rPr>
          <w:rFonts w:ascii="Times New Roman" w:hAnsi="Times New Roman" w:cs="Times New Roman"/>
          <w:sz w:val="24"/>
          <w:szCs w:val="24"/>
        </w:rPr>
        <w:t xml:space="preserve">k. La primera, plantea un nuevo </w:t>
      </w:r>
      <w:r w:rsidRPr="00EE78A7">
        <w:rPr>
          <w:rFonts w:ascii="Times New Roman" w:hAnsi="Times New Roman" w:cs="Times New Roman"/>
          <w:sz w:val="24"/>
          <w:szCs w:val="24"/>
        </w:rPr>
        <w:t>instrumento, los eco-esquemas para remunerar a los agricultores</w:t>
      </w:r>
      <w:r>
        <w:rPr>
          <w:rFonts w:ascii="Times New Roman" w:hAnsi="Times New Roman" w:cs="Times New Roman"/>
          <w:sz w:val="24"/>
          <w:szCs w:val="24"/>
        </w:rPr>
        <w:t xml:space="preserve"> por la provisión efectiva, no </w:t>
      </w:r>
      <w:r w:rsidRPr="00EE78A7">
        <w:rPr>
          <w:rFonts w:ascii="Times New Roman" w:hAnsi="Times New Roman" w:cs="Times New Roman"/>
          <w:sz w:val="24"/>
          <w:szCs w:val="24"/>
        </w:rPr>
        <w:t>abstracta e imaginaria, de servicios ambientales. La segunda, p</w:t>
      </w:r>
      <w:r>
        <w:rPr>
          <w:rFonts w:ascii="Times New Roman" w:hAnsi="Times New Roman" w:cs="Times New Roman"/>
          <w:sz w:val="24"/>
          <w:szCs w:val="24"/>
        </w:rPr>
        <w:t xml:space="preserve">lantea unas metas cuantitativas </w:t>
      </w:r>
      <w:r w:rsidRPr="00EE78A7">
        <w:rPr>
          <w:rFonts w:ascii="Times New Roman" w:hAnsi="Times New Roman" w:cs="Times New Roman"/>
          <w:sz w:val="24"/>
          <w:szCs w:val="24"/>
        </w:rPr>
        <w:t xml:space="preserve">de reducción de los impactos de los fitosanitarios y de su riesgo </w:t>
      </w:r>
      <w:r>
        <w:rPr>
          <w:rFonts w:ascii="Times New Roman" w:hAnsi="Times New Roman" w:cs="Times New Roman"/>
          <w:sz w:val="24"/>
          <w:szCs w:val="24"/>
        </w:rPr>
        <w:t xml:space="preserve">global y aumentar la superficie </w:t>
      </w:r>
      <w:r w:rsidRPr="00EE78A7">
        <w:rPr>
          <w:rFonts w:ascii="Times New Roman" w:hAnsi="Times New Roman" w:cs="Times New Roman"/>
          <w:sz w:val="24"/>
          <w:szCs w:val="24"/>
        </w:rPr>
        <w:t>dedicada a la agricultura ecológica en la UE para 2030. El ob</w:t>
      </w:r>
      <w:r>
        <w:rPr>
          <w:rFonts w:ascii="Times New Roman" w:hAnsi="Times New Roman" w:cs="Times New Roman"/>
          <w:sz w:val="24"/>
          <w:szCs w:val="24"/>
        </w:rPr>
        <w:t xml:space="preserve">jetivo es realmente ambicioso y </w:t>
      </w:r>
      <w:r w:rsidRPr="00EE78A7">
        <w:rPr>
          <w:rFonts w:ascii="Times New Roman" w:hAnsi="Times New Roman" w:cs="Times New Roman"/>
          <w:sz w:val="24"/>
          <w:szCs w:val="24"/>
        </w:rPr>
        <w:t>necesita de apoyos muy importantes y múltiples herrami</w:t>
      </w:r>
      <w:r>
        <w:rPr>
          <w:rFonts w:ascii="Times New Roman" w:hAnsi="Times New Roman" w:cs="Times New Roman"/>
          <w:sz w:val="24"/>
          <w:szCs w:val="24"/>
        </w:rPr>
        <w:t xml:space="preserve">entas, que hacen dudar a muchos </w:t>
      </w:r>
      <w:r w:rsidRPr="00EE78A7">
        <w:rPr>
          <w:rFonts w:ascii="Times New Roman" w:hAnsi="Times New Roman" w:cs="Times New Roman"/>
          <w:sz w:val="24"/>
          <w:szCs w:val="24"/>
        </w:rPr>
        <w:t>sec</w:t>
      </w:r>
      <w:r w:rsidR="005D36A3">
        <w:rPr>
          <w:rFonts w:ascii="Times New Roman" w:hAnsi="Times New Roman" w:cs="Times New Roman"/>
          <w:sz w:val="24"/>
          <w:szCs w:val="24"/>
        </w:rPr>
        <w:t>tores de su viabilidad..</w:t>
      </w:r>
      <w:r w:rsidRPr="00EE78A7">
        <w:rPr>
          <w:rFonts w:ascii="Times New Roman" w:hAnsi="Times New Roman" w:cs="Times New Roman"/>
          <w:sz w:val="24"/>
          <w:szCs w:val="24"/>
        </w:rPr>
        <w:t>.</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Habrá, además, que tener en cuenta los sistemas de gober</w:t>
      </w:r>
      <w:r>
        <w:rPr>
          <w:rFonts w:ascii="Times New Roman" w:hAnsi="Times New Roman" w:cs="Times New Roman"/>
          <w:sz w:val="24"/>
          <w:szCs w:val="24"/>
        </w:rPr>
        <w:t xml:space="preserve">nanza, que deberán facilitar la </w:t>
      </w:r>
      <w:r w:rsidRPr="00EE78A7">
        <w:rPr>
          <w:rFonts w:ascii="Times New Roman" w:hAnsi="Times New Roman" w:cs="Times New Roman"/>
          <w:sz w:val="24"/>
          <w:szCs w:val="24"/>
        </w:rPr>
        <w:t xml:space="preserve">puesta en marcha de las nuevas estrategias propuestas, para </w:t>
      </w:r>
      <w:r>
        <w:rPr>
          <w:rFonts w:ascii="Times New Roman" w:hAnsi="Times New Roman" w:cs="Times New Roman"/>
          <w:sz w:val="24"/>
          <w:szCs w:val="24"/>
        </w:rPr>
        <w:t xml:space="preserve">que haya una transferencia real </w:t>
      </w:r>
      <w:r w:rsidRPr="00EE78A7">
        <w:rPr>
          <w:rFonts w:ascii="Times New Roman" w:hAnsi="Times New Roman" w:cs="Times New Roman"/>
          <w:sz w:val="24"/>
          <w:szCs w:val="24"/>
        </w:rPr>
        <w:t>y efectiva de las nuevas prácticas hacia los agricultores, ganad</w:t>
      </w:r>
      <w:r>
        <w:rPr>
          <w:rFonts w:ascii="Times New Roman" w:hAnsi="Times New Roman" w:cs="Times New Roman"/>
          <w:sz w:val="24"/>
          <w:szCs w:val="24"/>
        </w:rPr>
        <w:t xml:space="preserve">eros y pescadores europeos, así </w:t>
      </w:r>
      <w:r w:rsidRPr="00EE78A7">
        <w:rPr>
          <w:rFonts w:ascii="Times New Roman" w:hAnsi="Times New Roman" w:cs="Times New Roman"/>
          <w:sz w:val="24"/>
          <w:szCs w:val="24"/>
        </w:rPr>
        <w:t>como una incidencia en las diferentes formas de p</w:t>
      </w:r>
      <w:r>
        <w:rPr>
          <w:rFonts w:ascii="Times New Roman" w:hAnsi="Times New Roman" w:cs="Times New Roman"/>
          <w:sz w:val="24"/>
          <w:szCs w:val="24"/>
        </w:rPr>
        <w:t xml:space="preserve">rocesado, consumo y desperdicio </w:t>
      </w:r>
      <w:r w:rsidRPr="00EE78A7">
        <w:rPr>
          <w:rFonts w:ascii="Times New Roman" w:hAnsi="Times New Roman" w:cs="Times New Roman"/>
          <w:sz w:val="24"/>
          <w:szCs w:val="24"/>
        </w:rPr>
        <w:t>alimentario. La formación y la adecuada comunicación son imprescindibles.</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La Estrategia F2F tiene una perspectiva de cadena alimenta</w:t>
      </w:r>
      <w:r>
        <w:rPr>
          <w:rFonts w:ascii="Times New Roman" w:hAnsi="Times New Roman" w:cs="Times New Roman"/>
          <w:sz w:val="24"/>
          <w:szCs w:val="24"/>
        </w:rPr>
        <w:t xml:space="preserve">ria. No solo establece metas de </w:t>
      </w:r>
      <w:r w:rsidRPr="00EE78A7">
        <w:rPr>
          <w:rFonts w:ascii="Times New Roman" w:hAnsi="Times New Roman" w:cs="Times New Roman"/>
          <w:sz w:val="24"/>
          <w:szCs w:val="24"/>
        </w:rPr>
        <w:t>reducción de fertilizantes, de pesticidas y de antibiótic</w:t>
      </w:r>
      <w:r>
        <w:rPr>
          <w:rFonts w:ascii="Times New Roman" w:hAnsi="Times New Roman" w:cs="Times New Roman"/>
          <w:sz w:val="24"/>
          <w:szCs w:val="24"/>
        </w:rPr>
        <w:t xml:space="preserve">os y de aumento de producciones </w:t>
      </w:r>
      <w:r w:rsidRPr="00EE78A7">
        <w:rPr>
          <w:rFonts w:ascii="Times New Roman" w:hAnsi="Times New Roman" w:cs="Times New Roman"/>
          <w:sz w:val="24"/>
          <w:szCs w:val="24"/>
        </w:rPr>
        <w:t>ecológicas, sino que también se adentra en la promoci</w:t>
      </w:r>
      <w:r>
        <w:rPr>
          <w:rFonts w:ascii="Times New Roman" w:hAnsi="Times New Roman" w:cs="Times New Roman"/>
          <w:sz w:val="24"/>
          <w:szCs w:val="24"/>
        </w:rPr>
        <w:t xml:space="preserve">ón de dietas más saludables, de </w:t>
      </w:r>
      <w:r w:rsidRPr="00EE78A7">
        <w:rPr>
          <w:rFonts w:ascii="Times New Roman" w:hAnsi="Times New Roman" w:cs="Times New Roman"/>
          <w:sz w:val="24"/>
          <w:szCs w:val="24"/>
        </w:rPr>
        <w:t>reducción de las pérdidas y desperdicios, en la aplicació</w:t>
      </w:r>
      <w:r>
        <w:rPr>
          <w:rFonts w:ascii="Times New Roman" w:hAnsi="Times New Roman" w:cs="Times New Roman"/>
          <w:sz w:val="24"/>
          <w:szCs w:val="24"/>
        </w:rPr>
        <w:t xml:space="preserve">n de los principios de economía </w:t>
      </w:r>
      <w:r w:rsidRPr="00EE78A7">
        <w:rPr>
          <w:rFonts w:ascii="Times New Roman" w:hAnsi="Times New Roman" w:cs="Times New Roman"/>
          <w:sz w:val="24"/>
          <w:szCs w:val="24"/>
        </w:rPr>
        <w:t>circular y de bioeconomía y en la transferencia de conocimien</w:t>
      </w:r>
      <w:r>
        <w:rPr>
          <w:rFonts w:ascii="Times New Roman" w:hAnsi="Times New Roman" w:cs="Times New Roman"/>
          <w:sz w:val="24"/>
          <w:szCs w:val="24"/>
        </w:rPr>
        <w:t xml:space="preserve">to. En este sentido, trasciende </w:t>
      </w:r>
      <w:r w:rsidRPr="00EE78A7">
        <w:rPr>
          <w:rFonts w:ascii="Times New Roman" w:hAnsi="Times New Roman" w:cs="Times New Roman"/>
          <w:sz w:val="24"/>
          <w:szCs w:val="24"/>
        </w:rPr>
        <w:t>al ámbito tradicional de implementación de la PAC, centrad</w:t>
      </w:r>
      <w:r>
        <w:rPr>
          <w:rFonts w:ascii="Times New Roman" w:hAnsi="Times New Roman" w:cs="Times New Roman"/>
          <w:sz w:val="24"/>
          <w:szCs w:val="24"/>
        </w:rPr>
        <w:t xml:space="preserve">o más en el sector primario que </w:t>
      </w:r>
      <w:r w:rsidRPr="00EE78A7">
        <w:rPr>
          <w:rFonts w:ascii="Times New Roman" w:hAnsi="Times New Roman" w:cs="Times New Roman"/>
          <w:sz w:val="24"/>
          <w:szCs w:val="24"/>
        </w:rPr>
        <w:t>en un enfoque global de sistema agroalimentario. Es por ello, que los obj</w:t>
      </w:r>
      <w:r>
        <w:rPr>
          <w:rFonts w:ascii="Times New Roman" w:hAnsi="Times New Roman" w:cs="Times New Roman"/>
          <w:sz w:val="24"/>
          <w:szCs w:val="24"/>
        </w:rPr>
        <w:t xml:space="preserve">etivos del Pacto Verde </w:t>
      </w:r>
      <w:r w:rsidRPr="00EE78A7">
        <w:rPr>
          <w:rFonts w:ascii="Times New Roman" w:hAnsi="Times New Roman" w:cs="Times New Roman"/>
          <w:sz w:val="24"/>
          <w:szCs w:val="24"/>
        </w:rPr>
        <w:t xml:space="preserve">no se alcanzarán únicamente reforzando el carácter ambiental </w:t>
      </w:r>
      <w:r>
        <w:rPr>
          <w:rFonts w:ascii="Times New Roman" w:hAnsi="Times New Roman" w:cs="Times New Roman"/>
          <w:sz w:val="24"/>
          <w:szCs w:val="24"/>
        </w:rPr>
        <w:t xml:space="preserve">y climático de la PAC, sino que </w:t>
      </w:r>
      <w:r w:rsidRPr="00EE78A7">
        <w:rPr>
          <w:rFonts w:ascii="Times New Roman" w:hAnsi="Times New Roman" w:cs="Times New Roman"/>
          <w:sz w:val="24"/>
          <w:szCs w:val="24"/>
        </w:rPr>
        <w:t>es necesario que ello se acompañe de un ambicioso y amplio c</w:t>
      </w:r>
      <w:r>
        <w:rPr>
          <w:rFonts w:ascii="Times New Roman" w:hAnsi="Times New Roman" w:cs="Times New Roman"/>
          <w:sz w:val="24"/>
          <w:szCs w:val="24"/>
        </w:rPr>
        <w:t xml:space="preserve">onjunto de acciones que incidan </w:t>
      </w:r>
      <w:r w:rsidRPr="00EE78A7">
        <w:rPr>
          <w:rFonts w:ascii="Times New Roman" w:hAnsi="Times New Roman" w:cs="Times New Roman"/>
          <w:sz w:val="24"/>
          <w:szCs w:val="24"/>
        </w:rPr>
        <w:t xml:space="preserve">sobre el sistema alimentario, en las pautas de consumo a </w:t>
      </w:r>
      <w:r>
        <w:rPr>
          <w:rFonts w:ascii="Times New Roman" w:hAnsi="Times New Roman" w:cs="Times New Roman"/>
          <w:sz w:val="24"/>
          <w:szCs w:val="24"/>
        </w:rPr>
        <w:t xml:space="preserve">través de modificaciones en las </w:t>
      </w:r>
      <w:r w:rsidRPr="00EE78A7">
        <w:rPr>
          <w:rFonts w:ascii="Times New Roman" w:hAnsi="Times New Roman" w:cs="Times New Roman"/>
          <w:sz w:val="24"/>
          <w:szCs w:val="24"/>
        </w:rPr>
        <w:t>dietas, en la reducción de las pérdidas y desperdicios desde la</w:t>
      </w:r>
      <w:r>
        <w:rPr>
          <w:rFonts w:ascii="Times New Roman" w:hAnsi="Times New Roman" w:cs="Times New Roman"/>
          <w:sz w:val="24"/>
          <w:szCs w:val="24"/>
        </w:rPr>
        <w:t xml:space="preserve"> producción hasta los hogares y </w:t>
      </w:r>
      <w:r w:rsidRPr="00EE78A7">
        <w:rPr>
          <w:rFonts w:ascii="Times New Roman" w:hAnsi="Times New Roman" w:cs="Times New Roman"/>
          <w:sz w:val="24"/>
          <w:szCs w:val="24"/>
        </w:rPr>
        <w:t>en la generalización de los principios de la economía circular.</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El informe alerta del riesgo de un doble sistema alimentar</w:t>
      </w:r>
      <w:r>
        <w:rPr>
          <w:rFonts w:ascii="Times New Roman" w:hAnsi="Times New Roman" w:cs="Times New Roman"/>
          <w:sz w:val="24"/>
          <w:szCs w:val="24"/>
        </w:rPr>
        <w:t xml:space="preserve">io, de agravar una situación de </w:t>
      </w:r>
      <w:r w:rsidRPr="00EE78A7">
        <w:rPr>
          <w:rFonts w:ascii="Times New Roman" w:hAnsi="Times New Roman" w:cs="Times New Roman"/>
          <w:sz w:val="24"/>
          <w:szCs w:val="24"/>
        </w:rPr>
        <w:t>desequilibrio como resultado del impacto del Green Deal en</w:t>
      </w:r>
      <w:r>
        <w:rPr>
          <w:rFonts w:ascii="Times New Roman" w:hAnsi="Times New Roman" w:cs="Times New Roman"/>
          <w:sz w:val="24"/>
          <w:szCs w:val="24"/>
        </w:rPr>
        <w:t xml:space="preserve"> la población, considerando que </w:t>
      </w:r>
      <w:r w:rsidRPr="00EE78A7">
        <w:rPr>
          <w:rFonts w:ascii="Times New Roman" w:hAnsi="Times New Roman" w:cs="Times New Roman"/>
          <w:sz w:val="24"/>
          <w:szCs w:val="24"/>
        </w:rPr>
        <w:t xml:space="preserve">un 17% de la población europea vive a nivel de pobreza extrema y </w:t>
      </w:r>
      <w:r w:rsidR="005D36A3">
        <w:rPr>
          <w:rFonts w:ascii="Times New Roman" w:hAnsi="Times New Roman" w:cs="Times New Roman"/>
          <w:sz w:val="24"/>
          <w:szCs w:val="24"/>
        </w:rPr>
        <w:t>un 40% padece sobrepeso..</w:t>
      </w:r>
      <w:r w:rsidRPr="00EE78A7">
        <w:rPr>
          <w:rFonts w:ascii="Times New Roman" w:hAnsi="Times New Roman" w:cs="Times New Roman"/>
          <w:sz w:val="24"/>
          <w:szCs w:val="24"/>
        </w:rPr>
        <w:t>.</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lastRenderedPageBreak/>
        <w:t>La pandemia COVID-19 ha puesto de manifiesto la import</w:t>
      </w:r>
      <w:r>
        <w:rPr>
          <w:rFonts w:ascii="Times New Roman" w:hAnsi="Times New Roman" w:cs="Times New Roman"/>
          <w:sz w:val="24"/>
          <w:szCs w:val="24"/>
        </w:rPr>
        <w:t xml:space="preserve">ancia de un sistema alimentario </w:t>
      </w:r>
      <w:r w:rsidRPr="00EE78A7">
        <w:rPr>
          <w:rFonts w:ascii="Times New Roman" w:hAnsi="Times New Roman" w:cs="Times New Roman"/>
          <w:sz w:val="24"/>
          <w:szCs w:val="24"/>
        </w:rPr>
        <w:t>europeo sostenible, robusto y resiliente. Algunos estudios al</w:t>
      </w:r>
      <w:r>
        <w:rPr>
          <w:rFonts w:ascii="Times New Roman" w:hAnsi="Times New Roman" w:cs="Times New Roman"/>
          <w:sz w:val="24"/>
          <w:szCs w:val="24"/>
        </w:rPr>
        <w:t xml:space="preserve">ertan sobre el hecho de que las </w:t>
      </w:r>
      <w:r w:rsidRPr="00EE78A7">
        <w:rPr>
          <w:rFonts w:ascii="Times New Roman" w:hAnsi="Times New Roman" w:cs="Times New Roman"/>
          <w:sz w:val="24"/>
          <w:szCs w:val="24"/>
        </w:rPr>
        <w:t>medidas que introduce el Pacto Verde tendrán un severo impa</w:t>
      </w:r>
      <w:r>
        <w:rPr>
          <w:rFonts w:ascii="Times New Roman" w:hAnsi="Times New Roman" w:cs="Times New Roman"/>
          <w:sz w:val="24"/>
          <w:szCs w:val="24"/>
        </w:rPr>
        <w:t xml:space="preserve">cto en las actuales estructuras </w:t>
      </w:r>
      <w:r w:rsidRPr="00EE78A7">
        <w:rPr>
          <w:rFonts w:ascii="Times New Roman" w:hAnsi="Times New Roman" w:cs="Times New Roman"/>
          <w:sz w:val="24"/>
          <w:szCs w:val="24"/>
        </w:rPr>
        <w:t>productivas, reduciendo significativamente la producción y aumentando los costes. Ello</w:t>
      </w:r>
      <w:r>
        <w:rPr>
          <w:rFonts w:ascii="Times New Roman" w:hAnsi="Times New Roman" w:cs="Times New Roman"/>
          <w:sz w:val="24"/>
          <w:szCs w:val="24"/>
        </w:rPr>
        <w:t xml:space="preserve"> </w:t>
      </w:r>
      <w:r w:rsidRPr="00EE78A7">
        <w:rPr>
          <w:rFonts w:ascii="Times New Roman" w:hAnsi="Times New Roman" w:cs="Times New Roman"/>
          <w:sz w:val="24"/>
          <w:szCs w:val="24"/>
        </w:rPr>
        <w:t>tendrá efectos en las exportaciones, y a su vez tendrá efectos más allá de nuestras fronteras,</w:t>
      </w:r>
      <w:r>
        <w:rPr>
          <w:rFonts w:ascii="Times New Roman" w:hAnsi="Times New Roman" w:cs="Times New Roman"/>
          <w:sz w:val="24"/>
          <w:szCs w:val="24"/>
        </w:rPr>
        <w:t xml:space="preserve"> </w:t>
      </w:r>
      <w:r w:rsidRPr="00EE78A7">
        <w:rPr>
          <w:rFonts w:ascii="Times New Roman" w:hAnsi="Times New Roman" w:cs="Times New Roman"/>
          <w:sz w:val="24"/>
          <w:szCs w:val="24"/>
        </w:rPr>
        <w:t>con repercusiones tanto a nivel de competitividad y comerci</w:t>
      </w:r>
      <w:r>
        <w:rPr>
          <w:rFonts w:ascii="Times New Roman" w:hAnsi="Times New Roman" w:cs="Times New Roman"/>
          <w:sz w:val="24"/>
          <w:szCs w:val="24"/>
        </w:rPr>
        <w:t xml:space="preserve">o internacional como en materia </w:t>
      </w:r>
      <w:r w:rsidRPr="00EE78A7">
        <w:rPr>
          <w:rFonts w:ascii="Times New Roman" w:hAnsi="Times New Roman" w:cs="Times New Roman"/>
          <w:sz w:val="24"/>
          <w:szCs w:val="24"/>
        </w:rPr>
        <w:t>de segurid</w:t>
      </w:r>
      <w:r w:rsidR="005D36A3">
        <w:rPr>
          <w:rFonts w:ascii="Times New Roman" w:hAnsi="Times New Roman" w:cs="Times New Roman"/>
          <w:sz w:val="24"/>
          <w:szCs w:val="24"/>
        </w:rPr>
        <w:t>ad alimentaria a nivel mundial..</w:t>
      </w:r>
      <w:r w:rsidRPr="00EE78A7">
        <w:rPr>
          <w:rFonts w:ascii="Times New Roman" w:hAnsi="Times New Roman" w:cs="Times New Roman"/>
          <w:sz w:val="24"/>
          <w:szCs w:val="24"/>
        </w:rPr>
        <w:t>.</w:t>
      </w:r>
    </w:p>
    <w:p w:rsidR="007525AE" w:rsidRPr="00EE78A7"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Los alimentos producidos en la UE, que tienen el prestigio de ser seguros, nutritivos y de</w:t>
      </w:r>
      <w:r>
        <w:rPr>
          <w:rFonts w:ascii="Times New Roman" w:hAnsi="Times New Roman" w:cs="Times New Roman"/>
          <w:sz w:val="24"/>
          <w:szCs w:val="24"/>
        </w:rPr>
        <w:t xml:space="preserve"> </w:t>
      </w:r>
      <w:r w:rsidRPr="00EE78A7">
        <w:rPr>
          <w:rFonts w:ascii="Times New Roman" w:hAnsi="Times New Roman" w:cs="Times New Roman"/>
          <w:sz w:val="24"/>
          <w:szCs w:val="24"/>
        </w:rPr>
        <w:t>calidad, ahora aspiran a ser también la referencia mundial de s</w:t>
      </w:r>
      <w:r>
        <w:rPr>
          <w:rFonts w:ascii="Times New Roman" w:hAnsi="Times New Roman" w:cs="Times New Roman"/>
          <w:sz w:val="24"/>
          <w:szCs w:val="24"/>
        </w:rPr>
        <w:t xml:space="preserve">ostenibilidad. Las expectativas </w:t>
      </w:r>
      <w:r w:rsidRPr="00EE78A7">
        <w:rPr>
          <w:rFonts w:ascii="Times New Roman" w:hAnsi="Times New Roman" w:cs="Times New Roman"/>
          <w:sz w:val="24"/>
          <w:szCs w:val="24"/>
        </w:rPr>
        <w:t>de los ciudadanos ya están evolucionando e impulsando cambi</w:t>
      </w:r>
      <w:r>
        <w:rPr>
          <w:rFonts w:ascii="Times New Roman" w:hAnsi="Times New Roman" w:cs="Times New Roman"/>
          <w:sz w:val="24"/>
          <w:szCs w:val="24"/>
        </w:rPr>
        <w:t xml:space="preserve">os significativos en el mercado </w:t>
      </w:r>
      <w:r w:rsidRPr="00EE78A7">
        <w:rPr>
          <w:rFonts w:ascii="Times New Roman" w:hAnsi="Times New Roman" w:cs="Times New Roman"/>
          <w:sz w:val="24"/>
          <w:szCs w:val="24"/>
        </w:rPr>
        <w:t>de alimentos. Pero la ambición ambiental del Pacto Verde no se hará r</w:t>
      </w:r>
      <w:r>
        <w:rPr>
          <w:rFonts w:ascii="Times New Roman" w:hAnsi="Times New Roman" w:cs="Times New Roman"/>
          <w:sz w:val="24"/>
          <w:szCs w:val="24"/>
        </w:rPr>
        <w:t xml:space="preserve">ealidad si Europa actúa </w:t>
      </w:r>
      <w:r w:rsidRPr="00EE78A7">
        <w:rPr>
          <w:rFonts w:ascii="Times New Roman" w:hAnsi="Times New Roman" w:cs="Times New Roman"/>
          <w:sz w:val="24"/>
          <w:szCs w:val="24"/>
        </w:rPr>
        <w:t xml:space="preserve">en solitario. Los factores que impulsan el cambio climático y </w:t>
      </w:r>
      <w:r>
        <w:rPr>
          <w:rFonts w:ascii="Times New Roman" w:hAnsi="Times New Roman" w:cs="Times New Roman"/>
          <w:sz w:val="24"/>
          <w:szCs w:val="24"/>
        </w:rPr>
        <w:t xml:space="preserve">la pérdida de biodiversidad son </w:t>
      </w:r>
      <w:r w:rsidRPr="00EE78A7">
        <w:rPr>
          <w:rFonts w:ascii="Times New Roman" w:hAnsi="Times New Roman" w:cs="Times New Roman"/>
          <w:sz w:val="24"/>
          <w:szCs w:val="24"/>
        </w:rPr>
        <w:t>de naturaleza global y no se ven limitados por las fronteras nacionales.</w:t>
      </w:r>
    </w:p>
    <w:p w:rsidR="007525AE" w:rsidRDefault="007525AE" w:rsidP="007525AE">
      <w:pPr>
        <w:spacing w:line="240" w:lineRule="auto"/>
        <w:jc w:val="both"/>
        <w:rPr>
          <w:rFonts w:ascii="Times New Roman" w:hAnsi="Times New Roman" w:cs="Times New Roman"/>
          <w:sz w:val="24"/>
          <w:szCs w:val="24"/>
        </w:rPr>
      </w:pPr>
      <w:r w:rsidRPr="00EE78A7">
        <w:rPr>
          <w:rFonts w:ascii="Times New Roman" w:hAnsi="Times New Roman" w:cs="Times New Roman"/>
          <w:sz w:val="24"/>
          <w:szCs w:val="24"/>
        </w:rPr>
        <w:t>En los diferentes capítulos y en las conclusiones, Fundación Trip</w:t>
      </w:r>
      <w:r>
        <w:rPr>
          <w:rFonts w:ascii="Times New Roman" w:hAnsi="Times New Roman" w:cs="Times New Roman"/>
          <w:sz w:val="24"/>
          <w:szCs w:val="24"/>
        </w:rPr>
        <w:t xml:space="preserve">tolemos enfoca el impacto del </w:t>
      </w:r>
      <w:r w:rsidRPr="00EE78A7">
        <w:rPr>
          <w:rFonts w:ascii="Times New Roman" w:hAnsi="Times New Roman" w:cs="Times New Roman"/>
          <w:sz w:val="24"/>
          <w:szCs w:val="24"/>
        </w:rPr>
        <w:t>Green Deal desde una visión de un sistema alimentario gl</w:t>
      </w:r>
      <w:r>
        <w:rPr>
          <w:rFonts w:ascii="Times New Roman" w:hAnsi="Times New Roman" w:cs="Times New Roman"/>
          <w:sz w:val="24"/>
          <w:szCs w:val="24"/>
        </w:rPr>
        <w:t xml:space="preserve">obal sostenible, y para ello ha </w:t>
      </w:r>
      <w:r w:rsidRPr="00EE78A7">
        <w:rPr>
          <w:rFonts w:ascii="Times New Roman" w:hAnsi="Times New Roman" w:cs="Times New Roman"/>
          <w:sz w:val="24"/>
          <w:szCs w:val="24"/>
        </w:rPr>
        <w:t>desarrollado un modelo de cuantificación y análisis del mismo (Índice ITRIn).</w:t>
      </w:r>
    </w:p>
    <w:p w:rsidR="007525AE" w:rsidRDefault="007525AE" w:rsidP="007525A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Algunos objetivos del Green Deal Algunos d</w:t>
      </w:r>
      <w:r w:rsidR="006204E9">
        <w:rPr>
          <w:rFonts w:ascii="Times New Roman" w:hAnsi="Times New Roman" w:cs="Times New Roman"/>
          <w:sz w:val="24"/>
          <w:szCs w:val="24"/>
        </w:rPr>
        <w:t>e los objetivos del Green Deal -</w:t>
      </w:r>
      <w:r w:rsidRPr="00842597">
        <w:rPr>
          <w:rFonts w:ascii="Times New Roman" w:hAnsi="Times New Roman" w:cs="Times New Roman"/>
          <w:sz w:val="24"/>
          <w:szCs w:val="24"/>
        </w:rPr>
        <w:t xml:space="preserve">referidos al horizonte </w:t>
      </w:r>
      <w:r w:rsidR="006204E9">
        <w:rPr>
          <w:rFonts w:ascii="Times New Roman" w:hAnsi="Times New Roman" w:cs="Times New Roman"/>
          <w:sz w:val="24"/>
          <w:szCs w:val="24"/>
        </w:rPr>
        <w:t>temporal de 2030-</w:t>
      </w:r>
      <w:r w:rsidRPr="00842597">
        <w:rPr>
          <w:rFonts w:ascii="Times New Roman" w:hAnsi="Times New Roman" w:cs="Times New Roman"/>
          <w:sz w:val="24"/>
          <w:szCs w:val="24"/>
        </w:rPr>
        <w:t xml:space="preserve"> que más pueden afectar a la actividad agroalimentaria o forestal: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Ampliar las áreas protegidas hasta el 30% del espacio europeo.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Reforestar con tres mil millones de árboles, restaurar 25.000 kilómetros de ríos y revertir el declive de los polinizadores.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Reducción del 50% del impacto en el uso de pesticidas.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Reducción de al menos el 20% del uso de fertilizantes.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Reducción del 50% de las ventas de antimicrobianos que se utilizan en animales de granja y en acuicultura.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Un aumento de la agricultura ecológica, alcanzando una participación del 25% de la tierra para uso agrícola para el 2030, desde el 8% actual.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Reducción del 10% de la superficie agrícola dedicada a usos productivos.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Revisión de la normativa sobre bienestar animal.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Estrategia para facilitar y aumentar la captación de carbono en suelos agrícolas.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Evaluando, de manera preliminar, algunos de los objetivos planteados por la Comisión y su verosimilitud, en primer lugar, si analizamos el objetivo de la reducción de fertilizantes, en especial nitrogenados, podemos ver que el origen de este objetivo está en el hecho de que la contaminación difusa por el exceso de fertilizante, en especial nitrogenado, afecta a un 74% de las masas superficiales de agua que superan el objetivo de 2,5 mg N/L, que evite la eutrofización de los cursos de agua.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Parte de este problema es debido a la fertilización de cultivos y parte a la gestión de purines y estiércoles. Evidentemente, este es un problema complejo que no se ha resuelto a pesar de la </w:t>
      </w:r>
      <w:r w:rsidRPr="00842597">
        <w:rPr>
          <w:rFonts w:ascii="Times New Roman" w:hAnsi="Times New Roman" w:cs="Times New Roman"/>
          <w:sz w:val="24"/>
          <w:szCs w:val="24"/>
        </w:rPr>
        <w:lastRenderedPageBreak/>
        <w:t xml:space="preserve">existencia de la Directiva de Nitratos (1991) ni la Directiva Marco de Aguas (2000), y que se pretende atajar sin más. Ha existido cierta mejora con una reducción del nitrógeno bruto por hectárea de superficie agrícola (la diferencia entre nitrógeno aplicado menos el nitrógeno exportado vía cosecha) que disminuyó un 10% entre 2004 y 2010 para la UE en su conjunto, si bien se ha estabilizado desde entonces. Una evolución similar se ha observado en el indicador de eficiencia de uso de nitrógeno (NUE) que después de mejorar desde 1960 hasta 2010, se encuentra estabilizada desde 2010 alrededor del 60%. Gran parte de la mejora del NUE, se debe a la reducción sustancial en la aplicación global de nitrógeno (escala UE) que se ha reducido sustancialmente desde 1990 manteniendo o incluso aumentando el rendimiento de las cosechas, de ahí la mejora en balance y NUE (menos entradas y más salidas). El objetivo del Pacto Verde Europeo, es que la UE alcance una contaminación cero, lo que beneficiará a la salud pública, al medio ambiente y a la neutralidad climática. De acuerdo a la Directiva sobre nitratos (Directiva 91/676/CEE del Consejo), los Estados miembros deben controlar sus aguas e identificar las afectadas o que puedan verse afectadas por la contaminación producida por nitratos procedentes de fuentes agrarias.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La economía circular ofrece posibilidades para contribuir a los objetivos del Green Deal, la gestión del agua, de la energía y de la materia orgánica de manera que se puedan cerrar los ciclos y permita utilizar menos recursos o se puedan reutilizar los recursos todas las veces que se posible para hacerlos más eficientes. Debe tenderse a maximizar las eficiencias de todo el complejo alimentario y a recuperar los nutrientes y micronutrientes de todos los efluentes residuales, así como energía de estos…</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La combinación de los cuatro objetivos referidos (20% menos de fertilizantes, 50% menos de agroquímicos, 10% de abandono y 25% de agricultura orgánica) según los argumentos evidenciados, justifica la estimación del informe USDA (Beckman, J. et al., 2020) de una caída de producción del 12% en la UE en su conjunto y las estimaciones en esta línea del JRC (Barreiro-Hurle, J. et al., 2021). Asumiéndose por ciertas, nunca por buenas, las proyecciones de reducción en la productividad agrícola del MAR1- MedECC, aún se hace más difícil entender cómo se pretende conseguir alimentos para la población europea y la exportación, si considerando los datos de evolución del suelo agrario y del tipo de explotaciones agrarias en el contexto europeo, vemos que se pierde superficie agrícola funcional y agricultores. La Unión Europea perdió entre el año 1990 y el año 2015, 27.139.520 ha de suelo agrícola, junto con un proceso de acaparamiento o concentración de tierras en un número cada vez más reducido de empresas agrarias, produciéndose una situación, en la que el 3% de todas las explotaciones agrarias europeas, controla el 50% de todas las tierras de cultivo de Europa, mientras que el número de empresas del sector de tipo familiar se va reduciendo progresivamente (un 23% en el período desde 2003 hasta 2020)…</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Producir más con menos y garantizar la seguridad alimentaria, la nutrición y la salud pública La necesidad de producir más con menos inputs de forma sostenible plantea desafíos a la agricultura europea que solo la innovación puede resolver, combinando enfoques multidisciplinares para obtener la suficiente producción alimentaria procedente de la agricultura y ganadería, en equilibrio con el medio ambiente adoptando todas las innovaciones en materia tecnológica y sociológica disponibles.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Pero todo ello debe lograrse sin perder de vista el objetivo fundamental de garantizar la seguridad alimentaria, la nutrición y la salud pública a nivel europeo, sin olvidar las repercusiones a nivel internacional. Para conseguirlo, debe preservarse la asequibilidad de los alimentos, al tiempo que se generan rendimientos económicos más justos en la cadena de suministro, de forma que los alimentos más sostenibles, también se conviertan en los más </w:t>
      </w:r>
      <w:r w:rsidRPr="00842597">
        <w:rPr>
          <w:rFonts w:ascii="Times New Roman" w:hAnsi="Times New Roman" w:cs="Times New Roman"/>
          <w:sz w:val="24"/>
          <w:szCs w:val="24"/>
        </w:rPr>
        <w:lastRenderedPageBreak/>
        <w:t xml:space="preserve">asequibles, fomentando la competitividad del sector de suministro de la UE, promoviendo el comercio justo, creando nuevas oportunidades comerciales.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Al desplazar el centro de atención desde el cumplimiento al rendimiento, los agricultores, ganaderos y los pescadores europeos son fundamentales para gestionar la transición. Son arte y parte, causa y efecto, pero también son el primer eslabón de la cadena alimentaria, que en muchos casos y ocasiones es el más débil y más en condiciones de cambio climático, como muestra el apartado Alimentación del MAR 1-MedECC (Mrabet R. et al 2020).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En unas condiciones ambientales adversas e inciertas y con una elevada volatilidad económica en los mercados (Reguant, F. y Savé, R. 2016), los recursos agua, energía, suelo y biodiversidad son claves.</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Siguiendo la descripción que se hizo en la COP 21 de París (2015), se corroboró en la COP 22 de Marraquech (2016), y en la reciente COP26 de Glasgow (2021), que el sector agropecuario es una de las causas del cambio climático, pero también lo padece y puede contribuir de forma significativa a su reducción. Así el papel de la agricultura y ganadería es clave, tanto para la producción de alimentos, como para mitigar el cambio climático…</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Algunos estudios alertan sobre el hecho de que las medidas que introduce el Pacto Verde tendrán un severo impacto en las actuales estructuras productivas, reduciendo significativamente la producción y aumentando los costes. Esto a su vez tendrá efectos más allá de nuestras fronteras, con repercusiones tanto a nivel de competitividad y comercio internacional como en materia de seguridad alimentaria a nivel mundial.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La Unión Europea tendrá que incorporar medidas correctoras y promover prácticas y políticas de intensificación sostenible incluidas las prácticas ecológicas, de la producción de alimentos, promoviendo el uso tecnologías para llegar al equilibrio de producción-necesidades y desarrollando líneas de investigación e innovación competitivas a nivel internacional. Los acuerdos internacionales también serán necesarios para garantizar que el progreso hacia la intensificación sostenible en las tierras agrícolas existentes logre los resultados ambientales deseados…</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Hay que tener presente que la transformación ecológica de los sistemas productivos y la adopción de prácticas más sostenibles no se alcanzará solo con voluntad política, sino que es necesario que la actividad sea rentable. Es difícil que los agricultores y ganaderos asuman compromisos ambientales si la remuneración que obtienen no es adecuada y si la calidad de vida en el medio rural no es equiparable a la del medio urbano. Por ello, la acción ambiental y climática de la PAC no puede abordarse sin considerar simultáneamente los objetivos económicos y sociales que se abordan también en el Plan estratégico. Las medidas de la PAC que contribuyen a reforzar la posición y la capacidad negociadora de los agricultores en la cadena de valor, a fortalecer los mecanismos de gestión de crisis, a mejorar las condiciones de vida o a facilitar la adaptación de las producciones a la demanda, no deben contemplarse de forma independiente a las medidas ambientales y climáticas destinadas a reducir las emisiones del sector…</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Tras la publicación de las estrategias Farm to Fork y Biodiversidad, los sindicatos franceses entre otros, expresaron sus quejas por el hecho que las medidas propuestas no vayan acompañadas de un estudio previo y exhaustivo de impactos cuantitativos. Esta tarea sí que la realizó el Departamento de Agricultura de Estados Unidos (USDA), en su informe (Beckman, J. et al., 2020) “Economic and Food Security of Agricultural Input Reductions Under the </w:t>
      </w:r>
      <w:r w:rsidRPr="00842597">
        <w:rPr>
          <w:rFonts w:ascii="Times New Roman" w:hAnsi="Times New Roman" w:cs="Times New Roman"/>
          <w:sz w:val="24"/>
          <w:szCs w:val="24"/>
        </w:rPr>
        <w:lastRenderedPageBreak/>
        <w:t xml:space="preserve">European Union Green Deal’ Farm to Fork and Biodiversity Strategies” donde se analizan tres escenarios: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El primer escenario considera que la Unión Europea implementa las estrategias del Green Deal en solitario y no efectúa restricciones en el comercio internacional, es decir, en este primer escenario dicha estrategia se adopta solamente dentro de la Unión Europea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El segundo escenario o escenario medio extiende las restricciones sobre los inputs agrícolas de los operadores que dependen de las exportaciones agrícolas y alimentarias de la UE. En este segundo escenario la estrategia es adoptada por la Unión Europea junto con países de la EFTA, países del Este de Europa y países de África.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 El tercer escenario, el “escenario global” el estudio considera los impactos del caso extremo de adopción global de las estrategias de transición global sugeridas por el Green Deal europeo. En este tercer escenario, la adopción del Green Deal de la Unión Europea se propone extenderlo al resto del Mundo.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Según este estudio, en los tres escenarios se producen impactos significativos en producción, precios, comercio internacional, renta agraria, inseguridad alimentaria, etc. En el primer escenario los impactos negativos se producen en la propia Unión Europea: una reducción de la producción agraria del 12%, un incremento de los precios del 17%, una reducción de las exportaciones agrarias del 20% y un aumento de las importaciones del 2%. Aunque en relación con el global mundial la perdida de producción es mínima (1 %) y el incremento de la seguridad alimentaria mundial si bien es importante (22 %) es el escenario con menor impacto en este aspecto. Por el contrario, en el tercer escenario los peores impactos se producen a nivel global en cuanto a caída de la producción, de incremento de precios, de incremento del costo de los alimentos y de crecimiento de la inseguridad alimentaria. La tabla 3 reproduce el cuadro resumen del estudio USDA referido.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El estudio estima que la inseguridad alimentaria global, medida como el número de personas que no alcanzan una dieta de al menos 2.100 calorías por día, aumenta de modo significativo en 76 países de renta media y baja, principalmente en África, debido al aumento de los precios internacionales de los alimentos. En 2030 el número de personas con inseguridad alimentaria en el mundo aumentaría en 22 millones según este estudio. </w:t>
      </w:r>
    </w:p>
    <w:p w:rsidR="007525AE"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El referido informe USDA recoge como la adopción del Pacto Verde ocasionaría una reducción significativa de la producción en la UE que perdería competitividad en los mercados mundiales y un aumento de los precios y del coste de la alimentación. Posteriormente y en la misma línea se publicó el estudio del JRC Joint Research Centre (Barreiro-Hurle, J., 2021), estudio del servicio científico interno de la Comisión, que predice que la producción agrícola caerá hasta en un 15%, las exportaciones también caerán, principalmente los cereales, carne de porcino, vacuno y aves de corral, y los precios de producción subirán un 10%.</w:t>
      </w:r>
    </w:p>
    <w:p w:rsidR="00175CCB" w:rsidRPr="00345D74" w:rsidRDefault="00175CCB" w:rsidP="007525AE">
      <w:pPr>
        <w:spacing w:line="240" w:lineRule="auto"/>
        <w:jc w:val="both"/>
        <w:rPr>
          <w:rFonts w:ascii="Times New Roman" w:hAnsi="Times New Roman" w:cs="Times New Roman"/>
          <w:sz w:val="24"/>
          <w:szCs w:val="24"/>
        </w:rPr>
      </w:pPr>
      <w:r w:rsidRPr="00345D74">
        <w:rPr>
          <w:rFonts w:ascii="Times New Roman" w:hAnsi="Times New Roman" w:cs="Times New Roman"/>
          <w:b/>
          <w:sz w:val="24"/>
          <w:szCs w:val="24"/>
        </w:rPr>
        <w:t>Nota</w:t>
      </w:r>
      <w:r w:rsidRPr="00345D74">
        <w:rPr>
          <w:rFonts w:ascii="Times New Roman" w:hAnsi="Times New Roman" w:cs="Times New Roman"/>
          <w:sz w:val="24"/>
          <w:szCs w:val="24"/>
        </w:rPr>
        <w:t>: Un informe</w:t>
      </w:r>
      <w:r w:rsidR="006204E9" w:rsidRPr="00345D74">
        <w:rPr>
          <w:rFonts w:ascii="Times New Roman" w:hAnsi="Times New Roman" w:cs="Times New Roman"/>
          <w:sz w:val="24"/>
          <w:szCs w:val="24"/>
        </w:rPr>
        <w:t xml:space="preserve"> (que)</w:t>
      </w:r>
      <w:r w:rsidRPr="00345D74">
        <w:rPr>
          <w:rFonts w:ascii="Times New Roman" w:hAnsi="Times New Roman" w:cs="Times New Roman"/>
          <w:sz w:val="24"/>
          <w:szCs w:val="24"/>
        </w:rPr>
        <w:t xml:space="preserve"> ha sido elaborado por los alcaldes de Cannes y Saint-Raphaël, David Lisnard y Frédéric Masquelier para Fondapol, subraya que la sobrerregulación en materia ecológica está teniendo efectos económicos severos y subraya que, en el </w:t>
      </w:r>
      <w:r w:rsidR="006204E9" w:rsidRPr="00345D74">
        <w:rPr>
          <w:rFonts w:ascii="Times New Roman" w:hAnsi="Times New Roman" w:cs="Times New Roman"/>
          <w:sz w:val="24"/>
          <w:szCs w:val="24"/>
        </w:rPr>
        <w:t>caso de Francia, y desde 2015, “</w:t>
      </w:r>
      <w:r w:rsidRPr="00345D74">
        <w:rPr>
          <w:rFonts w:ascii="Times New Roman" w:hAnsi="Times New Roman" w:cs="Times New Roman"/>
          <w:sz w:val="24"/>
          <w:szCs w:val="24"/>
        </w:rPr>
        <w:t>los costes de construcción han aumentado un 25% debido a la introducción de normativas</w:t>
      </w:r>
      <w:r w:rsidR="006204E9" w:rsidRPr="00345D74">
        <w:rPr>
          <w:rFonts w:ascii="Times New Roman" w:hAnsi="Times New Roman" w:cs="Times New Roman"/>
          <w:sz w:val="24"/>
          <w:szCs w:val="24"/>
        </w:rPr>
        <w:t xml:space="preserve"> medioambientales más estrictas”</w:t>
      </w:r>
      <w:r w:rsidRPr="00345D74">
        <w:rPr>
          <w:rFonts w:ascii="Times New Roman" w:hAnsi="Times New Roman" w:cs="Times New Roman"/>
          <w:sz w:val="24"/>
          <w:szCs w:val="24"/>
        </w:rPr>
        <w:t>. Asimismo, el informe ap</w:t>
      </w:r>
      <w:r w:rsidR="006204E9" w:rsidRPr="00345D74">
        <w:rPr>
          <w:rFonts w:ascii="Times New Roman" w:hAnsi="Times New Roman" w:cs="Times New Roman"/>
          <w:sz w:val="24"/>
          <w:szCs w:val="24"/>
        </w:rPr>
        <w:t>unta que, en la última década, “</w:t>
      </w:r>
      <w:r w:rsidRPr="00345D74">
        <w:rPr>
          <w:rFonts w:ascii="Times New Roman" w:hAnsi="Times New Roman" w:cs="Times New Roman"/>
          <w:sz w:val="24"/>
          <w:szCs w:val="24"/>
        </w:rPr>
        <w:t>las restricciones en el ámbito energético han reducido la capacidad de recurrir a combustibles fósiles, encareciendo en un 35% la f</w:t>
      </w:r>
      <w:r w:rsidR="00F953D3" w:rsidRPr="00345D74">
        <w:rPr>
          <w:rFonts w:ascii="Times New Roman" w:hAnsi="Times New Roman" w:cs="Times New Roman"/>
          <w:sz w:val="24"/>
          <w:szCs w:val="24"/>
        </w:rPr>
        <w:t>actura de la luz de los hogares”</w:t>
      </w:r>
      <w:r w:rsidRPr="00345D74">
        <w:rPr>
          <w:rFonts w:ascii="Times New Roman" w:hAnsi="Times New Roman" w:cs="Times New Roman"/>
          <w:sz w:val="24"/>
          <w:szCs w:val="24"/>
        </w:rPr>
        <w:t>. (Fuente: Libertad Digital - 20/2/25)</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noProof/>
          <w:sz w:val="24"/>
          <w:szCs w:val="24"/>
          <w:lang w:eastAsia="es-ES"/>
        </w:rPr>
        <w:lastRenderedPageBreak/>
        <w:drawing>
          <wp:inline distT="0" distB="0" distL="0" distR="0" wp14:anchorId="16B17F6F" wp14:editId="3272835E">
            <wp:extent cx="5728401" cy="5975350"/>
            <wp:effectExtent l="0" t="0" r="5715"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5978593"/>
                    </a:xfrm>
                    <a:prstGeom prst="rect">
                      <a:avLst/>
                    </a:prstGeom>
                  </pic:spPr>
                </pic:pic>
              </a:graphicData>
            </a:graphic>
          </wp:inline>
        </w:drawing>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En líneas generales, los tres escenarios se caracterizan por que Estados Unidos es el país menos perjudicado, la Unión Europea se situaría en una posición intermedia y el conjunto del Mundo sería el más perjudicado si se adoptara la estrategia de la Unión Europea “de la granja a la mesa”. No obstante, hay que señalar que dicho estudio se basa únicamente en indicadores económicos tradicionales que no evalúan ningún criterio de sostenibilidad y su posible valoración positiva, desde el punto de vista económico, del impacto de dicha política en la sostenibilidad medio ambiental y su efecto con respecto al cambio climático…</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Competitividad de las producciones europeas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Estas medidas, dentro del sistema alimentario predominante y las tecnologías empleadas actualmente, supondrán un severo impacto en las estructuras productivas, reducirá significativamente la producción y elevará los costes. Lo cual, sin medidas correctoras, afectará a la competitividad de las producciones europeas y en consecuencia afectará a los equilibrios del comercio agroalimentario mundial y tendrá efectos disruptores en la seguridad alimentaria global, dado que Europa es el primer actor en el comercio alimentario mundial.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lastRenderedPageBreak/>
        <w:t xml:space="preserve">Lógicamente, una reducción de la oferta afectará al balance alimentario global y el aumento de los costes repercutirá en los precios, con posibles consecuencias para el acceso a los alimentos de la población más desfavorecida. Todo ello coincide, además, con una creciente presión de demanda de alimentos a nivel mundial y con un cambio climático cada vez más activo en la destrucción de recursos y producciones.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Ante una caída de producción, una alternativa sería la importación de terceros países fuera de la Unión Europea para garantizar el suministro de alimentos en Europa. Ello supone el riesgo de exportar prácticas insostenibles. Es decir, producir en otros países sin las mismas limitaciones ambientales. En palabras de los Ministros de Agricultura de la Unión Europea, "las nuevas políticas sostenibles comportan el riesgo de importaciones insostenibles"…</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La Unión Europea es consciente de este riesgo, así como de la naturaleza global del desafío, por lo que fomentará y apoyará el establecimiento de estándares globales. De alguna manera, la Unión Europea aspira a ser un punto de referencia para las políticas agrícolas sostenibles. Sin embargo, es una aspiración difícil, ya que será necesario evitar que los productos fabricados con exigencias medioambientales más relajadas puedan competir con los productos europeos, lo que requerirá medidas de protección fronteriza que deben negociarse en el marco de la Organización Mundial de Comercio (OMC).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En este sentido el 17 de diciembre de 2020, a requerimiento de Estados Unidos, la OMC hizo público un borrador de título especialmente explícito: “Avanzando hacia los objetivos de sostenibilidad a través de normas comerciales para nivelar el campo de juego”. En él reconoce la importancia del desafío de la sostenibilidad y aboga por establecer un umbral de estándares fundamentales, que señalarían, por una parte, el límite del dumping medioambiental, corregible con medidas compensatorias, por el país afectado o bien, en sentido inverso, señalarían el límite no aceptable de exigencias a la importación. La negociación de estándares internacionales de sostenibilidad para la producción alimentaria formará parte de las preocupaciones importantes de la Unión Europea y no parece que la tarea vaya a ser fácil. </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En este contexto es oportuno recordar la opinión de Olivier de Shutter, antiguo relator de la ONU sobre el derecho a la alimentación: "Debemos dejar de tratar los alimentos como un producto básico y tratarlos como un bien común"…</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El riesgo de externalizar el daño de la agricultura intensiva a otros países es uno de los principales riesgos de las estrategias agrícolas apoyadas por el Green Deal, señalado por Fuchs et al. (2020). Según esos autores, los estados miembros de la UE están asumiendo el riesgo de subcontratar el daño ambiental a otros países, mientras se atribuyen el mérito de las políticas ecológicas en casa. Por ejemplo, Fuchs et al. (2020) explican cómo, en comparación con la Unión Europea, el uso de pesticidas y herbicidas y la deforestación son mayores en varios países fuera de la UE que suministran semillas oleaginosas a la región. La UE reconoce el riesgo de externalidades en el texto F2F, reconociendo que el sistema alimentario de la UE debe ir acompañado de políticas que ayuden a elevar los estándares a nivel mundial, para evitar la externalización y exportación de prácticas insostenibles…</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Pero la ambición ambiental del Pacto Verde no se hará realidad si Europa actúa en solitario. Los factores que impulsan el cambio climático y la pérdida de biodiversidad son de naturaleza global y no se ven limitados por las fronteras nacionales. Sin ir más lejos, Europa importa la práctica totalidad de la soja que se consume en el territorio europeo, así como cantidades significativas de carne y otros productos agrícolas esenciales. Actualmente cada país define y establece criterios distintos con relación a la sostenibilidad, y si no se </w:t>
      </w:r>
      <w:r w:rsidRPr="00842597">
        <w:rPr>
          <w:rFonts w:ascii="Times New Roman" w:hAnsi="Times New Roman" w:cs="Times New Roman"/>
          <w:sz w:val="24"/>
          <w:szCs w:val="24"/>
        </w:rPr>
        <w:lastRenderedPageBreak/>
        <w:t>incorporan requisitos claros para las importaciones, las mejoras que se consigan en Europa, probablemente se den a costa de un impacto negativo en otras zonas del planeta. El impacto de la producción de alimentos por métodos convencionales no puede disociarse de su impacto ambiental y el cambio climático. Es fundamental ser rigurosos y mantener un enfoque integrado de los acuerdos de París y Glasgow…</w:t>
      </w:r>
    </w:p>
    <w:p w:rsidR="007525AE" w:rsidRPr="00842597"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 xml:space="preserve">La Estrategia del campo a la mesa de la UE no responde solo al objetivo de reducción del impacto ambiental y de mitigación del cambio climático, sino también a la satisfacción de la demanda de los consumidores europeos, cada vez más sensibles a una alimentación segura sin residuos de agroquímicos e incluso de agricultura ecológica, y a la mitigación del cambio climático. Ello implicará que la UE no solo exigirá estas metas a los agricultores domésticos, sino que intentará exigir estas metas de reducción del uso de agroquímicos a los agricultores de los países que exportan a la UE. Esto puede tener un importante impacto en países grandes exportadores a la UE como son los países de Mercosur, y una notable influencia en el comercio agrario internacional. </w:t>
      </w:r>
    </w:p>
    <w:p w:rsidR="007525AE" w:rsidRDefault="007525AE" w:rsidP="007525AE">
      <w:pPr>
        <w:spacing w:line="240" w:lineRule="auto"/>
        <w:jc w:val="both"/>
        <w:rPr>
          <w:rFonts w:ascii="Times New Roman" w:hAnsi="Times New Roman" w:cs="Times New Roman"/>
          <w:sz w:val="24"/>
          <w:szCs w:val="24"/>
        </w:rPr>
      </w:pPr>
      <w:r w:rsidRPr="00842597">
        <w:rPr>
          <w:rFonts w:ascii="Times New Roman" w:hAnsi="Times New Roman" w:cs="Times New Roman"/>
          <w:sz w:val="24"/>
          <w:szCs w:val="24"/>
        </w:rPr>
        <w:t>Este tema a buen seguro acabará en la OMC, para evitar que la UE pueda utilizar estas metas de su Estrategia como nuevas barreras no arancelarias a las importaciones agrarias. Existen temores de que esta nueva orientación hacia una reducción de inputs conlleve a la necesidad de aumentar la superficie para mantener los niveles actuales de producción, lo que necesariamente llevaría a una reasignación global de los cultivos a nivel mundial. Pero hasta entonces muchos pequeños y medianos productores han podido quedarse por el camino, y entretanto grandes competidores de terceros países han podido salir reforzados…</w:t>
      </w:r>
    </w:p>
    <w:p w:rsidR="00175CCB" w:rsidRPr="00842597" w:rsidRDefault="00175CCB" w:rsidP="007525AE">
      <w:pPr>
        <w:spacing w:line="240" w:lineRule="auto"/>
        <w:jc w:val="both"/>
        <w:rPr>
          <w:rFonts w:ascii="Times New Roman" w:hAnsi="Times New Roman" w:cs="Times New Roman"/>
          <w:sz w:val="24"/>
          <w:szCs w:val="24"/>
        </w:rPr>
      </w:pPr>
    </w:p>
    <w:p w:rsidR="007525AE" w:rsidRPr="00344FD7" w:rsidRDefault="007525AE" w:rsidP="007525AE">
      <w:pPr>
        <w:spacing w:line="240" w:lineRule="auto"/>
        <w:jc w:val="both"/>
      </w:pPr>
      <w:r w:rsidRPr="00024A54">
        <w:rPr>
          <w:noProof/>
          <w:lang w:eastAsia="es-ES"/>
        </w:rPr>
        <w:drawing>
          <wp:inline distT="0" distB="0" distL="0" distR="0" wp14:anchorId="6E266FE8" wp14:editId="53A0116A">
            <wp:extent cx="5732406" cy="3867150"/>
            <wp:effectExtent l="0" t="0" r="190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866545"/>
                    </a:xfrm>
                    <a:prstGeom prst="rect">
                      <a:avLst/>
                    </a:prstGeom>
                  </pic:spPr>
                </pic:pic>
              </a:graphicData>
            </a:graphic>
          </wp:inline>
        </w:drawing>
      </w:r>
    </w:p>
    <w:p w:rsidR="00CA5B3B" w:rsidRPr="00345D74" w:rsidRDefault="00CA5B3B" w:rsidP="00CA5B3B">
      <w:pPr>
        <w:pStyle w:val="NormalWeb"/>
        <w:shd w:val="clear" w:color="auto" w:fill="FFFFFF"/>
        <w:spacing w:after="225"/>
        <w:jc w:val="both"/>
        <w:rPr>
          <w:b/>
        </w:rPr>
      </w:pPr>
      <w:r w:rsidRPr="00345D74">
        <w:rPr>
          <w:b/>
        </w:rPr>
        <w:lastRenderedPageBreak/>
        <w:t>- “Los brócolis de la ira”: Una pro</w:t>
      </w:r>
      <w:r w:rsidR="005D36A3" w:rsidRPr="00345D74">
        <w:rPr>
          <w:b/>
        </w:rPr>
        <w:t>puesta, “políticamente incorrecta”, para que la Unión Europea pueda competir con terceros países extracomunitarios</w:t>
      </w:r>
      <w:r w:rsidRPr="00345D74">
        <w:rPr>
          <w:b/>
        </w:rPr>
        <w:t xml:space="preserve"> (“si la montaña no va a Mahoma, Mahoma irá a la montaña”) </w:t>
      </w:r>
    </w:p>
    <w:p w:rsidR="0035561D" w:rsidRDefault="0035561D" w:rsidP="00CA5B3B">
      <w:pPr>
        <w:pStyle w:val="NormalWeb"/>
        <w:shd w:val="clear" w:color="auto" w:fill="FFFFFF"/>
        <w:spacing w:after="225"/>
        <w:jc w:val="both"/>
        <w:rPr>
          <w:b/>
          <w:color w:val="FF0000"/>
        </w:rPr>
      </w:pPr>
      <w:r w:rsidRPr="00D40B3D">
        <w:rPr>
          <w:noProof/>
        </w:rPr>
        <w:drawing>
          <wp:inline distT="0" distB="0" distL="0" distR="0" wp14:anchorId="0CCC9880" wp14:editId="20032BD0">
            <wp:extent cx="5732714" cy="2844800"/>
            <wp:effectExtent l="0" t="0" r="190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844202"/>
                    </a:xfrm>
                    <a:prstGeom prst="rect">
                      <a:avLst/>
                    </a:prstGeom>
                  </pic:spPr>
                </pic:pic>
              </a:graphicData>
            </a:graphic>
          </wp:inline>
        </w:drawing>
      </w:r>
    </w:p>
    <w:p w:rsidR="009E39CB" w:rsidRPr="00345D74" w:rsidRDefault="00D94182" w:rsidP="0035561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Salmo responsorial</w:t>
      </w:r>
    </w:p>
    <w:p w:rsidR="00F953D3" w:rsidRPr="00345D74" w:rsidRDefault="00690D0B" w:rsidP="00F953D3">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 xml:space="preserve">“Bobos solemnes” de la Comisión Europea, “patriotas de hojalata” del Consejo Europeo, “culiparlantes” del Parlamento Europeo, </w:t>
      </w:r>
      <w:r w:rsidR="00ED4867" w:rsidRPr="00345D74">
        <w:rPr>
          <w:rFonts w:ascii="Times New Roman" w:hAnsi="Times New Roman" w:cs="Times New Roman"/>
          <w:sz w:val="24"/>
          <w:szCs w:val="24"/>
        </w:rPr>
        <w:t>“apparátchik” de Bruselas…</w:t>
      </w:r>
      <w:r w:rsidR="009E39CB" w:rsidRPr="00345D74">
        <w:rPr>
          <w:rFonts w:ascii="Times New Roman" w:hAnsi="Times New Roman" w:cs="Times New Roman"/>
          <w:sz w:val="24"/>
          <w:szCs w:val="24"/>
        </w:rPr>
        <w:t xml:space="preserve"> y otros miembros de la fauna eurocrática</w:t>
      </w:r>
      <w:r w:rsidR="00ED4867" w:rsidRPr="00345D74">
        <w:rPr>
          <w:rFonts w:ascii="Times New Roman" w:hAnsi="Times New Roman" w:cs="Times New Roman"/>
          <w:sz w:val="24"/>
          <w:szCs w:val="24"/>
        </w:rPr>
        <w:t xml:space="preserve">… dejen de intentar </w:t>
      </w:r>
      <w:r w:rsidR="009E39CB" w:rsidRPr="00345D74">
        <w:rPr>
          <w:rFonts w:ascii="Times New Roman" w:hAnsi="Times New Roman" w:cs="Times New Roman"/>
          <w:sz w:val="24"/>
          <w:szCs w:val="24"/>
        </w:rPr>
        <w:t>“</w:t>
      </w:r>
      <w:r w:rsidR="00ED4867" w:rsidRPr="00345D74">
        <w:rPr>
          <w:rFonts w:ascii="Times New Roman" w:hAnsi="Times New Roman" w:cs="Times New Roman"/>
          <w:sz w:val="24"/>
          <w:szCs w:val="24"/>
        </w:rPr>
        <w:t>parecer inocentes siendo culpables</w:t>
      </w:r>
      <w:r w:rsidR="009E39CB" w:rsidRPr="00345D74">
        <w:rPr>
          <w:rFonts w:ascii="Times New Roman" w:hAnsi="Times New Roman" w:cs="Times New Roman"/>
          <w:sz w:val="24"/>
          <w:szCs w:val="24"/>
        </w:rPr>
        <w:t>”</w:t>
      </w:r>
      <w:r w:rsidR="00ED4867" w:rsidRPr="00345D74">
        <w:rPr>
          <w:rFonts w:ascii="Times New Roman" w:hAnsi="Times New Roman" w:cs="Times New Roman"/>
          <w:sz w:val="24"/>
          <w:szCs w:val="24"/>
        </w:rPr>
        <w:t>…</w:t>
      </w:r>
      <w:r w:rsidR="009E39CB" w:rsidRPr="00345D74">
        <w:rPr>
          <w:rFonts w:ascii="Times New Roman" w:hAnsi="Times New Roman" w:cs="Times New Roman"/>
          <w:sz w:val="24"/>
          <w:szCs w:val="24"/>
        </w:rPr>
        <w:t xml:space="preserve"> dejen de </w:t>
      </w:r>
      <w:r w:rsidR="00F953D3" w:rsidRPr="00345D74">
        <w:rPr>
          <w:rFonts w:ascii="Times New Roman" w:hAnsi="Times New Roman" w:cs="Times New Roman"/>
          <w:sz w:val="24"/>
          <w:szCs w:val="24"/>
        </w:rPr>
        <w:t>“</w:t>
      </w:r>
      <w:r w:rsidR="009E39CB" w:rsidRPr="00345D74">
        <w:rPr>
          <w:rFonts w:ascii="Times New Roman" w:hAnsi="Times New Roman" w:cs="Times New Roman"/>
          <w:sz w:val="24"/>
          <w:szCs w:val="24"/>
        </w:rPr>
        <w:t>invadir la vida de los europeos</w:t>
      </w:r>
      <w:r w:rsidR="00F953D3" w:rsidRPr="00345D74">
        <w:rPr>
          <w:rFonts w:ascii="Times New Roman" w:hAnsi="Times New Roman" w:cs="Times New Roman"/>
          <w:sz w:val="24"/>
          <w:szCs w:val="24"/>
        </w:rPr>
        <w:t>”</w:t>
      </w:r>
      <w:r w:rsidR="009E39CB" w:rsidRPr="00345D74">
        <w:rPr>
          <w:rFonts w:ascii="Times New Roman" w:hAnsi="Times New Roman" w:cs="Times New Roman"/>
          <w:sz w:val="24"/>
          <w:szCs w:val="24"/>
        </w:rPr>
        <w:t xml:space="preserve">… dejen de intentar </w:t>
      </w:r>
      <w:r w:rsidR="00F953D3" w:rsidRPr="00345D74">
        <w:rPr>
          <w:rFonts w:ascii="Times New Roman" w:hAnsi="Times New Roman" w:cs="Times New Roman"/>
          <w:sz w:val="24"/>
          <w:szCs w:val="24"/>
        </w:rPr>
        <w:t>“</w:t>
      </w:r>
      <w:r w:rsidR="009E39CB" w:rsidRPr="00345D74">
        <w:rPr>
          <w:rFonts w:ascii="Times New Roman" w:hAnsi="Times New Roman" w:cs="Times New Roman"/>
          <w:sz w:val="24"/>
          <w:szCs w:val="24"/>
        </w:rPr>
        <w:t>salvarles el alma</w:t>
      </w:r>
      <w:r w:rsidR="00F953D3" w:rsidRPr="00345D74">
        <w:rPr>
          <w:rFonts w:ascii="Times New Roman" w:hAnsi="Times New Roman" w:cs="Times New Roman"/>
          <w:sz w:val="24"/>
          <w:szCs w:val="24"/>
        </w:rPr>
        <w:t>”</w:t>
      </w:r>
      <w:r w:rsidR="009E39CB" w:rsidRPr="00345D74">
        <w:rPr>
          <w:rFonts w:ascii="Times New Roman" w:hAnsi="Times New Roman" w:cs="Times New Roman"/>
          <w:sz w:val="24"/>
          <w:szCs w:val="24"/>
        </w:rPr>
        <w:t xml:space="preserve">… dejen de representar el “arte de hacer el ridículo”… </w:t>
      </w:r>
      <w:r w:rsidR="00ED4867" w:rsidRPr="00345D74">
        <w:rPr>
          <w:rFonts w:ascii="Times New Roman" w:hAnsi="Times New Roman" w:cs="Times New Roman"/>
          <w:sz w:val="24"/>
          <w:szCs w:val="24"/>
        </w:rPr>
        <w:t xml:space="preserve">dejen de interpretar la “pavana para una Europa difunta”… </w:t>
      </w:r>
      <w:r w:rsidR="00F953D3" w:rsidRPr="00345D74">
        <w:rPr>
          <w:rFonts w:ascii="Times New Roman" w:hAnsi="Times New Roman" w:cs="Times New Roman"/>
          <w:sz w:val="24"/>
          <w:szCs w:val="24"/>
        </w:rPr>
        <w:t xml:space="preserve">En definitiva: ¡Dejen de hacer daño! y ¡Dejen de joder! ¿Está claro? </w:t>
      </w:r>
    </w:p>
    <w:p w:rsidR="009E39CB" w:rsidRPr="00345D74" w:rsidRDefault="00D94182" w:rsidP="00B97980">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Jaculatoria</w:t>
      </w:r>
    </w:p>
    <w:p w:rsidR="0035561D" w:rsidRPr="00345D74" w:rsidRDefault="0035561D" w:rsidP="00B97980">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Eurócratas “multilaterales”, y ecologistas “unilaterales” (“ex aequo”): Los agricultores europeos les decimos (alto y claro) que:</w:t>
      </w:r>
      <w:r w:rsidR="00690D0B" w:rsidRPr="00345D74">
        <w:rPr>
          <w:rFonts w:ascii="Times New Roman" w:hAnsi="Times New Roman" w:cs="Times New Roman"/>
          <w:sz w:val="24"/>
          <w:szCs w:val="24"/>
        </w:rPr>
        <w:t xml:space="preserve"> ¡Dejen de intentar salvar el planeta en solitario!</w:t>
      </w:r>
      <w:r w:rsidRPr="00345D74">
        <w:rPr>
          <w:rFonts w:ascii="Times New Roman" w:hAnsi="Times New Roman" w:cs="Times New Roman"/>
          <w:sz w:val="24"/>
          <w:szCs w:val="24"/>
        </w:rPr>
        <w:t xml:space="preserve"> ¡Dejen</w:t>
      </w:r>
      <w:r w:rsidR="00690D0B" w:rsidRPr="00345D74">
        <w:rPr>
          <w:rFonts w:ascii="Times New Roman" w:hAnsi="Times New Roman" w:cs="Times New Roman"/>
          <w:sz w:val="24"/>
          <w:szCs w:val="24"/>
        </w:rPr>
        <w:t xml:space="preserve"> de arruinar la Unión Europea! ¡</w:t>
      </w:r>
      <w:r w:rsidR="005D36A3" w:rsidRPr="00345D74">
        <w:rPr>
          <w:rFonts w:ascii="Times New Roman" w:hAnsi="Times New Roman" w:cs="Times New Roman"/>
          <w:sz w:val="24"/>
          <w:szCs w:val="24"/>
        </w:rPr>
        <w:t>Dejen</w:t>
      </w:r>
      <w:r w:rsidR="00690D0B" w:rsidRPr="00345D74">
        <w:rPr>
          <w:rFonts w:ascii="Times New Roman" w:hAnsi="Times New Roman" w:cs="Times New Roman"/>
          <w:sz w:val="24"/>
          <w:szCs w:val="24"/>
        </w:rPr>
        <w:t xml:space="preserve"> a los agricultores, ganaderos, y pescadores, en libertad de producción! ¡D</w:t>
      </w:r>
      <w:r w:rsidRPr="00345D74">
        <w:rPr>
          <w:rFonts w:ascii="Times New Roman" w:hAnsi="Times New Roman" w:cs="Times New Roman"/>
          <w:sz w:val="24"/>
          <w:szCs w:val="24"/>
        </w:rPr>
        <w:t>ejen de rompernos los huevos! En defini</w:t>
      </w:r>
      <w:r w:rsidR="00690D0B" w:rsidRPr="00345D74">
        <w:rPr>
          <w:rFonts w:ascii="Times New Roman" w:hAnsi="Times New Roman" w:cs="Times New Roman"/>
          <w:sz w:val="24"/>
          <w:szCs w:val="24"/>
        </w:rPr>
        <w:t>tiva: ¡Dejen de hacer daño! y ¡D</w:t>
      </w:r>
      <w:r w:rsidRPr="00345D74">
        <w:rPr>
          <w:rFonts w:ascii="Times New Roman" w:hAnsi="Times New Roman" w:cs="Times New Roman"/>
          <w:sz w:val="24"/>
          <w:szCs w:val="24"/>
        </w:rPr>
        <w:t xml:space="preserve">ejen de joder! ¿Está claro? </w:t>
      </w:r>
    </w:p>
    <w:p w:rsidR="0035561D" w:rsidRPr="00345D74" w:rsidRDefault="00D94182" w:rsidP="00B97980">
      <w:pPr>
        <w:pStyle w:val="Ttulo2"/>
        <w:shd w:val="clear" w:color="auto" w:fill="FFFFFF"/>
        <w:spacing w:before="255" w:after="128" w:line="240" w:lineRule="auto"/>
        <w:rPr>
          <w:rFonts w:ascii="Times New Roman" w:hAnsi="Times New Roman" w:cs="Times New Roman"/>
          <w:bCs w:val="0"/>
          <w:color w:val="auto"/>
          <w:sz w:val="24"/>
          <w:szCs w:val="24"/>
        </w:rPr>
      </w:pPr>
      <w:r w:rsidRPr="00345D74">
        <w:rPr>
          <w:rFonts w:ascii="Times New Roman" w:hAnsi="Times New Roman" w:cs="Times New Roman"/>
          <w:bCs w:val="0"/>
          <w:color w:val="auto"/>
          <w:sz w:val="24"/>
          <w:szCs w:val="24"/>
        </w:rPr>
        <w:t>Propósito de enmienda (propuesta, “políticamente incorrecta”)</w:t>
      </w:r>
    </w:p>
    <w:p w:rsidR="00B97980" w:rsidRPr="00345D74" w:rsidRDefault="00D94182" w:rsidP="00B97980">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“Si la montaña no va a Mahoma, Mahoma irá a la montaña”: si no se puede (sabe, quiere, o les permiten) hacer que los terceros países competidores (MERCOSUR, Marruecos, Egipto, Turquía, o el “sursum corda”</w:t>
      </w:r>
      <w:r w:rsidR="00B97980" w:rsidRPr="00345D74">
        <w:rPr>
          <w:rFonts w:ascii="Times New Roman" w:hAnsi="Times New Roman" w:cs="Times New Roman"/>
          <w:sz w:val="24"/>
          <w:szCs w:val="24"/>
        </w:rPr>
        <w:t>)</w:t>
      </w:r>
      <w:r w:rsidRPr="00345D74">
        <w:rPr>
          <w:rFonts w:ascii="Times New Roman" w:hAnsi="Times New Roman" w:cs="Times New Roman"/>
          <w:sz w:val="24"/>
          <w:szCs w:val="24"/>
        </w:rPr>
        <w:t xml:space="preserve">  adopten las exigencias sani</w:t>
      </w:r>
      <w:r w:rsidR="00B97980" w:rsidRPr="00345D74">
        <w:rPr>
          <w:rFonts w:ascii="Times New Roman" w:hAnsi="Times New Roman" w:cs="Times New Roman"/>
          <w:sz w:val="24"/>
          <w:szCs w:val="24"/>
        </w:rPr>
        <w:t>tarias, ecológicas, reglamentari</w:t>
      </w:r>
      <w:r w:rsidRPr="00345D74">
        <w:rPr>
          <w:rFonts w:ascii="Times New Roman" w:hAnsi="Times New Roman" w:cs="Times New Roman"/>
          <w:sz w:val="24"/>
          <w:szCs w:val="24"/>
        </w:rPr>
        <w:t>as,</w:t>
      </w:r>
      <w:r w:rsidR="00B97980" w:rsidRPr="00345D74">
        <w:rPr>
          <w:rFonts w:ascii="Times New Roman" w:hAnsi="Times New Roman" w:cs="Times New Roman"/>
          <w:sz w:val="24"/>
          <w:szCs w:val="24"/>
        </w:rPr>
        <w:t xml:space="preserve"> de control (y toda la</w:t>
      </w:r>
      <w:r w:rsidR="00735A5A" w:rsidRPr="00345D74">
        <w:rPr>
          <w:rFonts w:ascii="Times New Roman" w:hAnsi="Times New Roman" w:cs="Times New Roman"/>
          <w:sz w:val="24"/>
          <w:szCs w:val="24"/>
        </w:rPr>
        <w:t xml:space="preserve"> fantasmagó</w:t>
      </w:r>
      <w:r w:rsidR="00B97980" w:rsidRPr="00345D74">
        <w:rPr>
          <w:rFonts w:ascii="Times New Roman" w:hAnsi="Times New Roman" w:cs="Times New Roman"/>
          <w:sz w:val="24"/>
          <w:szCs w:val="24"/>
        </w:rPr>
        <w:t>rica diarrea legislativa) de la Unión Europea, liberar a los productores europeos de todas aquellas disposiciones que actualmente limitan su actividad.</w:t>
      </w:r>
    </w:p>
    <w:p w:rsidR="00735A5A" w:rsidRPr="00345D74" w:rsidRDefault="00B97980" w:rsidP="00B97980">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Si los competidores agropecuarios no se “europeízan”, dejar que los productores europeos se “des-europeícen”. Parece un</w:t>
      </w:r>
      <w:r w:rsidR="00735A5A" w:rsidRPr="00345D74">
        <w:rPr>
          <w:rFonts w:ascii="Times New Roman" w:hAnsi="Times New Roman" w:cs="Times New Roman"/>
          <w:sz w:val="24"/>
          <w:szCs w:val="24"/>
        </w:rPr>
        <w:t xml:space="preserve"> juego de palabras</w:t>
      </w:r>
      <w:r w:rsidRPr="00345D74">
        <w:rPr>
          <w:rFonts w:ascii="Times New Roman" w:hAnsi="Times New Roman" w:cs="Times New Roman"/>
          <w:sz w:val="24"/>
          <w:szCs w:val="24"/>
        </w:rPr>
        <w:t xml:space="preserve"> </w:t>
      </w:r>
      <w:r w:rsidR="00735A5A" w:rsidRPr="00345D74">
        <w:rPr>
          <w:rFonts w:ascii="Times New Roman" w:hAnsi="Times New Roman" w:cs="Times New Roman"/>
          <w:sz w:val="24"/>
          <w:szCs w:val="24"/>
        </w:rPr>
        <w:t>(</w:t>
      </w:r>
      <w:r w:rsidRPr="00345D74">
        <w:rPr>
          <w:rFonts w:ascii="Times New Roman" w:hAnsi="Times New Roman" w:cs="Times New Roman"/>
          <w:sz w:val="24"/>
          <w:szCs w:val="24"/>
        </w:rPr>
        <w:t>trabalenguas</w:t>
      </w:r>
      <w:r w:rsidR="00735A5A" w:rsidRPr="00345D74">
        <w:rPr>
          <w:rFonts w:ascii="Times New Roman" w:hAnsi="Times New Roman" w:cs="Times New Roman"/>
          <w:sz w:val="24"/>
          <w:szCs w:val="24"/>
        </w:rPr>
        <w:t>)</w:t>
      </w:r>
      <w:r w:rsidRPr="00345D74">
        <w:rPr>
          <w:rFonts w:ascii="Times New Roman" w:hAnsi="Times New Roman" w:cs="Times New Roman"/>
          <w:sz w:val="24"/>
          <w:szCs w:val="24"/>
        </w:rPr>
        <w:t xml:space="preserve">, </w:t>
      </w:r>
      <w:r w:rsidR="00735A5A" w:rsidRPr="00345D74">
        <w:rPr>
          <w:rFonts w:ascii="Times New Roman" w:hAnsi="Times New Roman" w:cs="Times New Roman"/>
          <w:sz w:val="24"/>
          <w:szCs w:val="24"/>
        </w:rPr>
        <w:t xml:space="preserve"> pero en eso radica el futuro</w:t>
      </w:r>
      <w:r w:rsidRPr="00345D74">
        <w:rPr>
          <w:rFonts w:ascii="Times New Roman" w:hAnsi="Times New Roman" w:cs="Times New Roman"/>
          <w:sz w:val="24"/>
          <w:szCs w:val="24"/>
        </w:rPr>
        <w:t>.</w:t>
      </w:r>
    </w:p>
    <w:p w:rsidR="00735A5A" w:rsidRPr="00345D74" w:rsidRDefault="00735A5A" w:rsidP="00735A5A">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 xml:space="preserve">En las siguientes páginas se transcribe el </w:t>
      </w:r>
      <w:r w:rsidRPr="00345D74">
        <w:rPr>
          <w:rFonts w:ascii="Times New Roman" w:hAnsi="Times New Roman" w:cs="Times New Roman"/>
          <w:b/>
          <w:sz w:val="24"/>
          <w:szCs w:val="24"/>
        </w:rPr>
        <w:t>Cálculo de los costes de operación de cultivos en diferentes zonas agrícolas</w:t>
      </w:r>
      <w:r w:rsidRPr="00345D74">
        <w:rPr>
          <w:rFonts w:ascii="Times New Roman" w:hAnsi="Times New Roman" w:cs="Times New Roman"/>
          <w:sz w:val="24"/>
          <w:szCs w:val="24"/>
        </w:rPr>
        <w:t xml:space="preserve"> (Ministerio de Agricultura, Pesca y Alimentación - Gobierno de </w:t>
      </w:r>
      <w:r w:rsidRPr="00345D74">
        <w:rPr>
          <w:rFonts w:ascii="Times New Roman" w:hAnsi="Times New Roman" w:cs="Times New Roman"/>
          <w:sz w:val="24"/>
          <w:szCs w:val="24"/>
        </w:rPr>
        <w:lastRenderedPageBreak/>
        <w:t>España - 2020 y 2023)</w:t>
      </w:r>
      <w:r w:rsidR="00FD064F" w:rsidRPr="00345D74">
        <w:rPr>
          <w:rFonts w:ascii="Times New Roman" w:hAnsi="Times New Roman" w:cs="Times New Roman"/>
          <w:sz w:val="24"/>
          <w:szCs w:val="24"/>
        </w:rPr>
        <w:t>, tomando el caso de</w:t>
      </w:r>
      <w:r w:rsidRPr="00345D74">
        <w:rPr>
          <w:rFonts w:ascii="Times New Roman" w:hAnsi="Times New Roman" w:cs="Times New Roman"/>
          <w:sz w:val="24"/>
          <w:szCs w:val="24"/>
        </w:rPr>
        <w:t xml:space="preserve"> la producción de brócoli, que se pueda apreciar todos aquellos insumos que deberían ser modificados para igualar la competitividad. </w:t>
      </w:r>
    </w:p>
    <w:p w:rsidR="00CA5B3B" w:rsidRPr="00345D74" w:rsidRDefault="00CA5B3B" w:rsidP="00CA5B3B">
      <w:pPr>
        <w:spacing w:line="240" w:lineRule="auto"/>
        <w:jc w:val="both"/>
        <w:rPr>
          <w:rFonts w:ascii="Times New Roman" w:hAnsi="Times New Roman" w:cs="Times New Roman"/>
          <w:sz w:val="24"/>
          <w:szCs w:val="24"/>
        </w:rPr>
      </w:pPr>
      <w:r w:rsidRPr="00345D74">
        <w:rPr>
          <w:rFonts w:ascii="Times New Roman" w:hAnsi="Times New Roman" w:cs="Times New Roman"/>
          <w:b/>
          <w:sz w:val="24"/>
          <w:szCs w:val="24"/>
        </w:rPr>
        <w:t xml:space="preserve">Estructura de costes de las orientaciones productivas agrícolas de la Región de Murcia: horticultura al aire libre y bajo invernadero </w:t>
      </w:r>
      <w:r w:rsidRPr="00345D74">
        <w:rPr>
          <w:rFonts w:ascii="Times New Roman" w:hAnsi="Times New Roman" w:cs="Times New Roman"/>
          <w:sz w:val="24"/>
          <w:szCs w:val="24"/>
        </w:rPr>
        <w:t>(Autor: Dr. José García García - Ministerio de Agricultura, Pesca y Alimentación - Gobierno de España - 2020)</w:t>
      </w:r>
    </w:p>
    <w:p w:rsidR="00CA5B3B" w:rsidRDefault="00CA5B3B" w:rsidP="00CA5B3B">
      <w:pPr>
        <w:spacing w:line="240" w:lineRule="auto"/>
        <w:jc w:val="both"/>
        <w:rPr>
          <w:rFonts w:ascii="Times New Roman" w:hAnsi="Times New Roman" w:cs="Times New Roman"/>
          <w:color w:val="FF0000"/>
          <w:sz w:val="24"/>
          <w:szCs w:val="24"/>
        </w:rPr>
      </w:pPr>
      <w:r w:rsidRPr="008B4EE6">
        <w:rPr>
          <w:rFonts w:ascii="Times New Roman" w:hAnsi="Times New Roman" w:cs="Times New Roman"/>
          <w:noProof/>
          <w:color w:val="FF0000"/>
          <w:sz w:val="24"/>
          <w:szCs w:val="24"/>
          <w:lang w:eastAsia="es-ES"/>
        </w:rPr>
        <w:drawing>
          <wp:inline distT="0" distB="0" distL="0" distR="0" wp14:anchorId="5F76A94C" wp14:editId="6649A85E">
            <wp:extent cx="5731510" cy="2878614"/>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878614"/>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color w:val="FF0000"/>
          <w:sz w:val="24"/>
          <w:szCs w:val="24"/>
        </w:rPr>
      </w:pPr>
      <w:r w:rsidRPr="008B4EE6">
        <w:rPr>
          <w:rFonts w:ascii="Times New Roman" w:hAnsi="Times New Roman" w:cs="Times New Roman"/>
          <w:noProof/>
          <w:color w:val="FF0000"/>
          <w:sz w:val="24"/>
          <w:szCs w:val="24"/>
          <w:lang w:eastAsia="es-ES"/>
        </w:rPr>
        <w:drawing>
          <wp:inline distT="0" distB="0" distL="0" distR="0" wp14:anchorId="32CCFD3C" wp14:editId="7D1BAD87">
            <wp:extent cx="5731510" cy="391898"/>
            <wp:effectExtent l="0" t="0" r="2540" b="825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91898"/>
                    </a:xfrm>
                    <a:prstGeom prst="rect">
                      <a:avLst/>
                    </a:prstGeom>
                  </pic:spPr>
                </pic:pic>
              </a:graphicData>
            </a:graphic>
          </wp:inline>
        </w:drawing>
      </w:r>
      <w:r w:rsidRPr="008B4EE6">
        <w:rPr>
          <w:rFonts w:ascii="Times New Roman" w:hAnsi="Times New Roman" w:cs="Times New Roman"/>
          <w:noProof/>
          <w:color w:val="FF0000"/>
          <w:sz w:val="24"/>
          <w:szCs w:val="24"/>
          <w:lang w:eastAsia="es-ES"/>
        </w:rPr>
        <w:drawing>
          <wp:inline distT="0" distB="0" distL="0" distR="0" wp14:anchorId="29DCFFDE" wp14:editId="1E50A9D0">
            <wp:extent cx="5731510" cy="298210"/>
            <wp:effectExtent l="0" t="0" r="0" b="698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98210"/>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color w:val="FF0000"/>
          <w:sz w:val="24"/>
          <w:szCs w:val="24"/>
        </w:rPr>
      </w:pPr>
      <w:r w:rsidRPr="008B4EE6">
        <w:rPr>
          <w:rFonts w:ascii="Times New Roman" w:hAnsi="Times New Roman" w:cs="Times New Roman"/>
          <w:noProof/>
          <w:color w:val="FF0000"/>
          <w:sz w:val="24"/>
          <w:szCs w:val="24"/>
          <w:lang w:eastAsia="es-ES"/>
        </w:rPr>
        <w:drawing>
          <wp:inline distT="0" distB="0" distL="0" distR="0" wp14:anchorId="178F52F4" wp14:editId="706E0B91">
            <wp:extent cx="5731510" cy="541309"/>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541309"/>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color w:val="FF0000"/>
          <w:sz w:val="24"/>
          <w:szCs w:val="24"/>
        </w:rPr>
      </w:pPr>
      <w:r w:rsidRPr="008B4EE6">
        <w:rPr>
          <w:rFonts w:ascii="Times New Roman" w:hAnsi="Times New Roman" w:cs="Times New Roman"/>
          <w:noProof/>
          <w:color w:val="FF0000"/>
          <w:sz w:val="24"/>
          <w:szCs w:val="24"/>
          <w:lang w:eastAsia="es-ES"/>
        </w:rPr>
        <w:drawing>
          <wp:inline distT="0" distB="0" distL="0" distR="0" wp14:anchorId="48BEAAF8" wp14:editId="55B1B825">
            <wp:extent cx="5731510" cy="614790"/>
            <wp:effectExtent l="0" t="0" r="254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614790"/>
                    </a:xfrm>
                    <a:prstGeom prst="rect">
                      <a:avLst/>
                    </a:prstGeom>
                  </pic:spPr>
                </pic:pic>
              </a:graphicData>
            </a:graphic>
          </wp:inline>
        </w:drawing>
      </w:r>
      <w:r w:rsidRPr="008B4EE6">
        <w:rPr>
          <w:rFonts w:ascii="Times New Roman" w:hAnsi="Times New Roman" w:cs="Times New Roman"/>
          <w:noProof/>
          <w:color w:val="FF0000"/>
          <w:sz w:val="24"/>
          <w:szCs w:val="24"/>
          <w:lang w:eastAsia="es-ES"/>
        </w:rPr>
        <w:drawing>
          <wp:inline distT="0" distB="0" distL="0" distR="0" wp14:anchorId="1DF24B4B" wp14:editId="733F4CA4">
            <wp:extent cx="5734050" cy="355600"/>
            <wp:effectExtent l="0" t="0" r="0" b="635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76281" cy="358219"/>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color w:val="FF0000"/>
          <w:sz w:val="24"/>
          <w:szCs w:val="24"/>
        </w:rPr>
      </w:pPr>
      <w:r w:rsidRPr="008B4EE6">
        <w:rPr>
          <w:rFonts w:ascii="Times New Roman" w:hAnsi="Times New Roman" w:cs="Times New Roman"/>
          <w:noProof/>
          <w:color w:val="FF0000"/>
          <w:sz w:val="24"/>
          <w:szCs w:val="24"/>
          <w:lang w:eastAsia="es-ES"/>
        </w:rPr>
        <w:drawing>
          <wp:inline distT="0" distB="0" distL="0" distR="0" wp14:anchorId="5E6C2BF5" wp14:editId="76DF43EC">
            <wp:extent cx="5731510" cy="936269"/>
            <wp:effectExtent l="0" t="0" r="254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936269"/>
                    </a:xfrm>
                    <a:prstGeom prst="rect">
                      <a:avLst/>
                    </a:prstGeom>
                  </pic:spPr>
                </pic:pic>
              </a:graphicData>
            </a:graphic>
          </wp:inline>
        </w:drawing>
      </w:r>
      <w:r w:rsidRPr="008B4EE6">
        <w:rPr>
          <w:rFonts w:ascii="Times New Roman" w:hAnsi="Times New Roman" w:cs="Times New Roman"/>
          <w:noProof/>
          <w:color w:val="FF0000"/>
          <w:sz w:val="24"/>
          <w:szCs w:val="24"/>
          <w:lang w:eastAsia="es-ES"/>
        </w:rPr>
        <w:drawing>
          <wp:inline distT="0" distB="0" distL="0" distR="0" wp14:anchorId="6E3DA07B" wp14:editId="4D427051">
            <wp:extent cx="5803900" cy="290991"/>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801329" cy="290862"/>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color w:val="FF0000"/>
          <w:sz w:val="24"/>
          <w:szCs w:val="24"/>
        </w:rPr>
      </w:pPr>
      <w:r w:rsidRPr="00CA3594">
        <w:rPr>
          <w:rFonts w:ascii="Times New Roman" w:hAnsi="Times New Roman" w:cs="Times New Roman"/>
          <w:noProof/>
          <w:color w:val="FF0000"/>
          <w:sz w:val="24"/>
          <w:szCs w:val="24"/>
          <w:lang w:eastAsia="es-ES"/>
        </w:rPr>
        <w:lastRenderedPageBreak/>
        <w:drawing>
          <wp:inline distT="0" distB="0" distL="0" distR="0" wp14:anchorId="08DBA0FB" wp14:editId="6CBB7095">
            <wp:extent cx="5731510" cy="805841"/>
            <wp:effectExtent l="0" t="0" r="254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805841"/>
                    </a:xfrm>
                    <a:prstGeom prst="rect">
                      <a:avLst/>
                    </a:prstGeom>
                  </pic:spPr>
                </pic:pic>
              </a:graphicData>
            </a:graphic>
          </wp:inline>
        </w:drawing>
      </w:r>
      <w:r w:rsidRPr="00CA3594">
        <w:rPr>
          <w:rFonts w:ascii="Times New Roman" w:hAnsi="Times New Roman" w:cs="Times New Roman"/>
          <w:noProof/>
          <w:color w:val="FF0000"/>
          <w:sz w:val="24"/>
          <w:szCs w:val="24"/>
          <w:lang w:eastAsia="es-ES"/>
        </w:rPr>
        <w:drawing>
          <wp:inline distT="0" distB="0" distL="0" distR="0" wp14:anchorId="6DDAF531" wp14:editId="03FD5CC1">
            <wp:extent cx="5803900" cy="279400"/>
            <wp:effectExtent l="0" t="0" r="6350" b="635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863912" cy="282289"/>
                    </a:xfrm>
                    <a:prstGeom prst="rect">
                      <a:avLst/>
                    </a:prstGeom>
                  </pic:spPr>
                </pic:pic>
              </a:graphicData>
            </a:graphic>
          </wp:inline>
        </w:drawing>
      </w:r>
    </w:p>
    <w:p w:rsidR="00CA5B3B" w:rsidRPr="00DC6F5F" w:rsidRDefault="00CA5B3B" w:rsidP="00CA5B3B">
      <w:pPr>
        <w:spacing w:line="240" w:lineRule="auto"/>
        <w:jc w:val="both"/>
        <w:rPr>
          <w:rFonts w:ascii="Times New Roman" w:hAnsi="Times New Roman" w:cs="Times New Roman"/>
          <w:color w:val="FF0000"/>
          <w:sz w:val="24"/>
          <w:szCs w:val="24"/>
        </w:rPr>
      </w:pPr>
      <w:r w:rsidRPr="00CA3594">
        <w:rPr>
          <w:rFonts w:ascii="Times New Roman" w:hAnsi="Times New Roman" w:cs="Times New Roman"/>
          <w:noProof/>
          <w:color w:val="FF0000"/>
          <w:sz w:val="24"/>
          <w:szCs w:val="24"/>
          <w:lang w:eastAsia="es-ES"/>
        </w:rPr>
        <w:drawing>
          <wp:inline distT="0" distB="0" distL="0" distR="0" wp14:anchorId="29DC06A5" wp14:editId="78F7BA0F">
            <wp:extent cx="5731510" cy="1421855"/>
            <wp:effectExtent l="0" t="0" r="2540" b="6985"/>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1421855"/>
                    </a:xfrm>
                    <a:prstGeom prst="rect">
                      <a:avLst/>
                    </a:prstGeom>
                  </pic:spPr>
                </pic:pic>
              </a:graphicData>
            </a:graphic>
          </wp:inline>
        </w:drawing>
      </w:r>
      <w:r w:rsidRPr="00CA3594">
        <w:rPr>
          <w:rFonts w:ascii="Times New Roman" w:hAnsi="Times New Roman" w:cs="Times New Roman"/>
          <w:noProof/>
          <w:color w:val="FF0000"/>
          <w:sz w:val="24"/>
          <w:szCs w:val="24"/>
          <w:lang w:eastAsia="es-ES"/>
        </w:rPr>
        <w:drawing>
          <wp:inline distT="0" distB="0" distL="0" distR="0" wp14:anchorId="52A9D4A6" wp14:editId="584FC03E">
            <wp:extent cx="5732524" cy="4057650"/>
            <wp:effectExtent l="0" t="0" r="190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056932"/>
                    </a:xfrm>
                    <a:prstGeom prst="rect">
                      <a:avLst/>
                    </a:prstGeom>
                  </pic:spPr>
                </pic:pic>
              </a:graphicData>
            </a:graphic>
          </wp:inline>
        </w:drawing>
      </w:r>
    </w:p>
    <w:p w:rsidR="00CA5B3B" w:rsidRPr="00CA3594" w:rsidRDefault="00CA5B3B" w:rsidP="00CA5B3B">
      <w:pPr>
        <w:spacing w:line="240" w:lineRule="auto"/>
        <w:jc w:val="both"/>
        <w:rPr>
          <w:rFonts w:ascii="Times New Roman" w:hAnsi="Times New Roman" w:cs="Times New Roman"/>
          <w:sz w:val="24"/>
          <w:szCs w:val="24"/>
        </w:rPr>
      </w:pPr>
      <w:r w:rsidRPr="00CA3594">
        <w:rPr>
          <w:rFonts w:ascii="Times New Roman" w:hAnsi="Times New Roman" w:cs="Times New Roman"/>
          <w:b/>
          <w:sz w:val="24"/>
          <w:szCs w:val="24"/>
        </w:rPr>
        <w:t xml:space="preserve">Nota: </w:t>
      </w:r>
      <w:r w:rsidRPr="00CA3594">
        <w:rPr>
          <w:rFonts w:ascii="Times New Roman" w:hAnsi="Times New Roman" w:cs="Times New Roman"/>
          <w:sz w:val="24"/>
          <w:szCs w:val="24"/>
        </w:rPr>
        <w:t xml:space="preserve">En sintonía con el resto de hortícolas al aire libre con ciclo menor al año muestra un coste del inmovilizado muy elevado (41,54%). También en consonancia con otras hortícolas de ciclo corto (90-100 días) el coste de inmovilizado se debe principalmente al capítulo de preparación y plantación (86% del inmovilizado) y, en particular a planta y plantación manual. Esto nos conduce a extraer una conclusión de carácter general acerca de la horticultura regional. Las empresas de material vegetal y de cultivo de plántulas en semillero tienen una gran importancia socioeconómica sobre los territorios donde se asienta la horticultura. </w:t>
      </w:r>
    </w:p>
    <w:p w:rsidR="00CA5B3B" w:rsidRPr="00CA3594" w:rsidRDefault="00CA5B3B" w:rsidP="00CA5B3B">
      <w:pPr>
        <w:spacing w:line="240" w:lineRule="auto"/>
        <w:jc w:val="both"/>
        <w:rPr>
          <w:rFonts w:ascii="Times New Roman" w:hAnsi="Times New Roman" w:cs="Times New Roman"/>
          <w:sz w:val="24"/>
          <w:szCs w:val="24"/>
        </w:rPr>
      </w:pPr>
      <w:r w:rsidRPr="00CA3594">
        <w:rPr>
          <w:rFonts w:ascii="Times New Roman" w:hAnsi="Times New Roman" w:cs="Times New Roman"/>
          <w:sz w:val="24"/>
          <w:szCs w:val="24"/>
        </w:rPr>
        <w:t xml:space="preserve">También se sigue la pauta en relación a la alta necesidad e inmediatez de capital financiero disponible para la puesta en marcha de la producción, 20.259 € por hectárea de inversión </w:t>
      </w:r>
      <w:r w:rsidRPr="00CA3594">
        <w:rPr>
          <w:rFonts w:ascii="Times New Roman" w:hAnsi="Times New Roman" w:cs="Times New Roman"/>
          <w:sz w:val="24"/>
          <w:szCs w:val="24"/>
        </w:rPr>
        <w:lastRenderedPageBreak/>
        <w:t>inicial y en particular 2.825 € por ciclo destinados sólo a preparación y plantación, pero de menor intensidad que otros cultivos más densos como apio, lechuga Littl</w:t>
      </w:r>
      <w:r w:rsidR="00F953D3">
        <w:rPr>
          <w:rFonts w:ascii="Times New Roman" w:hAnsi="Times New Roman" w:cs="Times New Roman"/>
          <w:sz w:val="24"/>
          <w:szCs w:val="24"/>
        </w:rPr>
        <w:t xml:space="preserve">e gem o melón Galia/Cantalupo. </w:t>
      </w:r>
      <w:r w:rsidRPr="00CA3594">
        <w:rPr>
          <w:rFonts w:ascii="Times New Roman" w:hAnsi="Times New Roman" w:cs="Times New Roman"/>
          <w:sz w:val="24"/>
          <w:szCs w:val="24"/>
        </w:rPr>
        <w:t xml:space="preserve">Entre los costes del circulante destacan las labores manuales (deshierbado, recolección, personal fijo) que alcanzan el 27,42% del coste de producción, pero en menor medida que otras hortícolas de ciclo corto. Le siguen a distancia agua y abonos minerales con el 9,90% y 8,73%, respectivamente (Tabla 27). Los insumos abonos minerales, fitosanitarios y herbicidas, suponen el 15,77%. Es muy bajo en este grupo el gasto en herbicidas que se limita a 1 tratamiento en preemergencia. Sin duda influye el hecho de que sea un cultivo acolchado, que como indicamos en la introducción va ganando superficie año tras año. </w:t>
      </w:r>
    </w:p>
    <w:p w:rsidR="00CA5B3B" w:rsidRDefault="00CA5B3B" w:rsidP="00CA5B3B">
      <w:pPr>
        <w:spacing w:line="240" w:lineRule="auto"/>
        <w:jc w:val="both"/>
        <w:rPr>
          <w:rFonts w:ascii="Times New Roman" w:hAnsi="Times New Roman" w:cs="Times New Roman"/>
          <w:sz w:val="24"/>
          <w:szCs w:val="24"/>
        </w:rPr>
      </w:pPr>
      <w:r w:rsidRPr="00CA3594">
        <w:rPr>
          <w:rFonts w:ascii="Times New Roman" w:hAnsi="Times New Roman" w:cs="Times New Roman"/>
          <w:sz w:val="24"/>
          <w:szCs w:val="24"/>
        </w:rPr>
        <w:t>El coste del riego, en el que agrupamos agua + energía eléctrica vinculada al riego, asciende casi al 11% del coste total. Los indicadores coste relativo de fertilizantes (3,9 céntimos por kilo de producto neto) y coste relativo del riego (5 céntimos por kilo) nos muestran un cultivo no muy eficiente en términos productivos o técnicos, pero si relativizamos estos costes respecto al coste total de 0,45 €/kg, parece menos relevante (alc</w:t>
      </w:r>
      <w:r w:rsidR="00F953D3">
        <w:rPr>
          <w:rFonts w:ascii="Times New Roman" w:hAnsi="Times New Roman" w:cs="Times New Roman"/>
          <w:sz w:val="24"/>
          <w:szCs w:val="24"/>
        </w:rPr>
        <w:t xml:space="preserve">anzan el 20% del coste total). </w:t>
      </w:r>
      <w:r w:rsidRPr="00CA3594">
        <w:rPr>
          <w:rFonts w:ascii="Times New Roman" w:hAnsi="Times New Roman" w:cs="Times New Roman"/>
          <w:sz w:val="24"/>
          <w:szCs w:val="24"/>
        </w:rPr>
        <w:t>La recolección tiene un coste relativamente bajo (1.355 €/ha y ciclo) ya que la productividad no es tan elevada como en otras hortícolas y, además, aunque se recolecte en 2-3 cogidas, los rendimientos son altos debidos a que se cortan pellas en torno a los 500 gramos.</w:t>
      </w:r>
    </w:p>
    <w:p w:rsidR="00CA5B3B" w:rsidRDefault="00CA5B3B" w:rsidP="00CA5B3B">
      <w:pPr>
        <w:spacing w:line="240" w:lineRule="auto"/>
        <w:jc w:val="both"/>
        <w:rPr>
          <w:rFonts w:ascii="Times New Roman" w:hAnsi="Times New Roman" w:cs="Times New Roman"/>
          <w:sz w:val="24"/>
          <w:szCs w:val="24"/>
        </w:rPr>
      </w:pPr>
      <w:r w:rsidRPr="00CA3594">
        <w:rPr>
          <w:rFonts w:ascii="Times New Roman" w:hAnsi="Times New Roman" w:cs="Times New Roman"/>
          <w:noProof/>
          <w:sz w:val="24"/>
          <w:szCs w:val="24"/>
          <w:lang w:eastAsia="es-ES"/>
        </w:rPr>
        <w:drawing>
          <wp:inline distT="0" distB="0" distL="0" distR="0" wp14:anchorId="068EDF7F" wp14:editId="3220BDDD">
            <wp:extent cx="5713225" cy="647700"/>
            <wp:effectExtent l="0" t="0" r="1905"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649773"/>
                    </a:xfrm>
                    <a:prstGeom prst="rect">
                      <a:avLst/>
                    </a:prstGeom>
                  </pic:spPr>
                </pic:pic>
              </a:graphicData>
            </a:graphic>
          </wp:inline>
        </w:drawing>
      </w:r>
      <w:r w:rsidRPr="00CA3594">
        <w:rPr>
          <w:rFonts w:ascii="Times New Roman" w:hAnsi="Times New Roman" w:cs="Times New Roman"/>
          <w:noProof/>
          <w:sz w:val="24"/>
          <w:szCs w:val="24"/>
          <w:lang w:eastAsia="es-ES"/>
        </w:rPr>
        <w:drawing>
          <wp:inline distT="0" distB="0" distL="0" distR="0" wp14:anchorId="2D20A000" wp14:editId="57A6FC3C">
            <wp:extent cx="5644760" cy="18415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186980"/>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sz w:val="24"/>
          <w:szCs w:val="24"/>
        </w:rPr>
      </w:pPr>
      <w:r w:rsidRPr="00CA3594">
        <w:rPr>
          <w:rFonts w:ascii="Times New Roman" w:hAnsi="Times New Roman" w:cs="Times New Roman"/>
          <w:noProof/>
          <w:sz w:val="24"/>
          <w:szCs w:val="24"/>
          <w:lang w:eastAsia="es-ES"/>
        </w:rPr>
        <w:drawing>
          <wp:inline distT="0" distB="0" distL="0" distR="0" wp14:anchorId="3C277AA4" wp14:editId="5198AE2F">
            <wp:extent cx="5724847" cy="666750"/>
            <wp:effectExtent l="0" t="0" r="9525"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667526"/>
                    </a:xfrm>
                    <a:prstGeom prst="rect">
                      <a:avLst/>
                    </a:prstGeom>
                  </pic:spPr>
                </pic:pic>
              </a:graphicData>
            </a:graphic>
          </wp:inline>
        </w:drawing>
      </w:r>
      <w:r w:rsidRPr="002A6738">
        <w:rPr>
          <w:rFonts w:ascii="Times New Roman" w:hAnsi="Times New Roman" w:cs="Times New Roman"/>
          <w:noProof/>
          <w:sz w:val="24"/>
          <w:szCs w:val="24"/>
          <w:lang w:eastAsia="es-ES"/>
        </w:rPr>
        <w:drawing>
          <wp:inline distT="0" distB="0" distL="0" distR="0" wp14:anchorId="695F1B49" wp14:editId="00A6B40A">
            <wp:extent cx="5673435" cy="190500"/>
            <wp:effectExtent l="0" t="0" r="381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192450"/>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sz w:val="24"/>
          <w:szCs w:val="24"/>
        </w:rPr>
      </w:pPr>
      <w:r w:rsidRPr="002A6738">
        <w:rPr>
          <w:rFonts w:ascii="Times New Roman" w:hAnsi="Times New Roman" w:cs="Times New Roman"/>
          <w:noProof/>
          <w:sz w:val="24"/>
          <w:szCs w:val="24"/>
          <w:lang w:eastAsia="es-ES"/>
        </w:rPr>
        <w:drawing>
          <wp:inline distT="0" distB="0" distL="0" distR="0" wp14:anchorId="1655820E" wp14:editId="696B232F">
            <wp:extent cx="5727428" cy="2597150"/>
            <wp:effectExtent l="0" t="0" r="6985"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2599001"/>
                    </a:xfrm>
                    <a:prstGeom prst="rect">
                      <a:avLst/>
                    </a:prstGeom>
                  </pic:spPr>
                </pic:pic>
              </a:graphicData>
            </a:graphic>
          </wp:inline>
        </w:drawing>
      </w:r>
    </w:p>
    <w:p w:rsidR="00CA5B3B" w:rsidRPr="00345D74" w:rsidRDefault="00CA5B3B" w:rsidP="00CA5B3B">
      <w:pPr>
        <w:spacing w:line="240" w:lineRule="auto"/>
        <w:jc w:val="both"/>
        <w:rPr>
          <w:rFonts w:ascii="Times New Roman" w:hAnsi="Times New Roman" w:cs="Times New Roman"/>
          <w:sz w:val="24"/>
          <w:szCs w:val="24"/>
        </w:rPr>
      </w:pPr>
      <w:r w:rsidRPr="002A6738">
        <w:rPr>
          <w:rFonts w:ascii="Times New Roman" w:hAnsi="Times New Roman" w:cs="Times New Roman"/>
          <w:noProof/>
          <w:sz w:val="24"/>
          <w:szCs w:val="24"/>
          <w:lang w:eastAsia="es-ES"/>
        </w:rPr>
        <w:drawing>
          <wp:inline distT="0" distB="0" distL="0" distR="0" wp14:anchorId="4E31AE15" wp14:editId="62F04247">
            <wp:extent cx="5734048" cy="609600"/>
            <wp:effectExtent l="0" t="0" r="635"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609330"/>
                    </a:xfrm>
                    <a:prstGeom prst="rect">
                      <a:avLst/>
                    </a:prstGeom>
                  </pic:spPr>
                </pic:pic>
              </a:graphicData>
            </a:graphic>
          </wp:inline>
        </w:drawing>
      </w:r>
      <w:r w:rsidRPr="002A6738">
        <w:rPr>
          <w:rFonts w:ascii="Times New Roman" w:hAnsi="Times New Roman" w:cs="Times New Roman"/>
          <w:noProof/>
          <w:sz w:val="24"/>
          <w:szCs w:val="24"/>
          <w:lang w:eastAsia="es-ES"/>
        </w:rPr>
        <w:drawing>
          <wp:inline distT="0" distB="0" distL="0" distR="0" wp14:anchorId="362B9827" wp14:editId="4178DB65">
            <wp:extent cx="5731510" cy="264795"/>
            <wp:effectExtent l="0" t="0" r="2540" b="190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264795"/>
                    </a:xfrm>
                    <a:prstGeom prst="rect">
                      <a:avLst/>
                    </a:prstGeom>
                  </pic:spPr>
                </pic:pic>
              </a:graphicData>
            </a:graphic>
          </wp:inline>
        </w:drawing>
      </w:r>
      <w:r w:rsidRPr="00345D74">
        <w:rPr>
          <w:rFonts w:ascii="Times New Roman" w:hAnsi="Times New Roman" w:cs="Times New Roman"/>
          <w:b/>
          <w:sz w:val="24"/>
          <w:szCs w:val="24"/>
        </w:rPr>
        <w:lastRenderedPageBreak/>
        <w:t>Estructura de costes de los principales cultivos en agricultura ecológica de la Región de Murcia</w:t>
      </w:r>
      <w:r w:rsidRPr="00345D74">
        <w:rPr>
          <w:rFonts w:ascii="Times New Roman" w:hAnsi="Times New Roman" w:cs="Times New Roman"/>
          <w:sz w:val="24"/>
          <w:szCs w:val="24"/>
        </w:rPr>
        <w:t xml:space="preserve"> (Autor: Dr. José García García - Ministerio de Agricultura, Pesca y Alimentación - Gobierno de España - 2023)</w:t>
      </w:r>
    </w:p>
    <w:p w:rsidR="00CA5B3B" w:rsidRDefault="00CA5B3B" w:rsidP="00CA5B3B">
      <w:pPr>
        <w:spacing w:line="240" w:lineRule="auto"/>
        <w:jc w:val="both"/>
        <w:rPr>
          <w:rFonts w:ascii="Times New Roman" w:hAnsi="Times New Roman" w:cs="Times New Roman"/>
          <w:b/>
          <w:color w:val="FF0000"/>
          <w:sz w:val="24"/>
          <w:szCs w:val="24"/>
        </w:rPr>
      </w:pPr>
      <w:r w:rsidRPr="009E5734">
        <w:rPr>
          <w:rFonts w:ascii="Times New Roman" w:hAnsi="Times New Roman" w:cs="Times New Roman"/>
          <w:b/>
          <w:noProof/>
          <w:color w:val="FF0000"/>
          <w:sz w:val="24"/>
          <w:szCs w:val="24"/>
          <w:lang w:eastAsia="es-ES"/>
        </w:rPr>
        <w:drawing>
          <wp:inline distT="0" distB="0" distL="0" distR="0" wp14:anchorId="5485999E" wp14:editId="246319C4">
            <wp:extent cx="5731510" cy="3337257"/>
            <wp:effectExtent l="0" t="0" r="254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337257"/>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drawing>
          <wp:inline distT="0" distB="0" distL="0" distR="0" wp14:anchorId="08E0461A" wp14:editId="1EEE1B61">
            <wp:extent cx="5731510" cy="4395995"/>
            <wp:effectExtent l="0" t="0" r="2540" b="508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4395995"/>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lastRenderedPageBreak/>
        <w:drawing>
          <wp:inline distT="0" distB="0" distL="0" distR="0" wp14:anchorId="2F9D1A1A" wp14:editId="38FF2453">
            <wp:extent cx="5731510" cy="3488506"/>
            <wp:effectExtent l="0" t="0" r="254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488506"/>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drawing>
          <wp:inline distT="0" distB="0" distL="0" distR="0" wp14:anchorId="2F214591" wp14:editId="2A76951B">
            <wp:extent cx="5731510" cy="805228"/>
            <wp:effectExtent l="0" t="0" r="254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805228"/>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drawing>
          <wp:inline distT="0" distB="0" distL="0" distR="0" wp14:anchorId="224306F3" wp14:editId="006E5F77">
            <wp:extent cx="5731510" cy="769712"/>
            <wp:effectExtent l="0" t="0" r="254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769712"/>
                    </a:xfrm>
                    <a:prstGeom prst="rect">
                      <a:avLst/>
                    </a:prstGeom>
                  </pic:spPr>
                </pic:pic>
              </a:graphicData>
            </a:graphic>
          </wp:inline>
        </w:drawing>
      </w:r>
      <w:r w:rsidRPr="006A67D4">
        <w:rPr>
          <w:rFonts w:ascii="Times New Roman" w:hAnsi="Times New Roman" w:cs="Times New Roman"/>
          <w:b/>
          <w:noProof/>
          <w:color w:val="FF0000"/>
          <w:sz w:val="24"/>
          <w:szCs w:val="24"/>
          <w:lang w:eastAsia="es-ES"/>
        </w:rPr>
        <w:drawing>
          <wp:inline distT="0" distB="0" distL="0" distR="0" wp14:anchorId="2550FAC6" wp14:editId="2EB14DA8">
            <wp:extent cx="5829300" cy="25400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874236" cy="255958"/>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b/>
          <w:color w:val="FF0000"/>
          <w:sz w:val="24"/>
          <w:szCs w:val="24"/>
        </w:rPr>
      </w:pPr>
    </w:p>
    <w:p w:rsidR="00CA5B3B"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drawing>
          <wp:inline distT="0" distB="0" distL="0" distR="0" wp14:anchorId="62FCEF32" wp14:editId="1C714C76">
            <wp:extent cx="5731510" cy="823598"/>
            <wp:effectExtent l="0" t="0" r="254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823598"/>
                    </a:xfrm>
                    <a:prstGeom prst="rect">
                      <a:avLst/>
                    </a:prstGeom>
                  </pic:spPr>
                </pic:pic>
              </a:graphicData>
            </a:graphic>
          </wp:inline>
        </w:drawing>
      </w:r>
      <w:r w:rsidRPr="006A67D4">
        <w:rPr>
          <w:rFonts w:ascii="Times New Roman" w:hAnsi="Times New Roman" w:cs="Times New Roman"/>
          <w:b/>
          <w:noProof/>
          <w:color w:val="FF0000"/>
          <w:sz w:val="24"/>
          <w:szCs w:val="24"/>
          <w:lang w:eastAsia="es-ES"/>
        </w:rPr>
        <w:drawing>
          <wp:inline distT="0" distB="0" distL="0" distR="0" wp14:anchorId="418F0D41" wp14:editId="27FC4DE8">
            <wp:extent cx="5829300" cy="31115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850732" cy="312294"/>
                    </a:xfrm>
                    <a:prstGeom prst="rect">
                      <a:avLst/>
                    </a:prstGeom>
                  </pic:spPr>
                </pic:pic>
              </a:graphicData>
            </a:graphic>
          </wp:inline>
        </w:drawing>
      </w:r>
    </w:p>
    <w:p w:rsidR="00CA5B3B" w:rsidRPr="00892AA8" w:rsidRDefault="00CA5B3B" w:rsidP="00CA5B3B">
      <w:pPr>
        <w:spacing w:line="240" w:lineRule="auto"/>
        <w:jc w:val="both"/>
        <w:rPr>
          <w:rFonts w:ascii="Times New Roman" w:hAnsi="Times New Roman" w:cs="Times New Roman"/>
          <w:b/>
          <w:color w:val="FF0000"/>
          <w:sz w:val="24"/>
          <w:szCs w:val="24"/>
        </w:rPr>
      </w:pPr>
      <w:r w:rsidRPr="006A67D4">
        <w:rPr>
          <w:rFonts w:ascii="Times New Roman" w:hAnsi="Times New Roman" w:cs="Times New Roman"/>
          <w:b/>
          <w:noProof/>
          <w:color w:val="FF0000"/>
          <w:sz w:val="24"/>
          <w:szCs w:val="24"/>
          <w:lang w:eastAsia="es-ES"/>
        </w:rPr>
        <w:drawing>
          <wp:inline distT="0" distB="0" distL="0" distR="0" wp14:anchorId="15458836" wp14:editId="27874BAC">
            <wp:extent cx="5731510" cy="834008"/>
            <wp:effectExtent l="0" t="0" r="2540" b="4445"/>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834008"/>
                    </a:xfrm>
                    <a:prstGeom prst="rect">
                      <a:avLst/>
                    </a:prstGeom>
                  </pic:spPr>
                </pic:pic>
              </a:graphicData>
            </a:graphic>
          </wp:inline>
        </w:drawing>
      </w:r>
      <w:r w:rsidRPr="006A67D4">
        <w:rPr>
          <w:rFonts w:ascii="Times New Roman" w:hAnsi="Times New Roman" w:cs="Times New Roman"/>
          <w:b/>
          <w:noProof/>
          <w:color w:val="FF0000"/>
          <w:sz w:val="24"/>
          <w:szCs w:val="24"/>
          <w:lang w:eastAsia="es-ES"/>
        </w:rPr>
        <w:drawing>
          <wp:inline distT="0" distB="0" distL="0" distR="0" wp14:anchorId="0C6EC6FA" wp14:editId="10D40EDC">
            <wp:extent cx="5778500" cy="260350"/>
            <wp:effectExtent l="0" t="0" r="0" b="635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803359" cy="261470"/>
                    </a:xfrm>
                    <a:prstGeom prst="rect">
                      <a:avLst/>
                    </a:prstGeom>
                  </pic:spPr>
                </pic:pic>
              </a:graphicData>
            </a:graphic>
          </wp:inline>
        </w:drawing>
      </w:r>
    </w:p>
    <w:p w:rsidR="00CA5B3B" w:rsidRDefault="00CA5B3B" w:rsidP="00CA5B3B">
      <w:pPr>
        <w:spacing w:line="240" w:lineRule="auto"/>
        <w:jc w:val="both"/>
        <w:rPr>
          <w:rFonts w:ascii="Times New Roman" w:hAnsi="Times New Roman" w:cs="Times New Roman"/>
          <w:sz w:val="24"/>
          <w:szCs w:val="24"/>
        </w:rPr>
      </w:pPr>
    </w:p>
    <w:p w:rsidR="00CA5B3B" w:rsidRDefault="00CA5B3B" w:rsidP="00CA5B3B">
      <w:pPr>
        <w:spacing w:line="240" w:lineRule="auto"/>
        <w:jc w:val="both"/>
        <w:rPr>
          <w:rFonts w:ascii="Times New Roman" w:hAnsi="Times New Roman" w:cs="Times New Roman"/>
          <w:sz w:val="24"/>
          <w:szCs w:val="24"/>
        </w:rPr>
      </w:pPr>
      <w:r w:rsidRPr="006A67D4">
        <w:rPr>
          <w:rFonts w:ascii="Times New Roman" w:hAnsi="Times New Roman" w:cs="Times New Roman"/>
          <w:noProof/>
          <w:sz w:val="24"/>
          <w:szCs w:val="24"/>
          <w:lang w:eastAsia="es-ES"/>
        </w:rPr>
        <w:lastRenderedPageBreak/>
        <w:drawing>
          <wp:inline distT="0" distB="0" distL="0" distR="0" wp14:anchorId="324ABD94" wp14:editId="78579E52">
            <wp:extent cx="5731510" cy="5334101"/>
            <wp:effectExtent l="0" t="0" r="254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5334101"/>
                    </a:xfrm>
                    <a:prstGeom prst="rect">
                      <a:avLst/>
                    </a:prstGeom>
                  </pic:spPr>
                </pic:pic>
              </a:graphicData>
            </a:graphic>
          </wp:inline>
        </w:drawing>
      </w:r>
    </w:p>
    <w:p w:rsidR="00CA5B3B" w:rsidRPr="00714CE2" w:rsidRDefault="00CA5B3B" w:rsidP="00CA5B3B">
      <w:pPr>
        <w:spacing w:line="240" w:lineRule="auto"/>
        <w:jc w:val="both"/>
        <w:rPr>
          <w:rFonts w:ascii="Times New Roman" w:hAnsi="Times New Roman" w:cs="Times New Roman"/>
          <w:sz w:val="24"/>
          <w:szCs w:val="24"/>
        </w:rPr>
      </w:pPr>
      <w:r w:rsidRPr="00714CE2">
        <w:rPr>
          <w:rFonts w:ascii="Times New Roman" w:hAnsi="Times New Roman" w:cs="Times New Roman"/>
          <w:b/>
          <w:sz w:val="24"/>
          <w:szCs w:val="24"/>
        </w:rPr>
        <w:t>Nota:</w:t>
      </w:r>
      <w:r w:rsidRPr="00714CE2">
        <w:rPr>
          <w:rFonts w:ascii="Times New Roman" w:hAnsi="Times New Roman" w:cs="Times New Roman"/>
          <w:sz w:val="24"/>
          <w:szCs w:val="24"/>
        </w:rPr>
        <w:t xml:space="preserve"> En sintonía con el resto de hortícolas al aire libre con ciclo menor al año muestra un coste del inmovilizado muy elevado (33,56%), como dijimos en apio, con menor inmovilizado en términos porcentuales que el convencional, debido también al incremento mayor de las partidas del circulante. También en consonancia con otras hortícolas de ciclo corto (90-100 días) el coste de inmovilizado se debe principalmente al capítulo de preparación y plantación, en particular a planta y plantación manual. Ya en García García (2020a) se confirmaba como aquí la siguiente conclusión de carácter general acerca de la horticultura regional. Las empresas de material vegetal y de cultivo de plántulas en semillero tienen una gran importancia socioeconómica sobre los territorios donde se asienta la horticultura. </w:t>
      </w:r>
    </w:p>
    <w:p w:rsidR="00CA5B3B" w:rsidRPr="00714CE2" w:rsidRDefault="00CA5B3B" w:rsidP="00CA5B3B">
      <w:pPr>
        <w:spacing w:line="240" w:lineRule="auto"/>
        <w:jc w:val="both"/>
        <w:rPr>
          <w:rFonts w:ascii="Times New Roman" w:hAnsi="Times New Roman" w:cs="Times New Roman"/>
          <w:sz w:val="24"/>
          <w:szCs w:val="24"/>
        </w:rPr>
      </w:pPr>
      <w:r w:rsidRPr="00714CE2">
        <w:rPr>
          <w:rFonts w:ascii="Times New Roman" w:hAnsi="Times New Roman" w:cs="Times New Roman"/>
          <w:sz w:val="24"/>
          <w:szCs w:val="24"/>
        </w:rPr>
        <w:t xml:space="preserve">Los marcos de plantación y la red de riego son similares al cultivo convencional. Es muy extendido, y así lo hemos valorado, el uso de acolchado para disminuir el impacto de malas hierbas, entre otros efectos beneficiosos de esta técnica. Este cultivo se adapta bien al sistema ecológico, con productividades elevadas, prácticamente en sintonía con el cultivo convencional, pero con mayores costes asociados al circulante. </w:t>
      </w:r>
    </w:p>
    <w:p w:rsidR="00CA5B3B" w:rsidRPr="00714CE2" w:rsidRDefault="00CA5B3B" w:rsidP="00CA5B3B">
      <w:pPr>
        <w:spacing w:line="240" w:lineRule="auto"/>
        <w:jc w:val="both"/>
        <w:rPr>
          <w:rFonts w:ascii="Times New Roman" w:hAnsi="Times New Roman" w:cs="Times New Roman"/>
          <w:sz w:val="24"/>
          <w:szCs w:val="24"/>
        </w:rPr>
      </w:pPr>
      <w:r w:rsidRPr="00714CE2">
        <w:rPr>
          <w:rFonts w:ascii="Times New Roman" w:hAnsi="Times New Roman" w:cs="Times New Roman"/>
          <w:sz w:val="24"/>
          <w:szCs w:val="24"/>
        </w:rPr>
        <w:t xml:space="preserve">En este cultivo, también existe un mayor coste del circulante. Destacan los costes de abonos (24,74% del coste total), recolección (14,29%) y riego (12,05%). Es un cultivo con </w:t>
      </w:r>
      <w:r w:rsidRPr="00714CE2">
        <w:rPr>
          <w:rFonts w:ascii="Times New Roman" w:hAnsi="Times New Roman" w:cs="Times New Roman"/>
          <w:sz w:val="24"/>
          <w:szCs w:val="24"/>
        </w:rPr>
        <w:lastRenderedPageBreak/>
        <w:t xml:space="preserve">requerimientos fertilizantes altos y con poca productividad en relación a apio o lechuga, por ejemplo. Así pues, este coste es muy relevante. Le sigue la recolección, que junto a otras tareas manuales (deshierbado, recolección, personal fijo) alcanzan el 23,3% del coste de producción, con menor coste que en otras hortícolas de ciclo corto, especialmente el apio. </w:t>
      </w:r>
    </w:p>
    <w:p w:rsidR="00CA5B3B" w:rsidRPr="00714CE2" w:rsidRDefault="00CA5B3B" w:rsidP="00CA5B3B">
      <w:pPr>
        <w:spacing w:line="240" w:lineRule="auto"/>
        <w:jc w:val="both"/>
        <w:rPr>
          <w:rFonts w:ascii="Times New Roman" w:hAnsi="Times New Roman" w:cs="Times New Roman"/>
          <w:sz w:val="24"/>
          <w:szCs w:val="24"/>
        </w:rPr>
      </w:pPr>
      <w:r w:rsidRPr="00714CE2">
        <w:rPr>
          <w:rFonts w:ascii="Times New Roman" w:hAnsi="Times New Roman" w:cs="Times New Roman"/>
          <w:sz w:val="24"/>
          <w:szCs w:val="24"/>
        </w:rPr>
        <w:t xml:space="preserve">El riego (agua + energía) es más alto en términos porcentuales que en otras hortícolas. Podemos confirmar que el bróculi muestra un indicador elevado de coste relativo de agua y, sobre todo, de fertilizantes. Así, el indicador de coste relativo de fertilizantes (15,1 céntimos por kilo de producto neto) y el relativo al coste del riego (7,4 céntimos por kilo), verifican que se trata de un cultivo poco productivo y eficiente en relación a estos insumos. En cualquier caso, relativizando la suma de fertilización, agua y energía suponen 0,225 €/kg sobre un montante de 0,61 €/ kg neto. El sobrecoste del ecológico sobre el convencional está en torno a los 16 céntimos por kilo. </w:t>
      </w:r>
    </w:p>
    <w:p w:rsidR="00CA5B3B" w:rsidRDefault="00CA5B3B" w:rsidP="00CA5B3B">
      <w:pPr>
        <w:spacing w:line="240" w:lineRule="auto"/>
        <w:jc w:val="both"/>
        <w:rPr>
          <w:rFonts w:ascii="Times New Roman" w:hAnsi="Times New Roman" w:cs="Times New Roman"/>
          <w:sz w:val="24"/>
          <w:szCs w:val="24"/>
        </w:rPr>
      </w:pPr>
      <w:r w:rsidRPr="00714CE2">
        <w:rPr>
          <w:rFonts w:ascii="Times New Roman" w:hAnsi="Times New Roman" w:cs="Times New Roman"/>
          <w:sz w:val="24"/>
          <w:szCs w:val="24"/>
        </w:rPr>
        <w:t>Por el contrario, la partida de fitosanitarios es menor que en cultivo convencional y del mismo modo es un coste poco relevante. Al igual que el apio es un cultivo poco delicado (en relación a lechuga, por ejemplo); no se aplica control biológico específico, siendo sólo aplicados tratamientos aéreos permitidos en ecológico. Al existir pocos tratamientos fitosanitarios y la inexistencia de tratamientos herbicidas, la partida de maquinaria es muy poco importante (1,97%).</w:t>
      </w:r>
    </w:p>
    <w:p w:rsidR="0076134F" w:rsidRPr="00345D74" w:rsidRDefault="009C1E0B" w:rsidP="00CA5B3B">
      <w:pPr>
        <w:spacing w:line="240" w:lineRule="auto"/>
        <w:jc w:val="both"/>
        <w:rPr>
          <w:rFonts w:ascii="Times New Roman" w:hAnsi="Times New Roman" w:cs="Times New Roman"/>
          <w:sz w:val="24"/>
          <w:szCs w:val="24"/>
        </w:rPr>
      </w:pPr>
      <w:r w:rsidRPr="009C1E0B">
        <w:rPr>
          <w:rFonts w:ascii="Times New Roman" w:hAnsi="Times New Roman" w:cs="Times New Roman"/>
          <w:b/>
          <w:sz w:val="24"/>
          <w:szCs w:val="24"/>
        </w:rPr>
        <w:t xml:space="preserve">Nota: </w:t>
      </w:r>
      <w:r w:rsidRPr="009C1E0B">
        <w:rPr>
          <w:rFonts w:ascii="Times New Roman" w:hAnsi="Times New Roman" w:cs="Times New Roman"/>
          <w:sz w:val="24"/>
          <w:szCs w:val="24"/>
        </w:rPr>
        <w:t>los interesados pueden</w:t>
      </w:r>
      <w:r w:rsidR="002B5C2F">
        <w:rPr>
          <w:rFonts w:ascii="Times New Roman" w:hAnsi="Times New Roman" w:cs="Times New Roman"/>
          <w:sz w:val="24"/>
          <w:szCs w:val="24"/>
        </w:rPr>
        <w:t xml:space="preserve"> ver otras</w:t>
      </w:r>
      <w:r>
        <w:rPr>
          <w:rFonts w:ascii="Times New Roman" w:hAnsi="Times New Roman" w:cs="Times New Roman"/>
          <w:b/>
          <w:sz w:val="24"/>
          <w:szCs w:val="24"/>
        </w:rPr>
        <w:t xml:space="preserve"> </w:t>
      </w:r>
      <w:r w:rsidRPr="009C1E0B">
        <w:rPr>
          <w:rFonts w:ascii="Times New Roman" w:hAnsi="Times New Roman" w:cs="Times New Roman"/>
          <w:sz w:val="24"/>
          <w:szCs w:val="24"/>
        </w:rPr>
        <w:t>estructu</w:t>
      </w:r>
      <w:r w:rsidR="002B5C2F">
        <w:rPr>
          <w:rFonts w:ascii="Times New Roman" w:hAnsi="Times New Roman" w:cs="Times New Roman"/>
          <w:sz w:val="24"/>
          <w:szCs w:val="24"/>
        </w:rPr>
        <w:t xml:space="preserve">ras de costos de </w:t>
      </w:r>
      <w:r>
        <w:rPr>
          <w:rFonts w:ascii="Times New Roman" w:hAnsi="Times New Roman" w:cs="Times New Roman"/>
          <w:sz w:val="24"/>
          <w:szCs w:val="24"/>
        </w:rPr>
        <w:t>productos agrícolas (</w:t>
      </w:r>
      <w:r w:rsidR="002B5C2F">
        <w:rPr>
          <w:rFonts w:ascii="Times New Roman" w:hAnsi="Times New Roman" w:cs="Times New Roman"/>
          <w:sz w:val="24"/>
          <w:szCs w:val="24"/>
        </w:rPr>
        <w:t>almendro en secano, limonero fino, naranjo-mandarino temprano, viña de secano, viña en regadío, olivo en secano, olivo en regadío, cebada en secano, espliego en secano, tomillo rojo regadío, apio, lechuga iceberg, pimiento en invernadero</w:t>
      </w:r>
      <w:r w:rsidR="009C743F">
        <w:rPr>
          <w:rFonts w:ascii="Times New Roman" w:hAnsi="Times New Roman" w:cs="Times New Roman"/>
          <w:sz w:val="24"/>
          <w:szCs w:val="24"/>
        </w:rPr>
        <w:t>, en agricultura ecológica</w:t>
      </w:r>
      <w:r w:rsidR="002B5C2F">
        <w:rPr>
          <w:rFonts w:ascii="Times New Roman" w:hAnsi="Times New Roman" w:cs="Times New Roman"/>
          <w:sz w:val="24"/>
          <w:szCs w:val="24"/>
        </w:rPr>
        <w:t xml:space="preserve"> y tradicionales</w:t>
      </w:r>
      <w:r>
        <w:rPr>
          <w:rFonts w:ascii="Times New Roman" w:hAnsi="Times New Roman" w:cs="Times New Roman"/>
          <w:sz w:val="24"/>
          <w:szCs w:val="24"/>
        </w:rPr>
        <w:t>) en:</w:t>
      </w:r>
      <w:r w:rsidR="006B7BF2">
        <w:rPr>
          <w:rFonts w:ascii="Times New Roman" w:hAnsi="Times New Roman" w:cs="Times New Roman"/>
          <w:sz w:val="24"/>
          <w:szCs w:val="24"/>
        </w:rPr>
        <w:t xml:space="preserve"> </w:t>
      </w:r>
      <w:r w:rsidR="009C743F" w:rsidRPr="00345D74">
        <w:rPr>
          <w:rFonts w:ascii="Times New Roman" w:hAnsi="Times New Roman" w:cs="Times New Roman"/>
          <w:sz w:val="20"/>
          <w:szCs w:val="20"/>
        </w:rPr>
        <w:t>https://www.mapa.gob.es/es/alimentacion/temas/observatorio-cadena/estructuradecostesdelosprincipalescultivosenagriculturaecologicadelaregiondemurcia_tcm30-690252.pdf</w:t>
      </w:r>
      <w:r w:rsidRPr="00345D74">
        <w:rPr>
          <w:rFonts w:ascii="Times New Roman" w:hAnsi="Times New Roman" w:cs="Times New Roman"/>
          <w:sz w:val="20"/>
          <w:szCs w:val="20"/>
        </w:rPr>
        <w:t xml:space="preserve"> </w:t>
      </w:r>
    </w:p>
    <w:p w:rsidR="009C1E0B" w:rsidRPr="00345D74" w:rsidRDefault="009C1E0B" w:rsidP="00CA5B3B">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Y ahora</w:t>
      </w:r>
      <w:r w:rsidR="006B7BF2" w:rsidRPr="00345D74">
        <w:rPr>
          <w:rFonts w:ascii="Times New Roman" w:hAnsi="Times New Roman" w:cs="Times New Roman"/>
          <w:sz w:val="24"/>
          <w:szCs w:val="24"/>
        </w:rPr>
        <w:t>,</w:t>
      </w:r>
      <w:r w:rsidRPr="00345D74">
        <w:rPr>
          <w:rFonts w:ascii="Times New Roman" w:hAnsi="Times New Roman" w:cs="Times New Roman"/>
          <w:sz w:val="24"/>
          <w:szCs w:val="24"/>
        </w:rPr>
        <w:t xml:space="preserve"> vamos a la </w:t>
      </w:r>
      <w:r w:rsidRPr="00345D74">
        <w:rPr>
          <w:rFonts w:ascii="Times New Roman" w:hAnsi="Times New Roman" w:cs="Times New Roman"/>
          <w:b/>
          <w:sz w:val="24"/>
          <w:szCs w:val="24"/>
        </w:rPr>
        <w:t>propuesta</w:t>
      </w:r>
      <w:r w:rsidRPr="00345D74">
        <w:rPr>
          <w:rFonts w:ascii="Times New Roman" w:hAnsi="Times New Roman" w:cs="Times New Roman"/>
          <w:sz w:val="24"/>
          <w:szCs w:val="24"/>
        </w:rPr>
        <w:t xml:space="preserve"> de </w:t>
      </w:r>
      <w:r w:rsidR="00470CF9" w:rsidRPr="00345D74">
        <w:rPr>
          <w:rFonts w:ascii="Times New Roman" w:hAnsi="Times New Roman" w:cs="Times New Roman"/>
          <w:sz w:val="24"/>
          <w:szCs w:val="24"/>
        </w:rPr>
        <w:t>“</w:t>
      </w:r>
      <w:r w:rsidRPr="00345D74">
        <w:rPr>
          <w:rFonts w:ascii="Times New Roman" w:hAnsi="Times New Roman" w:cs="Times New Roman"/>
          <w:sz w:val="24"/>
          <w:szCs w:val="24"/>
        </w:rPr>
        <w:t>Mahoma y la montaña</w:t>
      </w:r>
      <w:r w:rsidR="00470CF9" w:rsidRPr="00345D74">
        <w:rPr>
          <w:rFonts w:ascii="Times New Roman" w:hAnsi="Times New Roman" w:cs="Times New Roman"/>
          <w:sz w:val="24"/>
          <w:szCs w:val="24"/>
        </w:rPr>
        <w:t>”</w:t>
      </w:r>
      <w:r w:rsidR="002B5C2F" w:rsidRPr="00345D74">
        <w:rPr>
          <w:rFonts w:ascii="Times New Roman" w:hAnsi="Times New Roman" w:cs="Times New Roman"/>
          <w:sz w:val="24"/>
          <w:szCs w:val="24"/>
        </w:rPr>
        <w:t xml:space="preserve"> (</w:t>
      </w:r>
      <w:r w:rsidR="009C743F" w:rsidRPr="00345D74">
        <w:rPr>
          <w:rFonts w:ascii="Times New Roman" w:hAnsi="Times New Roman" w:cs="Times New Roman"/>
          <w:sz w:val="24"/>
          <w:szCs w:val="24"/>
        </w:rPr>
        <w:t>“</w:t>
      </w:r>
      <w:r w:rsidR="002B5C2F" w:rsidRPr="00345D74">
        <w:rPr>
          <w:rFonts w:ascii="Times New Roman" w:hAnsi="Times New Roman" w:cs="Times New Roman"/>
          <w:b/>
          <w:sz w:val="24"/>
          <w:szCs w:val="24"/>
        </w:rPr>
        <w:t>los brócolis de la ira</w:t>
      </w:r>
      <w:r w:rsidR="009C743F" w:rsidRPr="00345D74">
        <w:rPr>
          <w:rFonts w:ascii="Times New Roman" w:hAnsi="Times New Roman" w:cs="Times New Roman"/>
          <w:sz w:val="24"/>
          <w:szCs w:val="24"/>
        </w:rPr>
        <w:t>”</w:t>
      </w:r>
      <w:r w:rsidR="002B5C2F" w:rsidRPr="00345D74">
        <w:rPr>
          <w:rFonts w:ascii="Times New Roman" w:hAnsi="Times New Roman" w:cs="Times New Roman"/>
          <w:sz w:val="24"/>
          <w:szCs w:val="24"/>
        </w:rPr>
        <w:t>)</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Cultivo de brócoli al aire libre y bajo invernadero (porcentaje sobre el costo del insumo)</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Fitosanitarios - 6,82%</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Abonos -  8,73%</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Herbicidas - 0,22%</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Porcentaje de costo acumulado para los insumos indicados: 15,77%</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Cultivo de brócoli ecológico (porcentaje sobre el costo del insumo)</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Fitosanitarios - 3,51%</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Abonos -  24,74%</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Herbicidas - 0%</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Porcentaje de costo acumulado para los insumos indicados: 28,25%</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Concentrando el análisis en el cultivo de brócoli al aire libre y bajo invernadero, </w:t>
      </w:r>
      <w:r w:rsidRPr="00676489">
        <w:rPr>
          <w:rFonts w:ascii="Times New Roman" w:hAnsi="Times New Roman" w:cs="Times New Roman"/>
          <w:b/>
          <w:sz w:val="24"/>
          <w:szCs w:val="24"/>
        </w:rPr>
        <w:t>la propuesta es liberar a los agricultores europeos de todas las disposiciones, reglamentaciones, exigencias, restricciones, limitaciones, y controles, respecto a la utilización de cualquier tipo de agroquímico en el proceso productivo</w:t>
      </w:r>
      <w:r>
        <w:rPr>
          <w:rFonts w:ascii="Times New Roman" w:hAnsi="Times New Roman" w:cs="Times New Roman"/>
          <w:sz w:val="24"/>
          <w:szCs w:val="24"/>
        </w:rPr>
        <w:t xml:space="preserve">, y que representa </w:t>
      </w:r>
      <w:r>
        <w:rPr>
          <w:rFonts w:ascii="Times New Roman" w:hAnsi="Times New Roman" w:cs="Times New Roman"/>
          <w:sz w:val="24"/>
          <w:szCs w:val="24"/>
        </w:rPr>
        <w:lastRenderedPageBreak/>
        <w:t>(en el caso del cultivo español), el 15,77% del costo de producción. Para el caso del cultivo ecológico, el porcentaje de costo para los mismos insumos llega al 28,25%.</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w:t>
      </w:r>
      <w:r w:rsidRPr="00676489">
        <w:rPr>
          <w:rFonts w:ascii="Times New Roman" w:hAnsi="Times New Roman" w:cs="Times New Roman"/>
          <w:b/>
          <w:sz w:val="24"/>
          <w:szCs w:val="24"/>
        </w:rPr>
        <w:t>proceso de</w:t>
      </w:r>
      <w:r>
        <w:rPr>
          <w:rFonts w:ascii="Times New Roman" w:hAnsi="Times New Roman" w:cs="Times New Roman"/>
          <w:sz w:val="24"/>
          <w:szCs w:val="24"/>
        </w:rPr>
        <w:t xml:space="preserve"> </w:t>
      </w:r>
      <w:r w:rsidRPr="00676489">
        <w:rPr>
          <w:rFonts w:ascii="Times New Roman" w:hAnsi="Times New Roman" w:cs="Times New Roman"/>
          <w:b/>
          <w:sz w:val="24"/>
          <w:szCs w:val="24"/>
        </w:rPr>
        <w:t>desregulación</w:t>
      </w:r>
      <w:r>
        <w:rPr>
          <w:rFonts w:ascii="Times New Roman" w:hAnsi="Times New Roman" w:cs="Times New Roman"/>
          <w:b/>
          <w:sz w:val="24"/>
          <w:szCs w:val="24"/>
        </w:rPr>
        <w:t xml:space="preserve"> </w:t>
      </w:r>
      <w:r>
        <w:rPr>
          <w:rFonts w:ascii="Times New Roman" w:hAnsi="Times New Roman" w:cs="Times New Roman"/>
          <w:sz w:val="24"/>
          <w:szCs w:val="24"/>
        </w:rPr>
        <w:t>se pondría en mejor posición competitiva el producto europeo con respecto al de terceros países de fuera de la Unión Europea.</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el mismo espíritu desregulador, se debería recorrer toda la estructura de producción, buscando en qué aspectos se puede </w:t>
      </w:r>
      <w:r w:rsidRPr="00711173">
        <w:rPr>
          <w:rFonts w:ascii="Times New Roman" w:hAnsi="Times New Roman" w:cs="Times New Roman"/>
          <w:b/>
          <w:sz w:val="24"/>
          <w:szCs w:val="24"/>
        </w:rPr>
        <w:t>devolver al productor agropecuario el libre albedrío</w:t>
      </w:r>
      <w:r>
        <w:rPr>
          <w:rFonts w:ascii="Times New Roman" w:hAnsi="Times New Roman" w:cs="Times New Roman"/>
          <w:sz w:val="24"/>
          <w:szCs w:val="24"/>
        </w:rPr>
        <w:t xml:space="preserve"> (libertad de empresa) que le fue sustraído (expropiado) en la hoguera burocrática de Bruselas.</w:t>
      </w:r>
    </w:p>
    <w:p w:rsidR="00E24E01"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Para todos aquellos insumos en los que no se pueda eliminar (o reducir) el peso regulatorio y/o minorar el costo operativo (salarios, cargas sociales, riego, energía, seguros, fletes, amortización, impuestos…), se debe estudiar el costo de los factores  en los terceros países de fuera de la Unión Europea (competidores) para establecer unos aranceles compensatorios del menor costo relativo.</w:t>
      </w:r>
    </w:p>
    <w:p w:rsidR="00E24E01" w:rsidRDefault="00E24E01" w:rsidP="00E24E01">
      <w:pPr>
        <w:spacing w:line="240" w:lineRule="auto"/>
        <w:jc w:val="both"/>
        <w:rPr>
          <w:rFonts w:ascii="Times New Roman" w:hAnsi="Times New Roman" w:cs="Times New Roman"/>
          <w:b/>
          <w:sz w:val="24"/>
          <w:szCs w:val="24"/>
        </w:rPr>
      </w:pPr>
      <w:r w:rsidRPr="00B25C10">
        <w:rPr>
          <w:rFonts w:ascii="Times New Roman" w:hAnsi="Times New Roman" w:cs="Times New Roman"/>
          <w:b/>
          <w:sz w:val="24"/>
          <w:szCs w:val="24"/>
        </w:rPr>
        <w:t xml:space="preserve">Una vez cumplido todo este proceso desregulador, liberador, compensatorio… se puede decir: ¡que se vengan los “pollos” de todas partes! </w:t>
      </w:r>
      <w:r>
        <w:rPr>
          <w:rFonts w:ascii="Times New Roman" w:hAnsi="Times New Roman" w:cs="Times New Roman"/>
          <w:b/>
          <w:sz w:val="24"/>
          <w:szCs w:val="24"/>
        </w:rPr>
        <w:t>¡Y que cada palo aguante su vela!</w:t>
      </w:r>
    </w:p>
    <w:p w:rsidR="00E24E01" w:rsidRPr="00B25C10" w:rsidRDefault="00E24E01" w:rsidP="00E24E01">
      <w:pPr>
        <w:spacing w:line="240" w:lineRule="auto"/>
        <w:jc w:val="both"/>
        <w:rPr>
          <w:rFonts w:ascii="Times New Roman" w:hAnsi="Times New Roman" w:cs="Times New Roman"/>
          <w:sz w:val="24"/>
          <w:szCs w:val="24"/>
        </w:rPr>
      </w:pPr>
      <w:r>
        <w:rPr>
          <w:rFonts w:ascii="Times New Roman" w:hAnsi="Times New Roman" w:cs="Times New Roman"/>
          <w:sz w:val="24"/>
          <w:szCs w:val="24"/>
        </w:rPr>
        <w:t>Una vez denunciada</w:t>
      </w:r>
      <w:r w:rsidRPr="00B25C10">
        <w:rPr>
          <w:rFonts w:ascii="Times New Roman" w:hAnsi="Times New Roman" w:cs="Times New Roman"/>
          <w:sz w:val="24"/>
          <w:szCs w:val="24"/>
        </w:rPr>
        <w:t xml:space="preserve"> la Agenda 2030, y sus </w:t>
      </w:r>
      <w:r>
        <w:rPr>
          <w:rFonts w:ascii="Times New Roman" w:hAnsi="Times New Roman" w:cs="Times New Roman"/>
          <w:sz w:val="24"/>
          <w:szCs w:val="24"/>
        </w:rPr>
        <w:t xml:space="preserve">nefastas consecuencias… una vez eliminado el Pacto Verde, y sus funestos resultados… una vez asumida la inutilidad de la Estrategia </w:t>
      </w:r>
      <w:r w:rsidRPr="00E06436">
        <w:rPr>
          <w:rFonts w:ascii="Times New Roman" w:hAnsi="Times New Roman" w:cs="Times New Roman"/>
          <w:sz w:val="24"/>
          <w:szCs w:val="24"/>
        </w:rPr>
        <w:t>De la Granja a la Mesa</w:t>
      </w:r>
      <w:r>
        <w:rPr>
          <w:rFonts w:ascii="Times New Roman" w:hAnsi="Times New Roman" w:cs="Times New Roman"/>
          <w:sz w:val="24"/>
          <w:szCs w:val="24"/>
        </w:rPr>
        <w:t xml:space="preserve">… una vez constatada la falacia de las Clausulas Espejo… se pueden firmar los Acuerdos Comerciales con Mercosur, Marruecos, Egipto, Turquía… y el Sursum Corda. </w:t>
      </w:r>
    </w:p>
    <w:p w:rsidR="00E24E01" w:rsidRDefault="00E24E01" w:rsidP="00E24E01">
      <w:pPr>
        <w:spacing w:line="240" w:lineRule="auto"/>
        <w:jc w:val="both"/>
        <w:rPr>
          <w:rFonts w:ascii="Times New Roman" w:hAnsi="Times New Roman" w:cs="Times New Roman"/>
          <w:b/>
          <w:sz w:val="24"/>
          <w:szCs w:val="24"/>
        </w:rPr>
      </w:pPr>
      <w:r w:rsidRPr="003D6567">
        <w:rPr>
          <w:rFonts w:ascii="Times New Roman" w:hAnsi="Times New Roman" w:cs="Times New Roman"/>
          <w:b/>
          <w:sz w:val="24"/>
          <w:szCs w:val="24"/>
        </w:rPr>
        <w:t>E inclusive</w:t>
      </w:r>
      <w:r>
        <w:rPr>
          <w:rFonts w:ascii="Times New Roman" w:hAnsi="Times New Roman" w:cs="Times New Roman"/>
          <w:b/>
          <w:sz w:val="24"/>
          <w:szCs w:val="24"/>
        </w:rPr>
        <w:t>,</w:t>
      </w:r>
      <w:r w:rsidRPr="003D6567">
        <w:rPr>
          <w:rFonts w:ascii="Times New Roman" w:hAnsi="Times New Roman" w:cs="Times New Roman"/>
          <w:b/>
          <w:sz w:val="24"/>
          <w:szCs w:val="24"/>
        </w:rPr>
        <w:t xml:space="preserve"> puede que en todo, o en parte, ya no sea necesaria la PAC, y la ingente cantidad de subsidios</w:t>
      </w:r>
      <w:r>
        <w:rPr>
          <w:rFonts w:ascii="Times New Roman" w:hAnsi="Times New Roman" w:cs="Times New Roman"/>
          <w:b/>
          <w:sz w:val="24"/>
          <w:szCs w:val="24"/>
        </w:rPr>
        <w:t xml:space="preserve"> empleados </w:t>
      </w:r>
      <w:r w:rsidRPr="003D6567">
        <w:rPr>
          <w:rFonts w:ascii="Times New Roman" w:hAnsi="Times New Roman" w:cs="Times New Roman"/>
          <w:b/>
          <w:sz w:val="24"/>
          <w:szCs w:val="24"/>
        </w:rPr>
        <w:t>para mantener el “bosque animado europeo”, sostenible, eco-friendly, circular, limpio, perfumado, guay…</w:t>
      </w:r>
      <w:r>
        <w:rPr>
          <w:rFonts w:ascii="Times New Roman" w:hAnsi="Times New Roman" w:cs="Times New Roman"/>
          <w:b/>
          <w:sz w:val="24"/>
          <w:szCs w:val="24"/>
        </w:rPr>
        <w:t xml:space="preserve"> pero</w:t>
      </w:r>
      <w:r w:rsidRPr="003D6567">
        <w:rPr>
          <w:rFonts w:ascii="Times New Roman" w:hAnsi="Times New Roman" w:cs="Times New Roman"/>
          <w:b/>
          <w:sz w:val="24"/>
          <w:szCs w:val="24"/>
        </w:rPr>
        <w:t xml:space="preserve"> sobre todo</w:t>
      </w:r>
      <w:r>
        <w:rPr>
          <w:rFonts w:ascii="Times New Roman" w:hAnsi="Times New Roman" w:cs="Times New Roman"/>
          <w:b/>
          <w:sz w:val="24"/>
          <w:szCs w:val="24"/>
        </w:rPr>
        <w:t>,</w:t>
      </w:r>
      <w:r w:rsidRPr="003D6567">
        <w:rPr>
          <w:rFonts w:ascii="Times New Roman" w:hAnsi="Times New Roman" w:cs="Times New Roman"/>
          <w:b/>
          <w:sz w:val="24"/>
          <w:szCs w:val="24"/>
        </w:rPr>
        <w:t xml:space="preserve"> inútil.</w:t>
      </w:r>
    </w:p>
    <w:p w:rsidR="00064CA5" w:rsidRPr="00064CA5" w:rsidRDefault="00064CA5" w:rsidP="00064CA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Pr="00064CA5">
        <w:rPr>
          <w:rFonts w:ascii="Times New Roman" w:hAnsi="Times New Roman" w:cs="Times New Roman"/>
          <w:b/>
          <w:sz w:val="24"/>
          <w:szCs w:val="24"/>
        </w:rPr>
        <w:t>Asfixia empresarial</w:t>
      </w:r>
      <w:r>
        <w:rPr>
          <w:rFonts w:ascii="Times New Roman" w:hAnsi="Times New Roman" w:cs="Times New Roman"/>
          <w:b/>
          <w:sz w:val="24"/>
          <w:szCs w:val="24"/>
        </w:rPr>
        <w:t xml:space="preserve"> </w:t>
      </w:r>
    </w:p>
    <w:p w:rsidR="00E611C0" w:rsidRPr="00E611C0" w:rsidRDefault="00064CA5" w:rsidP="00E611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Instituto Juan de Mariana, publicó un Informe sobre </w:t>
      </w:r>
      <w:r w:rsidR="00E611C0">
        <w:rPr>
          <w:rFonts w:ascii="Times New Roman" w:hAnsi="Times New Roman" w:cs="Times New Roman"/>
          <w:sz w:val="24"/>
          <w:szCs w:val="24"/>
        </w:rPr>
        <w:t>“</w:t>
      </w:r>
      <w:r w:rsidRPr="00F953D3">
        <w:rPr>
          <w:rFonts w:ascii="Times New Roman" w:hAnsi="Times New Roman" w:cs="Times New Roman"/>
          <w:b/>
          <w:sz w:val="24"/>
          <w:szCs w:val="24"/>
        </w:rPr>
        <w:t>Costes y consecuencias de la sobrecarga burocrática y regulatoria</w:t>
      </w:r>
      <w:r w:rsidR="00E611C0">
        <w:rPr>
          <w:rFonts w:ascii="Times New Roman" w:hAnsi="Times New Roman" w:cs="Times New Roman"/>
          <w:sz w:val="24"/>
          <w:szCs w:val="24"/>
        </w:rPr>
        <w:t>” (15/2/</w:t>
      </w:r>
      <w:r>
        <w:rPr>
          <w:rFonts w:ascii="Times New Roman" w:hAnsi="Times New Roman" w:cs="Times New Roman"/>
          <w:sz w:val="24"/>
          <w:szCs w:val="24"/>
        </w:rPr>
        <w:t>25</w:t>
      </w:r>
      <w:r w:rsidR="00E611C0">
        <w:rPr>
          <w:rFonts w:ascii="Times New Roman" w:hAnsi="Times New Roman" w:cs="Times New Roman"/>
          <w:sz w:val="24"/>
          <w:szCs w:val="24"/>
        </w:rPr>
        <w:t>)</w:t>
      </w:r>
      <w:r>
        <w:rPr>
          <w:rFonts w:ascii="Times New Roman" w:hAnsi="Times New Roman" w:cs="Times New Roman"/>
          <w:sz w:val="24"/>
          <w:szCs w:val="24"/>
        </w:rPr>
        <w:t>. Del mismo se extraen algunos párrafos que pueden</w:t>
      </w:r>
      <w:r w:rsidR="00E611C0">
        <w:rPr>
          <w:rFonts w:ascii="Times New Roman" w:hAnsi="Times New Roman" w:cs="Times New Roman"/>
          <w:sz w:val="24"/>
          <w:szCs w:val="24"/>
        </w:rPr>
        <w:t xml:space="preserve"> complementar mi propuesta de desregulación y competitividad sectorial.</w:t>
      </w:r>
    </w:p>
    <w:p w:rsidR="00E611C0" w:rsidRPr="00E611C0" w:rsidRDefault="00E611C0" w:rsidP="00E611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611C0">
        <w:rPr>
          <w:rFonts w:ascii="Times New Roman" w:hAnsi="Times New Roman" w:cs="Times New Roman"/>
          <w:sz w:val="24"/>
          <w:szCs w:val="24"/>
        </w:rPr>
        <w:t xml:space="preserve"> Los obstáculos para el mercado único en E</w:t>
      </w:r>
      <w:r>
        <w:rPr>
          <w:rFonts w:ascii="Times New Roman" w:hAnsi="Times New Roman" w:cs="Times New Roman"/>
          <w:sz w:val="24"/>
          <w:szCs w:val="24"/>
        </w:rPr>
        <w:t xml:space="preserve">uropa tienen un impacto cercano </w:t>
      </w:r>
      <w:r w:rsidRPr="00E611C0">
        <w:rPr>
          <w:rFonts w:ascii="Times New Roman" w:hAnsi="Times New Roman" w:cs="Times New Roman"/>
          <w:sz w:val="24"/>
          <w:szCs w:val="24"/>
        </w:rPr>
        <w:t>al 3,5 por ciento del PIB en España, mien</w:t>
      </w:r>
      <w:r>
        <w:rPr>
          <w:rFonts w:ascii="Times New Roman" w:hAnsi="Times New Roman" w:cs="Times New Roman"/>
          <w:sz w:val="24"/>
          <w:szCs w:val="24"/>
        </w:rPr>
        <w:t xml:space="preserve">tras que la ruptura del mercado </w:t>
      </w:r>
      <w:r w:rsidRPr="00E611C0">
        <w:rPr>
          <w:rFonts w:ascii="Times New Roman" w:hAnsi="Times New Roman" w:cs="Times New Roman"/>
          <w:sz w:val="24"/>
          <w:szCs w:val="24"/>
        </w:rPr>
        <w:t>nacional propiciada por la fragmentació</w:t>
      </w:r>
      <w:r>
        <w:rPr>
          <w:rFonts w:ascii="Times New Roman" w:hAnsi="Times New Roman" w:cs="Times New Roman"/>
          <w:sz w:val="24"/>
          <w:szCs w:val="24"/>
        </w:rPr>
        <w:t xml:space="preserve">n normativa autonómica tiene un </w:t>
      </w:r>
      <w:r w:rsidRPr="00E611C0">
        <w:rPr>
          <w:rFonts w:ascii="Times New Roman" w:hAnsi="Times New Roman" w:cs="Times New Roman"/>
          <w:sz w:val="24"/>
          <w:szCs w:val="24"/>
        </w:rPr>
        <w:t>coste del 3,5 por ciento del PIB. En total, el</w:t>
      </w:r>
      <w:r>
        <w:rPr>
          <w:rFonts w:ascii="Times New Roman" w:hAnsi="Times New Roman" w:cs="Times New Roman"/>
          <w:sz w:val="24"/>
          <w:szCs w:val="24"/>
        </w:rPr>
        <w:t xml:space="preserve"> coste de estos obstáculos para </w:t>
      </w:r>
      <w:r w:rsidRPr="00E611C0">
        <w:rPr>
          <w:rFonts w:ascii="Times New Roman" w:hAnsi="Times New Roman" w:cs="Times New Roman"/>
          <w:sz w:val="24"/>
          <w:szCs w:val="24"/>
        </w:rPr>
        <w:t>que las empresas puedan operar en la U</w:t>
      </w:r>
      <w:r>
        <w:rPr>
          <w:rFonts w:ascii="Times New Roman" w:hAnsi="Times New Roman" w:cs="Times New Roman"/>
          <w:sz w:val="24"/>
          <w:szCs w:val="24"/>
        </w:rPr>
        <w:t xml:space="preserve">E y dentro de España asciende a </w:t>
      </w:r>
      <w:r w:rsidRPr="00E611C0">
        <w:rPr>
          <w:rFonts w:ascii="Times New Roman" w:hAnsi="Times New Roman" w:cs="Times New Roman"/>
          <w:sz w:val="24"/>
          <w:szCs w:val="24"/>
        </w:rPr>
        <w:t>90.000 millones de euros</w:t>
      </w:r>
      <w:r>
        <w:rPr>
          <w:rFonts w:ascii="Times New Roman" w:hAnsi="Times New Roman" w:cs="Times New Roman"/>
          <w:sz w:val="24"/>
          <w:szCs w:val="24"/>
        </w:rPr>
        <w:t>…</w:t>
      </w:r>
    </w:p>
    <w:p w:rsidR="00E611C0" w:rsidRDefault="00E611C0" w:rsidP="00E611C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611C0">
        <w:rPr>
          <w:rFonts w:ascii="Times New Roman" w:hAnsi="Times New Roman" w:cs="Times New Roman"/>
          <w:sz w:val="24"/>
          <w:szCs w:val="24"/>
        </w:rPr>
        <w:t xml:space="preserve"> Las regulaciones verdes han crecido con fu</w:t>
      </w:r>
      <w:r>
        <w:rPr>
          <w:rFonts w:ascii="Times New Roman" w:hAnsi="Times New Roman" w:cs="Times New Roman"/>
          <w:sz w:val="24"/>
          <w:szCs w:val="24"/>
        </w:rPr>
        <w:t xml:space="preserve">erza en el siglo XXI, con 9.489 </w:t>
      </w:r>
      <w:r w:rsidRPr="00E611C0">
        <w:rPr>
          <w:rFonts w:ascii="Times New Roman" w:hAnsi="Times New Roman" w:cs="Times New Roman"/>
          <w:sz w:val="24"/>
          <w:szCs w:val="24"/>
        </w:rPr>
        <w:t>instancias de este tipo aprobadas de 2000 a 2022. Por cada norma de</w:t>
      </w:r>
      <w:r>
        <w:rPr>
          <w:rFonts w:ascii="Times New Roman" w:hAnsi="Times New Roman" w:cs="Times New Roman"/>
          <w:sz w:val="24"/>
          <w:szCs w:val="24"/>
        </w:rPr>
        <w:t xml:space="preserve"> tipo aprobada en Francia, España</w:t>
      </w:r>
      <w:r w:rsidR="0007420F">
        <w:rPr>
          <w:rFonts w:ascii="Times New Roman" w:hAnsi="Times New Roman" w:cs="Times New Roman"/>
          <w:sz w:val="24"/>
          <w:szCs w:val="24"/>
        </w:rPr>
        <w:t xml:space="preserve"> ha puesto en marcha al menos seis disposiciones. La evidencia muestra que una mayor carga regulatoria conduce a peores, no mejores, niveles de protección del medio ambiente…</w:t>
      </w:r>
    </w:p>
    <w:p w:rsidR="00162EBD" w:rsidRDefault="0007420F" w:rsidP="00CA5B3B">
      <w:pPr>
        <w:spacing w:line="240" w:lineRule="auto"/>
        <w:jc w:val="both"/>
        <w:rPr>
          <w:rFonts w:ascii="Times New Roman" w:hAnsi="Times New Roman" w:cs="Times New Roman"/>
          <w:sz w:val="24"/>
          <w:szCs w:val="24"/>
        </w:rPr>
      </w:pPr>
      <w:r>
        <w:rPr>
          <w:rFonts w:ascii="Times New Roman" w:hAnsi="Times New Roman" w:cs="Times New Roman"/>
          <w:sz w:val="24"/>
          <w:szCs w:val="24"/>
        </w:rPr>
        <w:t>El control ideológico a través de la regulación</w:t>
      </w:r>
    </w:p>
    <w:p w:rsidR="0007420F" w:rsidRDefault="0007420F" w:rsidP="00CA5B3B">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las consideraciones económicas, es importante señalar que en muchos casos la regulación adopta un carácter abiertamente ideológico. En las normas justificadas en aras de la sostenibilidad medioambiental, el legislador introduce una pesada losa burocrática y normativa que dice estar fundamentada en objetivos loables, pero en la práctica impone obligaciones que alienan al empresario de su verdadera función e imponen costes tan significativos que acaban destruyendo actividad…</w:t>
      </w:r>
    </w:p>
    <w:p w:rsidR="0007420F" w:rsidRDefault="0007420F" w:rsidP="00CA5B3B">
      <w:pPr>
        <w:spacing w:line="240" w:lineRule="auto"/>
        <w:jc w:val="both"/>
        <w:rPr>
          <w:rFonts w:ascii="Times New Roman" w:hAnsi="Times New Roman" w:cs="Times New Roman"/>
          <w:sz w:val="24"/>
          <w:szCs w:val="24"/>
        </w:rPr>
      </w:pPr>
      <w:r w:rsidRPr="0007420F">
        <w:rPr>
          <w:rFonts w:ascii="Times New Roman" w:hAnsi="Times New Roman" w:cs="Times New Roman"/>
          <w:noProof/>
          <w:sz w:val="24"/>
          <w:szCs w:val="24"/>
          <w:lang w:eastAsia="es-ES"/>
        </w:rPr>
        <w:lastRenderedPageBreak/>
        <w:drawing>
          <wp:inline distT="0" distB="0" distL="0" distR="0" wp14:anchorId="226F92E6" wp14:editId="7B7FAAC0">
            <wp:extent cx="5731929" cy="3619500"/>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619235"/>
                    </a:xfrm>
                    <a:prstGeom prst="rect">
                      <a:avLst/>
                    </a:prstGeom>
                  </pic:spPr>
                </pic:pic>
              </a:graphicData>
            </a:graphic>
          </wp:inline>
        </w:drawing>
      </w:r>
    </w:p>
    <w:p w:rsidR="0007420F" w:rsidRDefault="00953FCE" w:rsidP="00CA5B3B">
      <w:pPr>
        <w:spacing w:line="240" w:lineRule="auto"/>
        <w:jc w:val="both"/>
        <w:rPr>
          <w:rFonts w:ascii="Times New Roman" w:hAnsi="Times New Roman" w:cs="Times New Roman"/>
          <w:sz w:val="24"/>
          <w:szCs w:val="24"/>
        </w:rPr>
      </w:pPr>
      <w:r w:rsidRPr="00953FCE">
        <w:rPr>
          <w:rFonts w:ascii="Times New Roman" w:hAnsi="Times New Roman" w:cs="Times New Roman"/>
          <w:noProof/>
          <w:sz w:val="24"/>
          <w:szCs w:val="24"/>
          <w:lang w:eastAsia="es-ES"/>
        </w:rPr>
        <w:drawing>
          <wp:inline distT="0" distB="0" distL="0" distR="0" wp14:anchorId="20DCD786" wp14:editId="6ECC95A4">
            <wp:extent cx="5732087" cy="4362450"/>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4362011"/>
                    </a:xfrm>
                    <a:prstGeom prst="rect">
                      <a:avLst/>
                    </a:prstGeom>
                  </pic:spPr>
                </pic:pic>
              </a:graphicData>
            </a:graphic>
          </wp:inline>
        </w:drawing>
      </w:r>
    </w:p>
    <w:p w:rsidR="00953FCE" w:rsidRPr="00953FCE" w:rsidRDefault="00953FCE" w:rsidP="00953FCE">
      <w:pPr>
        <w:spacing w:line="240" w:lineRule="auto"/>
        <w:jc w:val="both"/>
        <w:rPr>
          <w:rFonts w:ascii="Times New Roman" w:hAnsi="Times New Roman" w:cs="Times New Roman"/>
          <w:sz w:val="24"/>
          <w:szCs w:val="24"/>
        </w:rPr>
      </w:pPr>
      <w:r w:rsidRPr="00953FCE">
        <w:rPr>
          <w:rFonts w:ascii="Times New Roman" w:hAnsi="Times New Roman" w:cs="Times New Roman"/>
          <w:sz w:val="24"/>
          <w:szCs w:val="24"/>
        </w:rPr>
        <w:t>N</w:t>
      </w:r>
      <w:r>
        <w:rPr>
          <w:rFonts w:ascii="Times New Roman" w:hAnsi="Times New Roman" w:cs="Times New Roman"/>
          <w:sz w:val="24"/>
          <w:szCs w:val="24"/>
        </w:rPr>
        <w:t>avegando un mar de obligaciones</w:t>
      </w:r>
    </w:p>
    <w:p w:rsidR="00953FCE" w:rsidRPr="00953FCE" w:rsidRDefault="00953FCE" w:rsidP="00953FCE">
      <w:pPr>
        <w:spacing w:line="240" w:lineRule="auto"/>
        <w:jc w:val="both"/>
        <w:rPr>
          <w:rFonts w:ascii="Times New Roman" w:hAnsi="Times New Roman" w:cs="Times New Roman"/>
          <w:sz w:val="24"/>
          <w:szCs w:val="24"/>
        </w:rPr>
      </w:pPr>
      <w:r w:rsidRPr="00953FCE">
        <w:rPr>
          <w:rFonts w:ascii="Times New Roman" w:hAnsi="Times New Roman" w:cs="Times New Roman"/>
          <w:sz w:val="24"/>
          <w:szCs w:val="24"/>
        </w:rPr>
        <w:t>- Encuestas obligatorias para organismos gubernamentales.</w:t>
      </w:r>
    </w:p>
    <w:p w:rsidR="00953FCE" w:rsidRDefault="00953FCE" w:rsidP="00953FCE">
      <w:pPr>
        <w:spacing w:line="240" w:lineRule="auto"/>
        <w:jc w:val="both"/>
        <w:rPr>
          <w:rFonts w:ascii="Times New Roman" w:hAnsi="Times New Roman" w:cs="Times New Roman"/>
          <w:sz w:val="24"/>
          <w:szCs w:val="24"/>
        </w:rPr>
      </w:pPr>
      <w:r w:rsidRPr="00953FCE">
        <w:rPr>
          <w:rFonts w:ascii="Times New Roman" w:hAnsi="Times New Roman" w:cs="Times New Roman"/>
          <w:sz w:val="24"/>
          <w:szCs w:val="24"/>
        </w:rPr>
        <w:lastRenderedPageBreak/>
        <w:t>La larga lista de obligaciones codificadas por la nor</w:t>
      </w:r>
      <w:r>
        <w:rPr>
          <w:rFonts w:ascii="Times New Roman" w:hAnsi="Times New Roman" w:cs="Times New Roman"/>
          <w:sz w:val="24"/>
          <w:szCs w:val="24"/>
        </w:rPr>
        <w:t xml:space="preserve">mativa en vigor arranca con las </w:t>
      </w:r>
      <w:r w:rsidRPr="00953FCE">
        <w:rPr>
          <w:rFonts w:ascii="Times New Roman" w:hAnsi="Times New Roman" w:cs="Times New Roman"/>
          <w:sz w:val="24"/>
          <w:szCs w:val="24"/>
        </w:rPr>
        <w:t>encuestas que requieren las distintas ramas del sect</w:t>
      </w:r>
      <w:r>
        <w:rPr>
          <w:rFonts w:ascii="Times New Roman" w:hAnsi="Times New Roman" w:cs="Times New Roman"/>
          <w:sz w:val="24"/>
          <w:szCs w:val="24"/>
        </w:rPr>
        <w:t xml:space="preserve">or público. Estos requisitos de </w:t>
      </w:r>
      <w:r w:rsidRPr="00953FCE">
        <w:rPr>
          <w:rFonts w:ascii="Times New Roman" w:hAnsi="Times New Roman" w:cs="Times New Roman"/>
          <w:sz w:val="24"/>
          <w:szCs w:val="24"/>
        </w:rPr>
        <w:t>información tienen un alcance notable y exigen ti</w:t>
      </w:r>
      <w:r>
        <w:rPr>
          <w:rFonts w:ascii="Times New Roman" w:hAnsi="Times New Roman" w:cs="Times New Roman"/>
          <w:sz w:val="24"/>
          <w:szCs w:val="24"/>
        </w:rPr>
        <w:t xml:space="preserve">empo y recursos a las empresas, </w:t>
      </w:r>
      <w:r w:rsidRPr="00953FCE">
        <w:rPr>
          <w:rFonts w:ascii="Times New Roman" w:hAnsi="Times New Roman" w:cs="Times New Roman"/>
          <w:sz w:val="24"/>
          <w:szCs w:val="24"/>
        </w:rPr>
        <w:t>sin que exista contraprestación alguna por los recursos perdidos.</w:t>
      </w:r>
    </w:p>
    <w:p w:rsidR="00953FCE" w:rsidRDefault="00953FCE" w:rsidP="00953FCE">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Ministerio de Agricultura, Pesca y Alimentación:</w:t>
      </w:r>
    </w:p>
    <w:p w:rsidR="0028424B" w:rsidRDefault="0028424B" w:rsidP="0028424B">
      <w:pPr>
        <w:autoSpaceDE w:val="0"/>
        <w:autoSpaceDN w:val="0"/>
        <w:adjustRightInd w:val="0"/>
        <w:spacing w:after="0" w:line="240" w:lineRule="auto"/>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ganado bovino, y su producción láctea (semestral).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ganados ovino y caprino, y su producción láctea (anual).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Encuestas de salas de incubación (mensual y anual).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sacrificio de ganado en mataderos (mensual y anual).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superficies y rendimientos de cultivos (anual).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Utilización de Medios de Producción (mensual).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Comercialización de Productos Fitosanitarios (anual).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Ganado Porcino (semestral).</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Recogida de Leche y de Productos Lácteos Elaborados (mensual).</w:t>
      </w:r>
    </w:p>
    <w:p w:rsidR="0028424B" w:rsidRPr="0028424B" w:rsidRDefault="0028424B" w:rsidP="00953FCE">
      <w:pPr>
        <w:autoSpaceDE w:val="0"/>
        <w:autoSpaceDN w:val="0"/>
        <w:adjustRightInd w:val="0"/>
        <w:spacing w:after="0" w:line="240" w:lineRule="auto"/>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Ministerio de Economía, Comercio y Empresa:</w:t>
      </w: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Encuesta de Coyuntura de la Exportación (trimestral).</w:t>
      </w:r>
    </w:p>
    <w:p w:rsidR="0028424B" w:rsidRDefault="0028424B" w:rsidP="0028424B">
      <w:pPr>
        <w:autoSpaceDE w:val="0"/>
        <w:autoSpaceDN w:val="0"/>
        <w:adjustRightInd w:val="0"/>
        <w:spacing w:after="0" w:line="240" w:lineRule="auto"/>
        <w:rPr>
          <w:rFonts w:ascii="Times New Roman" w:hAnsi="Times New Roman" w:cs="Times New Roman"/>
          <w:sz w:val="24"/>
          <w:szCs w:val="24"/>
        </w:rPr>
      </w:pPr>
      <w:r w:rsidRPr="0028424B">
        <w:rPr>
          <w:rFonts w:ascii="Times New Roman" w:hAnsi="Times New Roman" w:cs="Times New Roman"/>
          <w:sz w:val="24"/>
          <w:szCs w:val="24"/>
        </w:rPr>
        <w:t>§ Índices de Valor Unitari</w:t>
      </w:r>
      <w:r>
        <w:rPr>
          <w:rFonts w:ascii="Times New Roman" w:hAnsi="Times New Roman" w:cs="Times New Roman"/>
          <w:sz w:val="24"/>
          <w:szCs w:val="24"/>
        </w:rPr>
        <w:t xml:space="preserve">o para el Comercio Exterior </w:t>
      </w:r>
      <w:r w:rsidRPr="0028424B">
        <w:rPr>
          <w:rFonts w:ascii="Times New Roman" w:hAnsi="Times New Roman" w:cs="Times New Roman"/>
          <w:sz w:val="24"/>
          <w:szCs w:val="24"/>
        </w:rPr>
        <w:t>(mensual).</w:t>
      </w:r>
    </w:p>
    <w:p w:rsidR="0028424B" w:rsidRDefault="0028424B" w:rsidP="0028424B">
      <w:pPr>
        <w:autoSpaceDE w:val="0"/>
        <w:autoSpaceDN w:val="0"/>
        <w:adjustRightInd w:val="0"/>
        <w:spacing w:after="0" w:line="240" w:lineRule="auto"/>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i/>
          <w:iCs/>
          <w:sz w:val="24"/>
          <w:szCs w:val="24"/>
        </w:rPr>
      </w:pPr>
      <w:r w:rsidRPr="0028424B">
        <w:rPr>
          <w:rFonts w:ascii="Times New Roman" w:hAnsi="Times New Roman" w:cs="Times New Roman"/>
          <w:sz w:val="24"/>
          <w:szCs w:val="24"/>
        </w:rPr>
        <w:t xml:space="preserve">- </w:t>
      </w:r>
      <w:r w:rsidRPr="0028424B">
        <w:rPr>
          <w:rFonts w:ascii="Times New Roman" w:hAnsi="Times New Roman" w:cs="Times New Roman"/>
          <w:i/>
          <w:iCs/>
          <w:sz w:val="24"/>
          <w:szCs w:val="24"/>
        </w:rPr>
        <w:t>Obligaciones medioambientales.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Las políticas “verdes” han elevado de manera</w:t>
      </w:r>
      <w:r>
        <w:rPr>
          <w:rFonts w:ascii="Times New Roman" w:hAnsi="Times New Roman" w:cs="Times New Roman"/>
          <w:sz w:val="24"/>
          <w:szCs w:val="24"/>
        </w:rPr>
        <w:t xml:space="preserve"> significativa las obligaciones </w:t>
      </w:r>
      <w:r w:rsidRPr="0028424B">
        <w:rPr>
          <w:rFonts w:ascii="Times New Roman" w:hAnsi="Times New Roman" w:cs="Times New Roman"/>
          <w:sz w:val="24"/>
          <w:szCs w:val="24"/>
        </w:rPr>
        <w:t>regulatorias ligadas a cuestiones medioambientales. Co</w:t>
      </w:r>
      <w:r>
        <w:rPr>
          <w:rFonts w:ascii="Times New Roman" w:hAnsi="Times New Roman" w:cs="Times New Roman"/>
          <w:sz w:val="24"/>
          <w:szCs w:val="24"/>
        </w:rPr>
        <w:t xml:space="preserve">mo vimos antes, desde el </w:t>
      </w:r>
      <w:r w:rsidRPr="0028424B">
        <w:rPr>
          <w:rFonts w:ascii="Times New Roman" w:hAnsi="Times New Roman" w:cs="Times New Roman"/>
          <w:sz w:val="24"/>
          <w:szCs w:val="24"/>
        </w:rPr>
        <w:t>año 2000 hasta el 2022, este tipo de disposic</w:t>
      </w:r>
      <w:r>
        <w:rPr>
          <w:rFonts w:ascii="Times New Roman" w:hAnsi="Times New Roman" w:cs="Times New Roman"/>
          <w:sz w:val="24"/>
          <w:szCs w:val="24"/>
        </w:rPr>
        <w:t xml:space="preserve">iones han sumado 9.489 actos de </w:t>
      </w:r>
      <w:r w:rsidRPr="0028424B">
        <w:rPr>
          <w:rFonts w:ascii="Times New Roman" w:hAnsi="Times New Roman" w:cs="Times New Roman"/>
          <w:sz w:val="24"/>
          <w:szCs w:val="24"/>
        </w:rPr>
        <w:t>producción normativa, generando una notabl</w:t>
      </w:r>
      <w:r>
        <w:rPr>
          <w:rFonts w:ascii="Times New Roman" w:hAnsi="Times New Roman" w:cs="Times New Roman"/>
          <w:sz w:val="24"/>
          <w:szCs w:val="24"/>
        </w:rPr>
        <w:t xml:space="preserve">e presión regulatoria sobre las </w:t>
      </w:r>
      <w:r w:rsidRPr="0028424B">
        <w:rPr>
          <w:rFonts w:ascii="Times New Roman" w:hAnsi="Times New Roman" w:cs="Times New Roman"/>
          <w:sz w:val="24"/>
          <w:szCs w:val="24"/>
        </w:rPr>
        <w:t>empresas.</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A continuación se recogen algunos de los ejemplos más visibles:</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xml:space="preserve">- </w:t>
      </w:r>
      <w:r w:rsidRPr="0028424B">
        <w:rPr>
          <w:rFonts w:ascii="Times New Roman" w:hAnsi="Times New Roman" w:cs="Times New Roman"/>
          <w:i/>
          <w:iCs/>
          <w:sz w:val="24"/>
          <w:szCs w:val="24"/>
        </w:rPr>
        <w:t>Huella de carbono</w:t>
      </w:r>
      <w:r w:rsidRPr="0028424B">
        <w:rPr>
          <w:rFonts w:ascii="Times New Roman" w:hAnsi="Times New Roman" w:cs="Times New Roman"/>
          <w:sz w:val="24"/>
          <w:szCs w:val="24"/>
        </w:rPr>
        <w:t>. Las empresas con más de</w:t>
      </w:r>
      <w:r>
        <w:rPr>
          <w:rFonts w:ascii="Times New Roman" w:hAnsi="Times New Roman" w:cs="Times New Roman"/>
          <w:sz w:val="24"/>
          <w:szCs w:val="24"/>
        </w:rPr>
        <w:t xml:space="preserve"> 50 empleados o una facturación por encima </w:t>
      </w:r>
      <w:r w:rsidRPr="0028424B">
        <w:rPr>
          <w:rFonts w:ascii="Times New Roman" w:hAnsi="Times New Roman" w:cs="Times New Roman"/>
          <w:sz w:val="24"/>
          <w:szCs w:val="24"/>
        </w:rPr>
        <w:t xml:space="preserve">de los 10 millones de euros están </w:t>
      </w:r>
      <w:r>
        <w:rPr>
          <w:rFonts w:ascii="Times New Roman" w:hAnsi="Times New Roman" w:cs="Times New Roman"/>
          <w:sz w:val="24"/>
          <w:szCs w:val="24"/>
        </w:rPr>
        <w:t xml:space="preserve">obligadas a calcular y publicar </w:t>
      </w:r>
      <w:r w:rsidRPr="0028424B">
        <w:rPr>
          <w:rFonts w:ascii="Times New Roman" w:hAnsi="Times New Roman" w:cs="Times New Roman"/>
          <w:sz w:val="24"/>
          <w:szCs w:val="24"/>
        </w:rPr>
        <w:t>su huella de carbono desde la introducc</w:t>
      </w:r>
      <w:r>
        <w:rPr>
          <w:rFonts w:ascii="Times New Roman" w:hAnsi="Times New Roman" w:cs="Times New Roman"/>
          <w:sz w:val="24"/>
          <w:szCs w:val="24"/>
        </w:rPr>
        <w:t xml:space="preserve">ión de la Ley 7/2021. Asimismo, </w:t>
      </w:r>
      <w:r w:rsidRPr="0028424B">
        <w:rPr>
          <w:rFonts w:ascii="Times New Roman" w:hAnsi="Times New Roman" w:cs="Times New Roman"/>
          <w:sz w:val="24"/>
          <w:szCs w:val="24"/>
        </w:rPr>
        <w:t>tienen que elaborar un plan para minim</w:t>
      </w:r>
      <w:r>
        <w:rPr>
          <w:rFonts w:ascii="Times New Roman" w:hAnsi="Times New Roman" w:cs="Times New Roman"/>
          <w:sz w:val="24"/>
          <w:szCs w:val="24"/>
        </w:rPr>
        <w:t xml:space="preserve">izar sus emisiones de CO2 a la </w:t>
      </w:r>
      <w:r w:rsidRPr="0028424B">
        <w:rPr>
          <w:rFonts w:ascii="Times New Roman" w:hAnsi="Times New Roman" w:cs="Times New Roman"/>
          <w:sz w:val="24"/>
          <w:szCs w:val="24"/>
        </w:rPr>
        <w:t>atmósfera, con objetivos cuantificados</w:t>
      </w:r>
      <w:r>
        <w:rPr>
          <w:rFonts w:ascii="Times New Roman" w:hAnsi="Times New Roman" w:cs="Times New Roman"/>
          <w:sz w:val="24"/>
          <w:szCs w:val="24"/>
        </w:rPr>
        <w:t xml:space="preserve"> a cinco años y una relación de </w:t>
      </w:r>
      <w:r w:rsidRPr="0028424B">
        <w:rPr>
          <w:rFonts w:ascii="Times New Roman" w:hAnsi="Times New Roman" w:cs="Times New Roman"/>
          <w:sz w:val="24"/>
          <w:szCs w:val="24"/>
        </w:rPr>
        <w:t>medidas para alcanzar estas metas.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xml:space="preserve">- </w:t>
      </w:r>
      <w:r w:rsidRPr="0028424B">
        <w:rPr>
          <w:rFonts w:ascii="Times New Roman" w:hAnsi="Times New Roman" w:cs="Times New Roman"/>
          <w:i/>
          <w:iCs/>
          <w:sz w:val="24"/>
          <w:szCs w:val="24"/>
        </w:rPr>
        <w:t>Obtención o renovación de permisos</w:t>
      </w:r>
      <w:r w:rsidRPr="0028424B">
        <w:rPr>
          <w:rFonts w:ascii="Times New Roman" w:hAnsi="Times New Roman" w:cs="Times New Roman"/>
          <w:sz w:val="24"/>
          <w:szCs w:val="24"/>
        </w:rPr>
        <w:t xml:space="preserve">. Las </w:t>
      </w:r>
      <w:r>
        <w:rPr>
          <w:rFonts w:ascii="Times New Roman" w:hAnsi="Times New Roman" w:cs="Times New Roman"/>
          <w:sz w:val="24"/>
          <w:szCs w:val="24"/>
        </w:rPr>
        <w:t xml:space="preserve">autorizaciones medioambientales </w:t>
      </w:r>
      <w:r w:rsidRPr="0028424B">
        <w:rPr>
          <w:rFonts w:ascii="Times New Roman" w:hAnsi="Times New Roman" w:cs="Times New Roman"/>
          <w:sz w:val="24"/>
          <w:szCs w:val="24"/>
        </w:rPr>
        <w:t>exigen la presentación de infor</w:t>
      </w:r>
      <w:r>
        <w:rPr>
          <w:rFonts w:ascii="Times New Roman" w:hAnsi="Times New Roman" w:cs="Times New Roman"/>
          <w:sz w:val="24"/>
          <w:szCs w:val="24"/>
        </w:rPr>
        <w:t xml:space="preserve">mación detallada sobre procesos </w:t>
      </w:r>
      <w:r w:rsidRPr="0028424B">
        <w:rPr>
          <w:rFonts w:ascii="Times New Roman" w:hAnsi="Times New Roman" w:cs="Times New Roman"/>
          <w:sz w:val="24"/>
          <w:szCs w:val="24"/>
        </w:rPr>
        <w:t xml:space="preserve">productivos, sustancias peligrosas </w:t>
      </w:r>
      <w:r>
        <w:rPr>
          <w:rFonts w:ascii="Times New Roman" w:hAnsi="Times New Roman" w:cs="Times New Roman"/>
          <w:sz w:val="24"/>
          <w:szCs w:val="24"/>
        </w:rPr>
        <w:t xml:space="preserve">empleadas en la actividad de la </w:t>
      </w:r>
      <w:r w:rsidRPr="0028424B">
        <w:rPr>
          <w:rFonts w:ascii="Times New Roman" w:hAnsi="Times New Roman" w:cs="Times New Roman"/>
          <w:sz w:val="24"/>
          <w:szCs w:val="24"/>
        </w:rPr>
        <w:t>compañía, consumo de recursos, emisiones d</w:t>
      </w:r>
      <w:r>
        <w:rPr>
          <w:rFonts w:ascii="Times New Roman" w:hAnsi="Times New Roman" w:cs="Times New Roman"/>
          <w:sz w:val="24"/>
          <w:szCs w:val="24"/>
        </w:rPr>
        <w:t xml:space="preserve">e CO2 y otros gases, vertidos y </w:t>
      </w:r>
      <w:r w:rsidRPr="0028424B">
        <w:rPr>
          <w:rFonts w:ascii="Times New Roman" w:hAnsi="Times New Roman" w:cs="Times New Roman"/>
          <w:sz w:val="24"/>
          <w:szCs w:val="24"/>
        </w:rPr>
        <w:t>residuos generados, etcétera.</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Para las empresas que operan en una de</w:t>
      </w:r>
      <w:r>
        <w:rPr>
          <w:rFonts w:ascii="Times New Roman" w:hAnsi="Times New Roman" w:cs="Times New Roman"/>
          <w:sz w:val="24"/>
          <w:szCs w:val="24"/>
        </w:rPr>
        <w:t xml:space="preserve"> las más de sesenta actividades </w:t>
      </w:r>
      <w:r w:rsidRPr="0028424B">
        <w:rPr>
          <w:rFonts w:ascii="Times New Roman" w:hAnsi="Times New Roman" w:cs="Times New Roman"/>
          <w:sz w:val="24"/>
          <w:szCs w:val="24"/>
        </w:rPr>
        <w:t>catalogadas dentro del registro pertin</w:t>
      </w:r>
      <w:r>
        <w:rPr>
          <w:rFonts w:ascii="Times New Roman" w:hAnsi="Times New Roman" w:cs="Times New Roman"/>
          <w:sz w:val="24"/>
          <w:szCs w:val="24"/>
        </w:rPr>
        <w:t xml:space="preserve">ente, se exige una Autorización </w:t>
      </w:r>
      <w:r w:rsidRPr="0028424B">
        <w:rPr>
          <w:rFonts w:ascii="Times New Roman" w:hAnsi="Times New Roman" w:cs="Times New Roman"/>
          <w:sz w:val="24"/>
          <w:szCs w:val="24"/>
        </w:rPr>
        <w:t>Ambiental Integrada (AAI) que debe renova</w:t>
      </w:r>
      <w:r>
        <w:rPr>
          <w:rFonts w:ascii="Times New Roman" w:hAnsi="Times New Roman" w:cs="Times New Roman"/>
          <w:sz w:val="24"/>
          <w:szCs w:val="24"/>
        </w:rPr>
        <w:t xml:space="preserve">rse cada ocho años. Aquí entran </w:t>
      </w:r>
      <w:r w:rsidRPr="0028424B">
        <w:rPr>
          <w:rFonts w:ascii="Times New Roman" w:hAnsi="Times New Roman" w:cs="Times New Roman"/>
          <w:sz w:val="24"/>
          <w:szCs w:val="24"/>
        </w:rPr>
        <w:t>las explotaciones dedicadas a campos como la energía, la industri</w:t>
      </w:r>
      <w:r>
        <w:rPr>
          <w:rFonts w:ascii="Times New Roman" w:hAnsi="Times New Roman" w:cs="Times New Roman"/>
          <w:sz w:val="24"/>
          <w:szCs w:val="24"/>
        </w:rPr>
        <w:t xml:space="preserve">a química, </w:t>
      </w:r>
      <w:r w:rsidRPr="0028424B">
        <w:rPr>
          <w:rFonts w:ascii="Times New Roman" w:hAnsi="Times New Roman" w:cs="Times New Roman"/>
          <w:sz w:val="24"/>
          <w:szCs w:val="24"/>
        </w:rPr>
        <w:t>la cerámica, la producción de cemento, la min</w:t>
      </w:r>
      <w:r>
        <w:rPr>
          <w:rFonts w:ascii="Times New Roman" w:hAnsi="Times New Roman" w:cs="Times New Roman"/>
          <w:sz w:val="24"/>
          <w:szCs w:val="24"/>
        </w:rPr>
        <w:t xml:space="preserve">ería, la papelera, la ganadería </w:t>
      </w:r>
      <w:r w:rsidRPr="0028424B">
        <w:rPr>
          <w:rFonts w:ascii="Times New Roman" w:hAnsi="Times New Roman" w:cs="Times New Roman"/>
          <w:sz w:val="24"/>
          <w:szCs w:val="24"/>
        </w:rPr>
        <w:t>intensiva, etcétera.</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La Ley 26/2007 codifica otros requisitos que a</w:t>
      </w:r>
      <w:r>
        <w:rPr>
          <w:rFonts w:ascii="Times New Roman" w:hAnsi="Times New Roman" w:cs="Times New Roman"/>
          <w:sz w:val="24"/>
          <w:szCs w:val="24"/>
        </w:rPr>
        <w:t xml:space="preserve">plican a distintas actividades, </w:t>
      </w:r>
      <w:r w:rsidRPr="0028424B">
        <w:rPr>
          <w:rFonts w:ascii="Times New Roman" w:hAnsi="Times New Roman" w:cs="Times New Roman"/>
          <w:sz w:val="24"/>
          <w:szCs w:val="24"/>
        </w:rPr>
        <w:t xml:space="preserve">caso de la gestión, recogida, transporte, recuperación y eliminación </w:t>
      </w:r>
      <w:r>
        <w:rPr>
          <w:rFonts w:ascii="Times New Roman" w:hAnsi="Times New Roman" w:cs="Times New Roman"/>
          <w:sz w:val="24"/>
          <w:szCs w:val="24"/>
        </w:rPr>
        <w:t xml:space="preserve">de </w:t>
      </w:r>
      <w:r w:rsidRPr="0028424B">
        <w:rPr>
          <w:rFonts w:ascii="Times New Roman" w:hAnsi="Times New Roman" w:cs="Times New Roman"/>
          <w:sz w:val="24"/>
          <w:szCs w:val="24"/>
        </w:rPr>
        <w:t>residuos peligrosos, los vertidos en aguas i</w:t>
      </w:r>
      <w:r>
        <w:rPr>
          <w:rFonts w:ascii="Times New Roman" w:hAnsi="Times New Roman" w:cs="Times New Roman"/>
          <w:sz w:val="24"/>
          <w:szCs w:val="24"/>
        </w:rPr>
        <w:t xml:space="preserve">nteriores, subterráneas y masas </w:t>
      </w:r>
      <w:r w:rsidRPr="0028424B">
        <w:rPr>
          <w:rFonts w:ascii="Times New Roman" w:hAnsi="Times New Roman" w:cs="Times New Roman"/>
          <w:sz w:val="24"/>
          <w:szCs w:val="24"/>
        </w:rPr>
        <w:t xml:space="preserve">territoriales, la fabricación, utilización, </w:t>
      </w:r>
      <w:r w:rsidRPr="0028424B">
        <w:rPr>
          <w:rFonts w:ascii="Times New Roman" w:hAnsi="Times New Roman" w:cs="Times New Roman"/>
          <w:sz w:val="24"/>
          <w:szCs w:val="24"/>
        </w:rPr>
        <w:lastRenderedPageBreak/>
        <w:t>a</w:t>
      </w:r>
      <w:r>
        <w:rPr>
          <w:rFonts w:ascii="Times New Roman" w:hAnsi="Times New Roman" w:cs="Times New Roman"/>
          <w:sz w:val="24"/>
          <w:szCs w:val="24"/>
        </w:rPr>
        <w:t xml:space="preserve">lmacenamiento, transformación y </w:t>
      </w:r>
      <w:r w:rsidRPr="0028424B">
        <w:rPr>
          <w:rFonts w:ascii="Times New Roman" w:hAnsi="Times New Roman" w:cs="Times New Roman"/>
          <w:sz w:val="24"/>
          <w:szCs w:val="24"/>
        </w:rPr>
        <w:t>transporte de sustancias o preparado</w:t>
      </w:r>
      <w:r>
        <w:rPr>
          <w:rFonts w:ascii="Times New Roman" w:hAnsi="Times New Roman" w:cs="Times New Roman"/>
          <w:sz w:val="24"/>
          <w:szCs w:val="24"/>
        </w:rPr>
        <w:t xml:space="preserve">s peligrosos o el transporte de </w:t>
      </w:r>
      <w:r w:rsidRPr="0028424B">
        <w:rPr>
          <w:rFonts w:ascii="Times New Roman" w:hAnsi="Times New Roman" w:cs="Times New Roman"/>
          <w:sz w:val="24"/>
          <w:szCs w:val="24"/>
        </w:rPr>
        <w:t xml:space="preserve">mercancías peligrosas o contaminantes. </w:t>
      </w:r>
      <w:r>
        <w:rPr>
          <w:rFonts w:ascii="Times New Roman" w:hAnsi="Times New Roman" w:cs="Times New Roman"/>
          <w:sz w:val="24"/>
          <w:szCs w:val="24"/>
        </w:rPr>
        <w:t xml:space="preserve">Si una compañía entra dentro de </w:t>
      </w:r>
      <w:r w:rsidRPr="0028424B">
        <w:rPr>
          <w:rFonts w:ascii="Times New Roman" w:hAnsi="Times New Roman" w:cs="Times New Roman"/>
          <w:sz w:val="24"/>
          <w:szCs w:val="24"/>
        </w:rPr>
        <w:t>estos epígrafes, debe (1) comunicar a la aut</w:t>
      </w:r>
      <w:r>
        <w:rPr>
          <w:rFonts w:ascii="Times New Roman" w:hAnsi="Times New Roman" w:cs="Times New Roman"/>
          <w:sz w:val="24"/>
          <w:szCs w:val="24"/>
        </w:rPr>
        <w:t xml:space="preserve">oridad competente la existencia </w:t>
      </w:r>
      <w:r w:rsidRPr="0028424B">
        <w:rPr>
          <w:rFonts w:ascii="Times New Roman" w:hAnsi="Times New Roman" w:cs="Times New Roman"/>
          <w:sz w:val="24"/>
          <w:szCs w:val="24"/>
        </w:rPr>
        <w:t>de daños medioambientales, (2) estu</w:t>
      </w:r>
      <w:r>
        <w:rPr>
          <w:rFonts w:ascii="Times New Roman" w:hAnsi="Times New Roman" w:cs="Times New Roman"/>
          <w:sz w:val="24"/>
          <w:szCs w:val="24"/>
        </w:rPr>
        <w:t xml:space="preserve">diar y comunicar a la autoridad </w:t>
      </w:r>
      <w:r w:rsidRPr="0028424B">
        <w:rPr>
          <w:rFonts w:ascii="Times New Roman" w:hAnsi="Times New Roman" w:cs="Times New Roman"/>
          <w:sz w:val="24"/>
          <w:szCs w:val="24"/>
        </w:rPr>
        <w:t>competente la amenaza inminente de posi</w:t>
      </w:r>
      <w:r>
        <w:rPr>
          <w:rFonts w:ascii="Times New Roman" w:hAnsi="Times New Roman" w:cs="Times New Roman"/>
          <w:sz w:val="24"/>
          <w:szCs w:val="24"/>
        </w:rPr>
        <w:t xml:space="preserve">bles daños al medio ambiente, y </w:t>
      </w:r>
      <w:r w:rsidRPr="0028424B">
        <w:rPr>
          <w:rFonts w:ascii="Times New Roman" w:hAnsi="Times New Roman" w:cs="Times New Roman"/>
          <w:sz w:val="24"/>
          <w:szCs w:val="24"/>
        </w:rPr>
        <w:t>(3) constituir una garantía financiera (me</w:t>
      </w:r>
      <w:r>
        <w:rPr>
          <w:rFonts w:ascii="Times New Roman" w:hAnsi="Times New Roman" w:cs="Times New Roman"/>
          <w:sz w:val="24"/>
          <w:szCs w:val="24"/>
        </w:rPr>
        <w:t xml:space="preserve">diante póliza de seguro, aval o </w:t>
      </w:r>
      <w:r w:rsidRPr="0028424B">
        <w:rPr>
          <w:rFonts w:ascii="Times New Roman" w:hAnsi="Times New Roman" w:cs="Times New Roman"/>
          <w:sz w:val="24"/>
          <w:szCs w:val="24"/>
        </w:rPr>
        <w:t xml:space="preserve">configuración de una reserva técnica) de </w:t>
      </w:r>
      <w:r>
        <w:rPr>
          <w:rFonts w:ascii="Times New Roman" w:hAnsi="Times New Roman" w:cs="Times New Roman"/>
          <w:sz w:val="24"/>
          <w:szCs w:val="24"/>
        </w:rPr>
        <w:t xml:space="preserve">hasta 20 millones de euros para </w:t>
      </w:r>
      <w:r w:rsidRPr="0028424B">
        <w:rPr>
          <w:rFonts w:ascii="Times New Roman" w:hAnsi="Times New Roman" w:cs="Times New Roman"/>
          <w:sz w:val="24"/>
          <w:szCs w:val="24"/>
        </w:rPr>
        <w:t xml:space="preserve">hacer frente a posibles situaciones </w:t>
      </w:r>
      <w:r>
        <w:rPr>
          <w:rFonts w:ascii="Times New Roman" w:hAnsi="Times New Roman" w:cs="Times New Roman"/>
          <w:sz w:val="24"/>
          <w:szCs w:val="24"/>
        </w:rPr>
        <w:t xml:space="preserve">adversas en que se requiera una </w:t>
      </w:r>
      <w:r w:rsidRPr="0028424B">
        <w:rPr>
          <w:rFonts w:ascii="Times New Roman" w:hAnsi="Times New Roman" w:cs="Times New Roman"/>
          <w:sz w:val="24"/>
          <w:szCs w:val="24"/>
        </w:rPr>
        <w:t>compensación por responsabilidad medioambiental.</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Para las empresas que tienen autorizada l</w:t>
      </w:r>
      <w:r>
        <w:rPr>
          <w:rFonts w:ascii="Times New Roman" w:hAnsi="Times New Roman" w:cs="Times New Roman"/>
          <w:sz w:val="24"/>
          <w:szCs w:val="24"/>
        </w:rPr>
        <w:t xml:space="preserve">a realización de emisiones a la </w:t>
      </w:r>
      <w:r w:rsidRPr="0028424B">
        <w:rPr>
          <w:rFonts w:ascii="Times New Roman" w:hAnsi="Times New Roman" w:cs="Times New Roman"/>
          <w:sz w:val="24"/>
          <w:szCs w:val="24"/>
        </w:rPr>
        <w:t>atmósfera o de vertidos, o para las</w:t>
      </w:r>
      <w:r>
        <w:rPr>
          <w:rFonts w:ascii="Times New Roman" w:hAnsi="Times New Roman" w:cs="Times New Roman"/>
          <w:sz w:val="24"/>
          <w:szCs w:val="24"/>
        </w:rPr>
        <w:t xml:space="preserve"> compañías que generan residuos </w:t>
      </w:r>
      <w:r w:rsidRPr="0028424B">
        <w:rPr>
          <w:rFonts w:ascii="Times New Roman" w:hAnsi="Times New Roman" w:cs="Times New Roman"/>
          <w:sz w:val="24"/>
          <w:szCs w:val="24"/>
        </w:rPr>
        <w:t>peligrosos, se pide asimismo un registro d</w:t>
      </w:r>
      <w:r>
        <w:rPr>
          <w:rFonts w:ascii="Times New Roman" w:hAnsi="Times New Roman" w:cs="Times New Roman"/>
          <w:sz w:val="24"/>
          <w:szCs w:val="24"/>
        </w:rPr>
        <w:t xml:space="preserve">e información anual que detalle </w:t>
      </w:r>
      <w:r w:rsidRPr="0028424B">
        <w:rPr>
          <w:rFonts w:ascii="Times New Roman" w:hAnsi="Times New Roman" w:cs="Times New Roman"/>
          <w:sz w:val="24"/>
          <w:szCs w:val="24"/>
        </w:rPr>
        <w:t>estos impactos.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Además, la Ley 7/2022 ha añadido nue</w:t>
      </w:r>
      <w:r>
        <w:rPr>
          <w:rFonts w:ascii="Times New Roman" w:hAnsi="Times New Roman" w:cs="Times New Roman"/>
          <w:sz w:val="24"/>
          <w:szCs w:val="24"/>
        </w:rPr>
        <w:t xml:space="preserve">vas cargas normativas, como por ejemplo los </w:t>
      </w:r>
      <w:r w:rsidRPr="0028424B">
        <w:rPr>
          <w:rFonts w:ascii="Times New Roman" w:hAnsi="Times New Roman" w:cs="Times New Roman"/>
          <w:sz w:val="24"/>
          <w:szCs w:val="24"/>
        </w:rPr>
        <w:t>siguientes requisitos aplicables a la industria del plástico:</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Llevar un libro de existencias</w:t>
      </w:r>
      <w:r>
        <w:rPr>
          <w:rFonts w:ascii="Times New Roman" w:hAnsi="Times New Roman" w:cs="Times New Roman"/>
          <w:sz w:val="24"/>
          <w:szCs w:val="24"/>
        </w:rPr>
        <w:t xml:space="preserve"> de los productos con contenido </w:t>
      </w:r>
      <w:r w:rsidRPr="0028424B">
        <w:rPr>
          <w:rFonts w:ascii="Times New Roman" w:hAnsi="Times New Roman" w:cs="Times New Roman"/>
          <w:sz w:val="24"/>
          <w:szCs w:val="24"/>
        </w:rPr>
        <w:t>plástico fabricados o importados.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Llevar un Regi</w:t>
      </w:r>
      <w:r>
        <w:rPr>
          <w:rFonts w:ascii="Times New Roman" w:hAnsi="Times New Roman" w:cs="Times New Roman"/>
          <w:sz w:val="24"/>
          <w:szCs w:val="24"/>
        </w:rPr>
        <w:t xml:space="preserve">stro fechado de los residuos </w:t>
      </w:r>
      <w:r w:rsidRPr="0028424B">
        <w:rPr>
          <w:rFonts w:ascii="Times New Roman" w:hAnsi="Times New Roman" w:cs="Times New Roman"/>
          <w:sz w:val="24"/>
          <w:szCs w:val="24"/>
        </w:rPr>
        <w:t>vertidos/gestionados.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Llevar una contabilidad de las m</w:t>
      </w:r>
      <w:r>
        <w:rPr>
          <w:rFonts w:ascii="Times New Roman" w:hAnsi="Times New Roman" w:cs="Times New Roman"/>
          <w:sz w:val="24"/>
          <w:szCs w:val="24"/>
        </w:rPr>
        <w:t xml:space="preserve">aterias primas utilizadas en la fabricación de los productos </w:t>
      </w:r>
      <w:r w:rsidRPr="0028424B">
        <w:rPr>
          <w:rFonts w:ascii="Times New Roman" w:hAnsi="Times New Roman" w:cs="Times New Roman"/>
          <w:sz w:val="24"/>
          <w:szCs w:val="24"/>
        </w:rPr>
        <w:t>que contengan plástico.</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Suministrar informació</w:t>
      </w:r>
      <w:r>
        <w:rPr>
          <w:rFonts w:ascii="Times New Roman" w:hAnsi="Times New Roman" w:cs="Times New Roman"/>
          <w:sz w:val="24"/>
          <w:szCs w:val="24"/>
        </w:rPr>
        <w:t xml:space="preserve">n electrónicamente a la Agencia </w:t>
      </w:r>
      <w:r w:rsidRPr="0028424B">
        <w:rPr>
          <w:rFonts w:ascii="Times New Roman" w:hAnsi="Times New Roman" w:cs="Times New Roman"/>
          <w:sz w:val="24"/>
          <w:szCs w:val="24"/>
        </w:rPr>
        <w:t>Tributaria.</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No introducir en el mercad</w:t>
      </w:r>
      <w:r>
        <w:rPr>
          <w:rFonts w:ascii="Times New Roman" w:hAnsi="Times New Roman" w:cs="Times New Roman"/>
          <w:sz w:val="24"/>
          <w:szCs w:val="24"/>
        </w:rPr>
        <w:t xml:space="preserve">o ni comercializar elementos de </w:t>
      </w:r>
      <w:r w:rsidRPr="0028424B">
        <w:rPr>
          <w:rFonts w:ascii="Times New Roman" w:hAnsi="Times New Roman" w:cs="Times New Roman"/>
          <w:sz w:val="24"/>
          <w:szCs w:val="24"/>
        </w:rPr>
        <w:t>plástico de un solo uso.</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xml:space="preserve">§ No mezclar residuos no peligrosos </w:t>
      </w:r>
      <w:r>
        <w:rPr>
          <w:rFonts w:ascii="Times New Roman" w:hAnsi="Times New Roman" w:cs="Times New Roman"/>
          <w:sz w:val="24"/>
          <w:szCs w:val="24"/>
        </w:rPr>
        <w:t xml:space="preserve">si ello dificulta su reciclaje, </w:t>
      </w:r>
      <w:r w:rsidRPr="0028424B">
        <w:rPr>
          <w:rFonts w:ascii="Times New Roman" w:hAnsi="Times New Roman" w:cs="Times New Roman"/>
          <w:sz w:val="24"/>
          <w:szCs w:val="24"/>
        </w:rPr>
        <w:t>y nunca mezclarlos con residuos peligrosos.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xml:space="preserve">§ No destruir o depositar </w:t>
      </w:r>
      <w:r>
        <w:rPr>
          <w:rFonts w:ascii="Times New Roman" w:hAnsi="Times New Roman" w:cs="Times New Roman"/>
          <w:sz w:val="24"/>
          <w:szCs w:val="24"/>
        </w:rPr>
        <w:t xml:space="preserve">en vertederos los excedentes no </w:t>
      </w:r>
      <w:r w:rsidRPr="0028424B">
        <w:rPr>
          <w:rFonts w:ascii="Times New Roman" w:hAnsi="Times New Roman" w:cs="Times New Roman"/>
          <w:sz w:val="24"/>
          <w:szCs w:val="24"/>
        </w:rPr>
        <w:t>vendidos de productos no perecederos.</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Pago de dos nuevo</w:t>
      </w:r>
      <w:r>
        <w:rPr>
          <w:rFonts w:ascii="Times New Roman" w:hAnsi="Times New Roman" w:cs="Times New Roman"/>
          <w:sz w:val="24"/>
          <w:szCs w:val="24"/>
        </w:rPr>
        <w:t xml:space="preserve">s impuestos específicos, con el </w:t>
      </w:r>
      <w:r w:rsidRPr="0028424B">
        <w:rPr>
          <w:rFonts w:ascii="Times New Roman" w:hAnsi="Times New Roman" w:cs="Times New Roman"/>
          <w:sz w:val="24"/>
          <w:szCs w:val="24"/>
        </w:rPr>
        <w:t>correspondiente registro para e</w:t>
      </w:r>
      <w:r>
        <w:rPr>
          <w:rFonts w:ascii="Times New Roman" w:hAnsi="Times New Roman" w:cs="Times New Roman"/>
          <w:sz w:val="24"/>
          <w:szCs w:val="24"/>
        </w:rPr>
        <w:t xml:space="preserve">l alta territorial que habilite </w:t>
      </w:r>
      <w:r w:rsidRPr="0028424B">
        <w:rPr>
          <w:rFonts w:ascii="Times New Roman" w:hAnsi="Times New Roman" w:cs="Times New Roman"/>
          <w:sz w:val="24"/>
          <w:szCs w:val="24"/>
        </w:rPr>
        <w:t>su pago:</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Impuesto especial s</w:t>
      </w:r>
      <w:r>
        <w:rPr>
          <w:rFonts w:ascii="Times New Roman" w:hAnsi="Times New Roman" w:cs="Times New Roman"/>
          <w:sz w:val="24"/>
          <w:szCs w:val="24"/>
        </w:rPr>
        <w:t xml:space="preserve">obre los envases de plástico no </w:t>
      </w:r>
      <w:r w:rsidRPr="0028424B">
        <w:rPr>
          <w:rFonts w:ascii="Times New Roman" w:hAnsi="Times New Roman" w:cs="Times New Roman"/>
          <w:sz w:val="24"/>
          <w:szCs w:val="24"/>
        </w:rPr>
        <w:t xml:space="preserve">reutilizables. De 0,45 </w:t>
      </w:r>
      <w:r>
        <w:rPr>
          <w:rFonts w:ascii="Times New Roman" w:hAnsi="Times New Roman" w:cs="Times New Roman"/>
          <w:sz w:val="24"/>
          <w:szCs w:val="24"/>
        </w:rPr>
        <w:t xml:space="preserve">euros por kilo de plástico y de </w:t>
      </w:r>
      <w:r w:rsidRPr="0028424B">
        <w:rPr>
          <w:rFonts w:ascii="Times New Roman" w:hAnsi="Times New Roman" w:cs="Times New Roman"/>
          <w:sz w:val="24"/>
          <w:szCs w:val="24"/>
        </w:rPr>
        <w:t>liquidación trimestral.</w:t>
      </w:r>
    </w:p>
    <w:p w:rsidR="0028424B" w:rsidRP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Impuesto sobre el depósit</w:t>
      </w:r>
      <w:r>
        <w:rPr>
          <w:rFonts w:ascii="Times New Roman" w:hAnsi="Times New Roman" w:cs="Times New Roman"/>
          <w:sz w:val="24"/>
          <w:szCs w:val="24"/>
        </w:rPr>
        <w:t xml:space="preserve">o de residuos en vertederos, la </w:t>
      </w:r>
      <w:r w:rsidRPr="0028424B">
        <w:rPr>
          <w:rFonts w:ascii="Times New Roman" w:hAnsi="Times New Roman" w:cs="Times New Roman"/>
          <w:sz w:val="24"/>
          <w:szCs w:val="24"/>
        </w:rPr>
        <w:t>incineración y coincineración (</w:t>
      </w:r>
      <w:r>
        <w:rPr>
          <w:rFonts w:ascii="Times New Roman" w:hAnsi="Times New Roman" w:cs="Times New Roman"/>
          <w:sz w:val="24"/>
          <w:szCs w:val="24"/>
        </w:rPr>
        <w:t xml:space="preserve">hay veintidós tipos diferentes, </w:t>
      </w:r>
      <w:r w:rsidRPr="0028424B">
        <w:rPr>
          <w:rFonts w:ascii="Times New Roman" w:hAnsi="Times New Roman" w:cs="Times New Roman"/>
          <w:sz w:val="24"/>
          <w:szCs w:val="24"/>
        </w:rPr>
        <w:t>de modo que el cál</w:t>
      </w:r>
      <w:r>
        <w:rPr>
          <w:rFonts w:ascii="Times New Roman" w:hAnsi="Times New Roman" w:cs="Times New Roman"/>
          <w:sz w:val="24"/>
          <w:szCs w:val="24"/>
        </w:rPr>
        <w:t xml:space="preserve">culo del gravamen depende de la </w:t>
      </w:r>
      <w:r w:rsidRPr="0028424B">
        <w:rPr>
          <w:rFonts w:ascii="Times New Roman" w:hAnsi="Times New Roman" w:cs="Times New Roman"/>
          <w:sz w:val="24"/>
          <w:szCs w:val="24"/>
        </w:rPr>
        <w:t>instalación y del tipo de residuo. La liquidación es trimestral).</w:t>
      </w:r>
    </w:p>
    <w:p w:rsidR="0028424B" w:rsidRDefault="0028424B" w:rsidP="0028424B">
      <w:pPr>
        <w:autoSpaceDE w:val="0"/>
        <w:autoSpaceDN w:val="0"/>
        <w:adjustRightInd w:val="0"/>
        <w:spacing w:after="0" w:line="240" w:lineRule="auto"/>
        <w:jc w:val="both"/>
        <w:rPr>
          <w:rFonts w:ascii="Times New Roman" w:hAnsi="Times New Roman" w:cs="Times New Roman"/>
          <w:sz w:val="24"/>
          <w:szCs w:val="24"/>
        </w:rPr>
      </w:pPr>
      <w:r w:rsidRPr="0028424B">
        <w:rPr>
          <w:rFonts w:ascii="Times New Roman" w:hAnsi="Times New Roman" w:cs="Times New Roman"/>
          <w:sz w:val="24"/>
          <w:szCs w:val="24"/>
        </w:rPr>
        <w:t>§ Creación de una zona habil</w:t>
      </w:r>
      <w:r>
        <w:rPr>
          <w:rFonts w:ascii="Times New Roman" w:hAnsi="Times New Roman" w:cs="Times New Roman"/>
          <w:sz w:val="24"/>
          <w:szCs w:val="24"/>
        </w:rPr>
        <w:t xml:space="preserve">itada para el almacenamiento de </w:t>
      </w:r>
      <w:r w:rsidRPr="0028424B">
        <w:rPr>
          <w:rFonts w:ascii="Times New Roman" w:hAnsi="Times New Roman" w:cs="Times New Roman"/>
          <w:sz w:val="24"/>
          <w:szCs w:val="24"/>
        </w:rPr>
        <w:t>residuos, con unas determin</w:t>
      </w:r>
      <w:r>
        <w:rPr>
          <w:rFonts w:ascii="Times New Roman" w:hAnsi="Times New Roman" w:cs="Times New Roman"/>
          <w:sz w:val="24"/>
          <w:szCs w:val="24"/>
        </w:rPr>
        <w:t xml:space="preserve">adas condiciones de seguridad e </w:t>
      </w:r>
      <w:r w:rsidRPr="0028424B">
        <w:rPr>
          <w:rFonts w:ascii="Times New Roman" w:hAnsi="Times New Roman" w:cs="Times New Roman"/>
          <w:sz w:val="24"/>
          <w:szCs w:val="24"/>
        </w:rPr>
        <w:t>higiene.</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Separación de los residuos según las nuevas categorías de la</w:t>
      </w:r>
      <w:r>
        <w:rPr>
          <w:rFonts w:ascii="Times New Roman" w:hAnsi="Times New Roman" w:cs="Times New Roman"/>
          <w:sz w:val="24"/>
          <w:szCs w:val="24"/>
        </w:rPr>
        <w:t xml:space="preserve"> </w:t>
      </w:r>
      <w:r w:rsidRPr="00A04B37">
        <w:rPr>
          <w:rFonts w:ascii="Times New Roman" w:hAnsi="Times New Roman" w:cs="Times New Roman"/>
          <w:sz w:val="24"/>
          <w:szCs w:val="24"/>
        </w:rPr>
        <w:t>normativa, que incluyen cin</w:t>
      </w:r>
      <w:r>
        <w:rPr>
          <w:rFonts w:ascii="Times New Roman" w:hAnsi="Times New Roman" w:cs="Times New Roman"/>
          <w:sz w:val="24"/>
          <w:szCs w:val="24"/>
        </w:rPr>
        <w:t xml:space="preserve">co grandes áreas: biorresudios, </w:t>
      </w:r>
      <w:r w:rsidRPr="00A04B37">
        <w:rPr>
          <w:rFonts w:ascii="Times New Roman" w:hAnsi="Times New Roman" w:cs="Times New Roman"/>
          <w:sz w:val="24"/>
          <w:szCs w:val="24"/>
        </w:rPr>
        <w:t>textiles, aceites, residuos voluminosos y residuos peligrosos.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Gestión autorizada del tr</w:t>
      </w:r>
      <w:r>
        <w:rPr>
          <w:rFonts w:ascii="Times New Roman" w:hAnsi="Times New Roman" w:cs="Times New Roman"/>
          <w:sz w:val="24"/>
          <w:szCs w:val="24"/>
        </w:rPr>
        <w:t xml:space="preserve">atamiento de residuos, mediante </w:t>
      </w:r>
      <w:r w:rsidRPr="00A04B37">
        <w:rPr>
          <w:rFonts w:ascii="Times New Roman" w:hAnsi="Times New Roman" w:cs="Times New Roman"/>
          <w:sz w:val="24"/>
          <w:szCs w:val="24"/>
        </w:rPr>
        <w:t>empresas especializadas debidamente acreditadas.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xml:space="preserve">§ Obtención de la licencia </w:t>
      </w:r>
      <w:r>
        <w:rPr>
          <w:rFonts w:ascii="Times New Roman" w:hAnsi="Times New Roman" w:cs="Times New Roman"/>
          <w:sz w:val="24"/>
          <w:szCs w:val="24"/>
        </w:rPr>
        <w:t xml:space="preserve">propia del tratamiento de estos </w:t>
      </w:r>
      <w:r w:rsidRPr="00A04B37">
        <w:rPr>
          <w:rFonts w:ascii="Times New Roman" w:hAnsi="Times New Roman" w:cs="Times New Roman"/>
          <w:sz w:val="24"/>
          <w:szCs w:val="24"/>
        </w:rPr>
        <w:t>residuos.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En el caso de los vendedo</w:t>
      </w:r>
      <w:r w:rsidR="003A53AF">
        <w:rPr>
          <w:rFonts w:ascii="Times New Roman" w:hAnsi="Times New Roman" w:cs="Times New Roman"/>
          <w:sz w:val="24"/>
          <w:szCs w:val="24"/>
        </w:rPr>
        <w:t xml:space="preserve">res minoristas de alimentación, </w:t>
      </w:r>
      <w:r w:rsidRPr="00A04B37">
        <w:rPr>
          <w:rFonts w:ascii="Times New Roman" w:hAnsi="Times New Roman" w:cs="Times New Roman"/>
          <w:sz w:val="24"/>
          <w:szCs w:val="24"/>
        </w:rPr>
        <w:t>deben aceptar el uso de rec</w:t>
      </w:r>
      <w:r>
        <w:rPr>
          <w:rFonts w:ascii="Times New Roman" w:hAnsi="Times New Roman" w:cs="Times New Roman"/>
          <w:sz w:val="24"/>
          <w:szCs w:val="24"/>
        </w:rPr>
        <w:t xml:space="preserve">ipientes reutilizables y, si el </w:t>
      </w:r>
      <w:r w:rsidRPr="00A04B37">
        <w:rPr>
          <w:rFonts w:ascii="Times New Roman" w:hAnsi="Times New Roman" w:cs="Times New Roman"/>
          <w:sz w:val="24"/>
          <w:szCs w:val="24"/>
        </w:rPr>
        <w:t>comercio tiene una superf</w:t>
      </w:r>
      <w:r>
        <w:rPr>
          <w:rFonts w:ascii="Times New Roman" w:hAnsi="Times New Roman" w:cs="Times New Roman"/>
          <w:sz w:val="24"/>
          <w:szCs w:val="24"/>
        </w:rPr>
        <w:t xml:space="preserve">icie igual o mayor a 400 metros </w:t>
      </w:r>
      <w:r w:rsidRPr="00A04B37">
        <w:rPr>
          <w:rFonts w:ascii="Times New Roman" w:hAnsi="Times New Roman" w:cs="Times New Roman"/>
          <w:sz w:val="24"/>
          <w:szCs w:val="24"/>
        </w:rPr>
        <w:t>cuadrados, deben destina</w:t>
      </w:r>
      <w:r>
        <w:rPr>
          <w:rFonts w:ascii="Times New Roman" w:hAnsi="Times New Roman" w:cs="Times New Roman"/>
          <w:sz w:val="24"/>
          <w:szCs w:val="24"/>
        </w:rPr>
        <w:t xml:space="preserve">r al menos el 20 por ciento del </w:t>
      </w:r>
      <w:r w:rsidRPr="00A04B37">
        <w:rPr>
          <w:rFonts w:ascii="Times New Roman" w:hAnsi="Times New Roman" w:cs="Times New Roman"/>
          <w:sz w:val="24"/>
          <w:szCs w:val="24"/>
        </w:rPr>
        <w:t>establecimiento a la venta a granel o a la venta</w:t>
      </w:r>
      <w:r>
        <w:rPr>
          <w:rFonts w:ascii="Times New Roman" w:hAnsi="Times New Roman" w:cs="Times New Roman"/>
          <w:sz w:val="24"/>
          <w:szCs w:val="24"/>
        </w:rPr>
        <w:t xml:space="preserve"> de productos </w:t>
      </w:r>
      <w:r w:rsidRPr="00A04B37">
        <w:rPr>
          <w:rFonts w:ascii="Times New Roman" w:hAnsi="Times New Roman" w:cs="Times New Roman"/>
          <w:sz w:val="24"/>
          <w:szCs w:val="24"/>
        </w:rPr>
        <w:t>en envases reutilizables.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En la misma línea van las obligaciones</w:t>
      </w:r>
      <w:r>
        <w:rPr>
          <w:rFonts w:ascii="Times New Roman" w:hAnsi="Times New Roman" w:cs="Times New Roman"/>
          <w:sz w:val="24"/>
          <w:szCs w:val="24"/>
        </w:rPr>
        <w:t xml:space="preserve"> vinculadas con el Real Decreto </w:t>
      </w:r>
      <w:r w:rsidRPr="00A04B37">
        <w:rPr>
          <w:rFonts w:ascii="Times New Roman" w:hAnsi="Times New Roman" w:cs="Times New Roman"/>
          <w:sz w:val="24"/>
          <w:szCs w:val="24"/>
        </w:rPr>
        <w:t>1055/2022. Si la empresa no envasa productos, sino que simplemente los</w:t>
      </w:r>
      <w:r>
        <w:rPr>
          <w:rFonts w:ascii="Times New Roman" w:hAnsi="Times New Roman" w:cs="Times New Roman"/>
          <w:sz w:val="24"/>
          <w:szCs w:val="24"/>
        </w:rPr>
        <w:t xml:space="preserve"> </w:t>
      </w:r>
      <w:r w:rsidRPr="00A04B37">
        <w:rPr>
          <w:rFonts w:ascii="Times New Roman" w:hAnsi="Times New Roman" w:cs="Times New Roman"/>
          <w:sz w:val="24"/>
          <w:szCs w:val="24"/>
        </w:rPr>
        <w:t>distribuye, deberá cumplir con los siguientes pasos: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Comercializar produc</w:t>
      </w:r>
      <w:r>
        <w:rPr>
          <w:rFonts w:ascii="Times New Roman" w:hAnsi="Times New Roman" w:cs="Times New Roman"/>
          <w:sz w:val="24"/>
          <w:szCs w:val="24"/>
        </w:rPr>
        <w:t xml:space="preserve">tos procedentes de productores identificados en el Registro de </w:t>
      </w:r>
      <w:r w:rsidRPr="00A04B37">
        <w:rPr>
          <w:rFonts w:ascii="Times New Roman" w:hAnsi="Times New Roman" w:cs="Times New Roman"/>
          <w:sz w:val="24"/>
          <w:szCs w:val="24"/>
        </w:rPr>
        <w:t>Productores de Productos.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lastRenderedPageBreak/>
        <w:t xml:space="preserve">§ Determinar si los productores </w:t>
      </w:r>
      <w:r>
        <w:rPr>
          <w:rFonts w:ascii="Times New Roman" w:hAnsi="Times New Roman" w:cs="Times New Roman"/>
          <w:sz w:val="24"/>
          <w:szCs w:val="24"/>
        </w:rPr>
        <w:t xml:space="preserve">o distribuidores con los que se </w:t>
      </w:r>
      <w:r w:rsidRPr="00A04B37">
        <w:rPr>
          <w:rFonts w:ascii="Times New Roman" w:hAnsi="Times New Roman" w:cs="Times New Roman"/>
          <w:sz w:val="24"/>
          <w:szCs w:val="24"/>
        </w:rPr>
        <w:t>mantiene relación comercial</w:t>
      </w:r>
      <w:r>
        <w:rPr>
          <w:rFonts w:ascii="Times New Roman" w:hAnsi="Times New Roman" w:cs="Times New Roman"/>
          <w:sz w:val="24"/>
          <w:szCs w:val="24"/>
        </w:rPr>
        <w:t xml:space="preserve"> tienen un sistema de depósito, </w:t>
      </w:r>
      <w:r w:rsidRPr="00A04B37">
        <w:rPr>
          <w:rFonts w:ascii="Times New Roman" w:hAnsi="Times New Roman" w:cs="Times New Roman"/>
          <w:sz w:val="24"/>
          <w:szCs w:val="24"/>
        </w:rPr>
        <w:t>devolución y retorno.</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Participar en los sistemas de</w:t>
      </w:r>
      <w:r>
        <w:rPr>
          <w:rFonts w:ascii="Times New Roman" w:hAnsi="Times New Roman" w:cs="Times New Roman"/>
          <w:sz w:val="24"/>
          <w:szCs w:val="24"/>
        </w:rPr>
        <w:t xml:space="preserve"> depósito, devolución y retorno </w:t>
      </w:r>
      <w:r w:rsidRPr="00A04B37">
        <w:rPr>
          <w:rFonts w:ascii="Times New Roman" w:hAnsi="Times New Roman" w:cs="Times New Roman"/>
          <w:sz w:val="24"/>
          <w:szCs w:val="24"/>
        </w:rPr>
        <w:t>establecidos. Aceptar el uso</w:t>
      </w:r>
      <w:r>
        <w:rPr>
          <w:rFonts w:ascii="Times New Roman" w:hAnsi="Times New Roman" w:cs="Times New Roman"/>
          <w:sz w:val="24"/>
          <w:szCs w:val="24"/>
        </w:rPr>
        <w:t xml:space="preserve"> de recipientes reutilizables y </w:t>
      </w:r>
      <w:r w:rsidRPr="00A04B37">
        <w:rPr>
          <w:rFonts w:ascii="Times New Roman" w:hAnsi="Times New Roman" w:cs="Times New Roman"/>
          <w:sz w:val="24"/>
          <w:szCs w:val="24"/>
        </w:rPr>
        <w:t>recoger aquellos</w:t>
      </w:r>
      <w:r>
        <w:rPr>
          <w:rFonts w:ascii="Times New Roman" w:hAnsi="Times New Roman" w:cs="Times New Roman"/>
          <w:sz w:val="24"/>
          <w:szCs w:val="24"/>
        </w:rPr>
        <w:t xml:space="preserve"> que los consumidores devuelvan </w:t>
      </w:r>
      <w:r w:rsidRPr="00A04B37">
        <w:rPr>
          <w:rFonts w:ascii="Times New Roman" w:hAnsi="Times New Roman" w:cs="Times New Roman"/>
          <w:sz w:val="24"/>
          <w:szCs w:val="24"/>
        </w:rPr>
        <w:t>debidamente limpios, devolv</w:t>
      </w:r>
      <w:r>
        <w:rPr>
          <w:rFonts w:ascii="Times New Roman" w:hAnsi="Times New Roman" w:cs="Times New Roman"/>
          <w:sz w:val="24"/>
          <w:szCs w:val="24"/>
        </w:rPr>
        <w:t xml:space="preserve">iendo en este caso la fianza al </w:t>
      </w:r>
      <w:r w:rsidRPr="00A04B37">
        <w:rPr>
          <w:rFonts w:ascii="Times New Roman" w:hAnsi="Times New Roman" w:cs="Times New Roman"/>
          <w:sz w:val="24"/>
          <w:szCs w:val="24"/>
        </w:rPr>
        <w:t>consumidor.</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Colaborar en la recogida sepa</w:t>
      </w:r>
      <w:r>
        <w:rPr>
          <w:rFonts w:ascii="Times New Roman" w:hAnsi="Times New Roman" w:cs="Times New Roman"/>
          <w:sz w:val="24"/>
          <w:szCs w:val="24"/>
        </w:rPr>
        <w:t xml:space="preserve">rada de determinados residuos </w:t>
      </w:r>
      <w:r w:rsidRPr="00A04B37">
        <w:rPr>
          <w:rFonts w:ascii="Times New Roman" w:hAnsi="Times New Roman" w:cs="Times New Roman"/>
          <w:sz w:val="24"/>
          <w:szCs w:val="24"/>
        </w:rPr>
        <w:t>de envases, en los sistem</w:t>
      </w:r>
      <w:r>
        <w:rPr>
          <w:rFonts w:ascii="Times New Roman" w:hAnsi="Times New Roman" w:cs="Times New Roman"/>
          <w:sz w:val="24"/>
          <w:szCs w:val="24"/>
        </w:rPr>
        <w:t xml:space="preserve">as de gestión organizado por el </w:t>
      </w:r>
      <w:r w:rsidRPr="00A04B37">
        <w:rPr>
          <w:rFonts w:ascii="Times New Roman" w:hAnsi="Times New Roman" w:cs="Times New Roman"/>
          <w:sz w:val="24"/>
          <w:szCs w:val="24"/>
        </w:rPr>
        <w:t>productor o en el que se participe.</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Separar por materiales los re</w:t>
      </w:r>
      <w:r>
        <w:rPr>
          <w:rFonts w:ascii="Times New Roman" w:hAnsi="Times New Roman" w:cs="Times New Roman"/>
          <w:sz w:val="24"/>
          <w:szCs w:val="24"/>
        </w:rPr>
        <w:t xml:space="preserve">siduos de envases que queden en </w:t>
      </w:r>
      <w:r w:rsidRPr="00A04B37">
        <w:rPr>
          <w:rFonts w:ascii="Times New Roman" w:hAnsi="Times New Roman" w:cs="Times New Roman"/>
          <w:sz w:val="24"/>
          <w:szCs w:val="24"/>
        </w:rPr>
        <w:t xml:space="preserve">la empresa tras el consumo de </w:t>
      </w:r>
      <w:r>
        <w:rPr>
          <w:rFonts w:ascii="Times New Roman" w:hAnsi="Times New Roman" w:cs="Times New Roman"/>
          <w:sz w:val="24"/>
          <w:szCs w:val="24"/>
        </w:rPr>
        <w:t xml:space="preserve">los productos, para entregarlos </w:t>
      </w:r>
      <w:r w:rsidRPr="00A04B37">
        <w:rPr>
          <w:rFonts w:ascii="Times New Roman" w:hAnsi="Times New Roman" w:cs="Times New Roman"/>
          <w:sz w:val="24"/>
          <w:szCs w:val="24"/>
        </w:rPr>
        <w:t>a gestores autorizados, o</w:t>
      </w:r>
      <w:r>
        <w:rPr>
          <w:rFonts w:ascii="Times New Roman" w:hAnsi="Times New Roman" w:cs="Times New Roman"/>
          <w:sz w:val="24"/>
          <w:szCs w:val="24"/>
        </w:rPr>
        <w:t xml:space="preserve"> depositarlos en contenedores o </w:t>
      </w:r>
      <w:r w:rsidRPr="00A04B37">
        <w:rPr>
          <w:rFonts w:ascii="Times New Roman" w:hAnsi="Times New Roman" w:cs="Times New Roman"/>
          <w:sz w:val="24"/>
          <w:szCs w:val="24"/>
        </w:rPr>
        <w:t>puntos limpios.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xml:space="preserve">§ Los comercios minoristas de </w:t>
      </w:r>
      <w:r>
        <w:rPr>
          <w:rFonts w:ascii="Times New Roman" w:hAnsi="Times New Roman" w:cs="Times New Roman"/>
          <w:sz w:val="24"/>
          <w:szCs w:val="24"/>
        </w:rPr>
        <w:t xml:space="preserve">alimentación deben procurar que </w:t>
      </w:r>
      <w:r w:rsidRPr="00A04B37">
        <w:rPr>
          <w:rFonts w:ascii="Times New Roman" w:hAnsi="Times New Roman" w:cs="Times New Roman"/>
          <w:sz w:val="24"/>
          <w:szCs w:val="24"/>
        </w:rPr>
        <w:t>todas las frutas y verduras se pr</w:t>
      </w:r>
      <w:r>
        <w:rPr>
          <w:rFonts w:ascii="Times New Roman" w:hAnsi="Times New Roman" w:cs="Times New Roman"/>
          <w:sz w:val="24"/>
          <w:szCs w:val="24"/>
        </w:rPr>
        <w:t xml:space="preserve">esenten a granel, salvo las que </w:t>
      </w:r>
      <w:r w:rsidRPr="00A04B37">
        <w:rPr>
          <w:rFonts w:ascii="Times New Roman" w:hAnsi="Times New Roman" w:cs="Times New Roman"/>
          <w:sz w:val="24"/>
          <w:szCs w:val="24"/>
        </w:rPr>
        <w:t>ya vengan empaquetadas.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Si la empresa produce, envasa o importa p</w:t>
      </w:r>
      <w:r>
        <w:rPr>
          <w:rFonts w:ascii="Times New Roman" w:hAnsi="Times New Roman" w:cs="Times New Roman"/>
          <w:sz w:val="24"/>
          <w:szCs w:val="24"/>
        </w:rPr>
        <w:t xml:space="preserve">roductos envasados, también hay </w:t>
      </w:r>
      <w:r w:rsidRPr="00A04B37">
        <w:rPr>
          <w:rFonts w:ascii="Times New Roman" w:hAnsi="Times New Roman" w:cs="Times New Roman"/>
          <w:sz w:val="24"/>
          <w:szCs w:val="24"/>
        </w:rPr>
        <w:t>otra serie de obligaciones aplicables:</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Inscripción en el Regist</w:t>
      </w:r>
      <w:r>
        <w:rPr>
          <w:rFonts w:ascii="Times New Roman" w:hAnsi="Times New Roman" w:cs="Times New Roman"/>
          <w:sz w:val="24"/>
          <w:szCs w:val="24"/>
        </w:rPr>
        <w:t xml:space="preserve">ro de Productores de Producto e </w:t>
      </w:r>
      <w:r w:rsidRPr="00A04B37">
        <w:rPr>
          <w:rFonts w:ascii="Times New Roman" w:hAnsi="Times New Roman" w:cs="Times New Roman"/>
          <w:sz w:val="24"/>
          <w:szCs w:val="24"/>
        </w:rPr>
        <w:t>incorporación a un si</w:t>
      </w:r>
      <w:r>
        <w:rPr>
          <w:rFonts w:ascii="Times New Roman" w:hAnsi="Times New Roman" w:cs="Times New Roman"/>
          <w:sz w:val="24"/>
          <w:szCs w:val="24"/>
        </w:rPr>
        <w:t xml:space="preserve">stema individual o colectivo de </w:t>
      </w:r>
      <w:r w:rsidRPr="00A04B37">
        <w:rPr>
          <w:rFonts w:ascii="Times New Roman" w:hAnsi="Times New Roman" w:cs="Times New Roman"/>
          <w:sz w:val="24"/>
          <w:szCs w:val="24"/>
        </w:rPr>
        <w:t>responsabilidad ampliada del productor.</w:t>
      </w:r>
    </w:p>
    <w:p w:rsidR="00A04B37" w:rsidRPr="00A04B37" w:rsidRDefault="00A04B37" w:rsidP="00A04B37">
      <w:pPr>
        <w:autoSpaceDE w:val="0"/>
        <w:autoSpaceDN w:val="0"/>
        <w:adjustRightInd w:val="0"/>
        <w:spacing w:after="0" w:line="240" w:lineRule="auto"/>
        <w:jc w:val="both"/>
        <w:rPr>
          <w:rFonts w:ascii="Times New Roman" w:hAnsi="Times New Roman" w:cs="Times New Roman"/>
          <w:sz w:val="24"/>
          <w:szCs w:val="24"/>
        </w:rPr>
      </w:pPr>
      <w:r w:rsidRPr="00A04B37">
        <w:rPr>
          <w:rFonts w:ascii="Times New Roman" w:hAnsi="Times New Roman" w:cs="Times New Roman"/>
          <w:sz w:val="24"/>
          <w:szCs w:val="24"/>
        </w:rPr>
        <w:t>§ Suministro de información a los</w:t>
      </w:r>
      <w:r>
        <w:rPr>
          <w:rFonts w:ascii="Times New Roman" w:hAnsi="Times New Roman" w:cs="Times New Roman"/>
          <w:sz w:val="24"/>
          <w:szCs w:val="24"/>
        </w:rPr>
        <w:t xml:space="preserve"> sistemas individuales o </w:t>
      </w:r>
      <w:r w:rsidRPr="00A04B37">
        <w:rPr>
          <w:rFonts w:ascii="Times New Roman" w:hAnsi="Times New Roman" w:cs="Times New Roman"/>
          <w:sz w:val="24"/>
          <w:szCs w:val="24"/>
        </w:rPr>
        <w:t>colectivos de responsabilida</w:t>
      </w:r>
      <w:r>
        <w:rPr>
          <w:rFonts w:ascii="Times New Roman" w:hAnsi="Times New Roman" w:cs="Times New Roman"/>
          <w:sz w:val="24"/>
          <w:szCs w:val="24"/>
        </w:rPr>
        <w:t xml:space="preserve">d ampliada del productor acerca </w:t>
      </w:r>
      <w:r w:rsidRPr="00A04B37">
        <w:rPr>
          <w:rFonts w:ascii="Times New Roman" w:hAnsi="Times New Roman" w:cs="Times New Roman"/>
          <w:sz w:val="24"/>
          <w:szCs w:val="24"/>
        </w:rPr>
        <w:t>de los productos envasados p</w:t>
      </w:r>
      <w:r>
        <w:rPr>
          <w:rFonts w:ascii="Times New Roman" w:hAnsi="Times New Roman" w:cs="Times New Roman"/>
          <w:sz w:val="24"/>
          <w:szCs w:val="24"/>
        </w:rPr>
        <w:t xml:space="preserve">ertenecientes a tales sistemas, </w:t>
      </w:r>
      <w:r w:rsidRPr="00A04B37">
        <w:rPr>
          <w:rFonts w:ascii="Times New Roman" w:hAnsi="Times New Roman" w:cs="Times New Roman"/>
          <w:sz w:val="24"/>
          <w:szCs w:val="24"/>
        </w:rPr>
        <w:t>siempre que sea necesario.</w:t>
      </w:r>
    </w:p>
    <w:p w:rsidR="0028424B" w:rsidRPr="0028424B" w:rsidRDefault="0028424B" w:rsidP="00A04B37">
      <w:pPr>
        <w:autoSpaceDE w:val="0"/>
        <w:autoSpaceDN w:val="0"/>
        <w:adjustRightInd w:val="0"/>
        <w:spacing w:after="0" w:line="240" w:lineRule="auto"/>
        <w:jc w:val="both"/>
        <w:rPr>
          <w:rFonts w:ascii="Times New Roman" w:hAnsi="Times New Roman" w:cs="Times New Roman"/>
          <w:sz w:val="24"/>
          <w:szCs w:val="24"/>
        </w:rPr>
      </w:pPr>
    </w:p>
    <w:p w:rsidR="00162EBD" w:rsidRPr="00345D74" w:rsidRDefault="00AA73E3" w:rsidP="0028424B">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Aplicando l</w:t>
      </w:r>
      <w:r w:rsidR="008A7E70" w:rsidRPr="00345D74">
        <w:rPr>
          <w:rFonts w:ascii="Times New Roman" w:hAnsi="Times New Roman" w:cs="Times New Roman"/>
          <w:b/>
          <w:sz w:val="24"/>
          <w:szCs w:val="24"/>
        </w:rPr>
        <w:t>a ley de los grandes números</w:t>
      </w:r>
    </w:p>
    <w:p w:rsidR="008A7E70" w:rsidRPr="00345D74" w:rsidRDefault="008A7E70" w:rsidP="00A6620E">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Antes de concluir esta larga enumeración</w:t>
      </w:r>
      <w:r w:rsidR="00AA73E3" w:rsidRPr="00345D74">
        <w:rPr>
          <w:rFonts w:ascii="Times New Roman" w:hAnsi="Times New Roman" w:cs="Times New Roman"/>
          <w:sz w:val="24"/>
          <w:szCs w:val="24"/>
        </w:rPr>
        <w:t xml:space="preserve"> de barreras</w:t>
      </w:r>
      <w:r w:rsidR="00E53245" w:rsidRPr="00345D74">
        <w:rPr>
          <w:rFonts w:ascii="Times New Roman" w:hAnsi="Times New Roman" w:cs="Times New Roman"/>
          <w:sz w:val="24"/>
          <w:szCs w:val="24"/>
        </w:rPr>
        <w:t>, en</w:t>
      </w:r>
      <w:r w:rsidRPr="00345D74">
        <w:rPr>
          <w:rFonts w:ascii="Times New Roman" w:hAnsi="Times New Roman" w:cs="Times New Roman"/>
          <w:sz w:val="24"/>
          <w:szCs w:val="24"/>
        </w:rPr>
        <w:t xml:space="preserve"> la dura (</w:t>
      </w:r>
      <w:r w:rsidR="00E53245" w:rsidRPr="00345D74">
        <w:rPr>
          <w:rFonts w:ascii="Times New Roman" w:hAnsi="Times New Roman" w:cs="Times New Roman"/>
          <w:sz w:val="24"/>
          <w:szCs w:val="24"/>
        </w:rPr>
        <w:t>durísima) carrera</w:t>
      </w:r>
      <w:r w:rsidR="00AA73E3" w:rsidRPr="00345D74">
        <w:rPr>
          <w:rFonts w:ascii="Times New Roman" w:hAnsi="Times New Roman" w:cs="Times New Roman"/>
          <w:sz w:val="24"/>
          <w:szCs w:val="24"/>
        </w:rPr>
        <w:t xml:space="preserve"> de obstáculos</w:t>
      </w:r>
      <w:r w:rsidR="00E53245" w:rsidRPr="00345D74">
        <w:rPr>
          <w:rFonts w:ascii="Times New Roman" w:hAnsi="Times New Roman" w:cs="Times New Roman"/>
          <w:sz w:val="24"/>
          <w:szCs w:val="24"/>
        </w:rPr>
        <w:t xml:space="preserve"> que debe realizar</w:t>
      </w:r>
      <w:r w:rsidRPr="00345D74">
        <w:rPr>
          <w:rFonts w:ascii="Times New Roman" w:hAnsi="Times New Roman" w:cs="Times New Roman"/>
          <w:sz w:val="24"/>
          <w:szCs w:val="24"/>
        </w:rPr>
        <w:t xml:space="preserve"> cualquier persona que desea (imagina,</w:t>
      </w:r>
      <w:r w:rsidR="001A287F" w:rsidRPr="00345D74">
        <w:rPr>
          <w:rFonts w:ascii="Times New Roman" w:hAnsi="Times New Roman" w:cs="Times New Roman"/>
          <w:sz w:val="24"/>
          <w:szCs w:val="24"/>
        </w:rPr>
        <w:t xml:space="preserve"> proyecta,</w:t>
      </w:r>
      <w:r w:rsidRPr="00345D74">
        <w:rPr>
          <w:rFonts w:ascii="Times New Roman" w:hAnsi="Times New Roman" w:cs="Times New Roman"/>
          <w:sz w:val="24"/>
          <w:szCs w:val="24"/>
        </w:rPr>
        <w:t xml:space="preserve"> intenta, procura) emprender algún tipo de</w:t>
      </w:r>
      <w:r w:rsidR="007B3F35" w:rsidRPr="00345D74">
        <w:rPr>
          <w:rFonts w:ascii="Times New Roman" w:hAnsi="Times New Roman" w:cs="Times New Roman"/>
          <w:sz w:val="24"/>
          <w:szCs w:val="24"/>
        </w:rPr>
        <w:t xml:space="preserve"> actividad empresarial (en</w:t>
      </w:r>
      <w:r w:rsidRPr="00345D74">
        <w:rPr>
          <w:rFonts w:ascii="Times New Roman" w:hAnsi="Times New Roman" w:cs="Times New Roman"/>
          <w:sz w:val="24"/>
          <w:szCs w:val="24"/>
        </w:rPr>
        <w:t xml:space="preserve"> nuestro caso: agrícola, ganadera</w:t>
      </w:r>
      <w:r w:rsidR="007B3F35" w:rsidRPr="00345D74">
        <w:rPr>
          <w:rFonts w:ascii="Times New Roman" w:hAnsi="Times New Roman" w:cs="Times New Roman"/>
          <w:sz w:val="24"/>
          <w:szCs w:val="24"/>
        </w:rPr>
        <w:t>,</w:t>
      </w:r>
      <w:r w:rsidRPr="00345D74">
        <w:rPr>
          <w:rFonts w:ascii="Times New Roman" w:hAnsi="Times New Roman" w:cs="Times New Roman"/>
          <w:sz w:val="24"/>
          <w:szCs w:val="24"/>
        </w:rPr>
        <w:t xml:space="preserve"> o pesquera) en</w:t>
      </w:r>
      <w:r w:rsidR="001A287F" w:rsidRPr="00345D74">
        <w:rPr>
          <w:rFonts w:ascii="Times New Roman" w:hAnsi="Times New Roman" w:cs="Times New Roman"/>
          <w:sz w:val="24"/>
          <w:szCs w:val="24"/>
        </w:rPr>
        <w:t xml:space="preserve"> la Unión Europa, voy a</w:t>
      </w:r>
      <w:r w:rsidRPr="00345D74">
        <w:rPr>
          <w:rFonts w:ascii="Times New Roman" w:hAnsi="Times New Roman" w:cs="Times New Roman"/>
          <w:sz w:val="24"/>
          <w:szCs w:val="24"/>
        </w:rPr>
        <w:t xml:space="preserve"> proyectar el coste de estos obstáculos para que las empresas puedan operar en la UE, a partir de los costos </w:t>
      </w:r>
      <w:r w:rsidR="007B3F35" w:rsidRPr="00345D74">
        <w:rPr>
          <w:rFonts w:ascii="Times New Roman" w:hAnsi="Times New Roman" w:cs="Times New Roman"/>
          <w:sz w:val="24"/>
          <w:szCs w:val="24"/>
        </w:rPr>
        <w:t>“</w:t>
      </w:r>
      <w:r w:rsidRPr="00345D74">
        <w:rPr>
          <w:rFonts w:ascii="Times New Roman" w:hAnsi="Times New Roman" w:cs="Times New Roman"/>
          <w:sz w:val="24"/>
          <w:szCs w:val="24"/>
        </w:rPr>
        <w:t>hundidos</w:t>
      </w:r>
      <w:r w:rsidR="007B3F35" w:rsidRPr="00345D74">
        <w:rPr>
          <w:rFonts w:ascii="Times New Roman" w:hAnsi="Times New Roman" w:cs="Times New Roman"/>
          <w:sz w:val="24"/>
          <w:szCs w:val="24"/>
        </w:rPr>
        <w:t>”</w:t>
      </w:r>
      <w:r w:rsidRPr="00345D74">
        <w:rPr>
          <w:rFonts w:ascii="Times New Roman" w:hAnsi="Times New Roman" w:cs="Times New Roman"/>
          <w:sz w:val="24"/>
          <w:szCs w:val="24"/>
        </w:rPr>
        <w:t xml:space="preserve"> en el caso de España (que ascienden a 90.000 millones de euros</w:t>
      </w:r>
      <w:r w:rsidR="00E53245" w:rsidRPr="00345D74">
        <w:rPr>
          <w:rFonts w:ascii="Times New Roman" w:hAnsi="Times New Roman" w:cs="Times New Roman"/>
          <w:sz w:val="24"/>
          <w:szCs w:val="24"/>
        </w:rPr>
        <w:t xml:space="preserve"> por año</w:t>
      </w:r>
      <w:r w:rsidR="001A287F" w:rsidRPr="00345D74">
        <w:rPr>
          <w:rFonts w:ascii="Times New Roman" w:hAnsi="Times New Roman" w:cs="Times New Roman"/>
          <w:sz w:val="24"/>
          <w:szCs w:val="24"/>
        </w:rPr>
        <w:t>, según un</w:t>
      </w:r>
      <w:r w:rsidRPr="00345D74">
        <w:rPr>
          <w:rFonts w:ascii="Times New Roman" w:hAnsi="Times New Roman" w:cs="Times New Roman"/>
          <w:sz w:val="24"/>
          <w:szCs w:val="24"/>
        </w:rPr>
        <w:t xml:space="preserve"> Informe del Inst</w:t>
      </w:r>
      <w:r w:rsidR="00DC1224" w:rsidRPr="00345D74">
        <w:rPr>
          <w:rFonts w:ascii="Times New Roman" w:hAnsi="Times New Roman" w:cs="Times New Roman"/>
          <w:sz w:val="24"/>
          <w:szCs w:val="24"/>
        </w:rPr>
        <w:t>ituto Juan de Mariana</w:t>
      </w:r>
      <w:r w:rsidR="001A287F" w:rsidRPr="00345D74">
        <w:rPr>
          <w:rFonts w:ascii="Times New Roman" w:hAnsi="Times New Roman" w:cs="Times New Roman"/>
          <w:sz w:val="24"/>
          <w:szCs w:val="24"/>
        </w:rPr>
        <w:t xml:space="preserve"> de</w:t>
      </w:r>
      <w:r w:rsidR="00AA73E3" w:rsidRPr="00345D74">
        <w:rPr>
          <w:rFonts w:ascii="Times New Roman" w:hAnsi="Times New Roman" w:cs="Times New Roman"/>
          <w:sz w:val="24"/>
          <w:szCs w:val="24"/>
        </w:rPr>
        <w:t xml:space="preserve"> </w:t>
      </w:r>
      <w:r w:rsidRPr="00345D74">
        <w:rPr>
          <w:rFonts w:ascii="Times New Roman" w:hAnsi="Times New Roman" w:cs="Times New Roman"/>
          <w:sz w:val="24"/>
          <w:szCs w:val="24"/>
        </w:rPr>
        <w:t>febrero de 2025)</w:t>
      </w:r>
      <w:r w:rsidR="00DC1224" w:rsidRPr="00345D74">
        <w:rPr>
          <w:rFonts w:ascii="Times New Roman" w:hAnsi="Times New Roman" w:cs="Times New Roman"/>
          <w:sz w:val="24"/>
          <w:szCs w:val="24"/>
        </w:rPr>
        <w:t>.</w:t>
      </w:r>
      <w:r w:rsidRPr="00345D74">
        <w:rPr>
          <w:rFonts w:ascii="Times New Roman" w:hAnsi="Times New Roman" w:cs="Times New Roman"/>
          <w:sz w:val="24"/>
          <w:szCs w:val="24"/>
        </w:rPr>
        <w:t xml:space="preserve"> </w:t>
      </w:r>
    </w:p>
    <w:p w:rsidR="00E53245" w:rsidRPr="00345D74" w:rsidRDefault="00E53245" w:rsidP="00A6620E">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El Instituto Juan de Mariana cifra en un coste de 37.500 millones de euros la fragmentación normativa de las comunidades autónomas (2,5 puntos del PIB) y en 52.430 millones la falta de avances en el mercado único europeo (3,5 puntos del PIB).</w:t>
      </w:r>
    </w:p>
    <w:p w:rsidR="000A0E94" w:rsidRPr="00345D74" w:rsidRDefault="008A7E70" w:rsidP="00A6620E">
      <w:pPr>
        <w:spacing w:line="240" w:lineRule="auto"/>
        <w:jc w:val="both"/>
        <w:rPr>
          <w:rFonts w:ascii="Times New Roman" w:hAnsi="Times New Roman" w:cs="Times New Roman"/>
          <w:sz w:val="24"/>
          <w:szCs w:val="24"/>
        </w:rPr>
      </w:pPr>
      <w:r w:rsidRPr="00345D74">
        <w:rPr>
          <w:rFonts w:ascii="Times New Roman" w:hAnsi="Times New Roman" w:cs="Times New Roman"/>
          <w:sz w:val="24"/>
          <w:szCs w:val="24"/>
        </w:rPr>
        <w:t>90.000 millones de euros</w:t>
      </w:r>
      <w:r w:rsidR="000A0E94" w:rsidRPr="00345D74">
        <w:rPr>
          <w:rFonts w:ascii="Times New Roman" w:hAnsi="Times New Roman" w:cs="Times New Roman"/>
          <w:sz w:val="24"/>
          <w:szCs w:val="24"/>
        </w:rPr>
        <w:t xml:space="preserve"> de costes de los obstáculos (hi</w:t>
      </w:r>
      <w:r w:rsidR="007B3F35" w:rsidRPr="00345D74">
        <w:rPr>
          <w:rFonts w:ascii="Times New Roman" w:hAnsi="Times New Roman" w:cs="Times New Roman"/>
          <w:sz w:val="24"/>
          <w:szCs w:val="24"/>
        </w:rPr>
        <w:t xml:space="preserve">perregulación), equivalen al </w:t>
      </w:r>
      <w:r w:rsidR="00D06815" w:rsidRPr="00345D74">
        <w:rPr>
          <w:rFonts w:ascii="Times New Roman" w:hAnsi="Times New Roman" w:cs="Times New Roman"/>
          <w:sz w:val="24"/>
          <w:szCs w:val="24"/>
        </w:rPr>
        <w:t>0,05</w:t>
      </w:r>
      <w:r w:rsidR="007B3F35" w:rsidRPr="00345D74">
        <w:rPr>
          <w:rFonts w:ascii="Times New Roman" w:hAnsi="Times New Roman" w:cs="Times New Roman"/>
          <w:sz w:val="24"/>
          <w:szCs w:val="24"/>
        </w:rPr>
        <w:t>6</w:t>
      </w:r>
      <w:r w:rsidR="00A6620E" w:rsidRPr="00345D74">
        <w:rPr>
          <w:rFonts w:ascii="Times New Roman" w:hAnsi="Times New Roman" w:cs="Times New Roman"/>
          <w:sz w:val="24"/>
          <w:szCs w:val="24"/>
        </w:rPr>
        <w:t>6</w:t>
      </w:r>
      <w:r w:rsidR="000A0E94" w:rsidRPr="00345D74">
        <w:rPr>
          <w:rFonts w:ascii="Times New Roman" w:hAnsi="Times New Roman" w:cs="Times New Roman"/>
          <w:sz w:val="24"/>
          <w:szCs w:val="24"/>
        </w:rPr>
        <w:t xml:space="preserve"> % del PIB de España (1,59 billones de euros. año 2024).</w:t>
      </w:r>
    </w:p>
    <w:p w:rsidR="007B3F35" w:rsidRPr="00345D74" w:rsidRDefault="000A0E94" w:rsidP="00A6620E">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t>Si consideramos el PIB de la Unión Europea (</w:t>
      </w:r>
      <w:r w:rsidR="007B3F35" w:rsidRPr="00345D74">
        <w:rPr>
          <w:rFonts w:ascii="Times New Roman" w:hAnsi="Times New Roman" w:cs="Times New Roman"/>
          <w:sz w:val="24"/>
          <w:szCs w:val="24"/>
        </w:rPr>
        <w:t>17,</w:t>
      </w:r>
      <w:r w:rsidRPr="00345D74">
        <w:rPr>
          <w:rFonts w:ascii="Times New Roman" w:hAnsi="Times New Roman" w:cs="Times New Roman"/>
          <w:sz w:val="24"/>
          <w:szCs w:val="24"/>
        </w:rPr>
        <w:t>48 billones de euros, año 2024)</w:t>
      </w:r>
      <w:r w:rsidRPr="00345D74">
        <w:rPr>
          <w:rFonts w:ascii="Times New Roman" w:hAnsi="Times New Roman" w:cs="Times New Roman"/>
          <w:sz w:val="24"/>
          <w:szCs w:val="24"/>
        </w:rPr>
        <w:tab/>
      </w:r>
      <w:r w:rsidR="001A287F" w:rsidRPr="00345D74">
        <w:rPr>
          <w:rFonts w:ascii="Times New Roman" w:hAnsi="Times New Roman" w:cs="Times New Roman"/>
          <w:sz w:val="24"/>
          <w:szCs w:val="24"/>
        </w:rPr>
        <w:t xml:space="preserve">, </w:t>
      </w:r>
      <w:r w:rsidRPr="00345D74">
        <w:rPr>
          <w:rFonts w:ascii="Times New Roman" w:hAnsi="Times New Roman" w:cs="Times New Roman"/>
          <w:sz w:val="24"/>
          <w:szCs w:val="24"/>
        </w:rPr>
        <w:t>aplicando e</w:t>
      </w:r>
      <w:r w:rsidR="007B3F35" w:rsidRPr="00345D74">
        <w:rPr>
          <w:rFonts w:ascii="Times New Roman" w:hAnsi="Times New Roman" w:cs="Times New Roman"/>
          <w:sz w:val="24"/>
          <w:szCs w:val="24"/>
        </w:rPr>
        <w:t>l</w:t>
      </w:r>
      <w:r w:rsidR="00D06815" w:rsidRPr="00345D74">
        <w:rPr>
          <w:rFonts w:ascii="Times New Roman" w:hAnsi="Times New Roman" w:cs="Times New Roman"/>
          <w:sz w:val="24"/>
          <w:szCs w:val="24"/>
        </w:rPr>
        <w:t xml:space="preserve"> 0,05</w:t>
      </w:r>
      <w:r w:rsidR="007B3F35" w:rsidRPr="00345D74">
        <w:rPr>
          <w:rFonts w:ascii="Times New Roman" w:hAnsi="Times New Roman" w:cs="Times New Roman"/>
          <w:sz w:val="24"/>
          <w:szCs w:val="24"/>
        </w:rPr>
        <w:t>6</w:t>
      </w:r>
      <w:r w:rsidR="00A6620E" w:rsidRPr="00345D74">
        <w:rPr>
          <w:rFonts w:ascii="Times New Roman" w:hAnsi="Times New Roman" w:cs="Times New Roman"/>
          <w:sz w:val="24"/>
          <w:szCs w:val="24"/>
        </w:rPr>
        <w:t>6</w:t>
      </w:r>
      <w:r w:rsidRPr="00345D74">
        <w:rPr>
          <w:rFonts w:ascii="Times New Roman" w:hAnsi="Times New Roman" w:cs="Times New Roman"/>
          <w:sz w:val="24"/>
          <w:szCs w:val="24"/>
        </w:rPr>
        <w:t xml:space="preserve"> % </w:t>
      </w:r>
      <w:r w:rsidR="007B3F35" w:rsidRPr="00345D74">
        <w:rPr>
          <w:rFonts w:ascii="Times New Roman" w:hAnsi="Times New Roman" w:cs="Times New Roman"/>
          <w:sz w:val="24"/>
          <w:szCs w:val="24"/>
        </w:rPr>
        <w:t>(equivalente al coste</w:t>
      </w:r>
      <w:r w:rsidRPr="00345D74">
        <w:rPr>
          <w:rFonts w:ascii="Times New Roman" w:hAnsi="Times New Roman" w:cs="Times New Roman"/>
          <w:sz w:val="24"/>
          <w:szCs w:val="24"/>
        </w:rPr>
        <w:t xml:space="preserve"> de los obstáculos en España</w:t>
      </w:r>
      <w:r w:rsidR="00E53245" w:rsidRPr="00345D74">
        <w:rPr>
          <w:rFonts w:ascii="Times New Roman" w:hAnsi="Times New Roman" w:cs="Times New Roman"/>
          <w:sz w:val="24"/>
          <w:szCs w:val="24"/>
        </w:rPr>
        <w:t>), tendríamos 989.368</w:t>
      </w:r>
      <w:r w:rsidR="007B3F35" w:rsidRPr="00345D74">
        <w:rPr>
          <w:rFonts w:ascii="Times New Roman" w:hAnsi="Times New Roman" w:cs="Times New Roman"/>
          <w:sz w:val="24"/>
          <w:szCs w:val="24"/>
        </w:rPr>
        <w:t xml:space="preserve"> millones de euros</w:t>
      </w:r>
      <w:r w:rsidR="001A287F" w:rsidRPr="00345D74">
        <w:rPr>
          <w:rFonts w:ascii="Times New Roman" w:hAnsi="Times New Roman" w:cs="Times New Roman"/>
          <w:sz w:val="24"/>
          <w:szCs w:val="24"/>
        </w:rPr>
        <w:t>,</w:t>
      </w:r>
      <w:r w:rsidR="007B3F35" w:rsidRPr="00345D74">
        <w:rPr>
          <w:rFonts w:ascii="Times New Roman" w:hAnsi="Times New Roman" w:cs="Times New Roman"/>
          <w:sz w:val="24"/>
          <w:szCs w:val="24"/>
        </w:rPr>
        <w:t xml:space="preserve"> que pierde la Unión Europea</w:t>
      </w:r>
      <w:r w:rsidR="001A287F" w:rsidRPr="00345D74">
        <w:rPr>
          <w:rFonts w:ascii="Times New Roman" w:hAnsi="Times New Roman" w:cs="Times New Roman"/>
          <w:sz w:val="24"/>
          <w:szCs w:val="24"/>
        </w:rPr>
        <w:t xml:space="preserve"> anualmente</w:t>
      </w:r>
      <w:r w:rsidR="007B3F35" w:rsidRPr="00345D74">
        <w:rPr>
          <w:rFonts w:ascii="Times New Roman" w:hAnsi="Times New Roman" w:cs="Times New Roman"/>
          <w:sz w:val="24"/>
          <w:szCs w:val="24"/>
        </w:rPr>
        <w:t xml:space="preserve"> por hiperregulación. </w:t>
      </w:r>
    </w:p>
    <w:p w:rsidR="00DC1224" w:rsidRPr="00345D74" w:rsidRDefault="00DC1224" w:rsidP="00DC1224">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t>El sector de la agricultura, pesca y silvicultura (gestión y explotación de los bosques) representa un 2,3% del Producto Interior Bruto (PIB) español, según los datos de Eurostat, la oficina estadística de la Comisión Europea, para el año 2022, por encima del promedio de Europa, del 1,7%. (Fuente: Newtral - 10/2/24)</w:t>
      </w:r>
    </w:p>
    <w:p w:rsidR="00DC1224" w:rsidRPr="00345D74" w:rsidRDefault="00DC1224" w:rsidP="00DC1224">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t xml:space="preserve">El país de Europa en el que la agricultura tiene una mayor aportación es Letonia, donde el sector agrícola representa un 5% del PIB, seguido de Lituania, donde representa un 4%. En el otro extremo se sitúan Luxemburgo, con un 0,2% del PIB, y Bélgica, con un 0,6%. </w:t>
      </w:r>
    </w:p>
    <w:p w:rsidR="00DC1224" w:rsidRPr="00345D74" w:rsidRDefault="00DC1224" w:rsidP="00DC1224">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lastRenderedPageBreak/>
        <w:t>Según explican a Newtral.es desde Eurostat, las cifras abarcan todas las actividades agrarias (principales o secundarias), además de las actividades secundarias no agrarias como, por ejemplo, el aceite de oliva o la leche producidos en una explotación agrícola.</w:t>
      </w:r>
    </w:p>
    <w:p w:rsidR="00DC1224" w:rsidRPr="00345D74" w:rsidRDefault="00DC1224" w:rsidP="00DC1224">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t>Si a los 989.368 millones de euros (la pérdida anual de la UE, por hiperregulación), le aplicamos el porcentaje de participación que tienen las actividades agrarias (primarias y secundarias)</w:t>
      </w:r>
      <w:r w:rsidR="00D75B60" w:rsidRPr="00345D74">
        <w:rPr>
          <w:rFonts w:ascii="Times New Roman" w:hAnsi="Times New Roman" w:cs="Times New Roman"/>
          <w:sz w:val="24"/>
          <w:szCs w:val="24"/>
        </w:rPr>
        <w:t>, sobre el PIB de la Unión Europea, (989.368 x 1,7%) llegamos a una pérdida del sector primario, por hiperregulación de 16.819 millones de euros por año.</w:t>
      </w:r>
    </w:p>
    <w:p w:rsidR="00AA73E3" w:rsidRPr="00345D74" w:rsidRDefault="007C0E11" w:rsidP="00A6620E">
      <w:pPr>
        <w:spacing w:after="300" w:line="240" w:lineRule="auto"/>
        <w:jc w:val="both"/>
        <w:rPr>
          <w:rFonts w:ascii="Times New Roman" w:hAnsi="Times New Roman" w:cs="Times New Roman"/>
          <w:sz w:val="24"/>
          <w:szCs w:val="24"/>
        </w:rPr>
      </w:pPr>
      <w:r w:rsidRPr="00345D74">
        <w:rPr>
          <w:rFonts w:ascii="Times New Roman" w:hAnsi="Times New Roman" w:cs="Times New Roman"/>
          <w:sz w:val="24"/>
          <w:szCs w:val="24"/>
        </w:rPr>
        <w:t>Creo que con esos fondos</w:t>
      </w:r>
      <w:r w:rsidR="008A7E70" w:rsidRPr="00345D74">
        <w:rPr>
          <w:rFonts w:ascii="Times New Roman" w:hAnsi="Times New Roman" w:cs="Times New Roman"/>
          <w:sz w:val="24"/>
          <w:szCs w:val="24"/>
        </w:rPr>
        <w:t xml:space="preserve"> </w:t>
      </w:r>
      <w:r w:rsidR="00D06815" w:rsidRPr="00345D74">
        <w:rPr>
          <w:rFonts w:ascii="Times New Roman" w:hAnsi="Times New Roman" w:cs="Times New Roman"/>
          <w:sz w:val="24"/>
          <w:szCs w:val="24"/>
        </w:rPr>
        <w:t>(teniendo en cuenta que el importe total de los compromisos de la PAC para el período 2021-2027 se sitúa en 386.602,8 millones EUR)…</w:t>
      </w:r>
      <w:r w:rsidR="00A6620E" w:rsidRPr="00345D74">
        <w:rPr>
          <w:rFonts w:ascii="Times New Roman" w:hAnsi="Times New Roman" w:cs="Times New Roman"/>
          <w:sz w:val="24"/>
          <w:szCs w:val="24"/>
        </w:rPr>
        <w:t xml:space="preserve"> </w:t>
      </w:r>
      <w:r w:rsidR="00D75B60" w:rsidRPr="00345D74">
        <w:rPr>
          <w:rFonts w:ascii="Times New Roman" w:hAnsi="Times New Roman" w:cs="Times New Roman"/>
          <w:sz w:val="24"/>
          <w:szCs w:val="24"/>
        </w:rPr>
        <w:t>que  representan el</w:t>
      </w:r>
      <w:r w:rsidR="00AA73E3" w:rsidRPr="00345D74">
        <w:rPr>
          <w:rFonts w:ascii="Times New Roman" w:hAnsi="Times New Roman" w:cs="Times New Roman"/>
          <w:sz w:val="24"/>
          <w:szCs w:val="24"/>
        </w:rPr>
        <w:t xml:space="preserve"> 25,78% del presupuesto anual de la PAC</w:t>
      </w:r>
      <w:r w:rsidR="00D75B60" w:rsidRPr="00345D74">
        <w:rPr>
          <w:rFonts w:ascii="Times New Roman" w:hAnsi="Times New Roman" w:cs="Times New Roman"/>
          <w:sz w:val="24"/>
          <w:szCs w:val="24"/>
        </w:rPr>
        <w:t xml:space="preserve"> (386.602,8 / 7 = 65.229)</w:t>
      </w:r>
      <w:r w:rsidR="00AA73E3" w:rsidRPr="00345D74">
        <w:rPr>
          <w:rFonts w:ascii="Times New Roman" w:hAnsi="Times New Roman" w:cs="Times New Roman"/>
          <w:sz w:val="24"/>
          <w:szCs w:val="24"/>
        </w:rPr>
        <w:t xml:space="preserve"> </w:t>
      </w:r>
      <w:r w:rsidR="00D75B60" w:rsidRPr="00345D74">
        <w:rPr>
          <w:rFonts w:ascii="Times New Roman" w:hAnsi="Times New Roman" w:cs="Times New Roman"/>
          <w:sz w:val="24"/>
          <w:szCs w:val="24"/>
        </w:rPr>
        <w:t xml:space="preserve"> </w:t>
      </w:r>
      <w:r w:rsidR="00AA73E3" w:rsidRPr="00345D74">
        <w:rPr>
          <w:rFonts w:ascii="Times New Roman" w:hAnsi="Times New Roman" w:cs="Times New Roman"/>
          <w:sz w:val="24"/>
          <w:szCs w:val="24"/>
        </w:rPr>
        <w:t xml:space="preserve">(16.819 / 65.229 = 25,78%) </w:t>
      </w:r>
      <w:r w:rsidR="00A6620E" w:rsidRPr="00345D74">
        <w:rPr>
          <w:rFonts w:ascii="Times New Roman" w:hAnsi="Times New Roman" w:cs="Times New Roman"/>
          <w:sz w:val="24"/>
          <w:szCs w:val="24"/>
        </w:rPr>
        <w:t xml:space="preserve">hay suficiente margen de maniobra para mejorar la competitividad del sector agrícola, ganadero y pesquero europeo. Solo dejando al campo con las “manos libres”, </w:t>
      </w:r>
      <w:r w:rsidR="004E22D7" w:rsidRPr="00345D74">
        <w:rPr>
          <w:rFonts w:ascii="Times New Roman" w:hAnsi="Times New Roman" w:cs="Times New Roman"/>
          <w:sz w:val="24"/>
          <w:szCs w:val="24"/>
        </w:rPr>
        <w:t>sin PAC, ni otras “sopas bobas”, con las que se intenta seguir engañando al personal.</w:t>
      </w:r>
      <w:r w:rsidR="00A6620E" w:rsidRPr="00345D74">
        <w:rPr>
          <w:rFonts w:ascii="Times New Roman" w:hAnsi="Times New Roman" w:cs="Times New Roman"/>
          <w:sz w:val="24"/>
          <w:szCs w:val="24"/>
        </w:rPr>
        <w:t xml:space="preserve"> </w:t>
      </w:r>
    </w:p>
    <w:p w:rsidR="004E22D7" w:rsidRPr="00345D74" w:rsidRDefault="004E22D7" w:rsidP="00A6620E">
      <w:pPr>
        <w:spacing w:after="300" w:line="240" w:lineRule="auto"/>
        <w:jc w:val="both"/>
        <w:rPr>
          <w:rFonts w:ascii="Times New Roman" w:hAnsi="Times New Roman" w:cs="Times New Roman"/>
          <w:sz w:val="24"/>
          <w:szCs w:val="24"/>
        </w:rPr>
      </w:pPr>
      <w:r w:rsidRPr="00345D74">
        <w:rPr>
          <w:rFonts w:ascii="Times New Roman" w:hAnsi="Times New Roman" w:cs="Times New Roman"/>
          <w:b/>
          <w:sz w:val="24"/>
          <w:szCs w:val="24"/>
        </w:rPr>
        <w:t>Nota</w:t>
      </w:r>
      <w:r w:rsidRPr="00345D74">
        <w:rPr>
          <w:rFonts w:ascii="Times New Roman" w:hAnsi="Times New Roman" w:cs="Times New Roman"/>
          <w:sz w:val="24"/>
          <w:szCs w:val="24"/>
        </w:rPr>
        <w:t>: a</w:t>
      </w:r>
      <w:r w:rsidR="00F938FA" w:rsidRPr="00345D74">
        <w:rPr>
          <w:rFonts w:ascii="Times New Roman" w:hAnsi="Times New Roman" w:cs="Times New Roman"/>
          <w:sz w:val="24"/>
          <w:szCs w:val="24"/>
        </w:rPr>
        <w:t>unque sea</w:t>
      </w:r>
      <w:r w:rsidRPr="00345D74">
        <w:rPr>
          <w:rFonts w:ascii="Times New Roman" w:hAnsi="Times New Roman" w:cs="Times New Roman"/>
          <w:sz w:val="24"/>
          <w:szCs w:val="24"/>
        </w:rPr>
        <w:t xml:space="preserve"> tema de un próximo Paper (los aranceles trumpianos),</w:t>
      </w:r>
      <w:r w:rsidR="00F938FA" w:rsidRPr="00345D74">
        <w:rPr>
          <w:rFonts w:ascii="Times New Roman" w:hAnsi="Times New Roman" w:cs="Times New Roman"/>
          <w:sz w:val="24"/>
          <w:szCs w:val="24"/>
        </w:rPr>
        <w:t xml:space="preserve"> o sirva</w:t>
      </w:r>
      <w:r w:rsidRPr="00345D74">
        <w:rPr>
          <w:rFonts w:ascii="Times New Roman" w:hAnsi="Times New Roman" w:cs="Times New Roman"/>
          <w:sz w:val="24"/>
          <w:szCs w:val="24"/>
        </w:rPr>
        <w:t xml:space="preserve"> de apunte al margen de alguno de los anteriores</w:t>
      </w:r>
      <w:r w:rsidR="00F938FA" w:rsidRPr="00345D74">
        <w:rPr>
          <w:rFonts w:ascii="Times New Roman" w:hAnsi="Times New Roman" w:cs="Times New Roman"/>
          <w:sz w:val="24"/>
          <w:szCs w:val="24"/>
        </w:rPr>
        <w:t xml:space="preserve"> (Informes Letta, Draghi), solo deseo dejar señalado que los</w:t>
      </w:r>
      <w:r w:rsidRPr="00345D74">
        <w:rPr>
          <w:rFonts w:ascii="Times New Roman" w:hAnsi="Times New Roman" w:cs="Times New Roman"/>
          <w:sz w:val="24"/>
          <w:szCs w:val="24"/>
        </w:rPr>
        <w:t xml:space="preserve"> fondos que se recuperarían al evitar tanta “diarrea legislativa” por parte de las Instituciones Europeas</w:t>
      </w:r>
      <w:r w:rsidR="0002660A" w:rsidRPr="00345D74">
        <w:rPr>
          <w:rFonts w:ascii="Times New Roman" w:hAnsi="Times New Roman" w:cs="Times New Roman"/>
          <w:sz w:val="24"/>
          <w:szCs w:val="24"/>
        </w:rPr>
        <w:t xml:space="preserve"> (989.368 millones de euros por año)</w:t>
      </w:r>
      <w:r w:rsidRPr="00345D74">
        <w:rPr>
          <w:rFonts w:ascii="Times New Roman" w:hAnsi="Times New Roman" w:cs="Times New Roman"/>
          <w:sz w:val="24"/>
          <w:szCs w:val="24"/>
        </w:rPr>
        <w:t>, se podría</w:t>
      </w:r>
      <w:r w:rsidR="00F938FA" w:rsidRPr="00345D74">
        <w:rPr>
          <w:rFonts w:ascii="Times New Roman" w:hAnsi="Times New Roman" w:cs="Times New Roman"/>
          <w:sz w:val="24"/>
          <w:szCs w:val="24"/>
        </w:rPr>
        <w:t>n</w:t>
      </w:r>
      <w:r w:rsidRPr="00345D74">
        <w:rPr>
          <w:rFonts w:ascii="Times New Roman" w:hAnsi="Times New Roman" w:cs="Times New Roman"/>
          <w:sz w:val="24"/>
          <w:szCs w:val="24"/>
        </w:rPr>
        <w:t xml:space="preserve"> emplear para el</w:t>
      </w:r>
      <w:r w:rsidR="00F938FA" w:rsidRPr="00345D74">
        <w:rPr>
          <w:rFonts w:ascii="Times New Roman" w:hAnsi="Times New Roman" w:cs="Times New Roman"/>
          <w:sz w:val="24"/>
          <w:szCs w:val="24"/>
        </w:rPr>
        <w:t xml:space="preserve"> mayor</w:t>
      </w:r>
      <w:r w:rsidR="007B25E0" w:rsidRPr="00345D74">
        <w:rPr>
          <w:rFonts w:ascii="Times New Roman" w:hAnsi="Times New Roman" w:cs="Times New Roman"/>
          <w:sz w:val="24"/>
          <w:szCs w:val="24"/>
        </w:rPr>
        <w:t xml:space="preserve"> gasto de defensa (</w:t>
      </w:r>
      <w:r w:rsidRPr="00345D74">
        <w:rPr>
          <w:rFonts w:ascii="Times New Roman" w:hAnsi="Times New Roman" w:cs="Times New Roman"/>
          <w:sz w:val="24"/>
          <w:szCs w:val="24"/>
        </w:rPr>
        <w:t>500.000 miles de euros</w:t>
      </w:r>
      <w:r w:rsidR="007B25E0" w:rsidRPr="00345D74">
        <w:rPr>
          <w:rFonts w:ascii="Times New Roman" w:hAnsi="Times New Roman" w:cs="Times New Roman"/>
          <w:sz w:val="24"/>
          <w:szCs w:val="24"/>
        </w:rPr>
        <w:t xml:space="preserve"> en diez años, necesarios </w:t>
      </w:r>
      <w:r w:rsidRPr="00345D74">
        <w:rPr>
          <w:rFonts w:ascii="Times New Roman" w:hAnsi="Times New Roman" w:cs="Times New Roman"/>
          <w:sz w:val="24"/>
          <w:szCs w:val="24"/>
        </w:rPr>
        <w:t xml:space="preserve">para </w:t>
      </w:r>
      <w:r w:rsidR="0002660A" w:rsidRPr="00345D74">
        <w:rPr>
          <w:rFonts w:ascii="Times New Roman" w:hAnsi="Times New Roman" w:cs="Times New Roman"/>
          <w:sz w:val="24"/>
          <w:szCs w:val="24"/>
        </w:rPr>
        <w:t>que “Mambrú se  vaya a la guerra”</w:t>
      </w:r>
      <w:r w:rsidRPr="00345D74">
        <w:rPr>
          <w:rFonts w:ascii="Times New Roman" w:hAnsi="Times New Roman" w:cs="Times New Roman"/>
          <w:sz w:val="24"/>
          <w:szCs w:val="24"/>
        </w:rPr>
        <w:t>), o</w:t>
      </w:r>
      <w:r w:rsidR="007B25E0" w:rsidRPr="00345D74">
        <w:rPr>
          <w:rFonts w:ascii="Times New Roman" w:hAnsi="Times New Roman" w:cs="Times New Roman"/>
          <w:sz w:val="24"/>
          <w:szCs w:val="24"/>
        </w:rPr>
        <w:t xml:space="preserve"> para poner gasolina al</w:t>
      </w:r>
      <w:r w:rsidR="00F938FA" w:rsidRPr="00345D74">
        <w:rPr>
          <w:rFonts w:ascii="Times New Roman" w:hAnsi="Times New Roman" w:cs="Times New Roman"/>
          <w:sz w:val="24"/>
          <w:szCs w:val="24"/>
        </w:rPr>
        <w:t xml:space="preserve"> “helicóptero”</w:t>
      </w:r>
      <w:r w:rsidR="007B25E0" w:rsidRPr="00345D74">
        <w:rPr>
          <w:rFonts w:ascii="Times New Roman" w:hAnsi="Times New Roman" w:cs="Times New Roman"/>
          <w:sz w:val="24"/>
          <w:szCs w:val="24"/>
        </w:rPr>
        <w:t xml:space="preserve"> de Draghi (</w:t>
      </w:r>
      <w:r w:rsidR="00F938FA" w:rsidRPr="00345D74">
        <w:rPr>
          <w:rFonts w:ascii="Times New Roman" w:hAnsi="Times New Roman" w:cs="Times New Roman"/>
          <w:sz w:val="24"/>
          <w:szCs w:val="24"/>
        </w:rPr>
        <w:t>según</w:t>
      </w:r>
      <w:r w:rsidR="007B25E0" w:rsidRPr="00345D74">
        <w:rPr>
          <w:rFonts w:ascii="Times New Roman" w:hAnsi="Times New Roman" w:cs="Times New Roman"/>
          <w:sz w:val="24"/>
          <w:szCs w:val="24"/>
        </w:rPr>
        <w:t xml:space="preserve"> la</w:t>
      </w:r>
      <w:r w:rsidR="00F938FA" w:rsidRPr="00345D74">
        <w:rPr>
          <w:rFonts w:ascii="Times New Roman" w:hAnsi="Times New Roman" w:cs="Times New Roman"/>
          <w:sz w:val="24"/>
          <w:szCs w:val="24"/>
        </w:rPr>
        <w:t xml:space="preserve"> estimación del “</w:t>
      </w:r>
      <w:r w:rsidR="0002660A" w:rsidRPr="00345D74">
        <w:rPr>
          <w:rFonts w:ascii="Times New Roman" w:hAnsi="Times New Roman" w:cs="Times New Roman"/>
          <w:sz w:val="24"/>
          <w:szCs w:val="24"/>
        </w:rPr>
        <w:t xml:space="preserve">Whatever it takes”, son necesarios </w:t>
      </w:r>
      <w:r w:rsidR="00F938FA" w:rsidRPr="00345D74">
        <w:rPr>
          <w:rFonts w:ascii="Times New Roman" w:hAnsi="Times New Roman" w:cs="Times New Roman"/>
          <w:sz w:val="24"/>
          <w:szCs w:val="24"/>
        </w:rPr>
        <w:t>800.000 euros al año</w:t>
      </w:r>
      <w:r w:rsidR="007B25E0" w:rsidRPr="00345D74">
        <w:rPr>
          <w:rFonts w:ascii="Times New Roman" w:hAnsi="Times New Roman" w:cs="Times New Roman"/>
          <w:sz w:val="24"/>
          <w:szCs w:val="24"/>
        </w:rPr>
        <w:t>)</w:t>
      </w:r>
      <w:r w:rsidR="0002660A" w:rsidRPr="00345D74">
        <w:rPr>
          <w:rFonts w:ascii="Times New Roman" w:hAnsi="Times New Roman" w:cs="Times New Roman"/>
          <w:sz w:val="24"/>
          <w:szCs w:val="24"/>
        </w:rPr>
        <w:t>, con el objetivo de</w:t>
      </w:r>
      <w:r w:rsidR="00F938FA" w:rsidRPr="00345D74">
        <w:rPr>
          <w:rFonts w:ascii="Times New Roman" w:hAnsi="Times New Roman" w:cs="Times New Roman"/>
          <w:sz w:val="24"/>
          <w:szCs w:val="24"/>
        </w:rPr>
        <w:t xml:space="preserve"> frenar el declive económico de la Unión Europea</w:t>
      </w:r>
      <w:r w:rsidR="007B25E0" w:rsidRPr="00345D74">
        <w:rPr>
          <w:rFonts w:ascii="Times New Roman" w:hAnsi="Times New Roman" w:cs="Times New Roman"/>
          <w:sz w:val="24"/>
          <w:szCs w:val="24"/>
        </w:rPr>
        <w:t>.</w:t>
      </w:r>
      <w:r w:rsidR="00F938FA" w:rsidRPr="00345D74">
        <w:rPr>
          <w:rFonts w:ascii="Times New Roman" w:hAnsi="Times New Roman" w:cs="Times New Roman"/>
          <w:sz w:val="24"/>
          <w:szCs w:val="24"/>
        </w:rPr>
        <w:t xml:space="preserve"> </w:t>
      </w:r>
      <w:r w:rsidRPr="00345D74">
        <w:rPr>
          <w:rFonts w:ascii="Times New Roman" w:hAnsi="Times New Roman" w:cs="Times New Roman"/>
          <w:sz w:val="24"/>
          <w:szCs w:val="24"/>
        </w:rPr>
        <w:t xml:space="preserve"> </w:t>
      </w:r>
    </w:p>
    <w:p w:rsidR="00340A10" w:rsidRPr="00345D74" w:rsidRDefault="00162EBD" w:rsidP="00CA5B3B">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Oratorio final</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¿Ustedes creen que Europa necesita salir fuera a buscar sus alimentos? ¡No jodamos!</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¿Qué significa “volver al origen”, en el caso de la Unión Europea? Sencillamente, respetarse a sí misma, y hacerse respetar por los demás. Qué el que fue el “faro del Mundo” (hasta hace bastante poco, en una medición histórica), no deje de serlo… (al menos, sin luchar por evitarlo).</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¿Es este un terreno desconocido? De ninguna manera. Es algo sabido, valorado y respetado, por el resto del mundo, de donde nunca (nunca) se debería haber salido, abdicado, renunciado, transigido, o capitulado, de no ser por la acción, omisión, o traición, del equipo de alquimistas amorales, que rigen los destinos de la Unión Europea (y espero que por no sea mucho tiempo).</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Estos delirantes mesiánicos (arrogantes, soberbios, fatuos, conniventes, corruptos…), están tomando medidas muy desacertadas cuyas consecuencias, gran parte de la población en estos momentos, lamentablemente, no alcanza a comprender. Pero, sufrirán las consecuencias. Algunas ya se están viendo: es la primera vez en la historia reciente de Europa, que los hijos están condenados (sí, condenados) a ser más pobres que sus padres. El ascensor social está fuera de funcionamiento. La igualdad de oportunidades es un</w:t>
      </w:r>
      <w:r w:rsidR="00932545" w:rsidRPr="00345D74">
        <w:rPr>
          <w:rFonts w:ascii="Times New Roman" w:hAnsi="Times New Roman" w:cs="Times New Roman"/>
          <w:b/>
          <w:sz w:val="24"/>
          <w:szCs w:val="24"/>
        </w:rPr>
        <w:t xml:space="preserve">a quimera. Y la meritocracia </w:t>
      </w:r>
      <w:r w:rsidRPr="00345D74">
        <w:rPr>
          <w:rFonts w:ascii="Times New Roman" w:hAnsi="Times New Roman" w:cs="Times New Roman"/>
          <w:b/>
          <w:sz w:val="24"/>
          <w:szCs w:val="24"/>
        </w:rPr>
        <w:t xml:space="preserve">una antigualla. </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¿Aceptarán estos dirigentes de pacotilla (aficionados</w:t>
      </w:r>
      <w:r w:rsidR="00932545" w:rsidRPr="00345D74">
        <w:rPr>
          <w:rFonts w:ascii="Times New Roman" w:hAnsi="Times New Roman" w:cs="Times New Roman"/>
          <w:b/>
          <w:sz w:val="24"/>
          <w:szCs w:val="24"/>
        </w:rPr>
        <w:t>, mediocres, cobardes, o corruptos</w:t>
      </w:r>
      <w:r w:rsidRPr="00345D74">
        <w:rPr>
          <w:rFonts w:ascii="Times New Roman" w:hAnsi="Times New Roman" w:cs="Times New Roman"/>
          <w:b/>
          <w:sz w:val="24"/>
          <w:szCs w:val="24"/>
        </w:rPr>
        <w:t>) que al final no existe esperanza alguna de alcanzar el éxito del proyecto europeo sin la ayuda de los sectores productivos, a los que están condenando al fracaso?</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lastRenderedPageBreak/>
        <w:t>¿En un mundo de pirañas (EEUU, China, Brasil, Marruecos…</w:t>
      </w:r>
      <w:r w:rsidR="007B25E0" w:rsidRPr="00345D74">
        <w:rPr>
          <w:rFonts w:ascii="Times New Roman" w:hAnsi="Times New Roman" w:cs="Times New Roman"/>
          <w:b/>
          <w:sz w:val="24"/>
          <w:szCs w:val="24"/>
        </w:rPr>
        <w:t>)</w:t>
      </w:r>
      <w:r w:rsidRPr="00345D74">
        <w:rPr>
          <w:rFonts w:ascii="Times New Roman" w:hAnsi="Times New Roman" w:cs="Times New Roman"/>
          <w:b/>
          <w:sz w:val="24"/>
          <w:szCs w:val="24"/>
        </w:rPr>
        <w:t xml:space="preserve">, ustedes insisten en seguir haciendo la plancha en el Mar Muerto (o en las </w:t>
      </w:r>
      <w:r w:rsidR="00A8030F" w:rsidRPr="00345D74">
        <w:rPr>
          <w:rFonts w:ascii="Times New Roman" w:hAnsi="Times New Roman" w:cs="Times New Roman"/>
          <w:b/>
          <w:sz w:val="24"/>
          <w:szCs w:val="24"/>
        </w:rPr>
        <w:t>aguas podridas de Sena</w:t>
      </w:r>
      <w:r w:rsidRPr="00345D74">
        <w:rPr>
          <w:rFonts w:ascii="Times New Roman" w:hAnsi="Times New Roman" w:cs="Times New Roman"/>
          <w:b/>
          <w:sz w:val="24"/>
          <w:szCs w:val="24"/>
        </w:rPr>
        <w:t>)?</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¿Roma no paga traidores, y Bruselas, sí?  ¿Son las sirenas de Eurípides, o los sobornos de Wall Street y Silicon V</w:t>
      </w:r>
      <w:r w:rsidR="00A8030F" w:rsidRPr="00345D74">
        <w:rPr>
          <w:rFonts w:ascii="Times New Roman" w:hAnsi="Times New Roman" w:cs="Times New Roman"/>
          <w:b/>
          <w:sz w:val="24"/>
          <w:szCs w:val="24"/>
        </w:rPr>
        <w:t>a</w:t>
      </w:r>
      <w:r w:rsidRPr="00345D74">
        <w:rPr>
          <w:rFonts w:ascii="Times New Roman" w:hAnsi="Times New Roman" w:cs="Times New Roman"/>
          <w:b/>
          <w:sz w:val="24"/>
          <w:szCs w:val="24"/>
        </w:rPr>
        <w:t xml:space="preserve">lley  los que siguen atrayendo a las “vacas sagradas” de Bruselas,  hacia las traicioneras pendientes de la decadencia europea? ¿Cuál es la formidable obsesión, que los impulsa a destruir el maravilloso proyecto europeo? ¿Por qué están tan empeñados en consumir historia, en vez de producir historia? </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Están tan preocupados por “salvar el planeta”, en solitario, que se niegan a hace el recuento de las bajas (por daño auto infligido) y mucho menos retirarse, antes de perder a muchos más.</w:t>
      </w:r>
    </w:p>
    <w:p w:rsidR="005E7787"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“Memento Mori”: El espejo oscuro de la Unión Europea</w:t>
      </w:r>
      <w:r w:rsidR="005E7787" w:rsidRPr="00345D74">
        <w:rPr>
          <w:rFonts w:ascii="Times New Roman" w:hAnsi="Times New Roman" w:cs="Times New Roman"/>
          <w:b/>
          <w:sz w:val="24"/>
          <w:szCs w:val="24"/>
        </w:rPr>
        <w:t xml:space="preserve"> (</w:t>
      </w:r>
      <w:r w:rsidRPr="00345D74">
        <w:rPr>
          <w:rFonts w:ascii="Times New Roman" w:hAnsi="Times New Roman" w:cs="Times New Roman"/>
          <w:b/>
          <w:sz w:val="24"/>
          <w:szCs w:val="24"/>
        </w:rPr>
        <w:t>convexo</w:t>
      </w:r>
      <w:r w:rsidR="005E7787" w:rsidRPr="00345D74">
        <w:rPr>
          <w:rFonts w:ascii="Times New Roman" w:hAnsi="Times New Roman" w:cs="Times New Roman"/>
          <w:b/>
          <w:sz w:val="24"/>
          <w:szCs w:val="24"/>
        </w:rPr>
        <w:t xml:space="preserve"> - con la deformación hacia afuera-, cóncavo -con la deformación hacia aden</w:t>
      </w:r>
      <w:r w:rsidR="00A8030F" w:rsidRPr="00345D74">
        <w:rPr>
          <w:rFonts w:ascii="Times New Roman" w:hAnsi="Times New Roman" w:cs="Times New Roman"/>
          <w:b/>
          <w:sz w:val="24"/>
          <w:szCs w:val="24"/>
        </w:rPr>
        <w:t>tro- o roto…</w:t>
      </w:r>
      <w:r w:rsidR="00DC5848" w:rsidRPr="00345D74">
        <w:rPr>
          <w:rFonts w:ascii="Times New Roman" w:hAnsi="Times New Roman" w:cs="Times New Roman"/>
          <w:b/>
          <w:sz w:val="24"/>
          <w:szCs w:val="24"/>
        </w:rPr>
        <w:t xml:space="preserve"> pero nunca plano) </w:t>
      </w:r>
    </w:p>
    <w:p w:rsidR="005E7787" w:rsidRPr="00345D74" w:rsidRDefault="00162EBD" w:rsidP="005E7787">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Un gigante económico de casi quinientos millones de consumidores, que deambula sin destino, como un animal herido que no encuentra el lugar adecuado donde reposar (¿o morir con dignidad?). Atrapado en la permanente duda entre un lento declinar, o el colapso final.</w:t>
      </w:r>
      <w:r w:rsidR="006B7BF2" w:rsidRPr="00345D74">
        <w:rPr>
          <w:rFonts w:ascii="Times New Roman" w:hAnsi="Times New Roman" w:cs="Times New Roman"/>
          <w:b/>
          <w:sz w:val="24"/>
          <w:szCs w:val="24"/>
        </w:rPr>
        <w:t xml:space="preserve"> “Los hechos”</w:t>
      </w:r>
      <w:r w:rsidR="005E7787" w:rsidRPr="00345D74">
        <w:rPr>
          <w:rFonts w:ascii="Times New Roman" w:hAnsi="Times New Roman" w:cs="Times New Roman"/>
          <w:b/>
          <w:sz w:val="24"/>
          <w:szCs w:val="24"/>
        </w:rPr>
        <w:t>: EEUU inventa, China copia y UE regula… El relativismo como ideología: la única fábrica que defiende Europa, es la fábrica de pobres. El resto es, “welcome refugees”.</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 xml:space="preserve">Huérfano de pensamiento crítico, plagado de prohibiciones, cancelaciones, condenas, comportamientos al dictado, y un catálogo de virtudes y pecados del catecismo woke, la doctrina de la cancelación, el ecologismo </w:t>
      </w:r>
      <w:r w:rsidR="00932545" w:rsidRPr="00345D74">
        <w:rPr>
          <w:rFonts w:ascii="Times New Roman" w:hAnsi="Times New Roman" w:cs="Times New Roman"/>
          <w:b/>
          <w:sz w:val="24"/>
          <w:szCs w:val="24"/>
        </w:rPr>
        <w:t>dogmático, el animalismo delirante</w:t>
      </w:r>
      <w:r w:rsidRPr="00345D74">
        <w:rPr>
          <w:rFonts w:ascii="Times New Roman" w:hAnsi="Times New Roman" w:cs="Times New Roman"/>
          <w:b/>
          <w:sz w:val="24"/>
          <w:szCs w:val="24"/>
        </w:rPr>
        <w:t xml:space="preserve">, el multilateralismo asimétrico, el librecambio bipolar, la integración imposible, o el multiculturalismo implosivo. </w:t>
      </w:r>
    </w:p>
    <w:p w:rsidR="00DC5848" w:rsidRPr="00345D74" w:rsidRDefault="00DC5848"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El Apparatchik europeo: ¿estúpidos compulsivos o traidores patológicos? ¿cuántos sectores económicos europeos habrán sacrificado, antes de aceptar que han entregado su presente y futuro por nada?</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El legado que seremos: transición europea hacia la irrelevancia, y la dependencia</w:t>
      </w:r>
    </w:p>
    <w:p w:rsidR="00162EBD" w:rsidRPr="00345D74" w:rsidRDefault="00162EBD" w:rsidP="00162EBD">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Probablemente algunas “vacas sagradas”, “grandes bonetes”, “gurús mediáticos”, o “analistas de postín”, entiendan, divulguen, o proclamen, que no se deben ofrecen explicaciones sencillas a cuestiones muy complejas. A primera vista, sus argumentos pueden resultar satisfactorios, incluso aparentemente completos, pero ocurre que son insuficientes en perspectiva. Parafraseando a Chesterton (Ortodoxia), los defensores del librecambio terminan dando vueltas en un círculo tan redondo y perfecto como el mundo, pero infinitamente más pequeño.</w:t>
      </w:r>
      <w:r w:rsidR="006B7BF2" w:rsidRPr="00345D74">
        <w:rPr>
          <w:rFonts w:ascii="Times New Roman" w:hAnsi="Times New Roman" w:cs="Times New Roman"/>
          <w:b/>
          <w:sz w:val="24"/>
          <w:szCs w:val="24"/>
        </w:rPr>
        <w:t xml:space="preserve"> </w:t>
      </w:r>
      <w:r w:rsidRPr="00345D74">
        <w:rPr>
          <w:rFonts w:ascii="Times New Roman" w:hAnsi="Times New Roman" w:cs="Times New Roman"/>
          <w:b/>
          <w:sz w:val="24"/>
          <w:szCs w:val="24"/>
        </w:rPr>
        <w:t>Mientras el ciudadano europeo común (donde me incluyo) observa atónito la música desafinada de esta clase política e intelectual y se debate entre dos cosas: bien retirarse del proyecto de la Unión, o bien retirarlos a ellos… al rincón de pensar</w:t>
      </w:r>
      <w:r w:rsidR="006B7BF2" w:rsidRPr="00345D74">
        <w:rPr>
          <w:rFonts w:ascii="Times New Roman" w:hAnsi="Times New Roman" w:cs="Times New Roman"/>
          <w:b/>
          <w:sz w:val="24"/>
          <w:szCs w:val="24"/>
        </w:rPr>
        <w:t xml:space="preserve"> (aunque por los méritos, prefiero el basurero de la historia)</w:t>
      </w:r>
      <w:r w:rsidRPr="00345D74">
        <w:rPr>
          <w:rFonts w:ascii="Times New Roman" w:hAnsi="Times New Roman" w:cs="Times New Roman"/>
          <w:b/>
          <w:sz w:val="24"/>
          <w:szCs w:val="24"/>
        </w:rPr>
        <w:t xml:space="preserve">. </w:t>
      </w:r>
    </w:p>
    <w:p w:rsidR="006B7BF2" w:rsidRPr="00345D74" w:rsidRDefault="006B7BF2" w:rsidP="006B7BF2">
      <w:pPr>
        <w:autoSpaceDE w:val="0"/>
        <w:autoSpaceDN w:val="0"/>
        <w:adjustRightInd w:val="0"/>
        <w:spacing w:after="0" w:line="240" w:lineRule="auto"/>
        <w:jc w:val="both"/>
        <w:rPr>
          <w:rFonts w:ascii="Times New Roman" w:hAnsi="Times New Roman" w:cs="Times New Roman"/>
          <w:b/>
          <w:sz w:val="24"/>
          <w:szCs w:val="24"/>
        </w:rPr>
      </w:pPr>
      <w:r w:rsidRPr="00345D74">
        <w:rPr>
          <w:rFonts w:ascii="Times New Roman" w:hAnsi="Times New Roman" w:cs="Times New Roman"/>
          <w:b/>
          <w:sz w:val="24"/>
          <w:szCs w:val="24"/>
        </w:rPr>
        <w:t>Si la Unión Europea desea triunfar, no puede perder un momento... así que buena suerte… y si es derrotada, es mejor que sea con elegancia. ¡Que Dios acompañe a Europa (en cualquiera de las dos situaciones)! ¿Cuándo podrán los europeos dejar de ver a ciegos voluntarios (por superioridad moral, o codicia) dirigiendo los destinos de ciegos medrosos… (por indiferencia, o resignación)?</w:t>
      </w:r>
    </w:p>
    <w:p w:rsidR="006B7BF2" w:rsidRPr="00345D74" w:rsidRDefault="006B7BF2" w:rsidP="00CA5B3B">
      <w:pPr>
        <w:spacing w:line="240" w:lineRule="auto"/>
        <w:jc w:val="both"/>
        <w:rPr>
          <w:rFonts w:ascii="Times New Roman" w:hAnsi="Times New Roman" w:cs="Times New Roman"/>
          <w:b/>
          <w:sz w:val="24"/>
          <w:szCs w:val="24"/>
        </w:rPr>
      </w:pPr>
    </w:p>
    <w:p w:rsidR="00340A10" w:rsidRPr="00345D74" w:rsidRDefault="00064CA5" w:rsidP="00CA5B3B">
      <w:pPr>
        <w:spacing w:line="240" w:lineRule="auto"/>
        <w:jc w:val="both"/>
        <w:rPr>
          <w:rFonts w:ascii="Times New Roman" w:hAnsi="Times New Roman" w:cs="Times New Roman"/>
          <w:b/>
          <w:sz w:val="24"/>
          <w:szCs w:val="24"/>
        </w:rPr>
      </w:pPr>
      <w:r w:rsidRPr="00345D74">
        <w:rPr>
          <w:rFonts w:ascii="Times New Roman" w:hAnsi="Times New Roman" w:cs="Times New Roman"/>
          <w:b/>
          <w:sz w:val="24"/>
          <w:szCs w:val="24"/>
        </w:rPr>
        <w:lastRenderedPageBreak/>
        <w:t>- Antes del Eurobarómetro: “</w:t>
      </w:r>
      <w:r w:rsidR="00340A10" w:rsidRPr="00345D74">
        <w:rPr>
          <w:rFonts w:ascii="Times New Roman" w:hAnsi="Times New Roman" w:cs="Times New Roman"/>
          <w:b/>
          <w:sz w:val="24"/>
          <w:szCs w:val="24"/>
        </w:rPr>
        <w:t>evacuaciones” recientes, del “apparatchik” de Bruselas</w:t>
      </w:r>
    </w:p>
    <w:p w:rsidR="00340A10" w:rsidRPr="00340A10" w:rsidRDefault="00340A10" w:rsidP="00CA5B3B">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(¡Esto es el acabose! No exagere, solo es el continuose del empezose de ustedes, como diría Mafalda)</w:t>
      </w:r>
    </w:p>
    <w:p w:rsidR="00CA5B3B" w:rsidRDefault="008744F9" w:rsidP="00CA5B3B">
      <w:pPr>
        <w:pStyle w:val="NormalWeb"/>
        <w:shd w:val="clear" w:color="auto" w:fill="FFFFFF"/>
        <w:spacing w:after="225"/>
        <w:jc w:val="both"/>
        <w:rPr>
          <w:b/>
          <w:color w:val="FF0000"/>
        </w:rPr>
      </w:pPr>
      <w:r w:rsidRPr="00E802D9">
        <w:rPr>
          <w:noProof/>
        </w:rPr>
        <w:drawing>
          <wp:inline distT="0" distB="0" distL="0" distR="0" wp14:anchorId="3BC35316" wp14:editId="4F57354E">
            <wp:extent cx="5731510" cy="387223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872230"/>
                    </a:xfrm>
                    <a:prstGeom prst="rect">
                      <a:avLst/>
                    </a:prstGeom>
                  </pic:spPr>
                </pic:pic>
              </a:graphicData>
            </a:graphic>
          </wp:inline>
        </w:drawing>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I</w:t>
      </w:r>
      <w:r w:rsidRPr="005F35C9">
        <w:rPr>
          <w:rFonts w:ascii="Times New Roman" w:hAnsi="Times New Roman" w:cs="Times New Roman"/>
          <w:sz w:val="24"/>
          <w:szCs w:val="24"/>
        </w:rPr>
        <w:t>: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 xml:space="preserve">La Comisión Europea resolvió limitar los días de pesca en el Mediterráneo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Unión Europea ha reducido a “27 días al año la pesca en el mar Mediterráneo”, mientras que el 2024 eran 150 días de media. La medida no afecta a todos los pescadores, sino a aquellos que se dediquen a la pesca de fondo o arrastre (que barre el fondo del mar con una red lastrada) que no apliquen ciertas medidas de sostenibilidad. Se trata de un acuerdo alcanzado por el Consejo de la Unión Europea (CE) el 11 de diciembre de 2024 para cumplir con el Plan Multianual para la Pesca en el Mediterráneo Occidental y que entró en vigor el 1 de enero de 2025.</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“En lo que respecta al Mediterráneo occidental, los ministros han acordado reducir los esfuerzos pesqueros de los arrastreros en un 66% en las aguas de España y de Francia, y en un 38% en las aguas de Francia y de Italia, a fin de proteger las poblaciones demersales sin dejar de tener en cuenta las repercusiones socioeconómicas en las flotas” (sic).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Si los pescadores aplican medidas de sostenibilidad podrán faenar más días, por los mecanismos de modulación y compensación del acuerdo. La Comisión Europea explica en su página web que “pueden llegar a mantener los mismos o casi los mismos días de pesca de 2024” siempre que apliquen “un mínimo de medidas de sostenibilidad para las especies”.</w:t>
      </w:r>
    </w:p>
    <w:p w:rsidR="008744F9" w:rsidRPr="00EA3F26" w:rsidRDefault="008744F9" w:rsidP="008744F9">
      <w:p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5F35C9">
        <w:rPr>
          <w:rFonts w:ascii="Times New Roman" w:eastAsia="Times New Roman" w:hAnsi="Times New Roman" w:cs="Times New Roman"/>
          <w:sz w:val="24"/>
          <w:szCs w:val="24"/>
          <w:bdr w:val="single" w:sz="2" w:space="0" w:color="E5E7EB" w:frame="1"/>
          <w:lang w:eastAsia="es-ES"/>
        </w:rPr>
        <w:lastRenderedPageBreak/>
        <w:t>¿</w:t>
      </w:r>
      <w:r w:rsidRPr="00EA3F26">
        <w:rPr>
          <w:rFonts w:ascii="Times New Roman" w:eastAsia="Times New Roman" w:hAnsi="Times New Roman" w:cs="Times New Roman"/>
          <w:sz w:val="24"/>
          <w:szCs w:val="24"/>
          <w:bdr w:val="single" w:sz="2" w:space="0" w:color="E5E7EB" w:frame="1"/>
          <w:lang w:eastAsia="es-ES"/>
        </w:rPr>
        <w:t>En qué consisten estas medidas de sostenibilidad? Según las </w:t>
      </w:r>
      <w:hyperlink r:id="rId164" w:tgtFrame="_blank" w:history="1">
        <w:r w:rsidRPr="00C30D3E">
          <w:rPr>
            <w:rFonts w:ascii="Times New Roman" w:eastAsia="Times New Roman" w:hAnsi="Times New Roman" w:cs="Times New Roman"/>
            <w:sz w:val="24"/>
            <w:szCs w:val="24"/>
            <w:bdr w:val="single" w:sz="2" w:space="0" w:color="E5E7EB" w:frame="1"/>
            <w:lang w:eastAsia="es-ES"/>
          </w:rPr>
          <w:t>declaraciones recogidas por la Agencia EFE</w:t>
        </w:r>
      </w:hyperlink>
      <w:r w:rsidRPr="00EA3F26">
        <w:rPr>
          <w:rFonts w:ascii="Times New Roman" w:eastAsia="Times New Roman" w:hAnsi="Times New Roman" w:cs="Times New Roman"/>
          <w:sz w:val="24"/>
          <w:szCs w:val="24"/>
          <w:bdr w:val="single" w:sz="2" w:space="0" w:color="E5E7EB" w:frame="1"/>
          <w:lang w:eastAsia="es-ES"/>
        </w:rPr>
        <w:t>, el comisario europeo de Pesca, Costas Kadis, explicó que </w:t>
      </w:r>
      <w:r w:rsidRPr="005F35C9">
        <w:rPr>
          <w:rFonts w:ascii="Times New Roman" w:eastAsia="Times New Roman" w:hAnsi="Times New Roman" w:cs="Times New Roman"/>
          <w:bCs/>
          <w:sz w:val="24"/>
          <w:szCs w:val="24"/>
          <w:bdr w:val="single" w:sz="2" w:space="0" w:color="E5E7EB" w:frame="1"/>
          <w:lang w:eastAsia="es-ES"/>
        </w:rPr>
        <w:t>este mecanismo de compensación cuenta con 12 medidas</w:t>
      </w:r>
      <w:r w:rsidRPr="005F35C9">
        <w:rPr>
          <w:rFonts w:ascii="Times New Roman" w:eastAsia="Times New Roman" w:hAnsi="Times New Roman" w:cs="Times New Roman"/>
          <w:b/>
          <w:bCs/>
          <w:sz w:val="24"/>
          <w:szCs w:val="24"/>
          <w:bdr w:val="single" w:sz="2" w:space="0" w:color="E5E7EB" w:frame="1"/>
          <w:lang w:eastAsia="es-ES"/>
        </w:rPr>
        <w:t> </w:t>
      </w:r>
      <w:r w:rsidRPr="00EA3F26">
        <w:rPr>
          <w:rFonts w:ascii="Times New Roman" w:eastAsia="Times New Roman" w:hAnsi="Times New Roman" w:cs="Times New Roman"/>
          <w:sz w:val="24"/>
          <w:szCs w:val="24"/>
          <w:bdr w:val="single" w:sz="2" w:space="0" w:color="E5E7EB" w:frame="1"/>
          <w:lang w:eastAsia="es-ES"/>
        </w:rPr>
        <w:t xml:space="preserve">que son acumulativas. </w:t>
      </w:r>
      <w:r w:rsidRPr="005F35C9">
        <w:rPr>
          <w:rFonts w:ascii="Times New Roman" w:eastAsia="Times New Roman" w:hAnsi="Times New Roman" w:cs="Times New Roman"/>
          <w:sz w:val="24"/>
          <w:szCs w:val="24"/>
          <w:bdr w:val="single" w:sz="2" w:space="0" w:color="E5E7EB" w:frame="1"/>
          <w:lang w:eastAsia="es-ES"/>
        </w:rPr>
        <w:t>E</w:t>
      </w:r>
      <w:r w:rsidRPr="00EA3F26">
        <w:rPr>
          <w:rFonts w:ascii="Times New Roman" w:eastAsia="Times New Roman" w:hAnsi="Times New Roman" w:cs="Times New Roman"/>
          <w:sz w:val="24"/>
          <w:szCs w:val="24"/>
          <w:bdr w:val="single" w:sz="2" w:space="0" w:color="E5E7EB" w:frame="1"/>
          <w:lang w:eastAsia="es-ES"/>
        </w:rPr>
        <w:t>stas son algunas de ellas:</w:t>
      </w:r>
    </w:p>
    <w:p w:rsidR="008744F9" w:rsidRPr="00EA3F26" w:rsidRDefault="008744F9" w:rsidP="008744F9">
      <w:pPr>
        <w:numPr>
          <w:ilvl w:val="0"/>
          <w:numId w:val="39"/>
        </w:num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EA3F26">
        <w:rPr>
          <w:rFonts w:ascii="Times New Roman" w:eastAsia="Times New Roman" w:hAnsi="Times New Roman" w:cs="Times New Roman"/>
          <w:sz w:val="24"/>
          <w:szCs w:val="24"/>
          <w:bdr w:val="single" w:sz="2" w:space="0" w:color="E5E7EB" w:frame="1"/>
          <w:lang w:eastAsia="es-ES"/>
        </w:rPr>
        <w:t>Si el barco retira las redes de arrastre gemelas con puertas, podrá aumentar la asignación de días de pesca en un 24%.</w:t>
      </w:r>
    </w:p>
    <w:p w:rsidR="008744F9" w:rsidRPr="00EA3F26" w:rsidRDefault="008744F9" w:rsidP="008744F9">
      <w:pPr>
        <w:numPr>
          <w:ilvl w:val="0"/>
          <w:numId w:val="40"/>
        </w:num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EA3F26">
        <w:rPr>
          <w:rFonts w:ascii="Times New Roman" w:eastAsia="Times New Roman" w:hAnsi="Times New Roman" w:cs="Times New Roman"/>
          <w:sz w:val="24"/>
          <w:szCs w:val="24"/>
          <w:bdr w:val="single" w:sz="2" w:space="0" w:color="E5E7EB" w:frame="1"/>
          <w:lang w:eastAsia="es-ES"/>
        </w:rPr>
        <w:t>Si utiliza una red de arrastre con malla cuadrada de 50 milímetros, podrá aumentar la asignación de días de pesca en un 15,4%.</w:t>
      </w:r>
    </w:p>
    <w:p w:rsidR="008744F9" w:rsidRPr="00EA3F26" w:rsidRDefault="008744F9" w:rsidP="008744F9">
      <w:pPr>
        <w:numPr>
          <w:ilvl w:val="0"/>
          <w:numId w:val="41"/>
        </w:num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EA3F26">
        <w:rPr>
          <w:rFonts w:ascii="Times New Roman" w:eastAsia="Times New Roman" w:hAnsi="Times New Roman" w:cs="Times New Roman"/>
          <w:sz w:val="24"/>
          <w:szCs w:val="24"/>
          <w:bdr w:val="single" w:sz="2" w:space="0" w:color="E5E7EB" w:frame="1"/>
          <w:lang w:eastAsia="es-ES"/>
        </w:rPr>
        <w:t>Si está afectado por una veda permanente para la actividad pesquera con arrastreros a una profundidad inferior a 800 m, podrá aumentar la asignación de días de pesca en un 3%.</w:t>
      </w:r>
    </w:p>
    <w:p w:rsidR="008744F9" w:rsidRPr="00EA3F26" w:rsidRDefault="008744F9" w:rsidP="008744F9">
      <w:pPr>
        <w:numPr>
          <w:ilvl w:val="0"/>
          <w:numId w:val="42"/>
        </w:num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EA3F26">
        <w:rPr>
          <w:rFonts w:ascii="Times New Roman" w:eastAsia="Times New Roman" w:hAnsi="Times New Roman" w:cs="Times New Roman"/>
          <w:sz w:val="24"/>
          <w:szCs w:val="24"/>
          <w:bdr w:val="single" w:sz="2" w:space="0" w:color="E5E7EB" w:frame="1"/>
          <w:lang w:eastAsia="es-ES"/>
        </w:rPr>
        <w:t>Si utiliza una red de arrastre que reduzca el contacto de las puertas con el fondo marino, podrá aumentar la asignación de días de pesca en un 3%.</w:t>
      </w:r>
    </w:p>
    <w:p w:rsidR="008744F9" w:rsidRPr="00EA3F26" w:rsidRDefault="008744F9" w:rsidP="008744F9">
      <w:pPr>
        <w:pBdr>
          <w:top w:val="single" w:sz="2" w:space="0" w:color="E5E7EB"/>
          <w:left w:val="single" w:sz="2" w:space="0" w:color="E5E7EB"/>
          <w:bottom w:val="single" w:sz="2" w:space="0" w:color="E5E7EB"/>
          <w:right w:val="single" w:sz="2" w:space="0" w:color="E5E7EB"/>
        </w:pBdr>
        <w:spacing w:before="100" w:beforeAutospacing="1" w:after="100" w:afterAutospacing="1" w:line="240" w:lineRule="auto"/>
        <w:jc w:val="both"/>
        <w:rPr>
          <w:rFonts w:ascii="Times New Roman" w:eastAsia="Times New Roman" w:hAnsi="Times New Roman" w:cs="Times New Roman"/>
          <w:sz w:val="24"/>
          <w:szCs w:val="24"/>
          <w:lang w:eastAsia="es-ES"/>
        </w:rPr>
      </w:pPr>
      <w:r w:rsidRPr="00EA3F26">
        <w:rPr>
          <w:rFonts w:ascii="Times New Roman" w:eastAsia="Times New Roman" w:hAnsi="Times New Roman" w:cs="Times New Roman"/>
          <w:sz w:val="24"/>
          <w:szCs w:val="24"/>
          <w:bdr w:val="single" w:sz="2" w:space="0" w:color="E5E7EB" w:frame="1"/>
          <w:lang w:eastAsia="es-ES"/>
        </w:rPr>
        <w:t>Estos porcentajes son mayores si las medidas se adaptan antes del 1 de mayo de 2025 o si el total de buques que las aplica representa más del 40% de la flota total del país, según explica el acuerdo. </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 verdad de la milanesa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Mientras la flota de arrastreros europeos tiene (solo) 27 días al año autorizados para pescar</w:t>
      </w:r>
      <w:r w:rsidR="00C30D3E">
        <w:rPr>
          <w:rFonts w:ascii="Times New Roman" w:hAnsi="Times New Roman" w:cs="Times New Roman"/>
          <w:sz w:val="24"/>
          <w:szCs w:val="24"/>
        </w:rPr>
        <w:t xml:space="preserve"> en el Mediterráneo</w:t>
      </w:r>
      <w:r w:rsidRPr="005F35C9">
        <w:rPr>
          <w:rFonts w:ascii="Times New Roman" w:hAnsi="Times New Roman" w:cs="Times New Roman"/>
          <w:sz w:val="24"/>
          <w:szCs w:val="24"/>
        </w:rPr>
        <w:t>… ¿Qué ocurre con los barcos arrastreros marroquíes, argelinos, libios o tunecinos</w:t>
      </w:r>
      <w:r w:rsidR="00C30D3E">
        <w:rPr>
          <w:rFonts w:ascii="Times New Roman" w:hAnsi="Times New Roman" w:cs="Times New Roman"/>
          <w:sz w:val="24"/>
          <w:szCs w:val="24"/>
        </w:rPr>
        <w:t xml:space="preserve"> que pescan en el Mediterráneo</w:t>
      </w:r>
      <w:r w:rsidRPr="005F35C9">
        <w:rPr>
          <w:rFonts w:ascii="Times New Roman" w:hAnsi="Times New Roman" w:cs="Times New Roman"/>
          <w:sz w:val="24"/>
          <w:szCs w:val="24"/>
        </w:rPr>
        <w:t>? Que no tiene ninguna restricción operativa.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 ¿el daño ecológico es menor si la pesca se realiza de un lado o del otro del Mediterráneo? ¿los barcos de los países del norte de África son más respetuosos con el fondo marino?</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II:</w:t>
      </w:r>
      <w:r w:rsidRPr="005F35C9">
        <w:rPr>
          <w:rFonts w:ascii="Times New Roman" w:hAnsi="Times New Roman" w:cs="Times New Roman"/>
          <w:sz w:val="24"/>
          <w:szCs w:val="24"/>
        </w:rPr>
        <w:t xml:space="preserve">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Las fresas de Marruecos con hepatitis A fueron regadas con aguas fecales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sistema de alerta rápida de alimentos y piensos de la Unión Europea lanzó esta semana un aviso sobre fresas procedentes de Marruecos que se distribuían en España en las que se detectó presencia de hepat</w:t>
      </w:r>
      <w:r w:rsidR="00932545">
        <w:rPr>
          <w:rFonts w:ascii="Times New Roman" w:hAnsi="Times New Roman" w:cs="Times New Roman"/>
          <w:sz w:val="24"/>
          <w:szCs w:val="24"/>
        </w:rPr>
        <w:t>itis A, con un nivel de alerta “serio”</w:t>
      </w:r>
      <w:r w:rsidRPr="005F35C9">
        <w:rPr>
          <w:rFonts w:ascii="Times New Roman" w:hAnsi="Times New Roman" w:cs="Times New Roman"/>
          <w:sz w:val="24"/>
          <w:szCs w:val="24"/>
        </w:rPr>
        <w:t xml:space="preserve"> tras encontrar microorganismos patógenos del virus por encima del máximo permitido. Eso significa que esas fresas se regaron en origen con aguas fecales. (La Opinión de Murcia - 7/3/24) </w:t>
      </w:r>
    </w:p>
    <w:p w:rsidR="008744F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Así lo aseguran las asociaciones de consumidores de la Región y lo explica la Organización Mundial de la Salud (OMS), que atribuye la in</w:t>
      </w:r>
      <w:r w:rsidR="00064CA5">
        <w:rPr>
          <w:rFonts w:ascii="Times New Roman" w:hAnsi="Times New Roman" w:cs="Times New Roman"/>
          <w:sz w:val="24"/>
          <w:szCs w:val="24"/>
        </w:rPr>
        <w:t>fección por hepatitis A cuando “</w:t>
      </w:r>
      <w:r w:rsidRPr="005F35C9">
        <w:rPr>
          <w:rFonts w:ascii="Times New Roman" w:hAnsi="Times New Roman" w:cs="Times New Roman"/>
          <w:sz w:val="24"/>
          <w:szCs w:val="24"/>
        </w:rPr>
        <w:t>una persona no infectada ingiere agua o alimentos contaminados por</w:t>
      </w:r>
      <w:r w:rsidR="00064CA5">
        <w:rPr>
          <w:rFonts w:ascii="Times New Roman" w:hAnsi="Times New Roman" w:cs="Times New Roman"/>
          <w:sz w:val="24"/>
          <w:szCs w:val="24"/>
        </w:rPr>
        <w:t xml:space="preserve"> heces de una persona infectada”</w:t>
      </w:r>
      <w:r w:rsidRPr="005F35C9">
        <w:rPr>
          <w:rFonts w:ascii="Times New Roman" w:hAnsi="Times New Roman" w:cs="Times New Roman"/>
          <w:sz w:val="24"/>
          <w:szCs w:val="24"/>
        </w:rPr>
        <w:t>, por lo que la transmisión hídrica, que no es frecuente según la OMS</w:t>
      </w:r>
      <w:r w:rsidR="00064CA5">
        <w:rPr>
          <w:rFonts w:ascii="Times New Roman" w:hAnsi="Times New Roman" w:cs="Times New Roman"/>
          <w:sz w:val="24"/>
          <w:szCs w:val="24"/>
        </w:rPr>
        <w:t>, suele estar “</w:t>
      </w:r>
      <w:r w:rsidRPr="005F35C9">
        <w:rPr>
          <w:rFonts w:ascii="Times New Roman" w:hAnsi="Times New Roman" w:cs="Times New Roman"/>
          <w:sz w:val="24"/>
          <w:szCs w:val="24"/>
        </w:rPr>
        <w:t>relacionada con la con</w:t>
      </w:r>
      <w:r w:rsidR="00064CA5">
        <w:rPr>
          <w:rFonts w:ascii="Times New Roman" w:hAnsi="Times New Roman" w:cs="Times New Roman"/>
          <w:sz w:val="24"/>
          <w:szCs w:val="24"/>
        </w:rPr>
        <w:t>taminación por aguas residuales”</w:t>
      </w:r>
      <w:r w:rsidRPr="005F35C9">
        <w:rPr>
          <w:rFonts w:ascii="Times New Roman" w:hAnsi="Times New Roman" w:cs="Times New Roman"/>
          <w:sz w:val="24"/>
          <w:szCs w:val="24"/>
        </w:rPr>
        <w:t xml:space="preserve"> o el abastecimiento de agua insuficientemente tratada. Pese a todo, afirman, casi todos los pacientes se recuperan totalmente y adquieren inmunidad de por vida. No obstante, una proporción muy pequeña de las personas infectadas por el VHA puede fallecer a causa de una hepatitis fulminante. </w:t>
      </w:r>
    </w:p>
    <w:p w:rsidR="00C30D3E" w:rsidRPr="005F35C9" w:rsidRDefault="00C30D3E" w:rsidP="008744F9">
      <w:pPr>
        <w:spacing w:line="240" w:lineRule="auto"/>
        <w:jc w:val="both"/>
        <w:rPr>
          <w:rFonts w:ascii="Times New Roman" w:hAnsi="Times New Roman" w:cs="Times New Roman"/>
          <w:sz w:val="24"/>
          <w:szCs w:val="24"/>
        </w:rPr>
      </w:pP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lastRenderedPageBreak/>
        <w:t>No es la primera vez</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presidente de Consumur, Roberto Barceló, dice que esta situación es m</w:t>
      </w:r>
      <w:r w:rsidR="00064CA5">
        <w:rPr>
          <w:rFonts w:ascii="Times New Roman" w:hAnsi="Times New Roman" w:cs="Times New Roman"/>
          <w:sz w:val="24"/>
          <w:szCs w:val="24"/>
        </w:rPr>
        <w:t>ás grave por los antecedentes: “</w:t>
      </w:r>
      <w:r w:rsidRPr="005F35C9">
        <w:rPr>
          <w:rFonts w:ascii="Times New Roman" w:hAnsi="Times New Roman" w:cs="Times New Roman"/>
          <w:sz w:val="24"/>
          <w:szCs w:val="24"/>
        </w:rPr>
        <w:t>Desde hace un año España ha ido denunciando casi 50 productos procedentes de Marruecos con irregularidades. Y lo más curioso es que no es la primera vez que se hace sobre las fresas, por lo que deberían haber tenido un especial tratamiento respec</w:t>
      </w:r>
      <w:r w:rsidR="00064CA5">
        <w:rPr>
          <w:rFonts w:ascii="Times New Roman" w:hAnsi="Times New Roman" w:cs="Times New Roman"/>
          <w:sz w:val="24"/>
          <w:szCs w:val="24"/>
        </w:rPr>
        <w:t>to a los controles de seguridad”</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Continua afirmando Barceló q</w:t>
      </w:r>
      <w:r w:rsidR="00C30D3E">
        <w:rPr>
          <w:rFonts w:ascii="Times New Roman" w:hAnsi="Times New Roman" w:cs="Times New Roman"/>
          <w:sz w:val="24"/>
          <w:szCs w:val="24"/>
        </w:rPr>
        <w:t>ue los análisis son muy pocos: “</w:t>
      </w:r>
      <w:r w:rsidRPr="005F35C9">
        <w:rPr>
          <w:rFonts w:ascii="Times New Roman" w:hAnsi="Times New Roman" w:cs="Times New Roman"/>
          <w:sz w:val="24"/>
          <w:szCs w:val="24"/>
        </w:rPr>
        <w:t>Tratamos de dar una imagen de control pero al mismo tiempo se permite que el producto contaminado llegue por los intereses comerciales y políticos. Falta un control riguroso, falta retención en a</w:t>
      </w:r>
      <w:r w:rsidR="00C30D3E">
        <w:rPr>
          <w:rFonts w:ascii="Times New Roman" w:hAnsi="Times New Roman" w:cs="Times New Roman"/>
          <w:sz w:val="24"/>
          <w:szCs w:val="24"/>
        </w:rPr>
        <w:t>duanas y falta personal”</w:t>
      </w:r>
      <w:r w:rsidRPr="005F35C9">
        <w:rPr>
          <w:rFonts w:ascii="Times New Roman" w:hAnsi="Times New Roman" w:cs="Times New Roman"/>
          <w:sz w:val="24"/>
          <w:szCs w:val="24"/>
        </w:rPr>
        <w:t>.</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Desde Thader Consumo explicaron que en el caso de que una persona esté afectada, puede reclamar la indemnización correspondiente tanto a la Administración Pública por no haber realizado esos controles como a la empresa distribuidora y comercializadora porque la «responsabilidad es de toda la cadena».</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 verdad de la milanesa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Mientras los agricultores españoles (y europeos) son sometidos a todo tipo de restricciones,  controles, registros, vigilancias, inspecciones, verificaciones… ¿Qué ocurre con los agricultores marroquíes? Que están libres de “hacer de su capa un sayo”, y hasta regar con mierda los cultivos, de los productos que luego enviarán a los ecológicos mercados europeos.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 ¿el daño sanitario y ecológico es menor si la producción se realiza de un lado o del otro del Mediterráneo? ¿los países del norte de África son más respetuosos con los consumidores y el medio ambiente?</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III:</w:t>
      </w:r>
      <w:r w:rsidRPr="005F35C9">
        <w:rPr>
          <w:rFonts w:ascii="Times New Roman" w:hAnsi="Times New Roman" w:cs="Times New Roman"/>
          <w:sz w:val="24"/>
          <w:szCs w:val="24"/>
        </w:rPr>
        <w:t xml:space="preserve">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 pesar de tener una geografía excepcional y un clima envidiable, el Estado español ha necesitado Ucrania durante muchos años con respecto al aceite de girasol. El país que ha sufrido una invasión por parte de Rusia es un gran exportador de este producto y, concretamente, el 62% del aceite de girasol que se consume en el Estado español proviene de tierras ucranianas. Campesinos y agricultores conversan con ElNacional.cat para explicar cómo se ha llegado a un escenario en el cual un país capaz de generar esta materia por él mismo ha tenido que necesitar tanto las exportaciones que hace Ucrania. (elnacional.cat - 10/3/22)</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¿Cómo se puede haber llegado a un escenario de este tipo?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caso es que la PAC (un conjunto de ayudas europeas para desarrollar la agricultura) "obliga" a los agricultores a tener tres cultivos, y según José Roales, un agricultor de Castilla y León que es responsable del sector de cereales de la Coordinadora de Organizaciones de Agricultores y Ganaderos (COAG).  eso no es rentable para quien quiera plantar girasoles, una planta que es anual y que se puede aprovechar sobre todo en primavera. Y este es otro de los motivos por los cuales, según este agricultor de Castilla y León, el girasol no tri</w:t>
      </w:r>
      <w:r w:rsidR="00C30D3E">
        <w:rPr>
          <w:rFonts w:ascii="Times New Roman" w:hAnsi="Times New Roman" w:cs="Times New Roman"/>
          <w:sz w:val="24"/>
          <w:szCs w:val="24"/>
        </w:rPr>
        <w:t>unfa en las tierras españolas: “</w:t>
      </w:r>
      <w:r w:rsidRPr="005F35C9">
        <w:rPr>
          <w:rFonts w:ascii="Times New Roman" w:hAnsi="Times New Roman" w:cs="Times New Roman"/>
          <w:sz w:val="24"/>
          <w:szCs w:val="24"/>
        </w:rPr>
        <w:t>las primaveras de Aragón, La Rioja, Castilla y Andalucía ac</w:t>
      </w:r>
      <w:r w:rsidR="00C30D3E">
        <w:rPr>
          <w:rFonts w:ascii="Times New Roman" w:hAnsi="Times New Roman" w:cs="Times New Roman"/>
          <w:sz w:val="24"/>
          <w:szCs w:val="24"/>
        </w:rPr>
        <w:t>ostumbran a ser escasas de agua”. “</w:t>
      </w:r>
      <w:r w:rsidRPr="005F35C9">
        <w:rPr>
          <w:rFonts w:ascii="Times New Roman" w:hAnsi="Times New Roman" w:cs="Times New Roman"/>
          <w:sz w:val="24"/>
          <w:szCs w:val="24"/>
        </w:rPr>
        <w:t>Y seguramente en Ucrania el clima es todavía más provechoso para este tipo de planta, p</w:t>
      </w:r>
      <w:r w:rsidR="00C30D3E">
        <w:rPr>
          <w:rFonts w:ascii="Times New Roman" w:hAnsi="Times New Roman" w:cs="Times New Roman"/>
          <w:sz w:val="24"/>
          <w:szCs w:val="24"/>
        </w:rPr>
        <w:t>or muy bueno que sea el español”</w:t>
      </w:r>
      <w:r w:rsidRPr="005F35C9">
        <w:rPr>
          <w:rFonts w:ascii="Times New Roman" w:hAnsi="Times New Roman" w:cs="Times New Roman"/>
          <w:sz w:val="24"/>
          <w:szCs w:val="24"/>
        </w:rPr>
        <w:t>, añade Roales.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lastRenderedPageBreak/>
        <w:t xml:space="preserve">Uno de los primeros efectos palpables en España de la invasión rusa tuvo como escenario los supermercados. Las botellas de aceite de girasol desaparecieron de los lineales y las tiendas racionaron su venta para evitar acaparamientos de este producto, cuyo principal proveedor extranjero es Ucrania. Poco después se produjo </w:t>
      </w:r>
      <w:r w:rsidR="00C30D3E">
        <w:rPr>
          <w:rFonts w:ascii="Times New Roman" w:hAnsi="Times New Roman" w:cs="Times New Roman"/>
          <w:sz w:val="24"/>
          <w:szCs w:val="24"/>
        </w:rPr>
        <w:t>un fuerte aumento de su precio -</w:t>
      </w:r>
      <w:r w:rsidRPr="005F35C9">
        <w:rPr>
          <w:rFonts w:ascii="Times New Roman" w:hAnsi="Times New Roman" w:cs="Times New Roman"/>
          <w:sz w:val="24"/>
          <w:szCs w:val="24"/>
        </w:rPr>
        <w:t>los restaurado</w:t>
      </w:r>
      <w:r w:rsidR="00C30D3E">
        <w:rPr>
          <w:rFonts w:ascii="Times New Roman" w:hAnsi="Times New Roman" w:cs="Times New Roman"/>
          <w:sz w:val="24"/>
          <w:szCs w:val="24"/>
        </w:rPr>
        <w:t>res alertan de subidas del 200%-</w:t>
      </w:r>
      <w:r w:rsidRPr="005F35C9">
        <w:rPr>
          <w:rFonts w:ascii="Times New Roman" w:hAnsi="Times New Roman" w:cs="Times New Roman"/>
          <w:sz w:val="24"/>
          <w:szCs w:val="24"/>
        </w:rPr>
        <w:t>. Todo ello pese a que gran parte del girasol ucraniano que se esperaba para esta campaña ya estaba enviado antes de la guerra. (La Vanguardia - 23/4/22)</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posible escasez que lanzó a los consumidores al supermercado llegaría, en todo caso, a partir de la próxima temporada. De ahí que España intente ahora incrementar la producción propia. El problema se extiende en toda Europa y la Comisión ya ha movido ficha para tratar de suplir la falta de girasol permitiendo cultivar en los</w:t>
      </w:r>
      <w:r w:rsidR="00C30D3E">
        <w:rPr>
          <w:rFonts w:ascii="Times New Roman" w:hAnsi="Times New Roman" w:cs="Times New Roman"/>
          <w:sz w:val="24"/>
          <w:szCs w:val="24"/>
        </w:rPr>
        <w:t xml:space="preserve"> terrenos de barbecho este año -</w:t>
      </w:r>
      <w:r w:rsidRPr="005F35C9">
        <w:rPr>
          <w:rFonts w:ascii="Times New Roman" w:hAnsi="Times New Roman" w:cs="Times New Roman"/>
          <w:sz w:val="24"/>
          <w:szCs w:val="24"/>
        </w:rPr>
        <w:t>el girasol se si</w:t>
      </w:r>
      <w:r w:rsidR="00C30D3E">
        <w:rPr>
          <w:rFonts w:ascii="Times New Roman" w:hAnsi="Times New Roman" w:cs="Times New Roman"/>
          <w:sz w:val="24"/>
          <w:szCs w:val="24"/>
        </w:rPr>
        <w:t>embra a principios de primavera-</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Igual que el Ejecutivo comunitario busca fórmulas para alcanzar la autonomía energética y romper con Rusia, necesita como sea autoabastecerse de un producto del que depende buena parte de la industria alimentaria, desde ganaderos hasta fabricantes de alimentos y restauradores. El Ministerio de Agricultura ya ha dado luz verde al us</w:t>
      </w:r>
      <w:r w:rsidR="00C30D3E">
        <w:rPr>
          <w:rFonts w:ascii="Times New Roman" w:hAnsi="Times New Roman" w:cs="Times New Roman"/>
          <w:sz w:val="24"/>
          <w:szCs w:val="24"/>
        </w:rPr>
        <w:t>o excepcional de los barbechos -la ley no permite utilizarlos-</w:t>
      </w:r>
      <w:r w:rsidRPr="005F35C9">
        <w:rPr>
          <w:rFonts w:ascii="Times New Roman" w:hAnsi="Times New Roman" w:cs="Times New Roman"/>
          <w:sz w:val="24"/>
          <w:szCs w:val="24"/>
        </w:rPr>
        <w:t>, pero los agricultores dudan de que se vaya a cultivar todo el girasol que el Gobierno espera.</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 verdad de la milanesa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De la semilla para siembra de girasol producida en España, el 70% se exporta, siendo dos de los principales destinos</w:t>
      </w:r>
      <w:r w:rsidR="00C30D3E">
        <w:rPr>
          <w:rFonts w:ascii="Times New Roman" w:hAnsi="Times New Roman" w:cs="Times New Roman"/>
          <w:sz w:val="24"/>
          <w:szCs w:val="24"/>
        </w:rPr>
        <w:t xml:space="preserve"> Ucrania y Rusia. A su juicio, “dadas las condiciones actuales” y pese a “</w:t>
      </w:r>
      <w:r w:rsidRPr="005F35C9">
        <w:rPr>
          <w:rFonts w:ascii="Times New Roman" w:hAnsi="Times New Roman" w:cs="Times New Roman"/>
          <w:sz w:val="24"/>
          <w:szCs w:val="24"/>
        </w:rPr>
        <w:t>la falta de a</w:t>
      </w:r>
      <w:r w:rsidR="00C30D3E">
        <w:rPr>
          <w:rFonts w:ascii="Times New Roman" w:hAnsi="Times New Roman" w:cs="Times New Roman"/>
          <w:sz w:val="24"/>
          <w:szCs w:val="24"/>
        </w:rPr>
        <w:t>gua”</w:t>
      </w:r>
      <w:r w:rsidRPr="005F35C9">
        <w:rPr>
          <w:rFonts w:ascii="Times New Roman" w:hAnsi="Times New Roman" w:cs="Times New Roman"/>
          <w:sz w:val="24"/>
          <w:szCs w:val="24"/>
        </w:rPr>
        <w:t xml:space="preserve"> en los campos españoles, puede producirse esta primavera un aumento de la siembra de girasol, ya que en </w:t>
      </w:r>
      <w:r w:rsidR="00C30D3E">
        <w:rPr>
          <w:rFonts w:ascii="Times New Roman" w:hAnsi="Times New Roman" w:cs="Times New Roman"/>
          <w:sz w:val="24"/>
          <w:szCs w:val="24"/>
        </w:rPr>
        <w:t>las últimas campañas ha estado “</w:t>
      </w:r>
      <w:r w:rsidRPr="005F35C9">
        <w:rPr>
          <w:rFonts w:ascii="Times New Roman" w:hAnsi="Times New Roman" w:cs="Times New Roman"/>
          <w:sz w:val="24"/>
          <w:szCs w:val="24"/>
        </w:rPr>
        <w:t>lejos del récord de la superficie en Es</w:t>
      </w:r>
      <w:r w:rsidR="00C30D3E">
        <w:rPr>
          <w:rFonts w:ascii="Times New Roman" w:hAnsi="Times New Roman" w:cs="Times New Roman"/>
          <w:sz w:val="24"/>
          <w:szCs w:val="24"/>
        </w:rPr>
        <w:t>paña, dos millones de hectáreas”</w:t>
      </w:r>
      <w:r w:rsidRPr="005F35C9">
        <w:rPr>
          <w:rFonts w:ascii="Times New Roman" w:hAnsi="Times New Roman" w:cs="Times New Roman"/>
          <w:sz w:val="24"/>
          <w:szCs w:val="24"/>
        </w:rPr>
        <w:t>. (mercolleida.com - 24/3/22)</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Según los últimos datos del Ministerio de Agricultura, Pesca y Alimentación sobre superficies cultivadas consultados por Efeagro, España dedicó en 2021 cerca de 626.400 hectáreas a la producción de girasol, una cifra que se fijó en 650.100 hectáreas en 2020.</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Ucrania, ha recordado la directora de Anove, cuenta con 33 millones de hectáreas de tierra de cultivo, y de sus producciones, exportaba a España, antes del bloqueo de sus salidas por el Mar Negro, un volumen para cubrir el 30% de sus necesidades de maíz, el 17% de las de trigo y el 15% de las de leguminosas grano. Rusia, otro gran país produc</w:t>
      </w:r>
      <w:r w:rsidR="00C30D3E">
        <w:rPr>
          <w:rFonts w:ascii="Times New Roman" w:hAnsi="Times New Roman" w:cs="Times New Roman"/>
          <w:sz w:val="24"/>
          <w:szCs w:val="24"/>
        </w:rPr>
        <w:t>tor de cereales y oleaginosas, “</w:t>
      </w:r>
      <w:r w:rsidRPr="005F35C9">
        <w:rPr>
          <w:rFonts w:ascii="Times New Roman" w:hAnsi="Times New Roman" w:cs="Times New Roman"/>
          <w:sz w:val="24"/>
          <w:szCs w:val="24"/>
        </w:rPr>
        <w:t>ha restringido las expor</w:t>
      </w:r>
      <w:r w:rsidR="00C30D3E">
        <w:rPr>
          <w:rFonts w:ascii="Times New Roman" w:hAnsi="Times New Roman" w:cs="Times New Roman"/>
          <w:sz w:val="24"/>
          <w:szCs w:val="24"/>
        </w:rPr>
        <w:t>taciones de productos sensibles”</w:t>
      </w:r>
      <w:r w:rsidRPr="005F35C9">
        <w:rPr>
          <w:rFonts w:ascii="Times New Roman" w:hAnsi="Times New Roman" w:cs="Times New Roman"/>
          <w:sz w:val="24"/>
          <w:szCs w:val="24"/>
        </w:rPr>
        <w:t>.</w:t>
      </w:r>
    </w:p>
    <w:p w:rsidR="008744F9" w:rsidRPr="005F35C9" w:rsidRDefault="00C30D3E"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A esta “</w:t>
      </w:r>
      <w:r w:rsidR="008744F9" w:rsidRPr="005F35C9">
        <w:rPr>
          <w:rFonts w:ascii="Times New Roman" w:hAnsi="Times New Roman" w:cs="Times New Roman"/>
          <w:sz w:val="24"/>
          <w:szCs w:val="24"/>
        </w:rPr>
        <w:t>situac</w:t>
      </w:r>
      <w:r>
        <w:rPr>
          <w:rFonts w:ascii="Times New Roman" w:hAnsi="Times New Roman" w:cs="Times New Roman"/>
          <w:sz w:val="24"/>
          <w:szCs w:val="24"/>
        </w:rPr>
        <w:t>ión tan compleja a nivel global”</w:t>
      </w:r>
      <w:r w:rsidR="008744F9" w:rsidRPr="005F35C9">
        <w:rPr>
          <w:rFonts w:ascii="Times New Roman" w:hAnsi="Times New Roman" w:cs="Times New Roman"/>
          <w:sz w:val="24"/>
          <w:szCs w:val="24"/>
        </w:rPr>
        <w:t xml:space="preserve"> se le ha sumado la sequía que están sufriendo otros países exportadores de cereales y oleaginosas como Argentina o Brasil</w:t>
      </w:r>
      <w:r>
        <w:rPr>
          <w:rFonts w:ascii="Times New Roman" w:hAnsi="Times New Roman" w:cs="Times New Roman"/>
          <w:sz w:val="24"/>
          <w:szCs w:val="24"/>
        </w:rPr>
        <w:t>, por lo que, a su juicio, aún “</w:t>
      </w:r>
      <w:r w:rsidR="008744F9" w:rsidRPr="005F35C9">
        <w:rPr>
          <w:rFonts w:ascii="Times New Roman" w:hAnsi="Times New Roman" w:cs="Times New Roman"/>
          <w:sz w:val="24"/>
          <w:szCs w:val="24"/>
        </w:rPr>
        <w:t xml:space="preserve">pueden cambiar las condiciones y complicar </w:t>
      </w:r>
      <w:r>
        <w:rPr>
          <w:rFonts w:ascii="Times New Roman" w:hAnsi="Times New Roman" w:cs="Times New Roman"/>
          <w:sz w:val="24"/>
          <w:szCs w:val="24"/>
        </w:rPr>
        <w:t>el aprovisionamiento de semilla”</w:t>
      </w:r>
      <w:r w:rsidR="008744F9" w:rsidRPr="005F35C9">
        <w:rPr>
          <w:rFonts w:ascii="Times New Roman" w:hAnsi="Times New Roman" w:cs="Times New Roman"/>
          <w:sz w:val="24"/>
          <w:szCs w:val="24"/>
        </w:rPr>
        <w:t>.</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En Esp</w:t>
      </w:r>
      <w:r w:rsidR="00C30D3E">
        <w:rPr>
          <w:rFonts w:ascii="Times New Roman" w:hAnsi="Times New Roman" w:cs="Times New Roman"/>
          <w:sz w:val="24"/>
          <w:szCs w:val="24"/>
        </w:rPr>
        <w:t>aña, ha reconocido que se está “</w:t>
      </w:r>
      <w:r w:rsidRPr="005F35C9">
        <w:rPr>
          <w:rFonts w:ascii="Times New Roman" w:hAnsi="Times New Roman" w:cs="Times New Roman"/>
          <w:sz w:val="24"/>
          <w:szCs w:val="24"/>
        </w:rPr>
        <w:t>a la espera de que las lluvias permitan que las producciones se recuperen has</w:t>
      </w:r>
      <w:r w:rsidR="00C30D3E">
        <w:rPr>
          <w:rFonts w:ascii="Times New Roman" w:hAnsi="Times New Roman" w:cs="Times New Roman"/>
          <w:sz w:val="24"/>
          <w:szCs w:val="24"/>
        </w:rPr>
        <w:t>ta límites más o menos normales”</w:t>
      </w:r>
      <w:r w:rsidRPr="005F35C9">
        <w:rPr>
          <w:rFonts w:ascii="Times New Roman" w:hAnsi="Times New Roman" w:cs="Times New Roman"/>
          <w:sz w:val="24"/>
          <w:szCs w:val="24"/>
        </w:rPr>
        <w:t xml:space="preserve"> y de lo que ocurra tras el visto bueno que este lunes ha dado Bruselas, para que se puedan utilizar tierras en barbecho y superficies de interés ecológico para realizar cultivos adicionales. En est</w:t>
      </w:r>
      <w:r w:rsidR="00C30D3E">
        <w:rPr>
          <w:rFonts w:ascii="Times New Roman" w:hAnsi="Times New Roman" w:cs="Times New Roman"/>
          <w:sz w:val="24"/>
          <w:szCs w:val="24"/>
        </w:rPr>
        <w:t>e sentido, ha advertido de que “</w:t>
      </w:r>
      <w:r w:rsidRPr="005F35C9">
        <w:rPr>
          <w:rFonts w:ascii="Times New Roman" w:hAnsi="Times New Roman" w:cs="Times New Roman"/>
          <w:sz w:val="24"/>
          <w:szCs w:val="24"/>
        </w:rPr>
        <w:t xml:space="preserve">las semillas que se sembrarán esta campaña se produjeron en la anterior y con una previsión que ha quedado desbordada </w:t>
      </w:r>
      <w:r w:rsidR="00C30D3E">
        <w:rPr>
          <w:rFonts w:ascii="Times New Roman" w:hAnsi="Times New Roman" w:cs="Times New Roman"/>
          <w:sz w:val="24"/>
          <w:szCs w:val="24"/>
        </w:rPr>
        <w:t>por las circunstancias actuales”</w:t>
      </w:r>
      <w:r w:rsidRPr="005F35C9">
        <w:rPr>
          <w:rFonts w:ascii="Times New Roman" w:hAnsi="Times New Roman" w:cs="Times New Roman"/>
          <w:sz w:val="24"/>
          <w:szCs w:val="24"/>
        </w:rPr>
        <w:t>.</w:t>
      </w:r>
    </w:p>
    <w:p w:rsidR="008744F9" w:rsidRPr="005F35C9" w:rsidRDefault="00C30D3E"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Ahora -ha añadido- “</w:t>
      </w:r>
      <w:r w:rsidR="008744F9" w:rsidRPr="005F35C9">
        <w:rPr>
          <w:rFonts w:ascii="Times New Roman" w:hAnsi="Times New Roman" w:cs="Times New Roman"/>
          <w:sz w:val="24"/>
          <w:szCs w:val="24"/>
        </w:rPr>
        <w:t>las empresas de semillas, administraciones y agricultores tendrán que habilitar soluciones que permitan facilitar la puesta en mercado de los lotes disponibles, sin comprometer la producción de semilla para la campaña próxima”.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lastRenderedPageBreak/>
        <w:t xml:space="preserve">Mientras los burócratas de Bruselas se meten hasta con el barbecho, los ucranianos y rusos abastecen (o desabastecen) los mercados europeos con sus oleaginosas (o granos), que muchas veces cultivan a partir de las semillas que producen los europeos, pero que no pueden emplear en sus propias tierras.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La pregunta que habría que hacerle a los “grandes bonetes” de Bruselas es: ¿el daño ecológico es </w:t>
      </w:r>
      <w:r w:rsidR="00C30D3E">
        <w:rPr>
          <w:rFonts w:ascii="Times New Roman" w:hAnsi="Times New Roman" w:cs="Times New Roman"/>
          <w:sz w:val="24"/>
          <w:szCs w:val="24"/>
        </w:rPr>
        <w:t>menor si el girasol se planta en un lado o en</w:t>
      </w:r>
      <w:r w:rsidRPr="005F35C9">
        <w:rPr>
          <w:rFonts w:ascii="Times New Roman" w:hAnsi="Times New Roman" w:cs="Times New Roman"/>
          <w:sz w:val="24"/>
          <w:szCs w:val="24"/>
        </w:rPr>
        <w:t xml:space="preserve"> otro de Europa? ¿los agricultores ucranianos o rusos</w:t>
      </w:r>
      <w:r w:rsidR="00C30D3E">
        <w:rPr>
          <w:rFonts w:ascii="Times New Roman" w:hAnsi="Times New Roman" w:cs="Times New Roman"/>
          <w:sz w:val="24"/>
          <w:szCs w:val="24"/>
        </w:rPr>
        <w:t>,</w:t>
      </w:r>
      <w:r w:rsidRPr="005F35C9">
        <w:rPr>
          <w:rFonts w:ascii="Times New Roman" w:hAnsi="Times New Roman" w:cs="Times New Roman"/>
          <w:sz w:val="24"/>
          <w:szCs w:val="24"/>
        </w:rPr>
        <w:t xml:space="preserve"> son más respetuosos con el planeta?</w:t>
      </w:r>
      <w:r w:rsidR="00C30D3E">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IV:</w:t>
      </w:r>
      <w:r w:rsidRPr="005F35C9">
        <w:rPr>
          <w:rFonts w:ascii="Times New Roman" w:hAnsi="Times New Roman" w:cs="Times New Roman"/>
          <w:sz w:val="24"/>
          <w:szCs w:val="24"/>
        </w:rPr>
        <w:t xml:space="preserve">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u w:val="single"/>
        </w:rPr>
        <w:t>Los apicultores protestan contra las importaciones masivas de miel falsa</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Apicultores españoles, franceses y portugueses han protestado este martes de forma simultánea en Madrid, París y Lisboa, contra las importaciones masivas de miel falsa. La mayor parte de la miel que entra en España procede de China, Argentina o Ucrania y es baja calidad o está adulterada con siropes, según denuncian los apicultores. (Libertad Digital - 28/1/25)</w:t>
      </w:r>
    </w:p>
    <w:p w:rsidR="008744F9" w:rsidRPr="005F35C9" w:rsidRDefault="00C30D3E"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Bajo el lema “</w:t>
      </w:r>
      <w:r w:rsidR="008744F9" w:rsidRPr="005F35C9">
        <w:rPr>
          <w:rFonts w:ascii="Times New Roman" w:hAnsi="Times New Roman" w:cs="Times New Roman"/>
          <w:sz w:val="24"/>
          <w:szCs w:val="24"/>
        </w:rPr>
        <w:t>Apicultores europeos contra el fraude. Los</w:t>
      </w:r>
      <w:r>
        <w:rPr>
          <w:rFonts w:ascii="Times New Roman" w:hAnsi="Times New Roman" w:cs="Times New Roman"/>
          <w:sz w:val="24"/>
          <w:szCs w:val="24"/>
        </w:rPr>
        <w:t xml:space="preserve"> jarabes fabricados no son miel”</w:t>
      </w:r>
      <w:r w:rsidR="008744F9" w:rsidRPr="005F35C9">
        <w:rPr>
          <w:rFonts w:ascii="Times New Roman" w:hAnsi="Times New Roman" w:cs="Times New Roman"/>
          <w:sz w:val="24"/>
          <w:szCs w:val="24"/>
        </w:rPr>
        <w:t>, un centenar de representantes del sector apícola han reclamado tanto a la presidenta de la Comisión Europea, Ursula von der Leyen, como al ministro de Agricultura, Pesca y Alimentación, Luis Planas, mayores controles en frontera de miel adulterada.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Del mismo modo, las asociaciones agrícolas convocantes, también han mostrado su rechazo a los acuerdos de libre comercio como Mercosur y han reclamado la imposición de aranceles, algo que, como todas las medidas proteccionistas, acabaría repercutiendo en una subida del precio de la miel para los consumidores.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En este sentido, la UE está apostando por cambiar la legislación para mejorar la información del etiquetado de la miel. En mayo de 2024,</w:t>
      </w:r>
      <w:r w:rsidR="00C30D3E">
        <w:rPr>
          <w:rFonts w:ascii="Times New Roman" w:hAnsi="Times New Roman" w:cs="Times New Roman"/>
          <w:sz w:val="24"/>
          <w:szCs w:val="24"/>
        </w:rPr>
        <w:t xml:space="preserve"> el Consejo de la UE aprobó la “directiva del desayuno”</w:t>
      </w:r>
      <w:r w:rsidRPr="005F35C9">
        <w:rPr>
          <w:rFonts w:ascii="Times New Roman" w:hAnsi="Times New Roman" w:cs="Times New Roman"/>
          <w:sz w:val="24"/>
          <w:szCs w:val="24"/>
        </w:rPr>
        <w:t>, pero los países tienen dos años para implementar los cambios que obligan a indicar en la etiqueta todos los países de origen de las mieles mezcladas.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Además de la miel adulterada que entra de otros países, los apicultores españoles también se enfrentan a otro poderoso enemigo: la avispa asiática (Vespa velutina).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Este insecto invasor puede llegar a atacar a entre 25 y 50 abejas al día y bastan cinco avispas asiáticas para acabar con una colmena entera. Está presente en España desde hace años y se ha extendido por varias regiones, afectando gravemente a la apicultura.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En Galicia, una de las comunidades más afectadas, se estima que cada apicultor incurre en un coste anual promedio de 561 euros debido a la velutina, según datos de Ecocolmena. Además, se ha estimado que esta avispa es responsable de aproximadamente un tercio de las muertes de abejas en la región, según datos de La Voz de Galicia.</w:t>
      </w:r>
    </w:p>
    <w:p w:rsidR="008744F9" w:rsidRPr="005F35C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 verdad de la milanesa</w:t>
      </w:r>
    </w:p>
    <w:p w:rsidR="00AB4C96" w:rsidRDefault="00974EBE"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En el tema de la importación y mezcla de mieles (o seudomieles) de terceros países ajenos a la Unión Europea, confluyen tres aspectos simultáneos, deplorables, y funestos: la falta de control de las importaciones por parte de las autoridades (incompetencia</w:t>
      </w:r>
      <w:r w:rsidR="00AB4C96">
        <w:rPr>
          <w:rFonts w:ascii="Times New Roman" w:hAnsi="Times New Roman" w:cs="Times New Roman"/>
          <w:sz w:val="24"/>
          <w:szCs w:val="24"/>
        </w:rPr>
        <w:t>, connivencia</w:t>
      </w:r>
      <w:r>
        <w:rPr>
          <w:rFonts w:ascii="Times New Roman" w:hAnsi="Times New Roman" w:cs="Times New Roman"/>
          <w:sz w:val="24"/>
          <w:szCs w:val="24"/>
        </w:rPr>
        <w:t>)</w:t>
      </w:r>
      <w:r w:rsidR="00AB4C96">
        <w:rPr>
          <w:rFonts w:ascii="Times New Roman" w:hAnsi="Times New Roman" w:cs="Times New Roman"/>
          <w:sz w:val="24"/>
          <w:szCs w:val="24"/>
        </w:rPr>
        <w:t xml:space="preserve">, la presión de la grandes superficies por lograr productos más rentables (codicia, avaricia), y la </w:t>
      </w:r>
      <w:r w:rsidR="00AB4C96">
        <w:rPr>
          <w:rFonts w:ascii="Times New Roman" w:hAnsi="Times New Roman" w:cs="Times New Roman"/>
          <w:sz w:val="24"/>
          <w:szCs w:val="24"/>
        </w:rPr>
        <w:lastRenderedPageBreak/>
        <w:t xml:space="preserve">necesidad de los consumidores de adquirir productos a menor precio (ignorancia, indiferencia, miseria).  </w:t>
      </w:r>
    </w:p>
    <w:p w:rsidR="00524F04" w:rsidRDefault="00AB4C96" w:rsidP="00AB4C96">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 ¿</w:t>
      </w:r>
      <w:r>
        <w:rPr>
          <w:rFonts w:ascii="Times New Roman" w:hAnsi="Times New Roman" w:cs="Times New Roman"/>
          <w:sz w:val="24"/>
          <w:szCs w:val="24"/>
        </w:rPr>
        <w:t xml:space="preserve">hasta dónde puede llegar su </w:t>
      </w:r>
      <w:r w:rsidR="00524F04">
        <w:rPr>
          <w:rFonts w:ascii="Times New Roman" w:hAnsi="Times New Roman" w:cs="Times New Roman"/>
          <w:sz w:val="24"/>
          <w:szCs w:val="24"/>
        </w:rPr>
        <w:t>prevaricación, ceguera voluntaria, o vesania, para dejar que este tipo de falsificaciones arruine al sector de la apicultura europea? ¿para qué sirve la “directiva del desayuno” (sic) cuando se toleran semejantes falsificaciones?</w:t>
      </w:r>
    </w:p>
    <w:p w:rsidR="00524F04" w:rsidRDefault="00524F04" w:rsidP="00AB4C96">
      <w:pPr>
        <w:spacing w:line="240" w:lineRule="auto"/>
        <w:jc w:val="both"/>
        <w:rPr>
          <w:rFonts w:ascii="Times New Roman" w:hAnsi="Times New Roman" w:cs="Times New Roman"/>
          <w:sz w:val="24"/>
          <w:szCs w:val="24"/>
        </w:rPr>
      </w:pPr>
      <w:r>
        <w:rPr>
          <w:rFonts w:ascii="Times New Roman" w:hAnsi="Times New Roman" w:cs="Times New Roman"/>
          <w:sz w:val="24"/>
          <w:szCs w:val="24"/>
        </w:rPr>
        <w:t>Ya está claro quiénes son los incompetentes, tolerantes</w:t>
      </w:r>
      <w:r w:rsidR="003854FA">
        <w:rPr>
          <w:rFonts w:ascii="Times New Roman" w:hAnsi="Times New Roman" w:cs="Times New Roman"/>
          <w:sz w:val="24"/>
          <w:szCs w:val="24"/>
        </w:rPr>
        <w:t>, o conniventes, que permiten el delito: la burocra</w:t>
      </w:r>
      <w:r>
        <w:rPr>
          <w:rFonts w:ascii="Times New Roman" w:hAnsi="Times New Roman" w:cs="Times New Roman"/>
          <w:sz w:val="24"/>
          <w:szCs w:val="24"/>
        </w:rPr>
        <w:t>cia euro</w:t>
      </w:r>
      <w:r w:rsidR="003854FA">
        <w:rPr>
          <w:rFonts w:ascii="Times New Roman" w:hAnsi="Times New Roman" w:cs="Times New Roman"/>
          <w:sz w:val="24"/>
          <w:szCs w:val="24"/>
        </w:rPr>
        <w:t>pea, Ahora falta establecer ¿q</w:t>
      </w:r>
      <w:r w:rsidRPr="005F35C9">
        <w:rPr>
          <w:rFonts w:ascii="Times New Roman" w:hAnsi="Times New Roman" w:cs="Times New Roman"/>
          <w:sz w:val="24"/>
          <w:szCs w:val="24"/>
        </w:rPr>
        <w:t>uiénes son los “miserables”</w:t>
      </w:r>
      <w:r w:rsidR="003854FA">
        <w:rPr>
          <w:rFonts w:ascii="Times New Roman" w:hAnsi="Times New Roman" w:cs="Times New Roman"/>
          <w:sz w:val="24"/>
          <w:szCs w:val="24"/>
        </w:rPr>
        <w:t xml:space="preserve"> que hacen posible la estafa? L</w:t>
      </w:r>
      <w:r w:rsidRPr="005F35C9">
        <w:rPr>
          <w:rFonts w:ascii="Times New Roman" w:hAnsi="Times New Roman" w:cs="Times New Roman"/>
          <w:sz w:val="24"/>
          <w:szCs w:val="24"/>
        </w:rPr>
        <w:t>os grandes distribuidores</w:t>
      </w:r>
      <w:r w:rsidR="003854FA">
        <w:rPr>
          <w:rFonts w:ascii="Times New Roman" w:hAnsi="Times New Roman" w:cs="Times New Roman"/>
          <w:sz w:val="24"/>
          <w:szCs w:val="24"/>
        </w:rPr>
        <w:t xml:space="preserve"> codiciosos, las grandes superficies avariciosas, o</w:t>
      </w:r>
      <w:r w:rsidR="002A0F4B">
        <w:rPr>
          <w:rFonts w:ascii="Times New Roman" w:hAnsi="Times New Roman" w:cs="Times New Roman"/>
          <w:sz w:val="24"/>
          <w:szCs w:val="24"/>
        </w:rPr>
        <w:t xml:space="preserve"> </w:t>
      </w:r>
      <w:r w:rsidRPr="005F35C9">
        <w:rPr>
          <w:rFonts w:ascii="Times New Roman" w:hAnsi="Times New Roman" w:cs="Times New Roman"/>
          <w:sz w:val="24"/>
          <w:szCs w:val="24"/>
        </w:rPr>
        <w:t>los consumi</w:t>
      </w:r>
      <w:r w:rsidR="003854FA">
        <w:rPr>
          <w:rFonts w:ascii="Times New Roman" w:hAnsi="Times New Roman" w:cs="Times New Roman"/>
          <w:sz w:val="24"/>
          <w:szCs w:val="24"/>
        </w:rPr>
        <w:t>dores indigentes</w:t>
      </w:r>
      <w:r w:rsidR="002A0F4B">
        <w:rPr>
          <w:rFonts w:ascii="Times New Roman" w:hAnsi="Times New Roman" w:cs="Times New Roman"/>
          <w:sz w:val="24"/>
          <w:szCs w:val="24"/>
        </w:rPr>
        <w:t>. Repartiría</w:t>
      </w:r>
      <w:r w:rsidR="003854FA">
        <w:rPr>
          <w:rFonts w:ascii="Times New Roman" w:hAnsi="Times New Roman" w:cs="Times New Roman"/>
          <w:sz w:val="24"/>
          <w:szCs w:val="24"/>
        </w:rPr>
        <w:t xml:space="preserve"> las culpas por igual</w:t>
      </w:r>
      <w:r w:rsidR="002A0F4B">
        <w:rPr>
          <w:rFonts w:ascii="Times New Roman" w:hAnsi="Times New Roman" w:cs="Times New Roman"/>
          <w:sz w:val="24"/>
          <w:szCs w:val="24"/>
        </w:rPr>
        <w:t>: unos por exceso y otros por defecto.</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V:</w:t>
      </w:r>
      <w:r w:rsidRPr="005F35C9">
        <w:rPr>
          <w:rFonts w:ascii="Times New Roman" w:hAnsi="Times New Roman" w:cs="Times New Roman"/>
          <w:sz w:val="24"/>
          <w:szCs w:val="24"/>
        </w:rPr>
        <w:t xml:space="preserve">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u w:val="single"/>
        </w:rPr>
        <w:t>El campo denuncia que la UE recomienda cerrar el grifo a los regadíos</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Comisión Europea ha publicado un informe sobre el uso del agua y las conclusiones han hecho temblar</w:t>
      </w:r>
      <w:r w:rsidR="00524F04">
        <w:rPr>
          <w:rFonts w:ascii="Times New Roman" w:hAnsi="Times New Roman" w:cs="Times New Roman"/>
          <w:sz w:val="24"/>
          <w:szCs w:val="24"/>
        </w:rPr>
        <w:t xml:space="preserve"> nuevamente al sector agrario: “</w:t>
      </w:r>
      <w:r w:rsidRPr="005F35C9">
        <w:rPr>
          <w:rFonts w:ascii="Times New Roman" w:hAnsi="Times New Roman" w:cs="Times New Roman"/>
          <w:sz w:val="24"/>
          <w:szCs w:val="24"/>
        </w:rPr>
        <w:t>Estamos otra vez en las mismas… más restricciones, más condicionalidad, cargándolo todo a la misma PAC con menos presupuesto y pagando la sustainability fest (fiesta de la sostenibilida</w:t>
      </w:r>
      <w:r w:rsidR="00524F04">
        <w:rPr>
          <w:rFonts w:ascii="Times New Roman" w:hAnsi="Times New Roman" w:cs="Times New Roman"/>
          <w:sz w:val="24"/>
          <w:szCs w:val="24"/>
        </w:rPr>
        <w:t>d) los agricultores y ganaderos”</w:t>
      </w:r>
      <w:r w:rsidRPr="005F35C9">
        <w:rPr>
          <w:rFonts w:ascii="Times New Roman" w:hAnsi="Times New Roman" w:cs="Times New Roman"/>
          <w:sz w:val="24"/>
          <w:szCs w:val="24"/>
        </w:rPr>
        <w:t>, denuncia Unión de Uniones. (Libertad Digital - 7/2/25)</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asociación agraria ha revisado el informe publicado por Bruselas sobre la aplicación de la Directiva Marco del Agua (DMA) y la Directiva sobre Inundaciones</w:t>
      </w:r>
      <w:r w:rsidR="00524F04">
        <w:rPr>
          <w:rFonts w:ascii="Times New Roman" w:hAnsi="Times New Roman" w:cs="Times New Roman"/>
          <w:sz w:val="24"/>
          <w:szCs w:val="24"/>
        </w:rPr>
        <w:t xml:space="preserve"> (DI) en los Estados miembros: “</w:t>
      </w:r>
      <w:r w:rsidRPr="005F35C9">
        <w:rPr>
          <w:rFonts w:ascii="Times New Roman" w:hAnsi="Times New Roman" w:cs="Times New Roman"/>
          <w:sz w:val="24"/>
          <w:szCs w:val="24"/>
        </w:rPr>
        <w:t>El documento subraya la necesidad de mejorar la gestión del agua en la UE, pero las medidas propuestas pueden traducirse en un golpe para agricultores y ganaderos, con nuevas restricciones sobre el uso del agua, limitaciones en la aplicación de fertilizantes y una escalada de costes productivos que compromet</w:t>
      </w:r>
      <w:r w:rsidR="00524F04">
        <w:rPr>
          <w:rFonts w:ascii="Times New Roman" w:hAnsi="Times New Roman" w:cs="Times New Roman"/>
          <w:sz w:val="24"/>
          <w:szCs w:val="24"/>
        </w:rPr>
        <w:t>ería la rentabilidad del sector”</w:t>
      </w:r>
      <w:r w:rsidRPr="005F35C9">
        <w:rPr>
          <w:rFonts w:ascii="Times New Roman" w:hAnsi="Times New Roman" w:cs="Times New Roman"/>
          <w:sz w:val="24"/>
          <w:szCs w:val="24"/>
        </w:rPr>
        <w:t>, denuncian.</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La organización señala que uno de los puntos </w:t>
      </w:r>
      <w:r w:rsidR="00524F04">
        <w:rPr>
          <w:rFonts w:ascii="Times New Roman" w:hAnsi="Times New Roman" w:cs="Times New Roman"/>
          <w:sz w:val="24"/>
          <w:szCs w:val="24"/>
        </w:rPr>
        <w:t>más críticos del informe es la “</w:t>
      </w:r>
      <w:r w:rsidRPr="005F35C9">
        <w:rPr>
          <w:rFonts w:ascii="Times New Roman" w:hAnsi="Times New Roman" w:cs="Times New Roman"/>
          <w:sz w:val="24"/>
          <w:szCs w:val="24"/>
        </w:rPr>
        <w:t>regulación del</w:t>
      </w:r>
      <w:r w:rsidR="00524F04">
        <w:rPr>
          <w:rFonts w:ascii="Times New Roman" w:hAnsi="Times New Roman" w:cs="Times New Roman"/>
          <w:sz w:val="24"/>
          <w:szCs w:val="24"/>
        </w:rPr>
        <w:t xml:space="preserve"> uso del agua en la agricultura”</w:t>
      </w:r>
      <w:r w:rsidRPr="005F35C9">
        <w:rPr>
          <w:rFonts w:ascii="Times New Roman" w:hAnsi="Times New Roman" w:cs="Times New Roman"/>
          <w:sz w:val="24"/>
          <w:szCs w:val="24"/>
        </w:rPr>
        <w:t>, que la Comisión identifica como la principal fuente de presión sobre lo</w:t>
      </w:r>
      <w:r w:rsidR="00524F04">
        <w:rPr>
          <w:rFonts w:ascii="Times New Roman" w:hAnsi="Times New Roman" w:cs="Times New Roman"/>
          <w:sz w:val="24"/>
          <w:szCs w:val="24"/>
        </w:rPr>
        <w:t>s recursos hídricos en España. “</w:t>
      </w:r>
      <w:r w:rsidRPr="005F35C9">
        <w:rPr>
          <w:rFonts w:ascii="Times New Roman" w:hAnsi="Times New Roman" w:cs="Times New Roman"/>
          <w:sz w:val="24"/>
          <w:szCs w:val="24"/>
        </w:rPr>
        <w:t>El documento plantea revisar las concesiones de agua para riego, ajustar las extracciones a la disponibilidad real y aplicar tarifas más altas para el consumo de agua en la agricultur</w:t>
      </w:r>
      <w:r w:rsidR="00524F04">
        <w:rPr>
          <w:rFonts w:ascii="Times New Roman" w:hAnsi="Times New Roman" w:cs="Times New Roman"/>
          <w:sz w:val="24"/>
          <w:szCs w:val="24"/>
        </w:rPr>
        <w:t>a, penalizando su uso intensivo”</w:t>
      </w:r>
      <w:r w:rsidRPr="005F35C9">
        <w:rPr>
          <w:rFonts w:ascii="Times New Roman" w:hAnsi="Times New Roman" w:cs="Times New Roman"/>
          <w:sz w:val="24"/>
          <w:szCs w:val="24"/>
        </w:rPr>
        <w:t>, resume Unión de Uniones.</w:t>
      </w:r>
    </w:p>
    <w:p w:rsidR="008744F9" w:rsidRDefault="008744F9" w:rsidP="008744F9">
      <w:pPr>
        <w:spacing w:line="240" w:lineRule="auto"/>
        <w:jc w:val="both"/>
        <w:rPr>
          <w:rFonts w:ascii="Times New Roman" w:hAnsi="Times New Roman" w:cs="Times New Roman"/>
          <w:sz w:val="24"/>
          <w:szCs w:val="24"/>
          <w:u w:val="single"/>
        </w:rPr>
      </w:pPr>
      <w:r w:rsidRPr="005F35C9">
        <w:rPr>
          <w:rFonts w:ascii="Times New Roman" w:hAnsi="Times New Roman" w:cs="Times New Roman"/>
          <w:sz w:val="24"/>
          <w:szCs w:val="24"/>
          <w:u w:val="single"/>
        </w:rPr>
        <w:t>La verdad de la milanesa</w:t>
      </w:r>
    </w:p>
    <w:p w:rsidR="003854FA" w:rsidRDefault="003854FA"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¿Cómo se conjuga que se limite el agua de regadío para actividades agrícolas</w:t>
      </w:r>
      <w:r w:rsidR="002679E3">
        <w:rPr>
          <w:rFonts w:ascii="Times New Roman" w:hAnsi="Times New Roman" w:cs="Times New Roman"/>
          <w:sz w:val="24"/>
          <w:szCs w:val="24"/>
        </w:rPr>
        <w:t>,</w:t>
      </w:r>
      <w:r>
        <w:rPr>
          <w:rFonts w:ascii="Times New Roman" w:hAnsi="Times New Roman" w:cs="Times New Roman"/>
          <w:sz w:val="24"/>
          <w:szCs w:val="24"/>
        </w:rPr>
        <w:t xml:space="preserve"> y no se apliquen restricciones equivalentes al riego de campos de golf</w:t>
      </w:r>
      <w:r w:rsidR="002A0F4B">
        <w:rPr>
          <w:rFonts w:ascii="Times New Roman" w:hAnsi="Times New Roman" w:cs="Times New Roman"/>
          <w:sz w:val="24"/>
          <w:szCs w:val="24"/>
        </w:rPr>
        <w:t>, piscinas, urbanizaciones, o el</w:t>
      </w:r>
      <w:r>
        <w:rPr>
          <w:rFonts w:ascii="Times New Roman" w:hAnsi="Times New Roman" w:cs="Times New Roman"/>
          <w:sz w:val="24"/>
          <w:szCs w:val="24"/>
        </w:rPr>
        <w:t xml:space="preserve"> consumo de los turis</w:t>
      </w:r>
      <w:r w:rsidR="002A0F4B">
        <w:rPr>
          <w:rFonts w:ascii="Times New Roman" w:hAnsi="Times New Roman" w:cs="Times New Roman"/>
          <w:sz w:val="24"/>
          <w:szCs w:val="24"/>
        </w:rPr>
        <w:t>tas. (E</w:t>
      </w:r>
      <w:r w:rsidR="002A0F4B" w:rsidRPr="002A0F4B">
        <w:rPr>
          <w:rFonts w:ascii="Times New Roman" w:hAnsi="Times New Roman" w:cs="Times New Roman"/>
          <w:sz w:val="24"/>
          <w:szCs w:val="24"/>
        </w:rPr>
        <w:t>n promedio, un turista consume de tres a cuatro veces más agua que un residente local. Este alto consumo está vinculado no solo al uso personal sino también a las actividades recreativas y servicios turísticos que demand</w:t>
      </w:r>
      <w:r w:rsidR="002A0F4B">
        <w:rPr>
          <w:rFonts w:ascii="Times New Roman" w:hAnsi="Times New Roman" w:cs="Times New Roman"/>
          <w:sz w:val="24"/>
          <w:szCs w:val="24"/>
        </w:rPr>
        <w:t>an grandes cantidades de agua.​​)</w:t>
      </w:r>
    </w:p>
    <w:p w:rsidR="002A0F4B" w:rsidRDefault="002A0F4B" w:rsidP="002A0F4B">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w:t>
      </w:r>
      <w:r>
        <w:rPr>
          <w:rFonts w:ascii="Times New Roman" w:hAnsi="Times New Roman" w:cs="Times New Roman"/>
          <w:sz w:val="24"/>
          <w:szCs w:val="24"/>
        </w:rPr>
        <w:t xml:space="preserve"> ¿por qué solo se regula el uso del agua en el sector agrario?</w:t>
      </w:r>
      <w:r w:rsidR="002679E3">
        <w:rPr>
          <w:rFonts w:ascii="Times New Roman" w:hAnsi="Times New Roman" w:cs="Times New Roman"/>
          <w:sz w:val="24"/>
          <w:szCs w:val="24"/>
        </w:rPr>
        <w:t xml:space="preserve"> ¿tan apurados están en</w:t>
      </w:r>
      <w:r>
        <w:rPr>
          <w:rFonts w:ascii="Times New Roman" w:hAnsi="Times New Roman" w:cs="Times New Roman"/>
          <w:sz w:val="24"/>
          <w:szCs w:val="24"/>
        </w:rPr>
        <w:t xml:space="preserve"> transforma</w:t>
      </w:r>
      <w:r w:rsidR="002679E3">
        <w:rPr>
          <w:rFonts w:ascii="Times New Roman" w:hAnsi="Times New Roman" w:cs="Times New Roman"/>
          <w:sz w:val="24"/>
          <w:szCs w:val="24"/>
        </w:rPr>
        <w:t>r</w:t>
      </w:r>
      <w:r>
        <w:rPr>
          <w:rFonts w:ascii="Times New Roman" w:hAnsi="Times New Roman" w:cs="Times New Roman"/>
          <w:sz w:val="24"/>
          <w:szCs w:val="24"/>
        </w:rPr>
        <w:t xml:space="preserve"> a Euro</w:t>
      </w:r>
      <w:r w:rsidR="002679E3">
        <w:rPr>
          <w:rFonts w:ascii="Times New Roman" w:hAnsi="Times New Roman" w:cs="Times New Roman"/>
          <w:sz w:val="24"/>
          <w:szCs w:val="24"/>
        </w:rPr>
        <w:t>pa</w:t>
      </w:r>
      <w:r>
        <w:rPr>
          <w:rFonts w:ascii="Times New Roman" w:hAnsi="Times New Roman" w:cs="Times New Roman"/>
          <w:sz w:val="24"/>
          <w:szCs w:val="24"/>
        </w:rPr>
        <w:t xml:space="preserve"> en un parque temático?</w:t>
      </w:r>
      <w:r w:rsidR="002679E3">
        <w:rPr>
          <w:rFonts w:ascii="Times New Roman" w:hAnsi="Times New Roman" w:cs="Times New Roman"/>
          <w:sz w:val="24"/>
          <w:szCs w:val="24"/>
        </w:rPr>
        <w:t xml:space="preserve"> ¿por qué, entre tantos recursos de se gastan (o mal gastan) en la UE, no se destina alguna partida a realizar las obras hidráulicas para llevar agua de las regiones excedentes a las regiones deficitarias? ¿qué tal si se usa parte de los fondos Next Generation?</w:t>
      </w:r>
      <w:r w:rsidRPr="005F35C9">
        <w:rPr>
          <w:rFonts w:ascii="Times New Roman" w:hAnsi="Times New Roman" w:cs="Times New Roman"/>
          <w:sz w:val="24"/>
          <w:szCs w:val="24"/>
        </w:rPr>
        <w:t xml:space="preserve"> </w:t>
      </w:r>
    </w:p>
    <w:p w:rsidR="00064CA5" w:rsidRDefault="00064CA5" w:rsidP="002A0F4B">
      <w:pPr>
        <w:spacing w:line="240" w:lineRule="auto"/>
        <w:jc w:val="both"/>
        <w:rPr>
          <w:rFonts w:ascii="Times New Roman" w:hAnsi="Times New Roman" w:cs="Times New Roman"/>
          <w:sz w:val="24"/>
          <w:szCs w:val="24"/>
        </w:rPr>
      </w:pP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lastRenderedPageBreak/>
        <w:t>“Detritus” VI:</w:t>
      </w:r>
      <w:r w:rsidRPr="005F35C9">
        <w:rPr>
          <w:rFonts w:ascii="Times New Roman" w:hAnsi="Times New Roman" w:cs="Times New Roman"/>
          <w:sz w:val="24"/>
          <w:szCs w:val="24"/>
        </w:rPr>
        <w:t xml:space="preserve"> ¿las “clausulas espejo”, servirán para mirarse las vergüenzas?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u w:val="single"/>
        </w:rPr>
        <w:t>El campo exige una investigación a fondo de los pagos de Bruselas a ecologistas para fomentar el ataque a la agricultura</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La asociación agrícola Asaja quiere una investigación a fondo de lo que ha ocurrido en Bruselas durante el mandato del ya excomisario de la UE de Agricultura Frans Timmermans. La polémica no es nueva. (Libertad Digital - </w:t>
      </w:r>
      <w:r w:rsidRPr="005F35C9">
        <w:rPr>
          <w:rFonts w:ascii="Times New Roman" w:hAnsi="Times New Roman" w:cs="Times New Roman"/>
          <w:b/>
          <w:sz w:val="24"/>
          <w:szCs w:val="24"/>
        </w:rPr>
        <w:t>24/1/25</w:t>
      </w:r>
      <w:r w:rsidRPr="005F35C9">
        <w:rPr>
          <w:rFonts w:ascii="Times New Roman" w:hAnsi="Times New Roman" w:cs="Times New Roman"/>
          <w:sz w:val="24"/>
          <w:szCs w:val="24"/>
        </w:rPr>
        <w:t>)</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Timmermans, de hecho, aprobó toda la batería de ataques ecologistas al campo ignorando un informe oficial que revelaba la reducción de la producción de alimentos y la consiguiente subida de los precios por culpa de sus medidas. Pero ahora</w:t>
      </w:r>
      <w:r w:rsidR="002679E3">
        <w:rPr>
          <w:rFonts w:ascii="Times New Roman" w:hAnsi="Times New Roman" w:cs="Times New Roman"/>
          <w:sz w:val="24"/>
          <w:szCs w:val="24"/>
        </w:rPr>
        <w:t xml:space="preserve"> ha surgido un elemento nuevo: “</w:t>
      </w:r>
      <w:r w:rsidRPr="005F35C9">
        <w:rPr>
          <w:rFonts w:ascii="Times New Roman" w:hAnsi="Times New Roman" w:cs="Times New Roman"/>
          <w:sz w:val="24"/>
          <w:szCs w:val="24"/>
        </w:rPr>
        <w:t>La prensa holandesa ha desvelado que una oficina europea habría destinado fondos para apoyar las políticas ambientales y las pr</w:t>
      </w:r>
      <w:r w:rsidR="002679E3">
        <w:rPr>
          <w:rFonts w:ascii="Times New Roman" w:hAnsi="Times New Roman" w:cs="Times New Roman"/>
          <w:sz w:val="24"/>
          <w:szCs w:val="24"/>
        </w:rPr>
        <w:t>opuestas climáticas de Bruselas”</w:t>
      </w:r>
      <w:r w:rsidRPr="005F35C9">
        <w:rPr>
          <w:rFonts w:ascii="Times New Roman" w:hAnsi="Times New Roman" w:cs="Times New Roman"/>
          <w:sz w:val="24"/>
          <w:szCs w:val="24"/>
        </w:rPr>
        <w:t>, resume Asaja.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En concreto, se trata del periódico holandés De Telegraaf, que ha publicado una información en la que </w:t>
      </w:r>
      <w:r w:rsidR="002679E3">
        <w:rPr>
          <w:rFonts w:ascii="Times New Roman" w:hAnsi="Times New Roman" w:cs="Times New Roman"/>
          <w:sz w:val="24"/>
          <w:szCs w:val="24"/>
        </w:rPr>
        <w:t>revela que la Comisión Europea “</w:t>
      </w:r>
      <w:r w:rsidRPr="005F35C9">
        <w:rPr>
          <w:rFonts w:ascii="Times New Roman" w:hAnsi="Times New Roman" w:cs="Times New Roman"/>
          <w:sz w:val="24"/>
          <w:szCs w:val="24"/>
        </w:rPr>
        <w:t>ha estado otorgando subvenciones a diferentes grupos ecologistas con la condición de que hagan campaña a favor de los planes verdes de Bruselas y del ex comisario europeo Frans Timmermans, que fue vicepresidente primero de la Comisión Europea entre 2014 y 2023 y principal i</w:t>
      </w:r>
      <w:r w:rsidR="002679E3">
        <w:rPr>
          <w:rFonts w:ascii="Times New Roman" w:hAnsi="Times New Roman" w:cs="Times New Roman"/>
          <w:sz w:val="24"/>
          <w:szCs w:val="24"/>
        </w:rPr>
        <w:t>mpulsor del Pacto Verde europeo”</w:t>
      </w:r>
      <w:r w:rsidRPr="005F35C9">
        <w:rPr>
          <w:rFonts w:ascii="Times New Roman" w:hAnsi="Times New Roman" w:cs="Times New Roman"/>
          <w:sz w:val="24"/>
          <w:szCs w:val="24"/>
        </w:rPr>
        <w:t>, denuncian desde Asaja.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Según esta información, la Comisión Europea habría subvencionado durante años a grupos medioambientales con el objetivo de hacer lobby a favor de los planes verdes del excomisario europeo Frans Timmermans. A estas organizaciones incluso se les asignaron objetivos específicos para lograr resultados concretos en las actividades de lobby ante los eurodiputados y los estados miembros. Y todo ello se centró principalmente en impulsar una política europea verde aún más ambiciosa y, por supuesto, más dañina para la agricultura y la ganadería.</w:t>
      </w:r>
    </w:p>
    <w:p w:rsidR="008744F9" w:rsidRPr="005F35C9" w:rsidRDefault="002679E3"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744F9" w:rsidRPr="005F35C9">
        <w:rPr>
          <w:rFonts w:ascii="Times New Roman" w:hAnsi="Times New Roman" w:cs="Times New Roman"/>
          <w:sz w:val="24"/>
          <w:szCs w:val="24"/>
        </w:rPr>
        <w:t>Uno de los ejemplos mencionados por el citado diario es la Oficina Europea del Medio Ambiente (EEB), una organización que agrupa más de 185 entidades ambientalistas ciudadanas en Europa, incluidas Amigos de la Tierra Países Bajos (Milieudefensie) y la sociedad para la preservación de los monumentos de l</w:t>
      </w:r>
      <w:r>
        <w:rPr>
          <w:rFonts w:ascii="Times New Roman" w:hAnsi="Times New Roman" w:cs="Times New Roman"/>
          <w:sz w:val="24"/>
          <w:szCs w:val="24"/>
        </w:rPr>
        <w:t>a naturaleza (Natuurmonumenten)”</w:t>
      </w:r>
      <w:r w:rsidR="008744F9" w:rsidRPr="005F35C9">
        <w:rPr>
          <w:rFonts w:ascii="Times New Roman" w:hAnsi="Times New Roman" w:cs="Times New Roman"/>
          <w:sz w:val="24"/>
          <w:szCs w:val="24"/>
        </w:rPr>
        <w:t>, explica Asaja. Según el periódico holandés, el contrato con este grupo menciona instrucciones explícitas de proporcionar al menos dieciséis ejemplos de cómo, gracias a su labor, el Parlamento Europeo ha hecho que la legislación verde sea más ambiciosa.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Frans Timmermans fue vicepresidente primero de la Comisión Europea entre 2014 y 2023, estando en la Comisión Juncker y la Comisión Von der Leyen, y fue responsable del Pacto Verde Europeo, de la Estrategia de la granja a la mesa y Comisario de P</w:t>
      </w:r>
      <w:r w:rsidR="00AE65C2">
        <w:rPr>
          <w:rFonts w:ascii="Times New Roman" w:hAnsi="Times New Roman" w:cs="Times New Roman"/>
          <w:sz w:val="24"/>
          <w:szCs w:val="24"/>
        </w:rPr>
        <w:t xml:space="preserve">olítica de Acción por el Clima. </w:t>
      </w:r>
      <w:r w:rsidRPr="005F35C9">
        <w:rPr>
          <w:rFonts w:ascii="Times New Roman" w:hAnsi="Times New Roman" w:cs="Times New Roman"/>
          <w:sz w:val="24"/>
          <w:szCs w:val="24"/>
        </w:rPr>
        <w:t>Y hay que recordar otro de sus escándalos. El campo ha acusado a Bruselas de haber ocultado informes que demuestran el brutal daño a la producción de alimentos por su empeño en sacar adelante los postulados de la Agenda 2030. Asociaciones como ALIV han denunciado el caso que rodeó al estudio elaborado por el Centro Común de Investigación (JRC) de la UE. Y han señalado igualmente al exvicepresidente de la Comisión Europea, Frans Timmermans, como responsable del ocultamiento de ese estudio. El informe existe y, efectivamente, alerta de pérdidas de hasta un 17% en la producción de alimentos por el empeño en avanzar de forma acelerada y sin medidas paliativas para el campo en la Agenda 2030.</w:t>
      </w:r>
    </w:p>
    <w:p w:rsidR="008744F9" w:rsidRPr="005F35C9" w:rsidRDefault="002679E3"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JRC -</w:t>
      </w:r>
      <w:r w:rsidR="008744F9" w:rsidRPr="005F35C9">
        <w:rPr>
          <w:rFonts w:ascii="Times New Roman" w:hAnsi="Times New Roman" w:cs="Times New Roman"/>
          <w:sz w:val="24"/>
          <w:szCs w:val="24"/>
        </w:rPr>
        <w:t>autor del informe que alerta de un peligro en la pr</w:t>
      </w:r>
      <w:r>
        <w:rPr>
          <w:rFonts w:ascii="Times New Roman" w:hAnsi="Times New Roman" w:cs="Times New Roman"/>
          <w:sz w:val="24"/>
          <w:szCs w:val="24"/>
        </w:rPr>
        <w:t>oducción de alimentos en Europa-</w:t>
      </w:r>
      <w:r w:rsidR="008744F9" w:rsidRPr="005F35C9">
        <w:rPr>
          <w:rFonts w:ascii="Times New Roman" w:hAnsi="Times New Roman" w:cs="Times New Roman"/>
          <w:sz w:val="24"/>
          <w:szCs w:val="24"/>
        </w:rPr>
        <w:t xml:space="preserve"> está integrado en el esquema de trabajo de la p</w:t>
      </w:r>
      <w:r>
        <w:rPr>
          <w:rFonts w:ascii="Times New Roman" w:hAnsi="Times New Roman" w:cs="Times New Roman"/>
          <w:sz w:val="24"/>
          <w:szCs w:val="24"/>
        </w:rPr>
        <w:t>ropia UE y “</w:t>
      </w:r>
      <w:r w:rsidR="008744F9" w:rsidRPr="005F35C9">
        <w:rPr>
          <w:rFonts w:ascii="Times New Roman" w:hAnsi="Times New Roman" w:cs="Times New Roman"/>
          <w:sz w:val="24"/>
          <w:szCs w:val="24"/>
        </w:rPr>
        <w:t>desempeña un papel clave en varias fases del ciclo de actuación de la UE. Contribuye al objet</w:t>
      </w:r>
      <w:r>
        <w:rPr>
          <w:rFonts w:ascii="Times New Roman" w:hAnsi="Times New Roman" w:cs="Times New Roman"/>
          <w:sz w:val="24"/>
          <w:szCs w:val="24"/>
        </w:rPr>
        <w:t>ivo general de Horizonte Europa”</w:t>
      </w:r>
      <w:r w:rsidR="008744F9" w:rsidRPr="005F35C9">
        <w:rPr>
          <w:rFonts w:ascii="Times New Roman" w:hAnsi="Times New Roman" w:cs="Times New Roman"/>
          <w:sz w:val="24"/>
          <w:szCs w:val="24"/>
        </w:rPr>
        <w:t>, como señala su p</w:t>
      </w:r>
      <w:r>
        <w:rPr>
          <w:rFonts w:ascii="Times New Roman" w:hAnsi="Times New Roman" w:cs="Times New Roman"/>
          <w:sz w:val="24"/>
          <w:szCs w:val="24"/>
        </w:rPr>
        <w:t>ropia documentación, y trabaja “</w:t>
      </w:r>
      <w:r w:rsidR="008744F9" w:rsidRPr="005F35C9">
        <w:rPr>
          <w:rFonts w:ascii="Times New Roman" w:hAnsi="Times New Roman" w:cs="Times New Roman"/>
          <w:sz w:val="24"/>
          <w:szCs w:val="24"/>
        </w:rPr>
        <w:t>en estrecha colaboración con organizaciones de investigación y políticas de los Estados miembros, con las instituciones y agencias europeas y con socios científicos en Europa y a nivel internacional, también en el marco del</w:t>
      </w:r>
      <w:r>
        <w:rPr>
          <w:rFonts w:ascii="Times New Roman" w:hAnsi="Times New Roman" w:cs="Times New Roman"/>
          <w:sz w:val="24"/>
          <w:szCs w:val="24"/>
        </w:rPr>
        <w:t xml:space="preserve"> sistema de las Naciones Unidas”</w:t>
      </w:r>
      <w:r w:rsidR="008744F9" w:rsidRPr="005F35C9">
        <w:rPr>
          <w:rFonts w:ascii="Times New Roman" w:hAnsi="Times New Roman" w:cs="Times New Roman"/>
          <w:sz w:val="24"/>
          <w:szCs w:val="24"/>
        </w:rPr>
        <w:t>.</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Traducido: se ignoró un informe oficial de la UE con tal de sacar adelante las medidas 2030.</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Aseguran que este planteamiento supondría un golpe directo para las</w:t>
      </w:r>
      <w:r w:rsidR="002679E3">
        <w:rPr>
          <w:rFonts w:ascii="Times New Roman" w:hAnsi="Times New Roman" w:cs="Times New Roman"/>
          <w:sz w:val="24"/>
          <w:szCs w:val="24"/>
        </w:rPr>
        <w:t xml:space="preserve"> explotaciones de regadío que, “</w:t>
      </w:r>
      <w:r w:rsidRPr="005F35C9">
        <w:rPr>
          <w:rFonts w:ascii="Times New Roman" w:hAnsi="Times New Roman" w:cs="Times New Roman"/>
          <w:sz w:val="24"/>
          <w:szCs w:val="24"/>
        </w:rPr>
        <w:t>representando solo el 23% de la superficie cultivada, generan el 65% de la producción final agrícola y son clave en la producción de cultivos de alto valor añadido</w:t>
      </w:r>
      <w:r w:rsidR="002679E3">
        <w:rPr>
          <w:rFonts w:ascii="Times New Roman" w:hAnsi="Times New Roman" w:cs="Times New Roman"/>
          <w:sz w:val="24"/>
          <w:szCs w:val="24"/>
        </w:rPr>
        <w:t xml:space="preserve"> para el mercado de exportación”.</w:t>
      </w:r>
      <w:r w:rsidR="00AE65C2">
        <w:rPr>
          <w:rFonts w:ascii="Times New Roman" w:hAnsi="Times New Roman" w:cs="Times New Roman"/>
          <w:sz w:val="24"/>
          <w:szCs w:val="24"/>
        </w:rPr>
        <w:t xml:space="preserve"> </w:t>
      </w:r>
      <w:r w:rsidR="00312DF1">
        <w:rPr>
          <w:rFonts w:ascii="Times New Roman" w:hAnsi="Times New Roman" w:cs="Times New Roman"/>
          <w:sz w:val="24"/>
          <w:szCs w:val="24"/>
        </w:rPr>
        <w:t>También argumentan que “</w:t>
      </w:r>
      <w:r w:rsidRPr="005F35C9">
        <w:rPr>
          <w:rFonts w:ascii="Times New Roman" w:hAnsi="Times New Roman" w:cs="Times New Roman"/>
          <w:sz w:val="24"/>
          <w:szCs w:val="24"/>
        </w:rPr>
        <w:t>la modernización del regadío ha permitido mejorar la eficiencia en el uso del agua, pero las nuevas restricciones podrían asfixiar la producción y reducir la competitividad de los agricultores frente a las i</w:t>
      </w:r>
      <w:r w:rsidR="00312DF1">
        <w:rPr>
          <w:rFonts w:ascii="Times New Roman" w:hAnsi="Times New Roman" w:cs="Times New Roman"/>
          <w:sz w:val="24"/>
          <w:szCs w:val="24"/>
        </w:rPr>
        <w:t>mportaciones de terceros países”</w:t>
      </w:r>
      <w:r w:rsidRPr="005F35C9">
        <w:rPr>
          <w:rFonts w:ascii="Times New Roman" w:hAnsi="Times New Roman" w:cs="Times New Roman"/>
          <w:sz w:val="24"/>
          <w:szCs w:val="24"/>
        </w:rPr>
        <w:t>.</w:t>
      </w:r>
    </w:p>
    <w:p w:rsidR="008744F9" w:rsidRPr="005F35C9" w:rsidRDefault="00AE65C2"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Agricultores y ganaderos además</w:t>
      </w:r>
      <w:r w:rsidR="008744F9" w:rsidRPr="005F35C9">
        <w:rPr>
          <w:rFonts w:ascii="Times New Roman" w:hAnsi="Times New Roman" w:cs="Times New Roman"/>
          <w:sz w:val="24"/>
          <w:szCs w:val="24"/>
        </w:rPr>
        <w:t xml:space="preserve"> han expresado su preocupación por que el informe propone endurecer la normativa y aplicar nuevas restricciones al uso de fertilizantes y plaguicidas, lo que supondría un nuevo lastre para la productividad.</w:t>
      </w:r>
    </w:p>
    <w:p w:rsidR="008744F9" w:rsidRPr="005F35C9" w:rsidRDefault="00312DF1"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744F9" w:rsidRPr="005F35C9">
        <w:rPr>
          <w:rFonts w:ascii="Times New Roman" w:hAnsi="Times New Roman" w:cs="Times New Roman"/>
          <w:sz w:val="24"/>
          <w:szCs w:val="24"/>
        </w:rPr>
        <w:t>Las restricciones planteadas, intensificando los límites ya existentes en el uso de distintos fertilizantes y fitosanitarios, pueden afectar gravemente a la productividad de los cultivos. Sin alternativas viables, la reducción en la fertilización conllevará menores rendimientos, lo que, sumado a la subida de costes de insumos, pondrá en serios</w:t>
      </w:r>
      <w:r>
        <w:rPr>
          <w:rFonts w:ascii="Times New Roman" w:hAnsi="Times New Roman" w:cs="Times New Roman"/>
          <w:sz w:val="24"/>
          <w:szCs w:val="24"/>
        </w:rPr>
        <w:t xml:space="preserve"> aprietos a muchos agricultores”</w:t>
      </w:r>
      <w:r w:rsidR="008744F9" w:rsidRPr="005F35C9">
        <w:rPr>
          <w:rFonts w:ascii="Times New Roman" w:hAnsi="Times New Roman" w:cs="Times New Roman"/>
          <w:sz w:val="24"/>
          <w:szCs w:val="24"/>
        </w:rPr>
        <w:t>, señala la asociación.</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sector ganadero también se verá afectado por las medidas propuestas en el informe de la Comisión, que plantea limitaciones más severas en la gestión de purines y estiércoles, en su uso como fertilizante y un mayor control sobre la densidad ganadera en zonas vulnerables.</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Unión de Uniones lamenta que la Comisión esté planteando recomendaciones que asfixian la competitividad del sector agrario europeo mientras que por otra parte, aceptan productos importados de otros países a los que no se les exigen las m</w:t>
      </w:r>
      <w:r w:rsidR="00312DF1">
        <w:rPr>
          <w:rFonts w:ascii="Times New Roman" w:hAnsi="Times New Roman" w:cs="Times New Roman"/>
          <w:sz w:val="24"/>
          <w:szCs w:val="24"/>
        </w:rPr>
        <w:t>ismas condiciones ambientales: “</w:t>
      </w:r>
      <w:r w:rsidRPr="005F35C9">
        <w:rPr>
          <w:rFonts w:ascii="Times New Roman" w:hAnsi="Times New Roman" w:cs="Times New Roman"/>
          <w:sz w:val="24"/>
          <w:szCs w:val="24"/>
        </w:rPr>
        <w:t>Una vez que ya pasaron las elecciones, la Comisión vuelve a pisar el acelerador ambiental y sigue desoyendo el mensaje claro lanzado por el campo en las masivas</w:t>
      </w:r>
      <w:r w:rsidR="00312DF1">
        <w:rPr>
          <w:rFonts w:ascii="Times New Roman" w:hAnsi="Times New Roman" w:cs="Times New Roman"/>
          <w:sz w:val="24"/>
          <w:szCs w:val="24"/>
        </w:rPr>
        <w:t xml:space="preserve"> manifestaciones del pasado año”</w:t>
      </w:r>
      <w:r w:rsidRPr="005F35C9">
        <w:rPr>
          <w:rFonts w:ascii="Times New Roman" w:hAnsi="Times New Roman" w:cs="Times New Roman"/>
          <w:sz w:val="24"/>
          <w:szCs w:val="24"/>
        </w:rPr>
        <w:t xml:space="preserve"> critican desde la organización.</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También afirman que la Comisión Europea no plantea medidas de apoyo claras para afrontar los costes adicionales y las pérdidas de producción derivad</w:t>
      </w:r>
      <w:r w:rsidR="00312DF1">
        <w:rPr>
          <w:rFonts w:ascii="Times New Roman" w:hAnsi="Times New Roman" w:cs="Times New Roman"/>
          <w:sz w:val="24"/>
          <w:szCs w:val="24"/>
        </w:rPr>
        <w:t>as de las nuevas regulaciones: “</w:t>
      </w:r>
      <w:r w:rsidRPr="005F35C9">
        <w:rPr>
          <w:rFonts w:ascii="Times New Roman" w:hAnsi="Times New Roman" w:cs="Times New Roman"/>
          <w:sz w:val="24"/>
          <w:szCs w:val="24"/>
        </w:rPr>
        <w:t>Estamos otra vez en las mismas… más restricciones, más condicionalidad, cargándolo todo a la misma PAC con menos presupuesto y pagando la sustainability fe</w:t>
      </w:r>
      <w:r w:rsidR="00312DF1">
        <w:rPr>
          <w:rFonts w:ascii="Times New Roman" w:hAnsi="Times New Roman" w:cs="Times New Roman"/>
          <w:sz w:val="24"/>
          <w:szCs w:val="24"/>
        </w:rPr>
        <w:t>st los agricultores y ganaderos”.</w:t>
      </w:r>
    </w:p>
    <w:p w:rsidR="008744F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Unión de Uniones pide a las instituciones europeas que, antes de poner en marcha cualquier medida, se realice un análisis de impacto previo sobre el sector agrario. También pide igualdad para los productos importados y los europeos, así como compensaciones económicas para los productores por los perjuicios que generan las regulaciones ambientales.</w:t>
      </w:r>
    </w:p>
    <w:p w:rsidR="00064CA5" w:rsidRPr="005F35C9" w:rsidRDefault="00064CA5" w:rsidP="008744F9">
      <w:pPr>
        <w:spacing w:line="240" w:lineRule="auto"/>
        <w:jc w:val="both"/>
        <w:rPr>
          <w:rFonts w:ascii="Times New Roman" w:hAnsi="Times New Roman" w:cs="Times New Roman"/>
          <w:sz w:val="24"/>
          <w:szCs w:val="24"/>
        </w:rPr>
      </w:pP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u w:val="single"/>
        </w:rPr>
        <w:lastRenderedPageBreak/>
        <w:t xml:space="preserve">El </w:t>
      </w:r>
      <w:r w:rsidR="00312DF1">
        <w:rPr>
          <w:rFonts w:ascii="Times New Roman" w:hAnsi="Times New Roman" w:cs="Times New Roman"/>
          <w:sz w:val="24"/>
          <w:szCs w:val="24"/>
          <w:u w:val="single"/>
        </w:rPr>
        <w:t>campo exige explicaciones a la “mano negra”</w:t>
      </w:r>
      <w:r w:rsidRPr="005F35C9">
        <w:rPr>
          <w:rFonts w:ascii="Times New Roman" w:hAnsi="Times New Roman" w:cs="Times New Roman"/>
          <w:sz w:val="24"/>
          <w:szCs w:val="24"/>
          <w:u w:val="single"/>
        </w:rPr>
        <w:t xml:space="preserve"> de Bruselas por los pagos al ecologismo radical</w:t>
      </w:r>
      <w:r w:rsidRPr="005F35C9">
        <w:rPr>
          <w:rFonts w:ascii="Times New Roman" w:hAnsi="Times New Roman" w:cs="Times New Roman"/>
          <w:sz w:val="24"/>
          <w:szCs w:val="24"/>
        </w:rPr>
        <w:t xml:space="preserve"> </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 xml:space="preserve">El sector agrario está sumamente indignado tras conocer la investigación del periódico holandés De Telegraaf que revela que la Comisión Europea ha estado otorgando subvenciones a grupos ecologistas con la condición de que hagan campaña a favor de los planes verdes de Bruselas y del excomisario europeo Frans Timmermans, que fue vicepresidente primero de la Comisión Europea entre 2014 y 2023 y principal impulsor del Pacto Verde Europeo. (Libertad Digital - </w:t>
      </w:r>
      <w:r w:rsidRPr="005F35C9">
        <w:rPr>
          <w:rFonts w:ascii="Times New Roman" w:hAnsi="Times New Roman" w:cs="Times New Roman"/>
          <w:b/>
          <w:sz w:val="24"/>
          <w:szCs w:val="24"/>
        </w:rPr>
        <w:t>28/1/25</w:t>
      </w:r>
      <w:r w:rsidRPr="005F35C9">
        <w:rPr>
          <w:rFonts w:ascii="Times New Roman" w:hAnsi="Times New Roman" w:cs="Times New Roman"/>
          <w:sz w:val="24"/>
          <w:szCs w:val="24"/>
        </w:rPr>
        <w:t>)</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Pacto Verde es la estrategia de la Unión Europea para alcanzar la neutralidad climática en 2050. Esta hoja de ruta ha favorecido la aprobación de normativas como la Ley de Restauración de la Naturaleza, la estrategia de la Granja a la Mesa o los reglamentos sobre emisiones de carbono, o la limitación de fitosanitarios con graves consecuencias económicas para sectores como la industria o el campo.</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El presidente de la Asociación Valenciana de Agricultores (AVA-ASAJA), C</w:t>
      </w:r>
      <w:r w:rsidR="00312DF1">
        <w:rPr>
          <w:rFonts w:ascii="Times New Roman" w:hAnsi="Times New Roman" w:cs="Times New Roman"/>
          <w:sz w:val="24"/>
          <w:szCs w:val="24"/>
        </w:rPr>
        <w:t>ristóbal Aguado, ha denunciado “</w:t>
      </w:r>
      <w:r w:rsidRPr="005F35C9">
        <w:rPr>
          <w:rFonts w:ascii="Times New Roman" w:hAnsi="Times New Roman" w:cs="Times New Roman"/>
          <w:sz w:val="24"/>
          <w:szCs w:val="24"/>
        </w:rPr>
        <w:t>los entresijos de la mano negra de Bruselas, primando el ecologismo radical y asestando una auténtica puñalada a los ag</w:t>
      </w:r>
      <w:r w:rsidR="00312DF1">
        <w:rPr>
          <w:rFonts w:ascii="Times New Roman" w:hAnsi="Times New Roman" w:cs="Times New Roman"/>
          <w:sz w:val="24"/>
          <w:szCs w:val="24"/>
        </w:rPr>
        <w:t>ricultores y ganaderos europeos”</w:t>
      </w:r>
      <w:r w:rsidRPr="005F35C9">
        <w:rPr>
          <w:rFonts w:ascii="Times New Roman" w:hAnsi="Times New Roman" w:cs="Times New Roman"/>
          <w:sz w:val="24"/>
          <w:szCs w:val="24"/>
        </w:rPr>
        <w:t>.</w:t>
      </w:r>
    </w:p>
    <w:p w:rsidR="008744F9" w:rsidRPr="005F35C9" w:rsidRDefault="00312DF1"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744F9" w:rsidRPr="005F35C9">
        <w:rPr>
          <w:rFonts w:ascii="Times New Roman" w:hAnsi="Times New Roman" w:cs="Times New Roman"/>
          <w:sz w:val="24"/>
          <w:szCs w:val="24"/>
        </w:rPr>
        <w:t>Esta operación es un mal ejemplo de lo que debe ser una democracia y una manera de hacer política con transparencia y honestidad. Es una vergüenza que en la Unión Europea aún puedan ocurrir hechos como este que dividen, en lugar de unir, a una socie</w:t>
      </w:r>
      <w:r>
        <w:rPr>
          <w:rFonts w:ascii="Times New Roman" w:hAnsi="Times New Roman" w:cs="Times New Roman"/>
          <w:sz w:val="24"/>
          <w:szCs w:val="24"/>
        </w:rPr>
        <w:t>dad que se merece mayor respeto”</w:t>
      </w:r>
      <w:r w:rsidR="008744F9" w:rsidRPr="005F35C9">
        <w:rPr>
          <w:rFonts w:ascii="Times New Roman" w:hAnsi="Times New Roman" w:cs="Times New Roman"/>
          <w:sz w:val="24"/>
          <w:szCs w:val="24"/>
        </w:rPr>
        <w:t>, ha añadido.</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Según la investigación de De Telegraaf, la Comisión Europea habría subvencionado durante años a grupos medioambientales con el objetivo de hacer lobby, ante los eurodiputados y los Estados Miembros, a favor de planes verdes que añaden nuevas limitaciones a la agricultura europea y fomentan la competencia desleal de las importaciones de países terceros.</w:t>
      </w:r>
    </w:p>
    <w:p w:rsidR="008744F9" w:rsidRPr="005F35C9" w:rsidRDefault="004E7CE8" w:rsidP="008744F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Relacionado: </w:t>
      </w:r>
      <w:r w:rsidR="008744F9" w:rsidRPr="005F35C9">
        <w:rPr>
          <w:rFonts w:ascii="Times New Roman" w:hAnsi="Times New Roman" w:cs="Times New Roman"/>
          <w:sz w:val="24"/>
          <w:szCs w:val="24"/>
          <w:u w:val="single"/>
        </w:rPr>
        <w:t>Un tribunal ordena a Países Bajos reducir las emisiones de la ganadería bajo amenaza de multa</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Uno de los casos mencionados por el citado diario es la Oficina Europea del Medio Ambiente (EEB), una organización que agrupa más de 185 asociaciones ambientalistas, entre ellas 9 españolas. La EEB, que habría recibido 700.000 euros, promovió la Ley de la Restauración de la Naturaleza y tuvo que influir en el debate sobre la agricultura en una dirección más verde.</w:t>
      </w:r>
    </w:p>
    <w:p w:rsidR="008744F9" w:rsidRPr="005F35C9" w:rsidRDefault="008744F9"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Ante las informaciones desveladas, Asaja exige a Frans Timmermans y al actual equipo de la Comisión Europea -del que forma parte Teresa Ribera como vicepresidenta y comisaria de Transición Limpia, Justa y Competitiva- que aporten las deb</w:t>
      </w:r>
      <w:r w:rsidR="00312DF1">
        <w:rPr>
          <w:rFonts w:ascii="Times New Roman" w:hAnsi="Times New Roman" w:cs="Times New Roman"/>
          <w:sz w:val="24"/>
          <w:szCs w:val="24"/>
        </w:rPr>
        <w:t>idas explicaciones sobre estos “</w:t>
      </w:r>
      <w:r w:rsidRPr="005F35C9">
        <w:rPr>
          <w:rFonts w:ascii="Times New Roman" w:hAnsi="Times New Roman" w:cs="Times New Roman"/>
          <w:sz w:val="24"/>
          <w:szCs w:val="24"/>
        </w:rPr>
        <w:t>hechos extraños y tan dañinos para los agricultores europeos, pero también para los consumidores, la economía, la soberanía alimentaria y la lucha mun</w:t>
      </w:r>
      <w:r w:rsidR="00312DF1">
        <w:rPr>
          <w:rFonts w:ascii="Times New Roman" w:hAnsi="Times New Roman" w:cs="Times New Roman"/>
          <w:sz w:val="24"/>
          <w:szCs w:val="24"/>
        </w:rPr>
        <w:t>dial contra el cambio climático”</w:t>
      </w:r>
      <w:r w:rsidRPr="005F35C9">
        <w:rPr>
          <w:rFonts w:ascii="Times New Roman" w:hAnsi="Times New Roman" w:cs="Times New Roman"/>
          <w:sz w:val="24"/>
          <w:szCs w:val="24"/>
        </w:rPr>
        <w:t>.</w:t>
      </w:r>
    </w:p>
    <w:p w:rsidR="008744F9" w:rsidRPr="004E7CE8" w:rsidRDefault="008744F9" w:rsidP="008744F9">
      <w:pPr>
        <w:spacing w:line="240" w:lineRule="auto"/>
        <w:jc w:val="both"/>
        <w:rPr>
          <w:rFonts w:ascii="Times New Roman" w:hAnsi="Times New Roman" w:cs="Times New Roman"/>
          <w:sz w:val="24"/>
          <w:szCs w:val="24"/>
          <w:u w:val="single"/>
        </w:rPr>
      </w:pPr>
      <w:r w:rsidRPr="004E7CE8">
        <w:rPr>
          <w:rFonts w:ascii="Times New Roman" w:hAnsi="Times New Roman" w:cs="Times New Roman"/>
          <w:sz w:val="24"/>
          <w:szCs w:val="24"/>
          <w:u w:val="single"/>
        </w:rPr>
        <w:t>La verdad de la milanesa</w:t>
      </w:r>
    </w:p>
    <w:p w:rsidR="00474B80" w:rsidRDefault="008744F9" w:rsidP="005F0E33">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Resulta que “il papa nero” del ecologismo europeo, subvencionaba a grupos medioambientales, para que le “bailaran el ag</w:t>
      </w:r>
      <w:r w:rsidR="00312DF1">
        <w:rPr>
          <w:rFonts w:ascii="Times New Roman" w:hAnsi="Times New Roman" w:cs="Times New Roman"/>
          <w:sz w:val="24"/>
          <w:szCs w:val="24"/>
        </w:rPr>
        <w:t>ua”. El guardián de la naturaleza actuaba como un vulgar espí</w:t>
      </w:r>
      <w:r w:rsidR="005F0E33">
        <w:rPr>
          <w:rFonts w:ascii="Times New Roman" w:hAnsi="Times New Roman" w:cs="Times New Roman"/>
          <w:sz w:val="24"/>
          <w:szCs w:val="24"/>
        </w:rPr>
        <w:t>a doble:</w:t>
      </w:r>
      <w:r w:rsidR="00312DF1">
        <w:rPr>
          <w:rFonts w:ascii="Times New Roman" w:hAnsi="Times New Roman" w:cs="Times New Roman"/>
          <w:sz w:val="24"/>
          <w:szCs w:val="24"/>
        </w:rPr>
        <w:t xml:space="preserve"> evangelizaba en Bruselas, pero se robaba</w:t>
      </w:r>
      <w:r w:rsidR="00474B80">
        <w:rPr>
          <w:rFonts w:ascii="Times New Roman" w:hAnsi="Times New Roman" w:cs="Times New Roman"/>
          <w:sz w:val="24"/>
          <w:szCs w:val="24"/>
        </w:rPr>
        <w:t xml:space="preserve"> la limosna. El gran impulsor del Pacto Verde ha </w:t>
      </w:r>
      <w:r w:rsidR="005F0E33" w:rsidRPr="005F0E33">
        <w:rPr>
          <w:rFonts w:ascii="Times New Roman" w:hAnsi="Times New Roman" w:cs="Times New Roman"/>
          <w:sz w:val="24"/>
          <w:szCs w:val="24"/>
        </w:rPr>
        <w:t>ocultado informes que demuestran el brutal daño al campo y a la producción de alimentos por su empeño en sacar adelante los postulados de la Agenda 2030.</w:t>
      </w:r>
      <w:r w:rsidR="00474B80">
        <w:rPr>
          <w:rFonts w:ascii="Times New Roman" w:hAnsi="Times New Roman" w:cs="Times New Roman"/>
          <w:sz w:val="24"/>
          <w:szCs w:val="24"/>
        </w:rPr>
        <w:t xml:space="preserve"> </w:t>
      </w:r>
      <w:r w:rsidR="00474B80">
        <w:rPr>
          <w:rFonts w:ascii="Times New Roman" w:hAnsi="Times New Roman" w:cs="Times New Roman"/>
          <w:sz w:val="24"/>
          <w:szCs w:val="24"/>
        </w:rPr>
        <w:lastRenderedPageBreak/>
        <w:t xml:space="preserve">El mayor responsable de las </w:t>
      </w:r>
      <w:r w:rsidR="005F0E33" w:rsidRPr="005F0E33">
        <w:rPr>
          <w:rFonts w:ascii="Times New Roman" w:hAnsi="Times New Roman" w:cs="Times New Roman"/>
          <w:sz w:val="24"/>
          <w:szCs w:val="24"/>
        </w:rPr>
        <w:t>nefastas co</w:t>
      </w:r>
      <w:r w:rsidR="00474B80">
        <w:rPr>
          <w:rFonts w:ascii="Times New Roman" w:hAnsi="Times New Roman" w:cs="Times New Roman"/>
          <w:sz w:val="24"/>
          <w:szCs w:val="24"/>
        </w:rPr>
        <w:t>nsecuencias para la agricultura fruto de la aplicación radical de la A</w:t>
      </w:r>
      <w:r w:rsidR="005F0E33" w:rsidRPr="005F0E33">
        <w:rPr>
          <w:rFonts w:ascii="Times New Roman" w:hAnsi="Times New Roman" w:cs="Times New Roman"/>
          <w:sz w:val="24"/>
          <w:szCs w:val="24"/>
        </w:rPr>
        <w:t xml:space="preserve">genda 2030 </w:t>
      </w:r>
      <w:r w:rsidR="00474B80">
        <w:rPr>
          <w:rFonts w:ascii="Times New Roman" w:hAnsi="Times New Roman" w:cs="Times New Roman"/>
          <w:sz w:val="24"/>
          <w:szCs w:val="24"/>
        </w:rPr>
        <w:t xml:space="preserve">(a través de </w:t>
      </w:r>
      <w:r w:rsidR="005F0E33" w:rsidRPr="005F0E33">
        <w:rPr>
          <w:rFonts w:ascii="Times New Roman" w:hAnsi="Times New Roman" w:cs="Times New Roman"/>
          <w:sz w:val="24"/>
          <w:szCs w:val="24"/>
        </w:rPr>
        <w:t>estrategias, directivas, leyes y reglamentos que emanan de</w:t>
      </w:r>
      <w:r w:rsidR="00474B80">
        <w:rPr>
          <w:rFonts w:ascii="Times New Roman" w:hAnsi="Times New Roman" w:cs="Times New Roman"/>
          <w:sz w:val="24"/>
          <w:szCs w:val="24"/>
        </w:rPr>
        <w:t xml:space="preserve"> la UE) ha resultado ser un tramposo, un fullero, un falsificador, un farsante</w:t>
      </w:r>
      <w:r w:rsidR="005F0E33" w:rsidRPr="005F0E33">
        <w:rPr>
          <w:rFonts w:ascii="Times New Roman" w:hAnsi="Times New Roman" w:cs="Times New Roman"/>
          <w:sz w:val="24"/>
          <w:szCs w:val="24"/>
        </w:rPr>
        <w:t xml:space="preserve">. </w:t>
      </w:r>
    </w:p>
    <w:p w:rsidR="005F0E33" w:rsidRDefault="00474B80" w:rsidP="005F0E33">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5F0E33" w:rsidRPr="005F0E33">
        <w:rPr>
          <w:rFonts w:ascii="Times New Roman" w:hAnsi="Times New Roman" w:cs="Times New Roman"/>
          <w:sz w:val="24"/>
          <w:szCs w:val="24"/>
        </w:rPr>
        <w:t>a aplicación radical por parte de la Comisión Europea de varios de los objetivos de desarrollo soste</w:t>
      </w:r>
      <w:r>
        <w:rPr>
          <w:rFonts w:ascii="Times New Roman" w:hAnsi="Times New Roman" w:cs="Times New Roman"/>
          <w:sz w:val="24"/>
          <w:szCs w:val="24"/>
        </w:rPr>
        <w:t xml:space="preserve">nible (ODS) de la Agenda 2030: </w:t>
      </w:r>
      <w:r w:rsidR="005F0E33" w:rsidRPr="005F0E33">
        <w:rPr>
          <w:rFonts w:ascii="Times New Roman" w:hAnsi="Times New Roman" w:cs="Times New Roman"/>
          <w:sz w:val="24"/>
          <w:szCs w:val="24"/>
        </w:rPr>
        <w:t>El número 6 sobre agua limpia, el 13 en materia de acción por el clima, o el 15 sobre la vida de ecosistemas terrestres materializados e</w:t>
      </w:r>
      <w:r>
        <w:rPr>
          <w:rFonts w:ascii="Times New Roman" w:hAnsi="Times New Roman" w:cs="Times New Roman"/>
          <w:sz w:val="24"/>
          <w:szCs w:val="24"/>
        </w:rPr>
        <w:t>n la UE. T</w:t>
      </w:r>
      <w:r w:rsidR="005F0E33" w:rsidRPr="005F0E33">
        <w:rPr>
          <w:rFonts w:ascii="Times New Roman" w:hAnsi="Times New Roman" w:cs="Times New Roman"/>
          <w:sz w:val="24"/>
          <w:szCs w:val="24"/>
        </w:rPr>
        <w:t>odo ello se ha plasmado en la conocida como Estrategia de la Granja a la Mesa de la UE y Estrategia por la Biodiversidad 2030.</w:t>
      </w:r>
      <w:r>
        <w:rPr>
          <w:rFonts w:ascii="Times New Roman" w:hAnsi="Times New Roman" w:cs="Times New Roman"/>
          <w:sz w:val="24"/>
          <w:szCs w:val="24"/>
        </w:rPr>
        <w:t xml:space="preserve"> </w:t>
      </w:r>
    </w:p>
    <w:p w:rsidR="004E7CE8" w:rsidRDefault="00474B80" w:rsidP="008744F9">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w:t>
      </w:r>
      <w:r>
        <w:rPr>
          <w:rFonts w:ascii="Times New Roman" w:hAnsi="Times New Roman" w:cs="Times New Roman"/>
          <w:sz w:val="24"/>
          <w:szCs w:val="24"/>
        </w:rPr>
        <w:t xml:space="preserve"> ¿</w:t>
      </w:r>
      <w:r w:rsidR="004E7CE8">
        <w:rPr>
          <w:rFonts w:ascii="Times New Roman" w:hAnsi="Times New Roman" w:cs="Times New Roman"/>
          <w:sz w:val="24"/>
          <w:szCs w:val="24"/>
        </w:rPr>
        <w:t xml:space="preserve">nadie sabía que Frans </w:t>
      </w:r>
      <w:r w:rsidR="004E7CE8" w:rsidRPr="005F35C9">
        <w:rPr>
          <w:rFonts w:ascii="Times New Roman" w:hAnsi="Times New Roman" w:cs="Times New Roman"/>
          <w:sz w:val="24"/>
          <w:szCs w:val="24"/>
        </w:rPr>
        <w:t>Timmermans</w:t>
      </w:r>
      <w:r w:rsidR="004E7CE8">
        <w:rPr>
          <w:rFonts w:ascii="Times New Roman" w:hAnsi="Times New Roman" w:cs="Times New Roman"/>
          <w:sz w:val="24"/>
          <w:szCs w:val="24"/>
        </w:rPr>
        <w:t xml:space="preserve"> hacía trampas con los datos, encuestas de opinión, e informes ambientales? ¿o lo sabían y callaron? ¿o son cómplices de tan burdas maniobras? </w:t>
      </w:r>
    </w:p>
    <w:p w:rsidR="004E7CE8" w:rsidRPr="005F35C9" w:rsidRDefault="004E7CE8" w:rsidP="004E7CE8">
      <w:pPr>
        <w:spacing w:line="240" w:lineRule="auto"/>
        <w:jc w:val="both"/>
        <w:rPr>
          <w:rFonts w:ascii="Times New Roman" w:hAnsi="Times New Roman" w:cs="Times New Roman"/>
          <w:sz w:val="24"/>
          <w:szCs w:val="24"/>
        </w:rPr>
      </w:pPr>
      <w:r w:rsidRPr="005F35C9">
        <w:rPr>
          <w:rFonts w:ascii="Times New Roman" w:hAnsi="Times New Roman" w:cs="Times New Roman"/>
          <w:b/>
          <w:sz w:val="24"/>
          <w:szCs w:val="24"/>
        </w:rPr>
        <w:t>“Detritus” VI:</w:t>
      </w:r>
      <w:r w:rsidRPr="005F35C9">
        <w:rPr>
          <w:rFonts w:ascii="Times New Roman" w:hAnsi="Times New Roman" w:cs="Times New Roman"/>
          <w:sz w:val="24"/>
          <w:szCs w:val="24"/>
        </w:rPr>
        <w:t xml:space="preserve"> ¿las “clausulas espejo”, servirán para mirarse las vergüenzas?</w:t>
      </w:r>
    </w:p>
    <w:p w:rsidR="00042A57" w:rsidRPr="00064CA5" w:rsidRDefault="00583E5E" w:rsidP="008744F9">
      <w:pPr>
        <w:spacing w:line="240" w:lineRule="auto"/>
        <w:jc w:val="both"/>
        <w:rPr>
          <w:rFonts w:ascii="Times New Roman" w:hAnsi="Times New Roman" w:cs="Times New Roman"/>
          <w:sz w:val="24"/>
          <w:szCs w:val="24"/>
        </w:rPr>
      </w:pPr>
      <w:r w:rsidRPr="00064CA5">
        <w:rPr>
          <w:rFonts w:ascii="Times New Roman" w:hAnsi="Times New Roman" w:cs="Times New Roman"/>
          <w:sz w:val="24"/>
          <w:szCs w:val="24"/>
          <w:u w:val="single"/>
        </w:rPr>
        <w:t>El sector avícola (otro de los afectados por la alquimia acuerdista de Bruselas)</w:t>
      </w:r>
    </w:p>
    <w:p w:rsidR="008744F9"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Las importaciones y el alto precio de los suministros ensombrecen el negocio avícola</w:t>
      </w:r>
      <w:r w:rsidR="004E7CE8">
        <w:rPr>
          <w:rFonts w:ascii="Times New Roman" w:hAnsi="Times New Roman" w:cs="Times New Roman"/>
          <w:sz w:val="24"/>
          <w:szCs w:val="24"/>
        </w:rPr>
        <w:t xml:space="preserve">. </w:t>
      </w:r>
      <w:r w:rsidRPr="002F6EBE">
        <w:rPr>
          <w:rFonts w:ascii="Times New Roman" w:hAnsi="Times New Roman" w:cs="Times New Roman"/>
          <w:sz w:val="24"/>
          <w:szCs w:val="24"/>
        </w:rPr>
        <w:t>Las granjas operan con márgenes cada vez más ajustados. La crisis de costes y las nuevas reglas del comercio global ponen en jaque su viabilidad</w:t>
      </w:r>
      <w:r w:rsidR="00636150">
        <w:rPr>
          <w:rFonts w:ascii="Times New Roman" w:hAnsi="Times New Roman" w:cs="Times New Roman"/>
          <w:sz w:val="24"/>
          <w:szCs w:val="24"/>
        </w:rPr>
        <w:t>.</w:t>
      </w:r>
    </w:p>
    <w:p w:rsidR="004E7CE8" w:rsidRDefault="008744F9" w:rsidP="004E7CE8">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El sector avícola español encara 2025 con un escenario complicado. “Muchos de nosotros estamos en una situación muy difícil, rezando para que no se rompa algo en la granja, porque no llegamos a fin de mes para pagarlo”, cuenta Eloy Ureña, responsable del sector avícola de COAG (organización de agricultores y ganaderos) y dueño de una</w:t>
      </w:r>
      <w:r>
        <w:rPr>
          <w:rFonts w:ascii="Times New Roman" w:hAnsi="Times New Roman" w:cs="Times New Roman"/>
          <w:sz w:val="24"/>
          <w:szCs w:val="24"/>
        </w:rPr>
        <w:t xml:space="preserve"> pequeña explotación de pollos.</w:t>
      </w:r>
      <w:r w:rsidR="004E7CE8">
        <w:rPr>
          <w:rFonts w:ascii="Times New Roman" w:hAnsi="Times New Roman" w:cs="Times New Roman"/>
          <w:sz w:val="24"/>
          <w:szCs w:val="24"/>
        </w:rPr>
        <w:t xml:space="preserve"> </w:t>
      </w:r>
      <w:r w:rsidR="004E7CE8" w:rsidRPr="008744F9">
        <w:rPr>
          <w:rFonts w:ascii="Times New Roman" w:hAnsi="Times New Roman" w:cs="Times New Roman"/>
          <w:sz w:val="24"/>
          <w:szCs w:val="24"/>
          <w:u w:val="single"/>
        </w:rPr>
        <w:t>El impacto de Mercosur</w:t>
      </w:r>
      <w:r w:rsidR="004E7CE8">
        <w:rPr>
          <w:rFonts w:ascii="Times New Roman" w:hAnsi="Times New Roman" w:cs="Times New Roman"/>
          <w:sz w:val="24"/>
          <w:szCs w:val="24"/>
        </w:rPr>
        <w:t xml:space="preserve"> (Fuente: Cinco Días - 14/2/25)</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El aumento de la electricidad, la calefacción o el gasoil han disparado los costes de producción, y los precios en el súper no se adaptan a esa subida. La importación de 180.000 toneladas adicionales de carne de pollo de Brasil tras el acuerdo entre la Unión Europea y Mercosur tampoco simplifica las cosas.</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“Las granjas están automatizadas, así que dependemos de los precios de la electricidad, calefacción, gasoil y alimento para los pollos. Todo ha subido en los últimos meses”, relata Ureña por teléfono desde Zaragoza, donde tiene la granja. Los pequeños ganaderos no tienen poder suficiente para subir el precio, que lleva un año estancado por la presión del producto que llega del exterior. “Como hay un desfase de precios, eso nos impacta y no podemos</w:t>
      </w:r>
      <w:r w:rsidR="00AE65C2">
        <w:rPr>
          <w:rFonts w:ascii="Times New Roman" w:hAnsi="Times New Roman" w:cs="Times New Roman"/>
          <w:sz w:val="24"/>
          <w:szCs w:val="24"/>
        </w:rPr>
        <w:t xml:space="preserve"> sobrevivir”, sentencia Ureña. </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España es el segundo productor europeo de carne de pollo, con 1,7 millones de toneladas anuales, solo por detrás de Polonia, según datos oficiales. La producción se concentra en Cataluña, Valencia, Andalucía y Galicia, con una estructura sectorial en la que predominan las pymes de una o dos naves con espacio para 35.000 pollos (o 70.000 si son dos). En enero de 2023 las explotaciones registradas en el Ministerio de Agricultura habían subido un 2,7%, hasta las 23.230</w:t>
      </w:r>
      <w:r>
        <w:rPr>
          <w:rFonts w:ascii="Times New Roman" w:hAnsi="Times New Roman" w:cs="Times New Roman"/>
          <w:sz w:val="24"/>
          <w:szCs w:val="24"/>
        </w:rPr>
        <w:t>…</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 xml:space="preserve">A finales de 2024, la Unión Europea firmó un acuerdo con Mercosur para aumentar la importación de carne de pollo en 180.000 toneladas, que se suman a las 300.000 toneladas ya autorizadas. Eso equivale a la producción combinada de Finlandia, Suecia y Dinamarca, critican desde Asaja, asociación nacional agraria que defiende a agricultores y ganaderos. Ahora mismo, el 25% de la carne de pechuga de pollo que se consume en la UE proviene de países como Brasil, Tailandia y Ucrania, con el impacto que eso tiene en los productores </w:t>
      </w:r>
      <w:r w:rsidRPr="002F6EBE">
        <w:rPr>
          <w:rFonts w:ascii="Times New Roman" w:hAnsi="Times New Roman" w:cs="Times New Roman"/>
          <w:sz w:val="24"/>
          <w:szCs w:val="24"/>
        </w:rPr>
        <w:lastRenderedPageBreak/>
        <w:t xml:space="preserve">locales, que se ven obligados a operar a precios más ajustados en un entorno </w:t>
      </w:r>
      <w:r>
        <w:rPr>
          <w:rFonts w:ascii="Times New Roman" w:hAnsi="Times New Roman" w:cs="Times New Roman"/>
          <w:sz w:val="24"/>
          <w:szCs w:val="24"/>
        </w:rPr>
        <w:t>regulatorio mucho más estricto.</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 xml:space="preserve">“El tema de Mercosur nos preocupa”, reconoce Jordi Monfort, secretario general de Avianza, la asociación española de carne avíco­la. “Y a eso hay que sumar el acuerdo de libre comercio que la UE ha firmado con México”, agrega durante el foro Sostenibilidad y tendencias de consumidores: el sector de la carne avícola europeo frente a los retos de 2025. Todavía no se conocen las cifras exactas de importación de pollo, pero el acuerdo firmado a finales de 2024 defiende la eliminación de aranceles en agroalimentario, servicios y el </w:t>
      </w:r>
      <w:r>
        <w:rPr>
          <w:rFonts w:ascii="Times New Roman" w:hAnsi="Times New Roman" w:cs="Times New Roman"/>
          <w:sz w:val="24"/>
          <w:szCs w:val="24"/>
        </w:rPr>
        <w:t>acceso a licitaciones públicas.</w:t>
      </w:r>
    </w:p>
    <w:p w:rsidR="008744F9" w:rsidRPr="002F6EBE"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“Esto va a ser un asunto muy problemático para el sector. Van a entrar a España muchísimas toneladas de pollo de México, importada desde Brasil y Estados Unidos. México va a importar, reprocesar, congelar e introducir en España carne de pollo a precios muy competitivos”, se queja Monfort. “Ya no son solo las 180.000, sino que estamos abriendo una puerta sin control y eso nos va a restar c</w:t>
      </w:r>
      <w:r>
        <w:rPr>
          <w:rFonts w:ascii="Times New Roman" w:hAnsi="Times New Roman" w:cs="Times New Roman"/>
          <w:sz w:val="24"/>
          <w:szCs w:val="24"/>
        </w:rPr>
        <w:t>apacidad de competir”, subraya.</w:t>
      </w:r>
    </w:p>
    <w:p w:rsidR="008744F9" w:rsidRPr="002F6EBE" w:rsidRDefault="00636150"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fantasma de la gripe aviar. </w:t>
      </w:r>
      <w:r w:rsidR="008744F9" w:rsidRPr="002F6EBE">
        <w:rPr>
          <w:rFonts w:ascii="Times New Roman" w:hAnsi="Times New Roman" w:cs="Times New Roman"/>
          <w:sz w:val="24"/>
          <w:szCs w:val="24"/>
        </w:rPr>
        <w:t>La gripe aviar es una de las mayores amenazas. Aunque España ha registrado menos brotes que otros países europeos, la enfermedad sigue presente en aves silvestres y su detección en explotaciones comerciales tiene consecuencias graves. “Nos preocupa porque un brote en una granja concreta en España nos cierra mercados enteros”, advierte Monfort. “Si en una granja se detecta un caso, China, Sudáfrica y otros países dejan de importar automáticamente”, explica. Eso genera una sobreoferta en el mercado nacional q</w:t>
      </w:r>
      <w:r w:rsidR="008744F9">
        <w:rPr>
          <w:rFonts w:ascii="Times New Roman" w:hAnsi="Times New Roman" w:cs="Times New Roman"/>
          <w:sz w:val="24"/>
          <w:szCs w:val="24"/>
        </w:rPr>
        <w:t>ue impacta en el precio.</w:t>
      </w:r>
    </w:p>
    <w:p w:rsidR="008744F9" w:rsidRDefault="004E7CE8" w:rsidP="008744F9">
      <w:pPr>
        <w:spacing w:line="240" w:lineRule="auto"/>
        <w:jc w:val="both"/>
        <w:rPr>
          <w:rFonts w:ascii="Times New Roman" w:hAnsi="Times New Roman" w:cs="Times New Roman"/>
          <w:sz w:val="24"/>
          <w:szCs w:val="24"/>
        </w:rPr>
      </w:pPr>
      <w:r>
        <w:rPr>
          <w:rFonts w:ascii="Times New Roman" w:hAnsi="Times New Roman" w:cs="Times New Roman"/>
          <w:sz w:val="24"/>
          <w:szCs w:val="24"/>
        </w:rPr>
        <w:t>En EE</w:t>
      </w:r>
      <w:r w:rsidR="008744F9" w:rsidRPr="002F6EBE">
        <w:rPr>
          <w:rFonts w:ascii="Times New Roman" w:hAnsi="Times New Roman" w:cs="Times New Roman"/>
          <w:sz w:val="24"/>
          <w:szCs w:val="24"/>
        </w:rPr>
        <w:t>UU, un brote de gripe aviar ha dejado sin huevos a muchos mercados (y los que tienen están a precios altísimos). Aquí, el Ministerio de Agricultura ha reforzado las medidas de bioseguridad para contener la enfermedad. Eloy Ureña, responsable avícola de COAG, destaca el trabajo del ministerio: “Se ha hecho una buena labor. Han puesto en cuarentena a las aves en exterior y han ordenado que se mantengan en corrales para evitar el contacto con animales silvestres. Pero eso es de mom</w:t>
      </w:r>
      <w:r w:rsidR="008744F9">
        <w:rPr>
          <w:rFonts w:ascii="Times New Roman" w:hAnsi="Times New Roman" w:cs="Times New Roman"/>
          <w:sz w:val="24"/>
          <w:szCs w:val="24"/>
        </w:rPr>
        <w:t>ento, así que toquemos madera”.</w:t>
      </w:r>
    </w:p>
    <w:p w:rsidR="00636150" w:rsidRPr="004E7CE8" w:rsidRDefault="00636150" w:rsidP="00636150">
      <w:pPr>
        <w:spacing w:line="240" w:lineRule="auto"/>
        <w:jc w:val="both"/>
        <w:rPr>
          <w:rFonts w:ascii="Times New Roman" w:hAnsi="Times New Roman" w:cs="Times New Roman"/>
          <w:sz w:val="24"/>
          <w:szCs w:val="24"/>
          <w:u w:val="single"/>
        </w:rPr>
      </w:pPr>
      <w:r w:rsidRPr="004E7CE8">
        <w:rPr>
          <w:rFonts w:ascii="Times New Roman" w:hAnsi="Times New Roman" w:cs="Times New Roman"/>
          <w:sz w:val="24"/>
          <w:szCs w:val="24"/>
          <w:u w:val="single"/>
        </w:rPr>
        <w:t>La verdad de la milanesa</w:t>
      </w:r>
    </w:p>
    <w:p w:rsidR="008744F9" w:rsidRDefault="008744F9" w:rsidP="008744F9">
      <w:pPr>
        <w:spacing w:line="240" w:lineRule="auto"/>
        <w:jc w:val="both"/>
        <w:rPr>
          <w:rFonts w:ascii="Times New Roman" w:hAnsi="Times New Roman" w:cs="Times New Roman"/>
          <w:sz w:val="24"/>
          <w:szCs w:val="24"/>
        </w:rPr>
      </w:pPr>
      <w:r w:rsidRPr="002F6EBE">
        <w:rPr>
          <w:rFonts w:ascii="Times New Roman" w:hAnsi="Times New Roman" w:cs="Times New Roman"/>
          <w:sz w:val="24"/>
          <w:szCs w:val="24"/>
        </w:rPr>
        <w:t>El sector avícola europeo se encuentra en una fase de transformación hacia un modelo más sostenible, en línea con los objetivos de la Estrategia de la Granja a la Mesa, que busca reducir el impacto de la producción avícola en el medio ambiente. La producción de carne de ave en la UE se caracteriza por su alta eficiencia en el uso de recursos y el cumplimiento de estrictas normativas de bi</w:t>
      </w:r>
      <w:r w:rsidR="00636150">
        <w:rPr>
          <w:rFonts w:ascii="Times New Roman" w:hAnsi="Times New Roman" w:cs="Times New Roman"/>
          <w:sz w:val="24"/>
          <w:szCs w:val="24"/>
        </w:rPr>
        <w:t xml:space="preserve">enestar animal y trazabilidad. </w:t>
      </w:r>
      <w:r w:rsidRPr="002F6EBE">
        <w:rPr>
          <w:rFonts w:ascii="Times New Roman" w:hAnsi="Times New Roman" w:cs="Times New Roman"/>
          <w:sz w:val="24"/>
          <w:szCs w:val="24"/>
        </w:rPr>
        <w:t>Desde Avianza insisten en la necesidad de establecer cláusulas espejo en los acuerdos comerciales para garantizar que las importaciones cumplan con los mismos estándares que los productores europeos. “Si no, acabaremos todos comprando el producto de fuera”, sentencia Monfort.</w:t>
      </w:r>
    </w:p>
    <w:p w:rsidR="00636150" w:rsidRDefault="00636150" w:rsidP="00636150">
      <w:pPr>
        <w:spacing w:line="240" w:lineRule="auto"/>
        <w:jc w:val="both"/>
        <w:rPr>
          <w:rFonts w:ascii="Times New Roman" w:hAnsi="Times New Roman" w:cs="Times New Roman"/>
          <w:sz w:val="24"/>
          <w:szCs w:val="24"/>
        </w:rPr>
      </w:pPr>
      <w:r w:rsidRPr="005F35C9">
        <w:rPr>
          <w:rFonts w:ascii="Times New Roman" w:hAnsi="Times New Roman" w:cs="Times New Roman"/>
          <w:sz w:val="24"/>
          <w:szCs w:val="24"/>
        </w:rPr>
        <w:t>La pregunta que habría que hacerle a los “grandes bonetes” de Bruselas es:</w:t>
      </w:r>
      <w:r>
        <w:rPr>
          <w:rFonts w:ascii="Times New Roman" w:hAnsi="Times New Roman" w:cs="Times New Roman"/>
          <w:sz w:val="24"/>
          <w:szCs w:val="24"/>
        </w:rPr>
        <w:t xml:space="preserve"> ¿cómo se pueden conjugar estas realidades (y necesidades) del sector, con la competencia de los países Mercosur? ¿Los gallos del Mercosur no violan a las gallinas? ¿Las gallinas del Mercosur no sufren cuando las sacan los huevos del nido?</w:t>
      </w:r>
    </w:p>
    <w:p w:rsidR="00636150" w:rsidRDefault="00636150" w:rsidP="00636150">
      <w:pPr>
        <w:spacing w:line="240" w:lineRule="auto"/>
        <w:jc w:val="both"/>
        <w:rPr>
          <w:rFonts w:ascii="Times New Roman" w:hAnsi="Times New Roman" w:cs="Times New Roman"/>
          <w:sz w:val="24"/>
          <w:szCs w:val="24"/>
        </w:rPr>
      </w:pPr>
      <w:r>
        <w:rPr>
          <w:rFonts w:ascii="Times New Roman" w:hAnsi="Times New Roman" w:cs="Times New Roman"/>
          <w:sz w:val="24"/>
          <w:szCs w:val="24"/>
        </w:rPr>
        <w:t>Ahora pasemo</w:t>
      </w:r>
      <w:r w:rsidR="00064CA5">
        <w:rPr>
          <w:rFonts w:ascii="Times New Roman" w:hAnsi="Times New Roman" w:cs="Times New Roman"/>
          <w:sz w:val="24"/>
          <w:szCs w:val="24"/>
        </w:rPr>
        <w:t>s al Eurobarómetro, para saber qué</w:t>
      </w:r>
      <w:r>
        <w:rPr>
          <w:rFonts w:ascii="Times New Roman" w:hAnsi="Times New Roman" w:cs="Times New Roman"/>
          <w:sz w:val="24"/>
          <w:szCs w:val="24"/>
        </w:rPr>
        <w:t xml:space="preserve"> opinan los</w:t>
      </w:r>
      <w:r w:rsidR="00DE3CE2">
        <w:rPr>
          <w:rFonts w:ascii="Times New Roman" w:hAnsi="Times New Roman" w:cs="Times New Roman"/>
          <w:sz w:val="24"/>
          <w:szCs w:val="24"/>
        </w:rPr>
        <w:t xml:space="preserve"> (ciudadanos)</w:t>
      </w:r>
      <w:r>
        <w:rPr>
          <w:rFonts w:ascii="Times New Roman" w:hAnsi="Times New Roman" w:cs="Times New Roman"/>
          <w:sz w:val="24"/>
          <w:szCs w:val="24"/>
        </w:rPr>
        <w:t xml:space="preserve"> europeos sobre su sector agrícola: </w:t>
      </w:r>
    </w:p>
    <w:p w:rsidR="00064CA5" w:rsidRDefault="00064CA5" w:rsidP="00636150">
      <w:pPr>
        <w:spacing w:line="240" w:lineRule="auto"/>
        <w:jc w:val="both"/>
        <w:rPr>
          <w:rFonts w:ascii="Times New Roman" w:eastAsia="Times New Roman" w:hAnsi="Times New Roman" w:cs="Times New Roman"/>
          <w:b/>
          <w:color w:val="1E1E1F"/>
          <w:sz w:val="24"/>
          <w:szCs w:val="24"/>
          <w:lang w:eastAsia="es-ES"/>
        </w:rPr>
      </w:pPr>
    </w:p>
    <w:p w:rsidR="007D7802" w:rsidRPr="00636150" w:rsidRDefault="007D7802" w:rsidP="00636150">
      <w:pPr>
        <w:spacing w:line="240" w:lineRule="auto"/>
        <w:jc w:val="both"/>
        <w:rPr>
          <w:rFonts w:ascii="Times New Roman" w:hAnsi="Times New Roman" w:cs="Times New Roman"/>
          <w:sz w:val="24"/>
          <w:szCs w:val="24"/>
        </w:rPr>
      </w:pPr>
      <w:r w:rsidRPr="005E444E">
        <w:rPr>
          <w:rFonts w:ascii="Times New Roman" w:eastAsia="Times New Roman" w:hAnsi="Times New Roman" w:cs="Times New Roman"/>
          <w:b/>
          <w:color w:val="1E1E1F"/>
          <w:sz w:val="24"/>
          <w:szCs w:val="24"/>
          <w:lang w:eastAsia="es-ES"/>
        </w:rPr>
        <w:lastRenderedPageBreak/>
        <w:t xml:space="preserve">- </w:t>
      </w:r>
      <w:r w:rsidR="00D859B4">
        <w:rPr>
          <w:rFonts w:ascii="Times New Roman" w:eastAsia="Times New Roman" w:hAnsi="Times New Roman" w:cs="Times New Roman"/>
          <w:b/>
          <w:color w:val="1E1E1F"/>
          <w:sz w:val="24"/>
          <w:szCs w:val="24"/>
          <w:lang w:eastAsia="es-ES"/>
        </w:rPr>
        <w:t>Euro</w:t>
      </w:r>
      <w:r w:rsidR="00D859B4" w:rsidRPr="005E444E">
        <w:rPr>
          <w:rFonts w:ascii="Times New Roman" w:eastAsia="Times New Roman" w:hAnsi="Times New Roman" w:cs="Times New Roman"/>
          <w:b/>
          <w:color w:val="1E1E1F"/>
          <w:sz w:val="24"/>
          <w:szCs w:val="24"/>
          <w:lang w:eastAsia="es-ES"/>
        </w:rPr>
        <w:t>barómetro</w:t>
      </w:r>
      <w:r w:rsidRPr="005E444E">
        <w:rPr>
          <w:rFonts w:ascii="Times New Roman" w:eastAsia="Times New Roman" w:hAnsi="Times New Roman" w:cs="Times New Roman"/>
          <w:b/>
          <w:color w:val="1E1E1F"/>
          <w:sz w:val="24"/>
          <w:szCs w:val="24"/>
          <w:lang w:eastAsia="es-ES"/>
        </w:rPr>
        <w:t xml:space="preserve">: </w:t>
      </w:r>
      <w:r>
        <w:rPr>
          <w:rFonts w:ascii="Times New Roman" w:eastAsia="Times New Roman" w:hAnsi="Times New Roman" w:cs="Times New Roman"/>
          <w:b/>
          <w:color w:val="1E1E1F"/>
          <w:sz w:val="24"/>
          <w:szCs w:val="24"/>
          <w:lang w:eastAsia="es-ES"/>
        </w:rPr>
        <w:t>Lo que hay que saber (“</w:t>
      </w:r>
      <w:r w:rsidRPr="005E444E">
        <w:rPr>
          <w:rFonts w:ascii="Times New Roman" w:eastAsia="Times New Roman" w:hAnsi="Times New Roman" w:cs="Times New Roman"/>
          <w:b/>
          <w:color w:val="1E1E1F"/>
          <w:sz w:val="24"/>
          <w:szCs w:val="24"/>
          <w:lang w:eastAsia="es-ES"/>
        </w:rPr>
        <w:t>El que quiera entender que entienda</w:t>
      </w:r>
      <w:r>
        <w:rPr>
          <w:rFonts w:ascii="Times New Roman" w:eastAsia="Times New Roman" w:hAnsi="Times New Roman" w:cs="Times New Roman"/>
          <w:b/>
          <w:color w:val="1E1E1F"/>
          <w:sz w:val="24"/>
          <w:szCs w:val="24"/>
          <w:lang w:eastAsia="es-ES"/>
        </w:rPr>
        <w:t>”)</w:t>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410BF0">
        <w:rPr>
          <w:rFonts w:ascii="Times New Roman" w:eastAsia="Times New Roman" w:hAnsi="Times New Roman" w:cs="Times New Roman"/>
          <w:noProof/>
          <w:color w:val="1E1E1F"/>
          <w:sz w:val="24"/>
          <w:szCs w:val="24"/>
          <w:lang w:eastAsia="es-ES"/>
        </w:rPr>
        <w:drawing>
          <wp:inline distT="0" distB="0" distL="0" distR="0" wp14:anchorId="23C1FE8D" wp14:editId="644F337F">
            <wp:extent cx="5727700" cy="431800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320872"/>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Pr>
          <w:rFonts w:ascii="Times New Roman" w:eastAsia="Times New Roman" w:hAnsi="Times New Roman" w:cs="Times New Roman"/>
          <w:color w:val="1E1E1F"/>
          <w:sz w:val="24"/>
          <w:szCs w:val="24"/>
          <w:lang w:eastAsia="es-ES"/>
        </w:rPr>
        <w:t>(Fuente: European Commission - July 2024)</w:t>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drawing>
          <wp:inline distT="0" distB="0" distL="0" distR="0" wp14:anchorId="4D778BE4" wp14:editId="7E3E9439">
            <wp:extent cx="5733198" cy="3543300"/>
            <wp:effectExtent l="0" t="0" r="127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3198" cy="3543300"/>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lastRenderedPageBreak/>
        <w:drawing>
          <wp:inline distT="0" distB="0" distL="0" distR="0" wp14:anchorId="41C94C36" wp14:editId="627D970C">
            <wp:extent cx="5727700" cy="361950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621908"/>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drawing>
          <wp:inline distT="0" distB="0" distL="0" distR="0" wp14:anchorId="071882A0" wp14:editId="5257F0BE">
            <wp:extent cx="5732145" cy="3867150"/>
            <wp:effectExtent l="0" t="0" r="190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866721"/>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lastRenderedPageBreak/>
        <w:drawing>
          <wp:inline distT="0" distB="0" distL="0" distR="0" wp14:anchorId="12BB80D8" wp14:editId="3E4A8D73">
            <wp:extent cx="5732195" cy="2978150"/>
            <wp:effectExtent l="0" t="0" r="190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2977794"/>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drawing>
          <wp:inline distT="0" distB="0" distL="0" distR="0" wp14:anchorId="4D214A58" wp14:editId="112DFC72">
            <wp:extent cx="5726299" cy="4152900"/>
            <wp:effectExtent l="0" t="0" r="825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4156679"/>
                    </a:xfrm>
                    <a:prstGeom prst="rect">
                      <a:avLst/>
                    </a:prstGeom>
                  </pic:spPr>
                </pic:pic>
              </a:graphicData>
            </a:graphic>
          </wp:inline>
        </w:drawing>
      </w:r>
      <w:r>
        <w:rPr>
          <w:rFonts w:ascii="Times New Roman" w:eastAsia="Times New Roman" w:hAnsi="Times New Roman" w:cs="Times New Roman"/>
          <w:color w:val="1E1E1F"/>
          <w:sz w:val="24"/>
          <w:szCs w:val="24"/>
          <w:lang w:eastAsia="es-ES"/>
        </w:rPr>
        <w:t xml:space="preserve"> </w:t>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lastRenderedPageBreak/>
        <w:drawing>
          <wp:inline distT="0" distB="0" distL="0" distR="0" wp14:anchorId="2C3A592A" wp14:editId="557B5921">
            <wp:extent cx="5729548" cy="3581400"/>
            <wp:effectExtent l="0" t="0" r="508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3582626"/>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drawing>
          <wp:inline distT="0" distB="0" distL="0" distR="0" wp14:anchorId="78171BA7" wp14:editId="298CDF9D">
            <wp:extent cx="5537200" cy="4972050"/>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534798" cy="4969893"/>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lastRenderedPageBreak/>
        <w:drawing>
          <wp:inline distT="0" distB="0" distL="0" distR="0" wp14:anchorId="1C6B4CF3" wp14:editId="5B73C19F">
            <wp:extent cx="5206999" cy="48577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210903" cy="4861392"/>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02D7C536" wp14:editId="2AB550EE">
            <wp:extent cx="5732017" cy="3200400"/>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3200117"/>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6E4A8F">
        <w:rPr>
          <w:rFonts w:ascii="Times New Roman" w:eastAsia="Times New Roman" w:hAnsi="Times New Roman" w:cs="Times New Roman"/>
          <w:noProof/>
          <w:color w:val="1E1E1F"/>
          <w:sz w:val="24"/>
          <w:szCs w:val="24"/>
          <w:lang w:eastAsia="es-ES"/>
        </w:rPr>
        <w:lastRenderedPageBreak/>
        <w:drawing>
          <wp:inline distT="0" distB="0" distL="0" distR="0" wp14:anchorId="08EE89AB" wp14:editId="42240903">
            <wp:extent cx="4927112" cy="4965700"/>
            <wp:effectExtent l="0" t="0" r="6985"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4925113" cy="4963686"/>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7B7A9226" wp14:editId="2845C8BF">
            <wp:extent cx="5708650" cy="369570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15798" cy="3700328"/>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lastRenderedPageBreak/>
        <w:drawing>
          <wp:inline distT="0" distB="0" distL="0" distR="0" wp14:anchorId="1833147E" wp14:editId="7AA5D5B9">
            <wp:extent cx="5652626" cy="2914650"/>
            <wp:effectExtent l="0" t="0" r="571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658640" cy="2917751"/>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47052400" wp14:editId="2B42EF57">
            <wp:extent cx="5731510" cy="4694205"/>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694205"/>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lastRenderedPageBreak/>
        <w:drawing>
          <wp:inline distT="0" distB="0" distL="0" distR="0" wp14:anchorId="41E4A031" wp14:editId="7AE24B7E">
            <wp:extent cx="5731510" cy="3844276"/>
            <wp:effectExtent l="0" t="0" r="2540" b="444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844276"/>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56771CDB" wp14:editId="329ACF9B">
            <wp:extent cx="5731510" cy="4574798"/>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4574798"/>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lastRenderedPageBreak/>
        <w:drawing>
          <wp:inline distT="0" distB="0" distL="0" distR="0" wp14:anchorId="781B432C" wp14:editId="48ECF555">
            <wp:extent cx="5731510" cy="3753037"/>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3753037"/>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458C8B94" wp14:editId="3BD39478">
            <wp:extent cx="5731510" cy="4329250"/>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4329250"/>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lastRenderedPageBreak/>
        <w:drawing>
          <wp:inline distT="0" distB="0" distL="0" distR="0" wp14:anchorId="3EF3820E" wp14:editId="1ED13159">
            <wp:extent cx="5734050" cy="4013200"/>
            <wp:effectExtent l="0" t="0" r="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4011422"/>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drawing>
          <wp:inline distT="0" distB="0" distL="0" distR="0" wp14:anchorId="5A5EEA23" wp14:editId="06493382">
            <wp:extent cx="5727700" cy="4432300"/>
            <wp:effectExtent l="0" t="0" r="635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4435248"/>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B6136">
        <w:rPr>
          <w:rFonts w:ascii="Times New Roman" w:eastAsia="Times New Roman" w:hAnsi="Times New Roman" w:cs="Times New Roman"/>
          <w:noProof/>
          <w:color w:val="1E1E1F"/>
          <w:sz w:val="24"/>
          <w:szCs w:val="24"/>
          <w:lang w:eastAsia="es-ES"/>
        </w:rPr>
        <w:lastRenderedPageBreak/>
        <w:drawing>
          <wp:inline distT="0" distB="0" distL="0" distR="0" wp14:anchorId="4149C031" wp14:editId="455EF9F5">
            <wp:extent cx="5731510" cy="4301082"/>
            <wp:effectExtent l="0" t="0" r="2540" b="444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4301082"/>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drawing>
          <wp:inline distT="0" distB="0" distL="0" distR="0" wp14:anchorId="67A803E5" wp14:editId="33AA4481">
            <wp:extent cx="5731510" cy="4276588"/>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4276588"/>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lastRenderedPageBreak/>
        <w:drawing>
          <wp:inline distT="0" distB="0" distL="0" distR="0" wp14:anchorId="2612DA50" wp14:editId="3C4DF38C">
            <wp:extent cx="5638799" cy="5060950"/>
            <wp:effectExtent l="0" t="0" r="635"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639587" cy="5061657"/>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drawing>
          <wp:inline distT="0" distB="0" distL="0" distR="0" wp14:anchorId="15851C73" wp14:editId="2EA13268">
            <wp:extent cx="5731984" cy="3587750"/>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587453"/>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lastRenderedPageBreak/>
        <w:drawing>
          <wp:inline distT="0" distB="0" distL="0" distR="0" wp14:anchorId="79179652" wp14:editId="18EEC020">
            <wp:extent cx="5727657" cy="2698750"/>
            <wp:effectExtent l="0" t="0" r="6985"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2700565"/>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drawing>
          <wp:inline distT="0" distB="0" distL="0" distR="0" wp14:anchorId="1A4D5AAD" wp14:editId="249C6A87">
            <wp:extent cx="5731701" cy="2400300"/>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2400220"/>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C716C">
        <w:rPr>
          <w:rFonts w:ascii="Times New Roman" w:eastAsia="Times New Roman" w:hAnsi="Times New Roman" w:cs="Times New Roman"/>
          <w:noProof/>
          <w:color w:val="1E1E1F"/>
          <w:sz w:val="24"/>
          <w:szCs w:val="24"/>
          <w:lang w:eastAsia="es-ES"/>
        </w:rPr>
        <w:drawing>
          <wp:inline distT="0" distB="0" distL="0" distR="0" wp14:anchorId="1FAF820E" wp14:editId="2B1D11BA">
            <wp:extent cx="5727700" cy="3282950"/>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27700" cy="3282950"/>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F145D">
        <w:rPr>
          <w:rFonts w:ascii="Times New Roman" w:eastAsia="Times New Roman" w:hAnsi="Times New Roman" w:cs="Times New Roman"/>
          <w:noProof/>
          <w:color w:val="1E1E1F"/>
          <w:sz w:val="24"/>
          <w:szCs w:val="24"/>
          <w:lang w:eastAsia="es-ES"/>
        </w:rPr>
        <w:lastRenderedPageBreak/>
        <w:drawing>
          <wp:inline distT="0" distB="0" distL="0" distR="0" wp14:anchorId="153DE0B8" wp14:editId="01E2A5A6">
            <wp:extent cx="5731510" cy="3977766"/>
            <wp:effectExtent l="0" t="0" r="254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977766"/>
                    </a:xfrm>
                    <a:prstGeom prst="rect">
                      <a:avLst/>
                    </a:prstGeom>
                  </pic:spPr>
                </pic:pic>
              </a:graphicData>
            </a:graphic>
          </wp:inline>
        </w:drawing>
      </w:r>
      <w:r w:rsidRPr="005F145D">
        <w:rPr>
          <w:rFonts w:ascii="Times New Roman" w:eastAsia="Times New Roman" w:hAnsi="Times New Roman" w:cs="Times New Roman"/>
          <w:noProof/>
          <w:color w:val="1E1E1F"/>
          <w:sz w:val="24"/>
          <w:szCs w:val="24"/>
          <w:lang w:eastAsia="es-ES"/>
        </w:rPr>
        <w:drawing>
          <wp:inline distT="0" distB="0" distL="0" distR="0" wp14:anchorId="6EF98A9F" wp14:editId="7647F43D">
            <wp:extent cx="5731510" cy="1457983"/>
            <wp:effectExtent l="0" t="0" r="2540" b="889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1457983"/>
                    </a:xfrm>
                    <a:prstGeom prst="rect">
                      <a:avLst/>
                    </a:prstGeom>
                  </pic:spPr>
                </pic:pic>
              </a:graphicData>
            </a:graphic>
          </wp:inline>
        </w:drawing>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Pr>
          <w:rFonts w:ascii="Times New Roman" w:eastAsia="Times New Roman" w:hAnsi="Times New Roman" w:cs="Times New Roman"/>
          <w:color w:val="1E1E1F"/>
          <w:sz w:val="24"/>
          <w:szCs w:val="24"/>
          <w:lang w:eastAsia="es-ES"/>
        </w:rPr>
        <w:t>Conclusion (…)</w:t>
      </w:r>
    </w:p>
    <w:p w:rsidR="007D7802" w:rsidRDefault="007D7802" w:rsidP="007D7802">
      <w:pPr>
        <w:shd w:val="clear" w:color="auto" w:fill="FFFFFF"/>
        <w:spacing w:after="100" w:afterAutospacing="1" w:line="240" w:lineRule="auto"/>
        <w:jc w:val="both"/>
        <w:rPr>
          <w:rFonts w:ascii="Times New Roman" w:eastAsia="Times New Roman" w:hAnsi="Times New Roman" w:cs="Times New Roman"/>
          <w:color w:val="1E1E1F"/>
          <w:sz w:val="24"/>
          <w:szCs w:val="24"/>
          <w:lang w:eastAsia="es-ES"/>
        </w:rPr>
      </w:pPr>
      <w:r w:rsidRPr="005F145D">
        <w:rPr>
          <w:rFonts w:ascii="Times New Roman" w:eastAsia="Times New Roman" w:hAnsi="Times New Roman" w:cs="Times New Roman"/>
          <w:noProof/>
          <w:color w:val="1E1E1F"/>
          <w:sz w:val="24"/>
          <w:szCs w:val="24"/>
          <w:lang w:eastAsia="es-ES"/>
        </w:rPr>
        <w:drawing>
          <wp:inline distT="0" distB="0" distL="0" distR="0" wp14:anchorId="4171D074" wp14:editId="4656DB91">
            <wp:extent cx="5731510" cy="2743287"/>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2743287"/>
                    </a:xfrm>
                    <a:prstGeom prst="rect">
                      <a:avLst/>
                    </a:prstGeom>
                  </pic:spPr>
                </pic:pic>
              </a:graphicData>
            </a:graphic>
          </wp:inline>
        </w:drawing>
      </w:r>
      <w:bookmarkStart w:id="0" w:name="_GoBack"/>
      <w:bookmarkEnd w:id="0"/>
    </w:p>
    <w:sectPr w:rsidR="007D780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Montserrat Light">
    <w:altName w:val="Times New Roman"/>
    <w:charset w:val="00"/>
    <w:family w:val="auto"/>
    <w:pitch w:val="variable"/>
    <w:sig w:usb0="00000001" w:usb1="00000003" w:usb2="00000000" w:usb3="00000000" w:csb0="00000197" w:csb1="00000000"/>
  </w:font>
  <w:font w:name="Montserrat">
    <w:altName w:val="Times New Roman"/>
    <w:charset w:val="00"/>
    <w:family w:val="auto"/>
    <w:pitch w:val="variable"/>
    <w:sig w:usb0="00000001" w:usb1="00000003" w:usb2="00000000" w:usb3="00000000" w:csb0="00000197"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La revista estadounidense ha incluido una capital española en la lista de las cinco ciudades ideales para retirarse en 2025." style="width:1pt;height:1pt;visibility:visible;mso-wrap-style:square" o:bullet="t">
        <v:imagedata r:id="rId1" o:title="La revista estadounidense ha incluido una capital española en la lista de las cinco ciudades ideales para retirarse en 2025"/>
      </v:shape>
    </w:pict>
  </w:numPicBullet>
  <w:abstractNum w:abstractNumId="0">
    <w:nsid w:val="052F78D5"/>
    <w:multiLevelType w:val="multilevel"/>
    <w:tmpl w:val="B7B8A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C70721"/>
    <w:multiLevelType w:val="multilevel"/>
    <w:tmpl w:val="78B41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4557F0"/>
    <w:multiLevelType w:val="multilevel"/>
    <w:tmpl w:val="935EE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9BC0FBC"/>
    <w:multiLevelType w:val="multilevel"/>
    <w:tmpl w:val="BCC6A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EE23DE"/>
    <w:multiLevelType w:val="multilevel"/>
    <w:tmpl w:val="54DE3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05787B"/>
    <w:multiLevelType w:val="multilevel"/>
    <w:tmpl w:val="8DCAF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43F7360"/>
    <w:multiLevelType w:val="multilevel"/>
    <w:tmpl w:val="FBC66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57A1D01"/>
    <w:multiLevelType w:val="multilevel"/>
    <w:tmpl w:val="BF547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E25B32"/>
    <w:multiLevelType w:val="multilevel"/>
    <w:tmpl w:val="B2BC7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DEA4A4F"/>
    <w:multiLevelType w:val="multilevel"/>
    <w:tmpl w:val="ED5EE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EA85605"/>
    <w:multiLevelType w:val="multilevel"/>
    <w:tmpl w:val="89923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2513274"/>
    <w:multiLevelType w:val="multilevel"/>
    <w:tmpl w:val="8BF0F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5BD73A7"/>
    <w:multiLevelType w:val="multilevel"/>
    <w:tmpl w:val="47283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79D7840"/>
    <w:multiLevelType w:val="multilevel"/>
    <w:tmpl w:val="FFE24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9F425A2"/>
    <w:multiLevelType w:val="multilevel"/>
    <w:tmpl w:val="CAF22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2367D6"/>
    <w:multiLevelType w:val="multilevel"/>
    <w:tmpl w:val="95A0A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1BC25C3"/>
    <w:multiLevelType w:val="multilevel"/>
    <w:tmpl w:val="DFA2D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269112C"/>
    <w:multiLevelType w:val="multilevel"/>
    <w:tmpl w:val="EB689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36559E9"/>
    <w:multiLevelType w:val="multilevel"/>
    <w:tmpl w:val="14127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69C41AB"/>
    <w:multiLevelType w:val="multilevel"/>
    <w:tmpl w:val="04241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88E679F"/>
    <w:multiLevelType w:val="multilevel"/>
    <w:tmpl w:val="155A9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9437595"/>
    <w:multiLevelType w:val="multilevel"/>
    <w:tmpl w:val="3F2E4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3A690448"/>
    <w:multiLevelType w:val="multilevel"/>
    <w:tmpl w:val="E3B88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3D9B1EB9"/>
    <w:multiLevelType w:val="multilevel"/>
    <w:tmpl w:val="B4F48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EE514D2"/>
    <w:multiLevelType w:val="multilevel"/>
    <w:tmpl w:val="D3C23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2F03B08"/>
    <w:multiLevelType w:val="multilevel"/>
    <w:tmpl w:val="CC521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38C023E"/>
    <w:multiLevelType w:val="multilevel"/>
    <w:tmpl w:val="46F6B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F16390B"/>
    <w:multiLevelType w:val="multilevel"/>
    <w:tmpl w:val="D41246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Times New Roman" w:eastAsiaTheme="minorHAnsi" w:hAnsi="Times New Roman" w:cs="Times New Roman" w:hint="default"/>
      </w:rPr>
    </w:lvl>
    <w:lvl w:ilvl="3">
      <w:start w:val="3"/>
      <w:numFmt w:val="decimal"/>
      <w:lvlText w:val="%4"/>
      <w:lvlJc w:val="left"/>
      <w:pPr>
        <w:ind w:left="2880" w:hanging="360"/>
      </w:pPr>
      <w:rPr>
        <w:rFonts w:hint="default"/>
        <w:u w:val="single"/>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51BC575E"/>
    <w:multiLevelType w:val="multilevel"/>
    <w:tmpl w:val="E3DA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431246F"/>
    <w:multiLevelType w:val="multilevel"/>
    <w:tmpl w:val="D060A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50A1AFC"/>
    <w:multiLevelType w:val="multilevel"/>
    <w:tmpl w:val="BDE44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6972BBB"/>
    <w:multiLevelType w:val="multilevel"/>
    <w:tmpl w:val="BF3AA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58A92687"/>
    <w:multiLevelType w:val="hybridMultilevel"/>
    <w:tmpl w:val="8BAA69AE"/>
    <w:lvl w:ilvl="0" w:tplc="9DBA63E8">
      <w:start w:val="1"/>
      <w:numFmt w:val="bullet"/>
      <w:lvlText w:val=""/>
      <w:lvlPicBulletId w:val="0"/>
      <w:lvlJc w:val="left"/>
      <w:pPr>
        <w:tabs>
          <w:tab w:val="num" w:pos="720"/>
        </w:tabs>
        <w:ind w:left="720" w:hanging="360"/>
      </w:pPr>
      <w:rPr>
        <w:rFonts w:ascii="Symbol" w:hAnsi="Symbol" w:hint="default"/>
      </w:rPr>
    </w:lvl>
    <w:lvl w:ilvl="1" w:tplc="16F61AD4" w:tentative="1">
      <w:start w:val="1"/>
      <w:numFmt w:val="bullet"/>
      <w:lvlText w:val=""/>
      <w:lvlJc w:val="left"/>
      <w:pPr>
        <w:tabs>
          <w:tab w:val="num" w:pos="1440"/>
        </w:tabs>
        <w:ind w:left="1440" w:hanging="360"/>
      </w:pPr>
      <w:rPr>
        <w:rFonts w:ascii="Symbol" w:hAnsi="Symbol" w:hint="default"/>
      </w:rPr>
    </w:lvl>
    <w:lvl w:ilvl="2" w:tplc="9C48E0C2" w:tentative="1">
      <w:start w:val="1"/>
      <w:numFmt w:val="bullet"/>
      <w:lvlText w:val=""/>
      <w:lvlJc w:val="left"/>
      <w:pPr>
        <w:tabs>
          <w:tab w:val="num" w:pos="2160"/>
        </w:tabs>
        <w:ind w:left="2160" w:hanging="360"/>
      </w:pPr>
      <w:rPr>
        <w:rFonts w:ascii="Symbol" w:hAnsi="Symbol" w:hint="default"/>
      </w:rPr>
    </w:lvl>
    <w:lvl w:ilvl="3" w:tplc="232CC1CC" w:tentative="1">
      <w:start w:val="1"/>
      <w:numFmt w:val="bullet"/>
      <w:lvlText w:val=""/>
      <w:lvlJc w:val="left"/>
      <w:pPr>
        <w:tabs>
          <w:tab w:val="num" w:pos="2880"/>
        </w:tabs>
        <w:ind w:left="2880" w:hanging="360"/>
      </w:pPr>
      <w:rPr>
        <w:rFonts w:ascii="Symbol" w:hAnsi="Symbol" w:hint="default"/>
      </w:rPr>
    </w:lvl>
    <w:lvl w:ilvl="4" w:tplc="6600A474" w:tentative="1">
      <w:start w:val="1"/>
      <w:numFmt w:val="bullet"/>
      <w:lvlText w:val=""/>
      <w:lvlJc w:val="left"/>
      <w:pPr>
        <w:tabs>
          <w:tab w:val="num" w:pos="3600"/>
        </w:tabs>
        <w:ind w:left="3600" w:hanging="360"/>
      </w:pPr>
      <w:rPr>
        <w:rFonts w:ascii="Symbol" w:hAnsi="Symbol" w:hint="default"/>
      </w:rPr>
    </w:lvl>
    <w:lvl w:ilvl="5" w:tplc="8F04F788" w:tentative="1">
      <w:start w:val="1"/>
      <w:numFmt w:val="bullet"/>
      <w:lvlText w:val=""/>
      <w:lvlJc w:val="left"/>
      <w:pPr>
        <w:tabs>
          <w:tab w:val="num" w:pos="4320"/>
        </w:tabs>
        <w:ind w:left="4320" w:hanging="360"/>
      </w:pPr>
      <w:rPr>
        <w:rFonts w:ascii="Symbol" w:hAnsi="Symbol" w:hint="default"/>
      </w:rPr>
    </w:lvl>
    <w:lvl w:ilvl="6" w:tplc="B542349E" w:tentative="1">
      <w:start w:val="1"/>
      <w:numFmt w:val="bullet"/>
      <w:lvlText w:val=""/>
      <w:lvlJc w:val="left"/>
      <w:pPr>
        <w:tabs>
          <w:tab w:val="num" w:pos="5040"/>
        </w:tabs>
        <w:ind w:left="5040" w:hanging="360"/>
      </w:pPr>
      <w:rPr>
        <w:rFonts w:ascii="Symbol" w:hAnsi="Symbol" w:hint="default"/>
      </w:rPr>
    </w:lvl>
    <w:lvl w:ilvl="7" w:tplc="E5A0EB86" w:tentative="1">
      <w:start w:val="1"/>
      <w:numFmt w:val="bullet"/>
      <w:lvlText w:val=""/>
      <w:lvlJc w:val="left"/>
      <w:pPr>
        <w:tabs>
          <w:tab w:val="num" w:pos="5760"/>
        </w:tabs>
        <w:ind w:left="5760" w:hanging="360"/>
      </w:pPr>
      <w:rPr>
        <w:rFonts w:ascii="Symbol" w:hAnsi="Symbol" w:hint="default"/>
      </w:rPr>
    </w:lvl>
    <w:lvl w:ilvl="8" w:tplc="04FC803E" w:tentative="1">
      <w:start w:val="1"/>
      <w:numFmt w:val="bullet"/>
      <w:lvlText w:val=""/>
      <w:lvlJc w:val="left"/>
      <w:pPr>
        <w:tabs>
          <w:tab w:val="num" w:pos="6480"/>
        </w:tabs>
        <w:ind w:left="6480" w:hanging="360"/>
      </w:pPr>
      <w:rPr>
        <w:rFonts w:ascii="Symbol" w:hAnsi="Symbol" w:hint="default"/>
      </w:rPr>
    </w:lvl>
  </w:abstractNum>
  <w:abstractNum w:abstractNumId="33">
    <w:nsid w:val="5AF35A10"/>
    <w:multiLevelType w:val="multilevel"/>
    <w:tmpl w:val="D44E3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4281C82"/>
    <w:multiLevelType w:val="multilevel"/>
    <w:tmpl w:val="CD361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46721ED"/>
    <w:multiLevelType w:val="multilevel"/>
    <w:tmpl w:val="99165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58E348D"/>
    <w:multiLevelType w:val="multilevel"/>
    <w:tmpl w:val="95B27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68C04F65"/>
    <w:multiLevelType w:val="multilevel"/>
    <w:tmpl w:val="142076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A5F0BFB"/>
    <w:multiLevelType w:val="multilevel"/>
    <w:tmpl w:val="A8BC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6F0C73E5"/>
    <w:multiLevelType w:val="multilevel"/>
    <w:tmpl w:val="E08C0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7A53C6E"/>
    <w:multiLevelType w:val="multilevel"/>
    <w:tmpl w:val="12B06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A1601F6"/>
    <w:multiLevelType w:val="multilevel"/>
    <w:tmpl w:val="AF4C7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A5E4A97"/>
    <w:multiLevelType w:val="multilevel"/>
    <w:tmpl w:val="9CAE3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2"/>
  </w:num>
  <w:num w:numId="2">
    <w:abstractNumId w:val="16"/>
  </w:num>
  <w:num w:numId="3">
    <w:abstractNumId w:val="20"/>
  </w:num>
  <w:num w:numId="4">
    <w:abstractNumId w:val="24"/>
  </w:num>
  <w:num w:numId="5">
    <w:abstractNumId w:val="2"/>
  </w:num>
  <w:num w:numId="6">
    <w:abstractNumId w:val="19"/>
  </w:num>
  <w:num w:numId="7">
    <w:abstractNumId w:val="18"/>
  </w:num>
  <w:num w:numId="8">
    <w:abstractNumId w:val="21"/>
  </w:num>
  <w:num w:numId="9">
    <w:abstractNumId w:val="22"/>
  </w:num>
  <w:num w:numId="10">
    <w:abstractNumId w:val="34"/>
  </w:num>
  <w:num w:numId="11">
    <w:abstractNumId w:val="23"/>
  </w:num>
  <w:num w:numId="12">
    <w:abstractNumId w:val="38"/>
  </w:num>
  <w:num w:numId="13">
    <w:abstractNumId w:val="13"/>
  </w:num>
  <w:num w:numId="14">
    <w:abstractNumId w:val="11"/>
  </w:num>
  <w:num w:numId="15">
    <w:abstractNumId w:val="31"/>
  </w:num>
  <w:num w:numId="16">
    <w:abstractNumId w:val="33"/>
  </w:num>
  <w:num w:numId="17">
    <w:abstractNumId w:val="37"/>
  </w:num>
  <w:num w:numId="18">
    <w:abstractNumId w:val="27"/>
  </w:num>
  <w:num w:numId="19">
    <w:abstractNumId w:val="36"/>
  </w:num>
  <w:num w:numId="20">
    <w:abstractNumId w:val="5"/>
  </w:num>
  <w:num w:numId="21">
    <w:abstractNumId w:val="39"/>
  </w:num>
  <w:num w:numId="22">
    <w:abstractNumId w:val="35"/>
  </w:num>
  <w:num w:numId="23">
    <w:abstractNumId w:val="10"/>
  </w:num>
  <w:num w:numId="24">
    <w:abstractNumId w:val="25"/>
  </w:num>
  <w:num w:numId="25">
    <w:abstractNumId w:val="9"/>
  </w:num>
  <w:num w:numId="26">
    <w:abstractNumId w:val="28"/>
  </w:num>
  <w:num w:numId="27">
    <w:abstractNumId w:val="30"/>
  </w:num>
  <w:num w:numId="28">
    <w:abstractNumId w:val="12"/>
  </w:num>
  <w:num w:numId="29">
    <w:abstractNumId w:val="0"/>
  </w:num>
  <w:num w:numId="30">
    <w:abstractNumId w:val="3"/>
  </w:num>
  <w:num w:numId="31">
    <w:abstractNumId w:val="41"/>
  </w:num>
  <w:num w:numId="32">
    <w:abstractNumId w:val="1"/>
  </w:num>
  <w:num w:numId="33">
    <w:abstractNumId w:val="4"/>
  </w:num>
  <w:num w:numId="34">
    <w:abstractNumId w:val="26"/>
  </w:num>
  <w:num w:numId="35">
    <w:abstractNumId w:val="15"/>
  </w:num>
  <w:num w:numId="36">
    <w:abstractNumId w:val="32"/>
  </w:num>
  <w:num w:numId="37">
    <w:abstractNumId w:val="14"/>
  </w:num>
  <w:num w:numId="38">
    <w:abstractNumId w:val="8"/>
  </w:num>
  <w:num w:numId="39">
    <w:abstractNumId w:val="40"/>
  </w:num>
  <w:num w:numId="40">
    <w:abstractNumId w:val="6"/>
  </w:num>
  <w:num w:numId="41">
    <w:abstractNumId w:val="17"/>
  </w:num>
  <w:num w:numId="42">
    <w:abstractNumId w:val="29"/>
  </w:num>
  <w:num w:numId="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0E9B"/>
    <w:rsid w:val="0001697E"/>
    <w:rsid w:val="0002660A"/>
    <w:rsid w:val="0003407F"/>
    <w:rsid w:val="00042A57"/>
    <w:rsid w:val="00064CA5"/>
    <w:rsid w:val="0007420F"/>
    <w:rsid w:val="000905C2"/>
    <w:rsid w:val="000A0E94"/>
    <w:rsid w:val="000C53D4"/>
    <w:rsid w:val="000C5E20"/>
    <w:rsid w:val="000E08B2"/>
    <w:rsid w:val="00106358"/>
    <w:rsid w:val="00141CC3"/>
    <w:rsid w:val="00162EBD"/>
    <w:rsid w:val="00164770"/>
    <w:rsid w:val="00175CCB"/>
    <w:rsid w:val="001A287F"/>
    <w:rsid w:val="001A667E"/>
    <w:rsid w:val="00255C73"/>
    <w:rsid w:val="002578F5"/>
    <w:rsid w:val="002679E3"/>
    <w:rsid w:val="0028424B"/>
    <w:rsid w:val="00286F35"/>
    <w:rsid w:val="002A0E12"/>
    <w:rsid w:val="002A0F4B"/>
    <w:rsid w:val="002B5C2F"/>
    <w:rsid w:val="002C21CA"/>
    <w:rsid w:val="002F3FB0"/>
    <w:rsid w:val="00312DF1"/>
    <w:rsid w:val="00340A10"/>
    <w:rsid w:val="00345D74"/>
    <w:rsid w:val="0035561D"/>
    <w:rsid w:val="00371DD3"/>
    <w:rsid w:val="003811BD"/>
    <w:rsid w:val="003854FA"/>
    <w:rsid w:val="00393954"/>
    <w:rsid w:val="003A53AF"/>
    <w:rsid w:val="003D2125"/>
    <w:rsid w:val="003D2CC6"/>
    <w:rsid w:val="003E00CD"/>
    <w:rsid w:val="003F68FA"/>
    <w:rsid w:val="00434092"/>
    <w:rsid w:val="00470CF9"/>
    <w:rsid w:val="00472F62"/>
    <w:rsid w:val="00474B80"/>
    <w:rsid w:val="0047700C"/>
    <w:rsid w:val="004E22D7"/>
    <w:rsid w:val="004E7CE8"/>
    <w:rsid w:val="00524F04"/>
    <w:rsid w:val="00561947"/>
    <w:rsid w:val="00570604"/>
    <w:rsid w:val="00583E5E"/>
    <w:rsid w:val="005969E9"/>
    <w:rsid w:val="005D36A3"/>
    <w:rsid w:val="005E7787"/>
    <w:rsid w:val="005F0E33"/>
    <w:rsid w:val="006204E9"/>
    <w:rsid w:val="0062330F"/>
    <w:rsid w:val="00636150"/>
    <w:rsid w:val="006572AE"/>
    <w:rsid w:val="00681917"/>
    <w:rsid w:val="00690D0B"/>
    <w:rsid w:val="006917F2"/>
    <w:rsid w:val="00693BC5"/>
    <w:rsid w:val="006B7BF2"/>
    <w:rsid w:val="006D7EDD"/>
    <w:rsid w:val="006E2B4F"/>
    <w:rsid w:val="006F05D5"/>
    <w:rsid w:val="00703485"/>
    <w:rsid w:val="00735A5A"/>
    <w:rsid w:val="007525AE"/>
    <w:rsid w:val="007569BD"/>
    <w:rsid w:val="0076134F"/>
    <w:rsid w:val="0079680A"/>
    <w:rsid w:val="007B25E0"/>
    <w:rsid w:val="007B3F35"/>
    <w:rsid w:val="007C0E11"/>
    <w:rsid w:val="007D772C"/>
    <w:rsid w:val="007D7802"/>
    <w:rsid w:val="00860E6B"/>
    <w:rsid w:val="0087042A"/>
    <w:rsid w:val="008744F9"/>
    <w:rsid w:val="00876A44"/>
    <w:rsid w:val="008A7E70"/>
    <w:rsid w:val="008C3112"/>
    <w:rsid w:val="009169C0"/>
    <w:rsid w:val="00932545"/>
    <w:rsid w:val="00953FCE"/>
    <w:rsid w:val="00966665"/>
    <w:rsid w:val="00970B2A"/>
    <w:rsid w:val="00974EBE"/>
    <w:rsid w:val="00990658"/>
    <w:rsid w:val="009C1E0B"/>
    <w:rsid w:val="009C743F"/>
    <w:rsid w:val="009D717A"/>
    <w:rsid w:val="009E39CB"/>
    <w:rsid w:val="009E4C18"/>
    <w:rsid w:val="009F0E9B"/>
    <w:rsid w:val="00A04B37"/>
    <w:rsid w:val="00A6620E"/>
    <w:rsid w:val="00A75B69"/>
    <w:rsid w:val="00A8030F"/>
    <w:rsid w:val="00AA73E3"/>
    <w:rsid w:val="00AB220E"/>
    <w:rsid w:val="00AB4C96"/>
    <w:rsid w:val="00AB4E9A"/>
    <w:rsid w:val="00AC48BF"/>
    <w:rsid w:val="00AD2594"/>
    <w:rsid w:val="00AE65C2"/>
    <w:rsid w:val="00B20E14"/>
    <w:rsid w:val="00B21A88"/>
    <w:rsid w:val="00B22EA2"/>
    <w:rsid w:val="00B37F2D"/>
    <w:rsid w:val="00B97980"/>
    <w:rsid w:val="00BD33EB"/>
    <w:rsid w:val="00BF42D2"/>
    <w:rsid w:val="00C04383"/>
    <w:rsid w:val="00C206C0"/>
    <w:rsid w:val="00C30D3E"/>
    <w:rsid w:val="00C51048"/>
    <w:rsid w:val="00C84805"/>
    <w:rsid w:val="00CA5B3B"/>
    <w:rsid w:val="00CE1AF3"/>
    <w:rsid w:val="00CE266A"/>
    <w:rsid w:val="00D06815"/>
    <w:rsid w:val="00D652DD"/>
    <w:rsid w:val="00D75B60"/>
    <w:rsid w:val="00D82EA9"/>
    <w:rsid w:val="00D859B4"/>
    <w:rsid w:val="00D94182"/>
    <w:rsid w:val="00DB27DF"/>
    <w:rsid w:val="00DC1224"/>
    <w:rsid w:val="00DC122F"/>
    <w:rsid w:val="00DC5848"/>
    <w:rsid w:val="00DD17B6"/>
    <w:rsid w:val="00DE3CE2"/>
    <w:rsid w:val="00E02B28"/>
    <w:rsid w:val="00E24E01"/>
    <w:rsid w:val="00E53245"/>
    <w:rsid w:val="00E611C0"/>
    <w:rsid w:val="00ED4867"/>
    <w:rsid w:val="00EE1638"/>
    <w:rsid w:val="00EF5F0E"/>
    <w:rsid w:val="00F13779"/>
    <w:rsid w:val="00F15638"/>
    <w:rsid w:val="00F223DE"/>
    <w:rsid w:val="00F63D8B"/>
    <w:rsid w:val="00F77B37"/>
    <w:rsid w:val="00F938FA"/>
    <w:rsid w:val="00F953D3"/>
    <w:rsid w:val="00FC30C5"/>
    <w:rsid w:val="00FD064F"/>
    <w:rsid w:val="00FD4371"/>
    <w:rsid w:val="00FD67B2"/>
    <w:rsid w:val="00FE40A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E9B"/>
  </w:style>
  <w:style w:type="paragraph" w:styleId="Ttulo1">
    <w:name w:val="heading 1"/>
    <w:basedOn w:val="Normal"/>
    <w:next w:val="Normal"/>
    <w:link w:val="Ttulo1Car"/>
    <w:uiPriority w:val="9"/>
    <w:qFormat/>
    <w:rsid w:val="00F77B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7D78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F77B37"/>
    <w:pPr>
      <w:keepNext/>
      <w:keepLines/>
      <w:spacing w:before="200" w:after="0"/>
      <w:outlineLvl w:val="2"/>
    </w:pPr>
    <w:rPr>
      <w:rFonts w:asciiTheme="majorHAnsi" w:eastAsiaTheme="majorEastAsia" w:hAnsiTheme="majorHAnsi" w:cstheme="majorBidi"/>
      <w:b/>
      <w:bCs/>
      <w:color w:val="4F81BD" w:themeColor="accent1"/>
    </w:rPr>
  </w:style>
  <w:style w:type="paragraph" w:styleId="Ttulo5">
    <w:name w:val="heading 5"/>
    <w:basedOn w:val="Normal"/>
    <w:next w:val="Normal"/>
    <w:link w:val="Ttulo5Car"/>
    <w:uiPriority w:val="9"/>
    <w:semiHidden/>
    <w:unhideWhenUsed/>
    <w:qFormat/>
    <w:rsid w:val="00AB22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F0E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F0E9B"/>
    <w:rPr>
      <w:rFonts w:ascii="Tahoma" w:hAnsi="Tahoma" w:cs="Tahoma"/>
      <w:sz w:val="16"/>
      <w:szCs w:val="16"/>
    </w:rPr>
  </w:style>
  <w:style w:type="character" w:customStyle="1" w:styleId="Ttulo2Car">
    <w:name w:val="Título 2 Car"/>
    <w:basedOn w:val="Fuentedeprrafopredeter"/>
    <w:link w:val="Ttulo2"/>
    <w:uiPriority w:val="9"/>
    <w:rsid w:val="007D7802"/>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7D7802"/>
    <w:rPr>
      <w:color w:val="0000FF"/>
      <w:u w:val="single"/>
    </w:rPr>
  </w:style>
  <w:style w:type="paragraph" w:styleId="NormalWeb">
    <w:name w:val="Normal (Web)"/>
    <w:basedOn w:val="Normal"/>
    <w:uiPriority w:val="99"/>
    <w:unhideWhenUsed/>
    <w:rsid w:val="007D780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D7802"/>
    <w:rPr>
      <w:b/>
      <w:bCs/>
    </w:rPr>
  </w:style>
  <w:style w:type="character" w:customStyle="1" w:styleId="font-weight-bold">
    <w:name w:val="font-weight-bold"/>
    <w:basedOn w:val="Fuentedeprrafopredeter"/>
    <w:rsid w:val="007D7802"/>
  </w:style>
  <w:style w:type="paragraph" w:customStyle="1" w:styleId="parrafo">
    <w:name w:val="parrafo"/>
    <w:basedOn w:val="Normal"/>
    <w:rsid w:val="007D780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7D7802"/>
    <w:pPr>
      <w:autoSpaceDE w:val="0"/>
      <w:autoSpaceDN w:val="0"/>
      <w:adjustRightInd w:val="0"/>
      <w:spacing w:after="0" w:line="240" w:lineRule="auto"/>
    </w:pPr>
    <w:rPr>
      <w:rFonts w:ascii="EC Square Sans Pro" w:hAnsi="EC Square Sans Pro" w:cs="EC Square Sans Pro"/>
      <w:color w:val="000000"/>
      <w:sz w:val="24"/>
      <w:szCs w:val="24"/>
    </w:rPr>
  </w:style>
  <w:style w:type="paragraph" w:styleId="Prrafodelista">
    <w:name w:val="List Paragraph"/>
    <w:basedOn w:val="Normal"/>
    <w:uiPriority w:val="34"/>
    <w:qFormat/>
    <w:rsid w:val="007D7802"/>
    <w:pPr>
      <w:ind w:left="720"/>
      <w:contextualSpacing/>
    </w:pPr>
  </w:style>
  <w:style w:type="character" w:customStyle="1" w:styleId="Ttulo1Car">
    <w:name w:val="Título 1 Car"/>
    <w:basedOn w:val="Fuentedeprrafopredeter"/>
    <w:link w:val="Ttulo1"/>
    <w:uiPriority w:val="9"/>
    <w:rsid w:val="00F77B37"/>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F77B37"/>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uiPriority w:val="9"/>
    <w:semiHidden/>
    <w:rsid w:val="00AB220E"/>
    <w:rPr>
      <w:rFonts w:asciiTheme="majorHAnsi" w:eastAsiaTheme="majorEastAsia" w:hAnsiTheme="majorHAnsi" w:cstheme="majorBidi"/>
      <w:color w:val="243F60" w:themeColor="accent1" w:themeShade="7F"/>
    </w:rPr>
  </w:style>
  <w:style w:type="paragraph" w:customStyle="1" w:styleId="c-article-summary">
    <w:name w:val="c-article-summary"/>
    <w:basedOn w:val="Normal"/>
    <w:rsid w:val="00AB220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AB220E"/>
    <w:rPr>
      <w:i/>
      <w:iCs/>
    </w:rPr>
  </w:style>
  <w:style w:type="character" w:customStyle="1" w:styleId="CCDocBodyChar">
    <w:name w:val="CC Doc Body Char"/>
    <w:basedOn w:val="Fuentedeprrafopredeter"/>
    <w:link w:val="CCDocBody"/>
    <w:semiHidden/>
    <w:locked/>
    <w:rsid w:val="002578F5"/>
    <w:rPr>
      <w:rFonts w:ascii="Montserrat Light" w:hAnsi="Montserrat Light"/>
      <w:color w:val="595959" w:themeColor="text1" w:themeTint="A6"/>
      <w:shd w:val="clear" w:color="auto" w:fill="FFFFFF"/>
    </w:rPr>
  </w:style>
  <w:style w:type="paragraph" w:customStyle="1" w:styleId="CCDocBody">
    <w:name w:val="CC Doc Body"/>
    <w:basedOn w:val="NormalWeb"/>
    <w:link w:val="CCDocBodyChar"/>
    <w:semiHidden/>
    <w:qFormat/>
    <w:locked/>
    <w:rsid w:val="002578F5"/>
    <w:pPr>
      <w:shd w:val="clear" w:color="auto" w:fill="FFFFFF"/>
      <w:spacing w:before="0" w:beforeAutospacing="0" w:line="276" w:lineRule="auto"/>
      <w:jc w:val="both"/>
    </w:pPr>
    <w:rPr>
      <w:rFonts w:ascii="Montserrat Light" w:eastAsiaTheme="minorHAnsi" w:hAnsi="Montserrat Light" w:cstheme="minorBidi"/>
      <w:color w:val="595959" w:themeColor="text1" w:themeTint="A6"/>
      <w:sz w:val="22"/>
      <w:szCs w:val="22"/>
      <w:lang w:eastAsia="en-US"/>
    </w:rPr>
  </w:style>
  <w:style w:type="character" w:customStyle="1" w:styleId="CCType">
    <w:name w:val="CC Type"/>
    <w:uiPriority w:val="1"/>
    <w:qFormat/>
    <w:rsid w:val="002578F5"/>
    <w:rPr>
      <w:rFonts w:ascii="Montserrat" w:hAnsi="Montserrat" w:hint="default"/>
      <w:b/>
      <w:bCs/>
      <w:color w:val="CA6D05"/>
      <w:sz w:val="36"/>
    </w:rPr>
  </w:style>
  <w:style w:type="character" w:customStyle="1" w:styleId="CCNormal">
    <w:name w:val="CC Normal"/>
    <w:uiPriority w:val="1"/>
    <w:qFormat/>
    <w:rsid w:val="002578F5"/>
    <w:rPr>
      <w:rFonts w:ascii="Montserrat" w:hAnsi="Montserrat" w:hint="default"/>
      <w:color w:val="4A442A" w:themeColor="background2" w:themeShade="40"/>
      <w:sz w:val="22"/>
    </w:rPr>
  </w:style>
  <w:style w:type="character" w:customStyle="1" w:styleId="CCSubtitle">
    <w:name w:val="CC Subtitle"/>
    <w:basedOn w:val="Fuentedeprrafopredeter"/>
    <w:uiPriority w:val="1"/>
    <w:qFormat/>
    <w:rsid w:val="002578F5"/>
    <w:rPr>
      <w:rFonts w:ascii="Montserrat" w:hAnsi="Montserrat" w:hint="default"/>
      <w:b/>
      <w:bCs w:val="0"/>
      <w:color w:val="7F7F7F" w:themeColor="text1" w:themeTint="80"/>
      <w:sz w:val="22"/>
    </w:rPr>
  </w:style>
  <w:style w:type="paragraph" w:customStyle="1" w:styleId="ecl-blockquotecitation">
    <w:name w:val="ecl-blockquote__citation"/>
    <w:basedOn w:val="Normal"/>
    <w:rsid w:val="000C5E2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CitaHTML">
    <w:name w:val="HTML Cite"/>
    <w:basedOn w:val="Fuentedeprrafopredeter"/>
    <w:uiPriority w:val="99"/>
    <w:semiHidden/>
    <w:unhideWhenUsed/>
    <w:rsid w:val="000C5E2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E9B"/>
  </w:style>
  <w:style w:type="paragraph" w:styleId="Ttulo1">
    <w:name w:val="heading 1"/>
    <w:basedOn w:val="Normal"/>
    <w:next w:val="Normal"/>
    <w:link w:val="Ttulo1Car"/>
    <w:uiPriority w:val="9"/>
    <w:qFormat/>
    <w:rsid w:val="00F77B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7D78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F77B37"/>
    <w:pPr>
      <w:keepNext/>
      <w:keepLines/>
      <w:spacing w:before="200" w:after="0"/>
      <w:outlineLvl w:val="2"/>
    </w:pPr>
    <w:rPr>
      <w:rFonts w:asciiTheme="majorHAnsi" w:eastAsiaTheme="majorEastAsia" w:hAnsiTheme="majorHAnsi" w:cstheme="majorBidi"/>
      <w:b/>
      <w:bCs/>
      <w:color w:val="4F81BD" w:themeColor="accent1"/>
    </w:rPr>
  </w:style>
  <w:style w:type="paragraph" w:styleId="Ttulo5">
    <w:name w:val="heading 5"/>
    <w:basedOn w:val="Normal"/>
    <w:next w:val="Normal"/>
    <w:link w:val="Ttulo5Car"/>
    <w:uiPriority w:val="9"/>
    <w:semiHidden/>
    <w:unhideWhenUsed/>
    <w:qFormat/>
    <w:rsid w:val="00AB22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F0E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F0E9B"/>
    <w:rPr>
      <w:rFonts w:ascii="Tahoma" w:hAnsi="Tahoma" w:cs="Tahoma"/>
      <w:sz w:val="16"/>
      <w:szCs w:val="16"/>
    </w:rPr>
  </w:style>
  <w:style w:type="character" w:customStyle="1" w:styleId="Ttulo2Car">
    <w:name w:val="Título 2 Car"/>
    <w:basedOn w:val="Fuentedeprrafopredeter"/>
    <w:link w:val="Ttulo2"/>
    <w:uiPriority w:val="9"/>
    <w:rsid w:val="007D7802"/>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7D7802"/>
    <w:rPr>
      <w:color w:val="0000FF"/>
      <w:u w:val="single"/>
    </w:rPr>
  </w:style>
  <w:style w:type="paragraph" w:styleId="NormalWeb">
    <w:name w:val="Normal (Web)"/>
    <w:basedOn w:val="Normal"/>
    <w:uiPriority w:val="99"/>
    <w:unhideWhenUsed/>
    <w:rsid w:val="007D780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D7802"/>
    <w:rPr>
      <w:b/>
      <w:bCs/>
    </w:rPr>
  </w:style>
  <w:style w:type="character" w:customStyle="1" w:styleId="font-weight-bold">
    <w:name w:val="font-weight-bold"/>
    <w:basedOn w:val="Fuentedeprrafopredeter"/>
    <w:rsid w:val="007D7802"/>
  </w:style>
  <w:style w:type="paragraph" w:customStyle="1" w:styleId="parrafo">
    <w:name w:val="parrafo"/>
    <w:basedOn w:val="Normal"/>
    <w:rsid w:val="007D780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7D7802"/>
    <w:pPr>
      <w:autoSpaceDE w:val="0"/>
      <w:autoSpaceDN w:val="0"/>
      <w:adjustRightInd w:val="0"/>
      <w:spacing w:after="0" w:line="240" w:lineRule="auto"/>
    </w:pPr>
    <w:rPr>
      <w:rFonts w:ascii="EC Square Sans Pro" w:hAnsi="EC Square Sans Pro" w:cs="EC Square Sans Pro"/>
      <w:color w:val="000000"/>
      <w:sz w:val="24"/>
      <w:szCs w:val="24"/>
    </w:rPr>
  </w:style>
  <w:style w:type="paragraph" w:styleId="Prrafodelista">
    <w:name w:val="List Paragraph"/>
    <w:basedOn w:val="Normal"/>
    <w:uiPriority w:val="34"/>
    <w:qFormat/>
    <w:rsid w:val="007D7802"/>
    <w:pPr>
      <w:ind w:left="720"/>
      <w:contextualSpacing/>
    </w:pPr>
  </w:style>
  <w:style w:type="character" w:customStyle="1" w:styleId="Ttulo1Car">
    <w:name w:val="Título 1 Car"/>
    <w:basedOn w:val="Fuentedeprrafopredeter"/>
    <w:link w:val="Ttulo1"/>
    <w:uiPriority w:val="9"/>
    <w:rsid w:val="00F77B37"/>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F77B37"/>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uiPriority w:val="9"/>
    <w:semiHidden/>
    <w:rsid w:val="00AB220E"/>
    <w:rPr>
      <w:rFonts w:asciiTheme="majorHAnsi" w:eastAsiaTheme="majorEastAsia" w:hAnsiTheme="majorHAnsi" w:cstheme="majorBidi"/>
      <w:color w:val="243F60" w:themeColor="accent1" w:themeShade="7F"/>
    </w:rPr>
  </w:style>
  <w:style w:type="paragraph" w:customStyle="1" w:styleId="c-article-summary">
    <w:name w:val="c-article-summary"/>
    <w:basedOn w:val="Normal"/>
    <w:rsid w:val="00AB220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AB220E"/>
    <w:rPr>
      <w:i/>
      <w:iCs/>
    </w:rPr>
  </w:style>
  <w:style w:type="character" w:customStyle="1" w:styleId="CCDocBodyChar">
    <w:name w:val="CC Doc Body Char"/>
    <w:basedOn w:val="Fuentedeprrafopredeter"/>
    <w:link w:val="CCDocBody"/>
    <w:semiHidden/>
    <w:locked/>
    <w:rsid w:val="002578F5"/>
    <w:rPr>
      <w:rFonts w:ascii="Montserrat Light" w:hAnsi="Montserrat Light"/>
      <w:color w:val="595959" w:themeColor="text1" w:themeTint="A6"/>
      <w:shd w:val="clear" w:color="auto" w:fill="FFFFFF"/>
    </w:rPr>
  </w:style>
  <w:style w:type="paragraph" w:customStyle="1" w:styleId="CCDocBody">
    <w:name w:val="CC Doc Body"/>
    <w:basedOn w:val="NormalWeb"/>
    <w:link w:val="CCDocBodyChar"/>
    <w:semiHidden/>
    <w:qFormat/>
    <w:locked/>
    <w:rsid w:val="002578F5"/>
    <w:pPr>
      <w:shd w:val="clear" w:color="auto" w:fill="FFFFFF"/>
      <w:spacing w:before="0" w:beforeAutospacing="0" w:line="276" w:lineRule="auto"/>
      <w:jc w:val="both"/>
    </w:pPr>
    <w:rPr>
      <w:rFonts w:ascii="Montserrat Light" w:eastAsiaTheme="minorHAnsi" w:hAnsi="Montserrat Light" w:cstheme="minorBidi"/>
      <w:color w:val="595959" w:themeColor="text1" w:themeTint="A6"/>
      <w:sz w:val="22"/>
      <w:szCs w:val="22"/>
      <w:lang w:eastAsia="en-US"/>
    </w:rPr>
  </w:style>
  <w:style w:type="character" w:customStyle="1" w:styleId="CCType">
    <w:name w:val="CC Type"/>
    <w:uiPriority w:val="1"/>
    <w:qFormat/>
    <w:rsid w:val="002578F5"/>
    <w:rPr>
      <w:rFonts w:ascii="Montserrat" w:hAnsi="Montserrat" w:hint="default"/>
      <w:b/>
      <w:bCs/>
      <w:color w:val="CA6D05"/>
      <w:sz w:val="36"/>
    </w:rPr>
  </w:style>
  <w:style w:type="character" w:customStyle="1" w:styleId="CCNormal">
    <w:name w:val="CC Normal"/>
    <w:uiPriority w:val="1"/>
    <w:qFormat/>
    <w:rsid w:val="002578F5"/>
    <w:rPr>
      <w:rFonts w:ascii="Montserrat" w:hAnsi="Montserrat" w:hint="default"/>
      <w:color w:val="4A442A" w:themeColor="background2" w:themeShade="40"/>
      <w:sz w:val="22"/>
    </w:rPr>
  </w:style>
  <w:style w:type="character" w:customStyle="1" w:styleId="CCSubtitle">
    <w:name w:val="CC Subtitle"/>
    <w:basedOn w:val="Fuentedeprrafopredeter"/>
    <w:uiPriority w:val="1"/>
    <w:qFormat/>
    <w:rsid w:val="002578F5"/>
    <w:rPr>
      <w:rFonts w:ascii="Montserrat" w:hAnsi="Montserrat" w:hint="default"/>
      <w:b/>
      <w:bCs w:val="0"/>
      <w:color w:val="7F7F7F" w:themeColor="text1" w:themeTint="80"/>
      <w:sz w:val="22"/>
    </w:rPr>
  </w:style>
  <w:style w:type="paragraph" w:customStyle="1" w:styleId="ecl-blockquotecitation">
    <w:name w:val="ecl-blockquote__citation"/>
    <w:basedOn w:val="Normal"/>
    <w:rsid w:val="000C5E2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CitaHTML">
    <w:name w:val="HTML Cite"/>
    <w:basedOn w:val="Fuentedeprrafopredeter"/>
    <w:uiPriority w:val="99"/>
    <w:semiHidden/>
    <w:unhideWhenUsed/>
    <w:rsid w:val="000C5E2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6331243">
      <w:bodyDiv w:val="1"/>
      <w:marLeft w:val="0"/>
      <w:marRight w:val="0"/>
      <w:marTop w:val="0"/>
      <w:marBottom w:val="0"/>
      <w:divBdr>
        <w:top w:val="none" w:sz="0" w:space="0" w:color="auto"/>
        <w:left w:val="none" w:sz="0" w:space="0" w:color="auto"/>
        <w:bottom w:val="none" w:sz="0" w:space="0" w:color="auto"/>
        <w:right w:val="none" w:sz="0" w:space="0" w:color="auto"/>
      </w:divBdr>
    </w:div>
    <w:div w:id="1895501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s.euronews.com/my-europe/2024/02/19/mas-de-la-mitad-de-las-promesas-de-von-der-leyen-en-politica-alimentaria-no-se-cumplieron-" TargetMode="External"/><Relationship Id="rId21" Type="http://schemas.openxmlformats.org/officeDocument/2006/relationships/image" Target="media/image16.jpeg"/><Relationship Id="rId42" Type="http://schemas.openxmlformats.org/officeDocument/2006/relationships/hyperlink" Target="https://eur-lex.europa.eu/legal-content/ES/TXT/?uri=CELEX:02004L0035-20190626" TargetMode="External"/><Relationship Id="rId63" Type="http://schemas.openxmlformats.org/officeDocument/2006/relationships/hyperlink" Target="https://eur-lex.europa.eu/legal-content/ES/TXT/?uri=CELEX:52021DC0550" TargetMode="External"/><Relationship Id="rId84" Type="http://schemas.openxmlformats.org/officeDocument/2006/relationships/hyperlink" Target="https://eur-lex.europa.eu/legal-content/ES/TXT/?uri=celex:32009R1107" TargetMode="External"/><Relationship Id="rId138" Type="http://schemas.openxmlformats.org/officeDocument/2006/relationships/image" Target="media/image47.png"/><Relationship Id="rId159" Type="http://schemas.openxmlformats.org/officeDocument/2006/relationships/image" Target="media/image68.png"/><Relationship Id="rId170" Type="http://schemas.openxmlformats.org/officeDocument/2006/relationships/image" Target="media/image78.png"/><Relationship Id="rId191" Type="http://schemas.openxmlformats.org/officeDocument/2006/relationships/image" Target="media/image99.png"/><Relationship Id="rId107" Type="http://schemas.openxmlformats.org/officeDocument/2006/relationships/hyperlink" Target="https://www.eea.europa.eu/en/analysis/indicators/greenhouse-gas-emissions-from-agriculture?activeAccordion=309c5ef9-de09-4759-bc02-802370dfa366" TargetMode="External"/><Relationship Id="rId11" Type="http://schemas.openxmlformats.org/officeDocument/2006/relationships/image" Target="media/image6.png"/><Relationship Id="rId32" Type="http://schemas.openxmlformats.org/officeDocument/2006/relationships/hyperlink" Target="https://agriculture.ec.europa.eu/common-agricultural-policy/cap-overview/main-initiatives-strategic-dialogue-future-eu-agriculture_es" TargetMode="External"/><Relationship Id="rId53" Type="http://schemas.openxmlformats.org/officeDocument/2006/relationships/hyperlink" Target="https://eur-lex.europa.eu/legal-content/ES/TXT/?uri=CELEX:52019DC0640" TargetMode="External"/><Relationship Id="rId74" Type="http://schemas.openxmlformats.org/officeDocument/2006/relationships/hyperlink" Target="https://eur-lex.europa.eu/legal-content/ES/TXT/HTML/?uri=CELEX:32009L0128" TargetMode="External"/><Relationship Id="rId128" Type="http://schemas.openxmlformats.org/officeDocument/2006/relationships/image" Target="media/image37.png"/><Relationship Id="rId149" Type="http://schemas.openxmlformats.org/officeDocument/2006/relationships/image" Target="media/image58.png"/><Relationship Id="rId5" Type="http://schemas.openxmlformats.org/officeDocument/2006/relationships/settings" Target="settings.xml"/><Relationship Id="rId95" Type="http://schemas.openxmlformats.org/officeDocument/2006/relationships/image" Target="media/image31.png"/><Relationship Id="rId160" Type="http://schemas.openxmlformats.org/officeDocument/2006/relationships/image" Target="media/image69.png"/><Relationship Id="rId181" Type="http://schemas.openxmlformats.org/officeDocument/2006/relationships/image" Target="media/image89.png"/><Relationship Id="rId22" Type="http://schemas.openxmlformats.org/officeDocument/2006/relationships/image" Target="media/image17.png"/><Relationship Id="rId43" Type="http://schemas.openxmlformats.org/officeDocument/2006/relationships/hyperlink" Target="https://ec.europa.eu/environment/strategy/environment-action-programme-2030_en" TargetMode="External"/><Relationship Id="rId64" Type="http://schemas.openxmlformats.org/officeDocument/2006/relationships/hyperlink" Target="https://eur-lex.europa.eu/LexUriServ/LexUriServ.do?uri=COM:2011:0244:FIN:ES:PDF" TargetMode="External"/><Relationship Id="rId118" Type="http://schemas.openxmlformats.org/officeDocument/2006/relationships/hyperlink" Target="https://es.euronews.com/my-europe/2024/01/25/bruselas-abre-un-dialogo-estrategico-con-el-sector-agricola" TargetMode="External"/><Relationship Id="rId139" Type="http://schemas.openxmlformats.org/officeDocument/2006/relationships/image" Target="media/image48.png"/><Relationship Id="rId85" Type="http://schemas.openxmlformats.org/officeDocument/2006/relationships/hyperlink" Target="https://eur-lex.europa.eu/legal-content/ES/TXT/PDF/?uri=CELEX:32004R0850&amp;from=ES" TargetMode="External"/><Relationship Id="rId150" Type="http://schemas.openxmlformats.org/officeDocument/2006/relationships/image" Target="media/image59.png"/><Relationship Id="rId171" Type="http://schemas.openxmlformats.org/officeDocument/2006/relationships/image" Target="media/image79.png"/><Relationship Id="rId192" Type="http://schemas.openxmlformats.org/officeDocument/2006/relationships/image" Target="media/image100.png"/><Relationship Id="rId12" Type="http://schemas.openxmlformats.org/officeDocument/2006/relationships/image" Target="media/image7.png"/><Relationship Id="rId33" Type="http://schemas.openxmlformats.org/officeDocument/2006/relationships/hyperlink" Target="https://ec.europa.eu/commission/presscorner/detail/es/ip_25_182" TargetMode="External"/><Relationship Id="rId108" Type="http://schemas.openxmlformats.org/officeDocument/2006/relationships/hyperlink" Target="https://www.eea.europa.eu/en/analysis/indicators/greenhouse-gas-emissions-from-agriculture?activeAccordion=309c5ef9-de09-4759-bc02-802370dfa366" TargetMode="External"/><Relationship Id="rId129" Type="http://schemas.openxmlformats.org/officeDocument/2006/relationships/image" Target="media/image38.png"/><Relationship Id="rId54" Type="http://schemas.openxmlformats.org/officeDocument/2006/relationships/hyperlink" Target="https://eur-lex.europa.eu/eli/reg/2021/1119/oj" TargetMode="External"/><Relationship Id="rId75" Type="http://schemas.openxmlformats.org/officeDocument/2006/relationships/hyperlink" Target="https://eur-lex.europa.eu/legal-content/ES/TXT/?uri=celex:32009R1107" TargetMode="External"/><Relationship Id="rId96" Type="http://schemas.openxmlformats.org/officeDocument/2006/relationships/image" Target="media/image32.png"/><Relationship Id="rId140" Type="http://schemas.openxmlformats.org/officeDocument/2006/relationships/image" Target="media/image49.png"/><Relationship Id="rId161" Type="http://schemas.openxmlformats.org/officeDocument/2006/relationships/image" Target="media/image70.png"/><Relationship Id="rId182" Type="http://schemas.openxmlformats.org/officeDocument/2006/relationships/image" Target="media/image90.png"/><Relationship Id="rId6" Type="http://schemas.openxmlformats.org/officeDocument/2006/relationships/webSettings" Target="webSettings.xml"/><Relationship Id="rId23" Type="http://schemas.openxmlformats.org/officeDocument/2006/relationships/image" Target="media/image18.png"/><Relationship Id="rId119" Type="http://schemas.openxmlformats.org/officeDocument/2006/relationships/hyperlink" Target="https://es.euronews.com/2024/03/26/los-agricultores-vuelven-a-manifestarse-en-bruselas-a-pesar-de-las-concesiones" TargetMode="External"/><Relationship Id="rId44" Type="http://schemas.openxmlformats.org/officeDocument/2006/relationships/hyperlink" Target="https://eur-lex.europa.eu/legal-content/ES/TXT/?uri=COM:2016:739:FIN" TargetMode="External"/><Relationship Id="rId65" Type="http://schemas.openxmlformats.org/officeDocument/2006/relationships/hyperlink" Target="https://eur-lex.europa.eu/legal-content/ES/TXT/?uri=CELEX:01992L0043-20130701" TargetMode="External"/><Relationship Id="rId86" Type="http://schemas.openxmlformats.org/officeDocument/2006/relationships/hyperlink" Target="https://eur-lex.europa.eu/legal-content/es/TXT/?uri=CELEX:32019R1021" TargetMode="External"/><Relationship Id="rId130" Type="http://schemas.openxmlformats.org/officeDocument/2006/relationships/image" Target="media/image39.png"/><Relationship Id="rId151" Type="http://schemas.openxmlformats.org/officeDocument/2006/relationships/image" Target="media/image60.png"/><Relationship Id="rId172" Type="http://schemas.openxmlformats.org/officeDocument/2006/relationships/image" Target="media/image80.png"/><Relationship Id="rId193" Type="http://schemas.openxmlformats.org/officeDocument/2006/relationships/image" Target="media/image101.png"/><Relationship Id="rId13" Type="http://schemas.openxmlformats.org/officeDocument/2006/relationships/image" Target="media/image8.png"/><Relationship Id="rId109" Type="http://schemas.openxmlformats.org/officeDocument/2006/relationships/hyperlink" Target="https://www.eea.europa.eu/publications/how-pesticides-impact-human-health" TargetMode="External"/><Relationship Id="rId34" Type="http://schemas.openxmlformats.org/officeDocument/2006/relationships/image" Target="media/image27.png"/><Relationship Id="rId50" Type="http://schemas.openxmlformats.org/officeDocument/2006/relationships/hyperlink" Target="https://eur-lex.europa.eu/legal-content/ES/TXT/?uri=CELEX:32018R0842" TargetMode="External"/><Relationship Id="rId55" Type="http://schemas.openxmlformats.org/officeDocument/2006/relationships/hyperlink" Target="https://eur-lex.europa.eu/legal-content/ES/TXT/?uri=CELEX%3A52020DC0562" TargetMode="External"/><Relationship Id="rId76" Type="http://schemas.openxmlformats.org/officeDocument/2006/relationships/hyperlink" Target="https://eur-lex.europa.eu/legal-content/ES/TXT/?uri=CELEX:32009R1185" TargetMode="External"/><Relationship Id="rId97" Type="http://schemas.openxmlformats.org/officeDocument/2006/relationships/image" Target="media/image33.jpeg"/><Relationship Id="rId104" Type="http://schemas.openxmlformats.org/officeDocument/2006/relationships/hyperlink" Target="https://ec.europa.eu/eurostat/statistics-explained/index.php?title=Farms%5Fand%5Ffarmland%5Fin%5Fthe%5FEuropean%5FUnion%5F-%5Fstatistics%23Farms%5Fin%5F2020" TargetMode="External"/><Relationship Id="rId120" Type="http://schemas.openxmlformats.org/officeDocument/2006/relationships/image" Target="media/image36.png"/><Relationship Id="rId125" Type="http://schemas.openxmlformats.org/officeDocument/2006/relationships/hyperlink" Target="https://www.bbva.com/es/sostenibilidad/que-es-la-energia-electrica/" TargetMode="External"/><Relationship Id="rId141" Type="http://schemas.openxmlformats.org/officeDocument/2006/relationships/image" Target="media/image50.png"/><Relationship Id="rId146" Type="http://schemas.openxmlformats.org/officeDocument/2006/relationships/image" Target="media/image55.png"/><Relationship Id="rId167" Type="http://schemas.openxmlformats.org/officeDocument/2006/relationships/image" Target="media/image75.png"/><Relationship Id="rId188" Type="http://schemas.openxmlformats.org/officeDocument/2006/relationships/image" Target="media/image96.png"/><Relationship Id="rId7" Type="http://schemas.openxmlformats.org/officeDocument/2006/relationships/image" Target="media/image2.png"/><Relationship Id="rId71" Type="http://schemas.openxmlformats.org/officeDocument/2006/relationships/hyperlink" Target="https://eur-lex.europa.eu/legal-content/ES/TXT/PDF/?uri=CELEX:32018R0841&amp;rid=1" TargetMode="External"/><Relationship Id="rId92" Type="http://schemas.openxmlformats.org/officeDocument/2006/relationships/hyperlink" Target="https://eur-lex.europa.eu/legal-content/ES/TXT/HTML/?uri=CELEX:32012R0259" TargetMode="External"/><Relationship Id="rId162" Type="http://schemas.openxmlformats.org/officeDocument/2006/relationships/image" Target="media/image71.png"/><Relationship Id="rId183" Type="http://schemas.openxmlformats.org/officeDocument/2006/relationships/image" Target="media/image91.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hyperlink" Target="https://eur-lex.europa.eu/legal-content/ES/TXT/?uri=CELEX:32021R1119&amp;qid=1698248323471" TargetMode="External"/><Relationship Id="rId45" Type="http://schemas.openxmlformats.org/officeDocument/2006/relationships/hyperlink" Target="https://ec.europa.eu/info/publications/reflection-paper-towards-sustainable-europe-2030_es" TargetMode="External"/><Relationship Id="rId66" Type="http://schemas.openxmlformats.org/officeDocument/2006/relationships/hyperlink" Target="https://www.eea.europa.eu/themes/biodiversity/natura-2000/the-natura-2000-protected-areas-network" TargetMode="External"/><Relationship Id="rId87" Type="http://schemas.openxmlformats.org/officeDocument/2006/relationships/hyperlink" Target="https://www.europarl.europa.eu/legislative-train/theme-a-european-green-deal/file-pops-regulation-revision-of-annexes-iv-and-v" TargetMode="External"/><Relationship Id="rId110" Type="http://schemas.openxmlformats.org/officeDocument/2006/relationships/hyperlink" Target="https://ec.europa.eu/eurostat/statistics-explained/index.php?title=Extra-EU%5Ftrade%5Fin%5Fagricultural%5Fgoods%23EU%5Ftrade%5Fin%5Fagricultural%5Fproducts%3A%5Fsurplus%5Fof%5F.E2.82.AC33%5Fbillion" TargetMode="External"/><Relationship Id="rId115" Type="http://schemas.openxmlformats.org/officeDocument/2006/relationships/hyperlink" Target="https://es.euronews.com/2024/02/28/los-agricultores-polacos-siguen-en-pie-de-guerra-contra-las-importaciones-ucranianas" TargetMode="External"/><Relationship Id="rId131" Type="http://schemas.openxmlformats.org/officeDocument/2006/relationships/image" Target="media/image40.png"/><Relationship Id="rId136" Type="http://schemas.openxmlformats.org/officeDocument/2006/relationships/image" Target="media/image45.png"/><Relationship Id="rId157" Type="http://schemas.openxmlformats.org/officeDocument/2006/relationships/image" Target="media/image66.png"/><Relationship Id="rId178" Type="http://schemas.openxmlformats.org/officeDocument/2006/relationships/image" Target="media/image86.png"/><Relationship Id="rId61" Type="http://schemas.openxmlformats.org/officeDocument/2006/relationships/hyperlink" Target="https://eur-lex.europa.eu/legal-content/ES/TXT/?uri=CELEX:52020DC0301" TargetMode="External"/><Relationship Id="rId82" Type="http://schemas.openxmlformats.org/officeDocument/2006/relationships/hyperlink" Target="https://food.ec.europa.eu/system/files/2022-06/pesticides_sud_eval_2022_reg_2022-305_en.pdf" TargetMode="External"/><Relationship Id="rId152" Type="http://schemas.openxmlformats.org/officeDocument/2006/relationships/image" Target="media/image61.png"/><Relationship Id="rId173" Type="http://schemas.openxmlformats.org/officeDocument/2006/relationships/image" Target="media/image81.png"/><Relationship Id="rId194"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28.png"/><Relationship Id="rId56" Type="http://schemas.openxmlformats.org/officeDocument/2006/relationships/hyperlink" Target="https://eur-lex.europa.eu/legal-content/ES/TXT/?uri=CELEX:52020DC0021" TargetMode="External"/><Relationship Id="rId77" Type="http://schemas.openxmlformats.org/officeDocument/2006/relationships/hyperlink" Target="https://www.efsa.europa.eu/sites/default/files/2023-08/glyphosate-fact-sheet-es.pdf" TargetMode="External"/><Relationship Id="rId100" Type="http://schemas.openxmlformats.org/officeDocument/2006/relationships/hyperlink" Target="https://es.euronews.com/green/2024/02/06/von-der-leyen-anuncia-la-retirada-de-la-polemica-ley-de-pesticidas-europea-la-primera-derr" TargetMode="External"/><Relationship Id="rId105" Type="http://schemas.openxmlformats.org/officeDocument/2006/relationships/hyperlink" Target="https://agriculture.ec.europa.eu/common-agricultural-policy/cap-overview/cap-glance%5Fen" TargetMode="External"/><Relationship Id="rId126" Type="http://schemas.openxmlformats.org/officeDocument/2006/relationships/hyperlink" Target="https://www.bbva.com/es/es/bbva-se-adhiere-en-espana-al-manifiesto-por-una-recuperacion-economica-sostenible/" TargetMode="External"/><Relationship Id="rId147" Type="http://schemas.openxmlformats.org/officeDocument/2006/relationships/image" Target="media/image56.png"/><Relationship Id="rId168" Type="http://schemas.openxmlformats.org/officeDocument/2006/relationships/image" Target="media/image76.png"/><Relationship Id="rId8" Type="http://schemas.openxmlformats.org/officeDocument/2006/relationships/image" Target="media/image3.png"/><Relationship Id="rId51" Type="http://schemas.openxmlformats.org/officeDocument/2006/relationships/hyperlink" Target="https://eur-lex.europa.eu/legal-content/ES/TXT/?uri=CELEX:32018R0841" TargetMode="External"/><Relationship Id="rId72" Type="http://schemas.openxmlformats.org/officeDocument/2006/relationships/hyperlink" Target="https://eur-lex.europa.eu/eli/reg/2023/839/oj?locale=es" TargetMode="External"/><Relationship Id="rId93" Type="http://schemas.openxmlformats.org/officeDocument/2006/relationships/hyperlink" Target="https://single-market-economy.ec.europa.eu/publications/com2023217-proposal-regulation-detergents-and-surfactants_es" TargetMode="External"/><Relationship Id="rId98" Type="http://schemas.openxmlformats.org/officeDocument/2006/relationships/image" Target="media/image34.jpeg"/><Relationship Id="rId121" Type="http://schemas.openxmlformats.org/officeDocument/2006/relationships/hyperlink" Target="https://es.euronews.com/business/2023/10/11/sacrifica-la-ue-el-bienestar-animal-para-atajar-la-crisis-del-coste-de-la-vida" TargetMode="External"/><Relationship Id="rId142" Type="http://schemas.openxmlformats.org/officeDocument/2006/relationships/image" Target="media/image51.png"/><Relationship Id="rId163" Type="http://schemas.openxmlformats.org/officeDocument/2006/relationships/image" Target="media/image72.png"/><Relationship Id="rId184" Type="http://schemas.openxmlformats.org/officeDocument/2006/relationships/image" Target="media/image92.png"/><Relationship Id="rId189" Type="http://schemas.openxmlformats.org/officeDocument/2006/relationships/image" Target="media/image97.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hyperlink" Target="https://www.europarl.europa.eu/doceo/document/TA-8-2019-0220_ES.html?redirect" TargetMode="External"/><Relationship Id="rId67" Type="http://schemas.openxmlformats.org/officeDocument/2006/relationships/hyperlink" Target="https://eur-lex.europa.eu/legal-content/ES/TXT/?uri=CELEX:02009L0147-20190626" TargetMode="External"/><Relationship Id="rId116" Type="http://schemas.openxmlformats.org/officeDocument/2006/relationships/image" Target="media/image35.png"/><Relationship Id="rId137" Type="http://schemas.openxmlformats.org/officeDocument/2006/relationships/image" Target="media/image46.png"/><Relationship Id="rId158" Type="http://schemas.openxmlformats.org/officeDocument/2006/relationships/image" Target="media/image67.png"/><Relationship Id="rId20" Type="http://schemas.openxmlformats.org/officeDocument/2006/relationships/image" Target="media/image15.png"/><Relationship Id="rId41" Type="http://schemas.openxmlformats.org/officeDocument/2006/relationships/hyperlink" Target="https://eur-lex.europa.eu/ES/legal-content/glossary/precautionary-principle.html" TargetMode="External"/><Relationship Id="rId62" Type="http://schemas.openxmlformats.org/officeDocument/2006/relationships/hyperlink" Target="https://eur-lex.europa.eu/legal-content/ES/TXT/?uri=COM:2021:82:FIN" TargetMode="External"/><Relationship Id="rId83" Type="http://schemas.openxmlformats.org/officeDocument/2006/relationships/hyperlink" Target="https://eur-lex.europa.eu/legal-content/ES/TXT/?uri=celex:32012R0528" TargetMode="External"/><Relationship Id="rId88" Type="http://schemas.openxmlformats.org/officeDocument/2006/relationships/hyperlink" Target="https://eur-lex.europa.eu/legal-content/es/TXT/?uri=CELEX:32009L0148" TargetMode="External"/><Relationship Id="rId111" Type="http://schemas.openxmlformats.org/officeDocument/2006/relationships/hyperlink" Target="https://agriculture.ec.europa.eu/data-and-analysis/markets/outlook/medium-term%5Fen" TargetMode="External"/><Relationship Id="rId132" Type="http://schemas.openxmlformats.org/officeDocument/2006/relationships/image" Target="media/image41.png"/><Relationship Id="rId153" Type="http://schemas.openxmlformats.org/officeDocument/2006/relationships/image" Target="media/image62.png"/><Relationship Id="rId174" Type="http://schemas.openxmlformats.org/officeDocument/2006/relationships/image" Target="media/image82.png"/><Relationship Id="rId179" Type="http://schemas.openxmlformats.org/officeDocument/2006/relationships/image" Target="media/image87.png"/><Relationship Id="rId195" Type="http://schemas.openxmlformats.org/officeDocument/2006/relationships/theme" Target="theme/theme1.xml"/><Relationship Id="rId190" Type="http://schemas.openxmlformats.org/officeDocument/2006/relationships/image" Target="media/image98.png"/><Relationship Id="rId15" Type="http://schemas.openxmlformats.org/officeDocument/2006/relationships/image" Target="media/image10.png"/><Relationship Id="rId36" Type="http://schemas.openxmlformats.org/officeDocument/2006/relationships/image" Target="media/image29.png"/><Relationship Id="rId57" Type="http://schemas.openxmlformats.org/officeDocument/2006/relationships/hyperlink" Target="https://eur-lex.europa.eu/legal-content/ES/TXT/?uri=COM:2020:788:FIN" TargetMode="External"/><Relationship Id="rId106" Type="http://schemas.openxmlformats.org/officeDocument/2006/relationships/hyperlink" Target="https://climate.ec.europa.eu/news-your-voice/news/looking-how-mitigate-emissions-agriculture-2023-11-13%5Fen" TargetMode="External"/><Relationship Id="rId127" Type="http://schemas.openxmlformats.org/officeDocument/2006/relationships/hyperlink" Target="https://www.bbva.com/es/sostenibilidad/la-movilidad-sostenible-tambien-se-logra-a-pie/" TargetMode="External"/><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hyperlink" Target="https://eur-lex.europa.eu/legal-content/ES/TXT/?uri=CELEX:52019DC0640" TargetMode="External"/><Relationship Id="rId73" Type="http://schemas.openxmlformats.org/officeDocument/2006/relationships/hyperlink" Target="https://op.europa.eu/en/publication-detail/-/publication/a21ad24a-eaff-11ed-a05c-01aa75ed71a1/language-en" TargetMode="External"/><Relationship Id="rId78" Type="http://schemas.openxmlformats.org/officeDocument/2006/relationships/hyperlink" Target="https://food.ec.europa.eu/plants/pesticides/approval-active-substances/renewal-approval/glyphosate_es" TargetMode="External"/><Relationship Id="rId94" Type="http://schemas.openxmlformats.org/officeDocument/2006/relationships/hyperlink" Target="https://eur-lex.europa.eu/legal-content/ES/ALL/?uri=CELEX:32006R0907" TargetMode="External"/><Relationship Id="rId99" Type="http://schemas.openxmlformats.org/officeDocument/2006/relationships/hyperlink" Target="https://es.euronews.com/2024/01/24/davos-como-sera-el-futuro-del-pacto-verde-europeo" TargetMode="External"/><Relationship Id="rId101" Type="http://schemas.openxmlformats.org/officeDocument/2006/relationships/hyperlink" Target="https://ec.europa.eu/eurostat/statistics-explained/index.php?title=Performance%5Fof%5Fthe%5Fagricultural%5Fsector%23Value%5Fof%5Fagricultural%5Foutput" TargetMode="External"/><Relationship Id="rId122" Type="http://schemas.openxmlformats.org/officeDocument/2006/relationships/hyperlink" Target="https://ec.europa.eu/info/strategy/priorities-2019-2024/european-green-deal_es" TargetMode="External"/><Relationship Id="rId143" Type="http://schemas.openxmlformats.org/officeDocument/2006/relationships/image" Target="media/image52.png"/><Relationship Id="rId148" Type="http://schemas.openxmlformats.org/officeDocument/2006/relationships/image" Target="media/image57.png"/><Relationship Id="rId164" Type="http://schemas.openxmlformats.org/officeDocument/2006/relationships/hyperlink" Target="https://efeagro.com/acuerdo-pesca-arrastre/" TargetMode="External"/><Relationship Id="rId169" Type="http://schemas.openxmlformats.org/officeDocument/2006/relationships/image" Target="media/image77.png"/><Relationship Id="rId185" Type="http://schemas.openxmlformats.org/officeDocument/2006/relationships/image" Target="media/image93.png"/><Relationship Id="rId4" Type="http://schemas.microsoft.com/office/2007/relationships/stylesWithEffects" Target="stylesWithEffects.xml"/><Relationship Id="rId9" Type="http://schemas.openxmlformats.org/officeDocument/2006/relationships/image" Target="media/image4.png"/><Relationship Id="rId180" Type="http://schemas.openxmlformats.org/officeDocument/2006/relationships/image" Target="media/image88.png"/><Relationship Id="rId26" Type="http://schemas.openxmlformats.org/officeDocument/2006/relationships/image" Target="media/image21.png"/><Relationship Id="rId47" Type="http://schemas.openxmlformats.org/officeDocument/2006/relationships/hyperlink" Target="https://ec.europa.eu/environment/strategy/biodiversity-strategy-2030_en" TargetMode="External"/><Relationship Id="rId68" Type="http://schemas.openxmlformats.org/officeDocument/2006/relationships/hyperlink" Target="https://eur-lex.europa.eu/legal-content/ES/TXT/?uri=CELEX:32008L0056" TargetMode="External"/><Relationship Id="rId89" Type="http://schemas.openxmlformats.org/officeDocument/2006/relationships/hyperlink" Target="https://eur-lex.europa.eu/legal-content/ES/TXT/HTML/?uri=CELEX:52022DC0488" TargetMode="External"/><Relationship Id="rId112" Type="http://schemas.openxmlformats.org/officeDocument/2006/relationships/hyperlink" Target="https://twitter.com/gerardofortuna" TargetMode="External"/><Relationship Id="rId133" Type="http://schemas.openxmlformats.org/officeDocument/2006/relationships/image" Target="media/image42.png"/><Relationship Id="rId154" Type="http://schemas.openxmlformats.org/officeDocument/2006/relationships/image" Target="media/image63.png"/><Relationship Id="rId175" Type="http://schemas.openxmlformats.org/officeDocument/2006/relationships/image" Target="media/image83.png"/><Relationship Id="rId16" Type="http://schemas.openxmlformats.org/officeDocument/2006/relationships/image" Target="media/image11.png"/><Relationship Id="rId37" Type="http://schemas.openxmlformats.org/officeDocument/2006/relationships/image" Target="media/image30.jpeg"/><Relationship Id="rId58" Type="http://schemas.openxmlformats.org/officeDocument/2006/relationships/hyperlink" Target="https://eur-lex.europa.eu/legal-content/ES/TXT/?uri=CELEX:52020PC0022&amp;qid=1715155335078" TargetMode="External"/><Relationship Id="rId79" Type="http://schemas.openxmlformats.org/officeDocument/2006/relationships/hyperlink" Target="https://food.ec.europa.eu/horizontal-topics/farm-fork-strategy_en" TargetMode="External"/><Relationship Id="rId102" Type="http://schemas.openxmlformats.org/officeDocument/2006/relationships/hyperlink" Target="https://es.euronews.com/tag/rusia-ucrania-invasion" TargetMode="External"/><Relationship Id="rId123" Type="http://schemas.openxmlformats.org/officeDocument/2006/relationships/hyperlink" Target="https://www.bbva.com/es/es/sostenibilidad/diez-claves-para-entender-la-ley-de-cambio-climatico-en-espana/" TargetMode="External"/><Relationship Id="rId144" Type="http://schemas.openxmlformats.org/officeDocument/2006/relationships/image" Target="media/image53.png"/><Relationship Id="rId90" Type="http://schemas.openxmlformats.org/officeDocument/2006/relationships/hyperlink" Target="https://eur-lex.europa.eu/legal-content/EN/TXT/?uri=CELEX:52022SC0311&amp;qid=1664549163753" TargetMode="External"/><Relationship Id="rId165" Type="http://schemas.openxmlformats.org/officeDocument/2006/relationships/image" Target="media/image73.png"/><Relationship Id="rId186" Type="http://schemas.openxmlformats.org/officeDocument/2006/relationships/image" Target="media/image94.png"/><Relationship Id="rId27" Type="http://schemas.openxmlformats.org/officeDocument/2006/relationships/image" Target="media/image22.png"/><Relationship Id="rId48" Type="http://schemas.openxmlformats.org/officeDocument/2006/relationships/hyperlink" Target="https://www.europarl.europa.eu/news/es/press-room/20240223IPR18078/nature-restoration-parliament-adopts-law-to-restore-20-of-eu-s-land-and-sea" TargetMode="External"/><Relationship Id="rId69" Type="http://schemas.openxmlformats.org/officeDocument/2006/relationships/hyperlink" Target="https://eur-lex.europa.eu/legal-content/ES/TXT/?uri=CELEX:32017L0845" TargetMode="External"/><Relationship Id="rId113" Type="http://schemas.openxmlformats.org/officeDocument/2006/relationships/hyperlink" Target="https://es.euronews.com/my-europe/2024/02/07/los-eurodiputados-piden-repensar-la-politica-agricola-comun" TargetMode="External"/><Relationship Id="rId134" Type="http://schemas.openxmlformats.org/officeDocument/2006/relationships/image" Target="media/image43.png"/><Relationship Id="rId80" Type="http://schemas.openxmlformats.org/officeDocument/2006/relationships/hyperlink" Target="https://environment.ec.europa.eu/strategy/biodiversity-strategy-2030_en" TargetMode="External"/><Relationship Id="rId155" Type="http://schemas.openxmlformats.org/officeDocument/2006/relationships/image" Target="media/image64.png"/><Relationship Id="rId176" Type="http://schemas.openxmlformats.org/officeDocument/2006/relationships/image" Target="media/image84.png"/><Relationship Id="rId17" Type="http://schemas.openxmlformats.org/officeDocument/2006/relationships/image" Target="media/image12.png"/><Relationship Id="rId38" Type="http://schemas.openxmlformats.org/officeDocument/2006/relationships/hyperlink" Target="https://eur-lex.europa.eu/legal-content/ES/TXT/?uri=CELEX:12007L/TXT" TargetMode="External"/><Relationship Id="rId59" Type="http://schemas.openxmlformats.org/officeDocument/2006/relationships/hyperlink" Target="https://eur-lex.europa.eu/legal-content/ES/TXT/?uri=CELEX:52020PC0824" TargetMode="External"/><Relationship Id="rId103" Type="http://schemas.openxmlformats.org/officeDocument/2006/relationships/hyperlink" Target="https://ec.europa.eu/eurostat/statistics-explained/index.php?title=Farmers%5Fand%5Fthe%5Fagricultural%5Flabour%5Fforce%5F-%5Fstatistics%23Agriculture%5Fremains%5Fa%5Fbig%5Femployer%5Fin%5Fthe%5FEU.3B%5Fabout%5F8.7%5Fmillion%5Fpeople%5Fwork%5Fin%5Fagriculture" TargetMode="External"/><Relationship Id="rId124" Type="http://schemas.openxmlformats.org/officeDocument/2006/relationships/hyperlink" Target="https://www.bbva.com/es/sostenibilidad/que-es-la-sostenibilidad-un-camino-urgente-y-sin-marcha-atras/" TargetMode="External"/><Relationship Id="rId70" Type="http://schemas.openxmlformats.org/officeDocument/2006/relationships/hyperlink" Target="https://eur-lex.europa.eu/legal-content/ES/TXT/?uri=CELEX:02010R0995-20200101" TargetMode="External"/><Relationship Id="rId91" Type="http://schemas.openxmlformats.org/officeDocument/2006/relationships/hyperlink" Target="https://eur-lex.europa.eu/legal-content/es/ALL/?uri=CELEX:32004R0648" TargetMode="External"/><Relationship Id="rId145" Type="http://schemas.openxmlformats.org/officeDocument/2006/relationships/image" Target="media/image54.png"/><Relationship Id="rId166" Type="http://schemas.openxmlformats.org/officeDocument/2006/relationships/image" Target="media/image74.png"/><Relationship Id="rId187" Type="http://schemas.openxmlformats.org/officeDocument/2006/relationships/image" Target="media/image95.png"/><Relationship Id="rId1" Type="http://schemas.openxmlformats.org/officeDocument/2006/relationships/customXml" Target="../customXml/item1.xml"/><Relationship Id="rId28" Type="http://schemas.openxmlformats.org/officeDocument/2006/relationships/image" Target="media/image23.png"/><Relationship Id="rId49" Type="http://schemas.openxmlformats.org/officeDocument/2006/relationships/hyperlink" Target="https://www.europarl.europa.eu/doceo/document/TA-9-2021-0425_ES.html" TargetMode="External"/><Relationship Id="rId114" Type="http://schemas.openxmlformats.org/officeDocument/2006/relationships/hyperlink" Target="https://es.euronews.com/my-europe/2024/02/13/todo-lo-que-debe-saber-sobre-el-sector-agrario-de-la-ue" TargetMode="External"/><Relationship Id="rId60" Type="http://schemas.openxmlformats.org/officeDocument/2006/relationships/hyperlink" Target="https://eur-lex.europa.eu/legal-content/ES/ALL/?uri=CELEX:52020DC0299" TargetMode="External"/><Relationship Id="rId81" Type="http://schemas.openxmlformats.org/officeDocument/2006/relationships/hyperlink" Target="https://food.ec.europa.eu/system/files/2022-06/pesticides_sud_eval_2022_reg_2022-305_en.pdf" TargetMode="External"/><Relationship Id="rId135" Type="http://schemas.openxmlformats.org/officeDocument/2006/relationships/image" Target="media/image44.png"/><Relationship Id="rId156" Type="http://schemas.openxmlformats.org/officeDocument/2006/relationships/image" Target="media/image65.png"/><Relationship Id="rId177" Type="http://schemas.openxmlformats.org/officeDocument/2006/relationships/image" Target="media/image85.png"/><Relationship Id="rId18" Type="http://schemas.openxmlformats.org/officeDocument/2006/relationships/image" Target="media/image13.png"/><Relationship Id="rId39" Type="http://schemas.openxmlformats.org/officeDocument/2006/relationships/hyperlink" Target="https://eur-lex.europa.eu/legal-content/ES/TXT/?uri=CELEX:52019DC064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FBF79D-8C17-4058-A356-A896595BC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127</Pages>
  <Words>47003</Words>
  <Characters>258522</Characters>
  <Application>Microsoft Office Word</Application>
  <DocSecurity>0</DocSecurity>
  <Lines>2154</Lines>
  <Paragraphs>609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304916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2025-03-07T14:37:00Z</dcterms:created>
  <dcterms:modified xsi:type="dcterms:W3CDTF">2025-03-07T14:37:00Z</dcterms:modified>
</cp:coreProperties>
</file>