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4C1A" w:rsidRDefault="00964C1A">
      <w:pPr>
        <w:rPr>
          <w:rFonts w:ascii="Times New Roman" w:hAnsi="Times New Roman" w:cs="Times New Roman"/>
          <w:b/>
          <w:sz w:val="24"/>
          <w:szCs w:val="24"/>
        </w:rPr>
      </w:pPr>
      <w:r w:rsidRPr="00964C1A">
        <w:rPr>
          <w:rFonts w:ascii="Times New Roman" w:hAnsi="Times New Roman" w:cs="Times New Roman"/>
          <w:b/>
          <w:sz w:val="24"/>
          <w:szCs w:val="24"/>
        </w:rPr>
        <w:t>Paper</w:t>
      </w:r>
      <w:r w:rsidR="001B40A3">
        <w:rPr>
          <w:rFonts w:ascii="Times New Roman" w:hAnsi="Times New Roman" w:cs="Times New Roman"/>
          <w:b/>
          <w:sz w:val="24"/>
          <w:szCs w:val="24"/>
        </w:rPr>
        <w:t xml:space="preserve"> - </w:t>
      </w:r>
      <w:r w:rsidRPr="00964C1A">
        <w:rPr>
          <w:rFonts w:ascii="Times New Roman" w:hAnsi="Times New Roman" w:cs="Times New Roman"/>
          <w:b/>
          <w:sz w:val="24"/>
          <w:szCs w:val="24"/>
        </w:rPr>
        <w:t xml:space="preserve"> ¡Ay, Europa!</w:t>
      </w:r>
      <w:r>
        <w:rPr>
          <w:rFonts w:ascii="Times New Roman" w:hAnsi="Times New Roman" w:cs="Times New Roman"/>
          <w:b/>
          <w:sz w:val="24"/>
          <w:szCs w:val="24"/>
        </w:rPr>
        <w:t xml:space="preserve"> - Lo que Europa necesita</w:t>
      </w:r>
      <w:r w:rsidR="006047AE">
        <w:rPr>
          <w:rFonts w:ascii="Times New Roman" w:hAnsi="Times New Roman" w:cs="Times New Roman"/>
          <w:b/>
          <w:sz w:val="24"/>
          <w:szCs w:val="24"/>
        </w:rPr>
        <w:t>(ría)</w:t>
      </w:r>
      <w:r>
        <w:rPr>
          <w:rFonts w:ascii="Times New Roman" w:hAnsi="Times New Roman" w:cs="Times New Roman"/>
          <w:b/>
          <w:sz w:val="24"/>
          <w:szCs w:val="24"/>
        </w:rPr>
        <w:t xml:space="preserve"> para crecer</w:t>
      </w:r>
    </w:p>
    <w:p w:rsidR="008865A5" w:rsidRDefault="008865A5" w:rsidP="008865A5">
      <w:pPr>
        <w:spacing w:line="240" w:lineRule="auto"/>
        <w:jc w:val="both"/>
        <w:rPr>
          <w:rFonts w:ascii="Times New Roman" w:hAnsi="Times New Roman" w:cs="Times New Roman"/>
          <w:color w:val="FF0000"/>
          <w:sz w:val="24"/>
          <w:szCs w:val="24"/>
        </w:rPr>
      </w:pPr>
      <w:r>
        <w:rPr>
          <w:noProof/>
          <w:lang w:eastAsia="es-ES"/>
        </w:rPr>
        <w:drawing>
          <wp:inline distT="0" distB="0" distL="0" distR="0">
            <wp:extent cx="5657850" cy="3486150"/>
            <wp:effectExtent l="0" t="0" r="0" b="0"/>
            <wp:docPr id="1" name="Imagen 1" descr="Press conference by Ursula von der Leyen, President of the European Commission, and Peter Strohschneider, Chairman of the Strategic Dialogue on the Future of EU Agriculture, on the publication of the final report of the Strategic Dialogue on the Fu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ss conference by Ursula von der Leyen, President of the European Commission, and Peter Strohschneider, Chairman of the Strategic Dialogue on the Future of EU Agriculture, on the publication of the final report of the Strategic Dialogue on the Futur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655344" cy="3484606"/>
                    </a:xfrm>
                    <a:prstGeom prst="rect">
                      <a:avLst/>
                    </a:prstGeom>
                    <a:noFill/>
                    <a:ln>
                      <a:noFill/>
                    </a:ln>
                  </pic:spPr>
                </pic:pic>
              </a:graphicData>
            </a:graphic>
          </wp:inline>
        </w:drawing>
      </w:r>
    </w:p>
    <w:p w:rsidR="00A01FC2" w:rsidRPr="001B40A3" w:rsidRDefault="00A01FC2" w:rsidP="00A01FC2">
      <w:pPr>
        <w:pStyle w:val="NormalWeb"/>
        <w:spacing w:after="0"/>
        <w:jc w:val="both"/>
      </w:pPr>
      <w:r w:rsidRPr="001B40A3">
        <w:t>La Unión Europea lleva más de un año enfrascada en un diálogo sobre la competitividad. Obsesionada por la pérdida de terreno frente a Estados Unidos y China, </w:t>
      </w:r>
      <w:r w:rsidRPr="001B40A3">
        <w:rPr>
          <w:rStyle w:val="Textoennegrita"/>
        </w:rPr>
        <w:t>Ursula von der Leyen</w:t>
      </w:r>
      <w:r w:rsidRPr="001B40A3">
        <w:t>, presidenta de la </w:t>
      </w:r>
      <w:hyperlink r:id="rId8" w:tgtFrame="_self" w:history="1">
        <w:r w:rsidRPr="001B40A3">
          <w:rPr>
            <w:rStyle w:val="Hipervnculo"/>
            <w:bCs/>
            <w:color w:val="auto"/>
            <w:u w:val="none"/>
          </w:rPr>
          <w:t>Comisión Europea</w:t>
        </w:r>
      </w:hyperlink>
      <w:r w:rsidRPr="001B40A3">
        <w:t>,</w:t>
      </w:r>
      <w:r w:rsidRPr="001B40A3">
        <w:rPr>
          <w:rStyle w:val="Textoennegrita"/>
        </w:rPr>
        <w:t> y Charles Michel</w:t>
      </w:r>
      <w:r w:rsidRPr="001B40A3">
        <w:t>, presidente del Consejo Europeo, pidieron dos informes a dos ilustres antiguos primeros ministros italianos, </w:t>
      </w:r>
      <w:r w:rsidRPr="001B40A3">
        <w:rPr>
          <w:rStyle w:val="Textoennegrita"/>
        </w:rPr>
        <w:t>Mario Draghi y Enrico Letta</w:t>
      </w:r>
      <w:r w:rsidRPr="001B40A3">
        <w:t>, sobre la situación de la UE y cómo revertir la pérdida de competitividad. Los dos apuntaron a un hecho clave en ambos análisis: si se quiere reaccionar es necesario contar con los mercados financieros. La inversión privada necesitará del apoyo de la pública para </w:t>
      </w:r>
      <w:r w:rsidR="00E94A22" w:rsidRPr="001B40A3">
        <w:rPr>
          <w:rStyle w:val="Textoennegrita"/>
          <w:b w:val="0"/>
        </w:rPr>
        <w:t>poder “</w:t>
      </w:r>
      <w:r w:rsidR="00402267" w:rsidRPr="001B40A3">
        <w:rPr>
          <w:rStyle w:val="Textoennegrita"/>
          <w:b w:val="0"/>
        </w:rPr>
        <w:t>cerrar la brecha”</w:t>
      </w:r>
      <w:r w:rsidRPr="001B40A3">
        <w:rPr>
          <w:b/>
        </w:rPr>
        <w:t>,</w:t>
      </w:r>
      <w:r w:rsidRPr="001B40A3">
        <w:t xml:space="preserve"> aunque sea de manera parcial, con los americanos o los chinos, pero sin la inversión privada el esfuerzo será imposible. Ambos coinciden en ello.</w:t>
      </w:r>
      <w:r w:rsidR="00E94A22" w:rsidRPr="001B40A3">
        <w:t xml:space="preserve"> </w:t>
      </w:r>
    </w:p>
    <w:p w:rsidR="00A01FC2" w:rsidRPr="001B40A3" w:rsidRDefault="00A01FC2" w:rsidP="00A01FC2">
      <w:pPr>
        <w:pStyle w:val="NormalWeb"/>
        <w:spacing w:after="0"/>
        <w:jc w:val="both"/>
      </w:pPr>
      <w:r w:rsidRPr="001B40A3">
        <w:t>Aunque los europeos llevamos ya una temporada siendo más pobres que los estadounidenses, la diferencia era hasta hace poco modesta y se consideraba más un signo de distinción que una manifestación de incapacidad. Los estadounidenses eran como esos nuevos ricos que carecen de cualquier refinamiento y se matan a trabajar para hacer luego ostentación de sus gigantescos monovolúmenes y de sus casas descomunales, mientras que nosotros, los europeos, apreciamos más el tiempo libre, el buen vino y, por supuesto, la culture.</w:t>
      </w:r>
    </w:p>
    <w:p w:rsidR="00A01FC2" w:rsidRPr="001B40A3" w:rsidRDefault="00A01FC2" w:rsidP="00A01FC2">
      <w:pPr>
        <w:pStyle w:val="NormalWeb"/>
        <w:spacing w:after="0"/>
        <w:jc w:val="both"/>
      </w:pPr>
      <w:r w:rsidRPr="001B40A3">
        <w:t>Pero en lo que va de siglo la brecha entre el PIB per cápita de Europa y el de Estados Unidos no ha hecho más que agrandarse y en ningún caso puede calificarse ya de modesta. Un estudio de</w:t>
      </w:r>
      <w:r w:rsidRPr="001B40A3">
        <w:rPr>
          <w:b/>
        </w:rPr>
        <w:t xml:space="preserve"> Ecipe, el Centro Europeo de Economía Política Internacional</w:t>
      </w:r>
      <w:r w:rsidRPr="001B40A3">
        <w:t>, alertaba el año pasado de que, si las actuales tasas de progresión se mantienen, con Estados Unidos creciendo a ritmos anuales del 3% y Europa a ritmos del 0,5%, en 2035 el PIB per cápita medio de los estadounidenses será de 96.000 dólares y el de los europeos de 60.000 dólare</w:t>
      </w:r>
      <w:r w:rsidR="003D21EF" w:rsidRPr="001B40A3">
        <w:t>s, que es “</w:t>
      </w:r>
      <w:r w:rsidRPr="001B40A3">
        <w:t>la misma diferencia (…) que e</w:t>
      </w:r>
      <w:r w:rsidR="003D21EF" w:rsidRPr="001B40A3">
        <w:t>xiste hoy entre Japón y Ecuador”</w:t>
      </w:r>
      <w:r w:rsidRPr="001B40A3">
        <w:t>.</w:t>
      </w:r>
    </w:p>
    <w:p w:rsidR="00A01FC2" w:rsidRPr="001B40A3" w:rsidRDefault="00A01FC2" w:rsidP="00A01FC2">
      <w:pPr>
        <w:pStyle w:val="NormalWeb"/>
        <w:spacing w:after="0"/>
        <w:jc w:val="both"/>
      </w:pPr>
      <w:r w:rsidRPr="001B40A3">
        <w:lastRenderedPageBreak/>
        <w:t>Como diría Vargas Llosa, ¿en qué momento se jodió la Unión Europea? Y sobre todo, ¿qué se puede hacer para revertir el declive? ¿qué probabilidades tiene</w:t>
      </w:r>
      <w:r w:rsidR="00E94A22" w:rsidRPr="001B40A3">
        <w:t>n</w:t>
      </w:r>
      <w:r w:rsidRPr="001B40A3">
        <w:t xml:space="preserve"> de salir </w:t>
      </w:r>
      <w:r w:rsidR="00E94A22" w:rsidRPr="001B40A3">
        <w:t xml:space="preserve">adelante las propuestas de </w:t>
      </w:r>
      <w:r w:rsidR="00E94A22" w:rsidRPr="001B40A3">
        <w:rPr>
          <w:b/>
        </w:rPr>
        <w:t xml:space="preserve">Peter Strohschneider </w:t>
      </w:r>
      <w:r w:rsidR="00E94A22" w:rsidRPr="001B40A3">
        <w:t>(agricultura y ali</w:t>
      </w:r>
      <w:r w:rsidR="00402267" w:rsidRPr="001B40A3">
        <w:t>m</w:t>
      </w:r>
      <w:r w:rsidR="00E94A22" w:rsidRPr="001B40A3">
        <w:t xml:space="preserve">entación), de </w:t>
      </w:r>
      <w:r w:rsidR="00E94A22" w:rsidRPr="001B40A3">
        <w:rPr>
          <w:b/>
        </w:rPr>
        <w:t xml:space="preserve">Enrico Letta </w:t>
      </w:r>
      <w:r w:rsidR="00E94A22" w:rsidRPr="001B40A3">
        <w:t xml:space="preserve">(mercado), y/o de </w:t>
      </w:r>
      <w:r w:rsidR="00E94A22" w:rsidRPr="001B40A3">
        <w:rPr>
          <w:b/>
        </w:rPr>
        <w:t xml:space="preserve">Mario Draghi </w:t>
      </w:r>
      <w:r w:rsidR="00E94A22" w:rsidRPr="001B40A3">
        <w:t>(competitividad)</w:t>
      </w:r>
      <w:r w:rsidR="00963EFB" w:rsidRPr="001B40A3">
        <w:t>?</w:t>
      </w:r>
      <w:r w:rsidR="00E94A22" w:rsidRPr="001B40A3">
        <w:t xml:space="preserve">. </w:t>
      </w:r>
    </w:p>
    <w:p w:rsidR="00402267" w:rsidRPr="001B40A3" w:rsidRDefault="00402267" w:rsidP="00402267">
      <w:pPr>
        <w:pStyle w:val="NormalWeb"/>
        <w:shd w:val="clear" w:color="auto" w:fill="FFFFFF"/>
        <w:spacing w:after="300"/>
        <w:jc w:val="both"/>
      </w:pPr>
      <w:r w:rsidRPr="001B40A3">
        <w:rPr>
          <w:b/>
        </w:rPr>
        <w:t xml:space="preserve">Nota: </w:t>
      </w:r>
      <w:r w:rsidRPr="001B40A3">
        <w:t xml:space="preserve">por la importancia del tema se incluye el análisis crítico del Informe del diálogo estratégico sobre el futuro de la agricultura en la UE, puesto en marcha en enero de 2024, dirigido por el experto encargado </w:t>
      </w:r>
      <w:r w:rsidRPr="001B40A3">
        <w:rPr>
          <w:b/>
        </w:rPr>
        <w:t>Peter Strohschneider</w:t>
      </w:r>
      <w:r w:rsidRPr="001B40A3">
        <w:t>.</w:t>
      </w:r>
    </w:p>
    <w:p w:rsidR="00A01FC2" w:rsidRPr="001B40A3" w:rsidRDefault="00A01FC2" w:rsidP="00A01FC2">
      <w:pPr>
        <w:spacing w:line="240" w:lineRule="auto"/>
        <w:jc w:val="both"/>
        <w:rPr>
          <w:rFonts w:ascii="Times New Roman" w:hAnsi="Times New Roman" w:cs="Times New Roman"/>
          <w:sz w:val="24"/>
          <w:szCs w:val="24"/>
        </w:rPr>
      </w:pPr>
      <w:r w:rsidRPr="001B40A3">
        <w:rPr>
          <w:rFonts w:ascii="Times New Roman" w:hAnsi="Times New Roman" w:cs="Times New Roman"/>
          <w:b/>
          <w:sz w:val="24"/>
          <w:szCs w:val="24"/>
        </w:rPr>
        <w:t>Respuesta (imaginaria)</w:t>
      </w:r>
      <w:r w:rsidRPr="001B40A3">
        <w:rPr>
          <w:rFonts w:ascii="Times New Roman" w:hAnsi="Times New Roman" w:cs="Times New Roman"/>
          <w:sz w:val="24"/>
          <w:szCs w:val="24"/>
        </w:rPr>
        <w:t xml:space="preserve"> de </w:t>
      </w:r>
      <w:r w:rsidRPr="001B40A3">
        <w:rPr>
          <w:rFonts w:ascii="Times New Roman" w:hAnsi="Times New Roman" w:cs="Times New Roman"/>
          <w:b/>
          <w:sz w:val="24"/>
          <w:szCs w:val="24"/>
        </w:rPr>
        <w:t>Friedrich List</w:t>
      </w:r>
      <w:r w:rsidRPr="001B40A3">
        <w:rPr>
          <w:rFonts w:ascii="Times New Roman" w:hAnsi="Times New Roman" w:cs="Times New Roman"/>
          <w:sz w:val="24"/>
          <w:szCs w:val="24"/>
        </w:rPr>
        <w:t xml:space="preserve"> a </w:t>
      </w:r>
      <w:r w:rsidRPr="001B40A3">
        <w:rPr>
          <w:rFonts w:ascii="Times New Roman" w:hAnsi="Times New Roman" w:cs="Times New Roman"/>
          <w:b/>
          <w:sz w:val="24"/>
          <w:szCs w:val="24"/>
        </w:rPr>
        <w:t>Peter Strohschneider</w:t>
      </w:r>
      <w:r w:rsidRPr="001B40A3">
        <w:rPr>
          <w:rFonts w:ascii="Times New Roman" w:hAnsi="Times New Roman" w:cs="Times New Roman"/>
          <w:sz w:val="24"/>
          <w:szCs w:val="24"/>
        </w:rPr>
        <w:t>, el experto encargado del Informe, titulado</w:t>
      </w:r>
      <w:r w:rsidR="00187077" w:rsidRPr="001B40A3">
        <w:rPr>
          <w:rFonts w:ascii="Times New Roman" w:hAnsi="Times New Roman" w:cs="Times New Roman"/>
          <w:sz w:val="24"/>
          <w:szCs w:val="24"/>
        </w:rPr>
        <w:t>:</w:t>
      </w:r>
      <w:r w:rsidRPr="001B40A3">
        <w:rPr>
          <w:rFonts w:ascii="Times New Roman" w:hAnsi="Times New Roman" w:cs="Times New Roman"/>
          <w:sz w:val="24"/>
          <w:szCs w:val="24"/>
        </w:rPr>
        <w:t xml:space="preserve"> “Una perspectiva común sobre la agricultura y la alimentación en Europa” (A shared prospect for farming and food in Europe), a </w:t>
      </w:r>
      <w:r w:rsidRPr="001B40A3">
        <w:rPr>
          <w:rFonts w:ascii="Times New Roman" w:hAnsi="Times New Roman" w:cs="Times New Roman"/>
          <w:b/>
          <w:sz w:val="24"/>
          <w:szCs w:val="24"/>
        </w:rPr>
        <w:t>Enrico Letta</w:t>
      </w:r>
      <w:r w:rsidRPr="001B40A3">
        <w:rPr>
          <w:rFonts w:ascii="Times New Roman" w:hAnsi="Times New Roman" w:cs="Times New Roman"/>
          <w:sz w:val="24"/>
          <w:szCs w:val="24"/>
        </w:rPr>
        <w:t>, el experto encargado del Informe, titulado</w:t>
      </w:r>
      <w:r w:rsidR="00187077" w:rsidRPr="001B40A3">
        <w:rPr>
          <w:rFonts w:ascii="Times New Roman" w:hAnsi="Times New Roman" w:cs="Times New Roman"/>
          <w:sz w:val="24"/>
          <w:szCs w:val="24"/>
        </w:rPr>
        <w:t>:</w:t>
      </w:r>
      <w:r w:rsidRPr="001B40A3">
        <w:rPr>
          <w:rFonts w:ascii="Times New Roman" w:hAnsi="Times New Roman" w:cs="Times New Roman"/>
          <w:sz w:val="24"/>
          <w:szCs w:val="24"/>
        </w:rPr>
        <w:t xml:space="preserve"> “Mucho más que un mercado” (Much more than a market), y a </w:t>
      </w:r>
      <w:r w:rsidRPr="001B40A3">
        <w:rPr>
          <w:rFonts w:ascii="Times New Roman" w:hAnsi="Times New Roman" w:cs="Times New Roman"/>
          <w:b/>
          <w:sz w:val="24"/>
          <w:szCs w:val="24"/>
        </w:rPr>
        <w:t>Mario Draghi</w:t>
      </w:r>
      <w:r w:rsidRPr="001B40A3">
        <w:rPr>
          <w:rFonts w:ascii="Times New Roman" w:hAnsi="Times New Roman" w:cs="Times New Roman"/>
          <w:sz w:val="24"/>
          <w:szCs w:val="24"/>
        </w:rPr>
        <w:t>, el experto encargado del Informe</w:t>
      </w:r>
      <w:r w:rsidR="00187077" w:rsidRPr="001B40A3">
        <w:rPr>
          <w:rFonts w:ascii="Times New Roman" w:hAnsi="Times New Roman" w:cs="Times New Roman"/>
          <w:sz w:val="24"/>
          <w:szCs w:val="24"/>
        </w:rPr>
        <w:t xml:space="preserve"> titulado:</w:t>
      </w:r>
      <w:r w:rsidRPr="001B40A3">
        <w:rPr>
          <w:rFonts w:ascii="Times New Roman" w:hAnsi="Times New Roman" w:cs="Times New Roman"/>
          <w:sz w:val="24"/>
          <w:szCs w:val="24"/>
        </w:rPr>
        <w:t xml:space="preserve"> “El futuro de la competitividad europea” (The future of european competitive), elaborados a petición del Consejo Europeo, y presentados durante el mes de septiembre del año 2024)</w:t>
      </w:r>
      <w:r w:rsidR="003D21EF" w:rsidRPr="001B40A3">
        <w:rPr>
          <w:rFonts w:ascii="Times New Roman" w:hAnsi="Times New Roman" w:cs="Times New Roman"/>
          <w:sz w:val="24"/>
          <w:szCs w:val="24"/>
        </w:rPr>
        <w:t>.</w:t>
      </w:r>
    </w:p>
    <w:p w:rsidR="00187077" w:rsidRDefault="00187077" w:rsidP="00187077">
      <w:pPr>
        <w:pStyle w:val="NormalWeb"/>
        <w:spacing w:before="0" w:beforeAutospacing="0"/>
        <w:jc w:val="both"/>
        <w:textAlignment w:val="baseline"/>
        <w:rPr>
          <w:b/>
          <w:color w:val="000000"/>
          <w:spacing w:val="3"/>
        </w:rPr>
      </w:pPr>
      <w:r w:rsidRPr="0018554B">
        <w:rPr>
          <w:b/>
          <w:color w:val="000000"/>
          <w:spacing w:val="3"/>
        </w:rPr>
        <w:t>Una breve presentación d</w:t>
      </w:r>
      <w:r>
        <w:rPr>
          <w:b/>
          <w:color w:val="000000"/>
          <w:spacing w:val="3"/>
        </w:rPr>
        <w:t xml:space="preserve">e </w:t>
      </w:r>
      <w:r w:rsidRPr="0018554B">
        <w:rPr>
          <w:b/>
          <w:color w:val="000000"/>
          <w:spacing w:val="3"/>
        </w:rPr>
        <w:t>Friedrich List</w:t>
      </w:r>
      <w:r>
        <w:rPr>
          <w:b/>
          <w:color w:val="000000"/>
          <w:spacing w:val="3"/>
        </w:rPr>
        <w:t xml:space="preserve"> (</w:t>
      </w:r>
      <w:r w:rsidR="00461815">
        <w:rPr>
          <w:b/>
          <w:color w:val="000000"/>
          <w:spacing w:val="3"/>
        </w:rPr>
        <w:t>referente crítico de</w:t>
      </w:r>
      <w:r w:rsidRPr="0018554B">
        <w:rPr>
          <w:b/>
          <w:color w:val="000000"/>
          <w:spacing w:val="3"/>
        </w:rPr>
        <w:t xml:space="preserve"> las propuestas en lisa</w:t>
      </w:r>
      <w:r>
        <w:rPr>
          <w:b/>
          <w:color w:val="000000"/>
          <w:spacing w:val="3"/>
        </w:rPr>
        <w:t>)</w:t>
      </w:r>
    </w:p>
    <w:p w:rsidR="00187077" w:rsidRPr="0018554B" w:rsidRDefault="00187077" w:rsidP="00187077">
      <w:pPr>
        <w:pStyle w:val="NormalWeb"/>
        <w:spacing w:before="0" w:beforeAutospacing="0"/>
        <w:jc w:val="both"/>
        <w:textAlignment w:val="baseline"/>
        <w:rPr>
          <w:b/>
          <w:color w:val="000000"/>
          <w:spacing w:val="3"/>
        </w:rPr>
      </w:pPr>
      <w:r w:rsidRPr="00187077">
        <w:rPr>
          <w:b/>
          <w:noProof/>
          <w:color w:val="000000"/>
          <w:spacing w:val="3"/>
        </w:rPr>
        <w:drawing>
          <wp:inline distT="0" distB="0" distL="0" distR="0" wp14:anchorId="77D2CC8E" wp14:editId="7372C5A5">
            <wp:extent cx="5670550" cy="3035300"/>
            <wp:effectExtent l="0" t="0" r="635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675108" cy="3037740"/>
                    </a:xfrm>
                    <a:prstGeom prst="rect">
                      <a:avLst/>
                    </a:prstGeom>
                  </pic:spPr>
                </pic:pic>
              </a:graphicData>
            </a:graphic>
          </wp:inline>
        </w:drawing>
      </w:r>
    </w:p>
    <w:p w:rsidR="00187077" w:rsidRPr="0018554B" w:rsidRDefault="00187077" w:rsidP="00187077">
      <w:pPr>
        <w:pStyle w:val="NormalWeb"/>
        <w:jc w:val="both"/>
        <w:textAlignment w:val="baseline"/>
        <w:rPr>
          <w:color w:val="000000"/>
          <w:spacing w:val="3"/>
        </w:rPr>
      </w:pPr>
      <w:r w:rsidRPr="0018554B">
        <w:rPr>
          <w:color w:val="000000"/>
          <w:spacing w:val="3"/>
        </w:rPr>
        <w:t>Friedrich List  fue un destacado economista alemán. Nació en el año de 1789. Fue ejemplo para su patria y otros países ya que influyó en la vida económica de éstos.  En el año de 1841 se publica  lo que vendría siendo uno de sus principales aportaciones: El Sistema Nacional de Economía Política. Su obra  trata principalmente temas vinculados con el desarrollo del principal país subdesarrollado a me</w:t>
      </w:r>
      <w:r>
        <w:rPr>
          <w:color w:val="000000"/>
          <w:spacing w:val="3"/>
        </w:rPr>
        <w:t>diados del siglo XIX.</w:t>
      </w:r>
    </w:p>
    <w:p w:rsidR="00187077" w:rsidRPr="0018554B" w:rsidRDefault="00187077" w:rsidP="00187077">
      <w:pPr>
        <w:pStyle w:val="NormalWeb"/>
        <w:jc w:val="both"/>
        <w:textAlignment w:val="baseline"/>
        <w:rPr>
          <w:color w:val="000000"/>
          <w:spacing w:val="3"/>
        </w:rPr>
      </w:pPr>
      <w:r w:rsidRPr="0018554B">
        <w:rPr>
          <w:color w:val="000000"/>
          <w:spacing w:val="3"/>
        </w:rPr>
        <w:t>Durante esa época List vivió en Estados Unidos desde 1825 hasta los inicios de la década del treinta, donde fue testigo de una etapa de suma importancia  en el de</w:t>
      </w:r>
      <w:r>
        <w:rPr>
          <w:color w:val="000000"/>
          <w:spacing w:val="3"/>
        </w:rPr>
        <w:t>sarrollo económico de ese país.</w:t>
      </w:r>
    </w:p>
    <w:p w:rsidR="00187077" w:rsidRPr="0018554B" w:rsidRDefault="00187077" w:rsidP="00187077">
      <w:pPr>
        <w:pStyle w:val="NormalWeb"/>
        <w:jc w:val="both"/>
        <w:textAlignment w:val="baseline"/>
        <w:rPr>
          <w:color w:val="000000"/>
          <w:spacing w:val="3"/>
        </w:rPr>
      </w:pPr>
      <w:r w:rsidRPr="0018554B">
        <w:rPr>
          <w:color w:val="000000"/>
          <w:spacing w:val="3"/>
        </w:rPr>
        <w:t xml:space="preserve">Partiendo del tema de la obra Sistema Nacional de economía política, abordó que era necesario para un país el contar con un sistema que garantice la administración de justicia, </w:t>
      </w:r>
      <w:r w:rsidRPr="0018554B">
        <w:rPr>
          <w:color w:val="000000"/>
          <w:spacing w:val="3"/>
        </w:rPr>
        <w:lastRenderedPageBreak/>
        <w:t>libertad de pensamiento, es decir, tener un conjunto de instituciones políticas muy similares a las que conformaban el sistema libe</w:t>
      </w:r>
      <w:r>
        <w:rPr>
          <w:color w:val="000000"/>
          <w:spacing w:val="3"/>
        </w:rPr>
        <w:t>ral de Inglaterra en esa época.</w:t>
      </w:r>
    </w:p>
    <w:p w:rsidR="00187077" w:rsidRPr="0018554B" w:rsidRDefault="00187077" w:rsidP="00187077">
      <w:pPr>
        <w:pStyle w:val="NormalWeb"/>
        <w:jc w:val="both"/>
        <w:textAlignment w:val="baseline"/>
        <w:rPr>
          <w:color w:val="000000"/>
          <w:spacing w:val="3"/>
        </w:rPr>
      </w:pPr>
      <w:r w:rsidRPr="0018554B">
        <w:rPr>
          <w:color w:val="000000"/>
          <w:spacing w:val="3"/>
        </w:rPr>
        <w:t>Otro dato importante es que List fue uno de los primeros economistas que propuso la promoción deliberada de las industrias manufactureras como estrategia para el desarrollo económico. Una de las medidas para fomentar el desarrollo de las industrias manufactureras fue el establecimiento de tarifas aduaneras. De este modo se refleja como List se ve partidario del proteccionismo y del nacionalismo. Sin embargo, solo propone de manera explícita q</w:t>
      </w:r>
      <w:r>
        <w:rPr>
          <w:color w:val="000000"/>
          <w:spacing w:val="3"/>
        </w:rPr>
        <w:t xml:space="preserve">ue las tarifas proteccionistas </w:t>
      </w:r>
      <w:r w:rsidRPr="0018554B">
        <w:rPr>
          <w:color w:val="000000"/>
          <w:spacing w:val="3"/>
        </w:rPr>
        <w:t>sean de carácter temporal y sólo se mantengan hasta que las industrias manufactureras sean eficientes. Además de enfocarse en el análisis en el papel de las tarifas protectoras como instrumento de promoción de las industrias manufactureras, también le da importancia al reconocer que existen otros instrumentos de política que deben utilizarse</w:t>
      </w:r>
      <w:r>
        <w:rPr>
          <w:color w:val="000000"/>
          <w:spacing w:val="3"/>
        </w:rPr>
        <w:t xml:space="preserve"> para lograr el mismo objetivo.</w:t>
      </w:r>
    </w:p>
    <w:p w:rsidR="00187077" w:rsidRPr="0018554B" w:rsidRDefault="00187077" w:rsidP="00187077">
      <w:pPr>
        <w:pStyle w:val="NormalWeb"/>
        <w:jc w:val="both"/>
        <w:textAlignment w:val="baseline"/>
        <w:rPr>
          <w:color w:val="000000"/>
          <w:spacing w:val="3"/>
        </w:rPr>
      </w:pPr>
      <w:r w:rsidRPr="0018554B">
        <w:rPr>
          <w:color w:val="000000"/>
          <w:spacing w:val="3"/>
        </w:rPr>
        <w:t xml:space="preserve">Dentro del sector externo como promotor de desarrollo, sostuvo que el comercio libre sólo resultaría beneficioso para ambas partes cuando los países que comercian se encuentran en niveles de desarrollo económico iguales.  Respecto a la posibilidad de que las exportaciones se consideraran como motor de una economía subdesarrollada, List logra diferenciar dos casos alternativos: tratándose de un boom temporario en los mercados externos, para </w:t>
      </w:r>
      <w:r w:rsidR="00FE7EFD" w:rsidRPr="0018554B">
        <w:rPr>
          <w:color w:val="000000"/>
          <w:spacing w:val="3"/>
        </w:rPr>
        <w:t>él</w:t>
      </w:r>
      <w:r w:rsidRPr="0018554B">
        <w:rPr>
          <w:color w:val="000000"/>
          <w:spacing w:val="3"/>
        </w:rPr>
        <w:t xml:space="preserve"> es conveniente que el país aumente las exportaciones y se beneficie. Por el contrario, si el aumento de las exportaciones es un fenómeno de largo plazo, el crecimiento orientado hacia mercados externos puede resultar desfavorable para el país atrasado, porque debería de ajustar su aparato productivo según las condiciones en los mercados de los países más desarrollados, lo que traería como consecuencia que la economía del país atrasado sea dependiente y no pueda cre</w:t>
      </w:r>
      <w:r>
        <w:rPr>
          <w:color w:val="000000"/>
          <w:spacing w:val="3"/>
        </w:rPr>
        <w:t>cer su industria manufacturera.</w:t>
      </w:r>
    </w:p>
    <w:p w:rsidR="00187077" w:rsidRDefault="00187077" w:rsidP="00187077">
      <w:pPr>
        <w:pStyle w:val="NormalWeb"/>
        <w:spacing w:before="0" w:beforeAutospacing="0"/>
        <w:jc w:val="both"/>
        <w:textAlignment w:val="baseline"/>
        <w:rPr>
          <w:color w:val="000000"/>
          <w:spacing w:val="3"/>
        </w:rPr>
      </w:pPr>
      <w:r w:rsidRPr="0018554B">
        <w:rPr>
          <w:color w:val="000000"/>
          <w:spacing w:val="3"/>
        </w:rPr>
        <w:t>Todas estas contribuciones de Friedrich List al pensamiento económico, sirvió para que los economistas de otras generaciones basaran sus teorías partiendo sus ideas, tal es el caso de John M. Keynes.</w:t>
      </w:r>
    </w:p>
    <w:p w:rsidR="00187077" w:rsidRDefault="00187077" w:rsidP="00187077">
      <w:pPr>
        <w:pStyle w:val="NormalWeb"/>
        <w:spacing w:before="0" w:beforeAutospacing="0"/>
        <w:jc w:val="both"/>
        <w:textAlignment w:val="baseline"/>
        <w:rPr>
          <w:color w:val="000000"/>
          <w:spacing w:val="3"/>
        </w:rPr>
      </w:pPr>
      <w:r>
        <w:rPr>
          <w:color w:val="000000"/>
          <w:spacing w:val="3"/>
        </w:rPr>
        <w:t>(Fuente: Historia del pensamiento económico - 20/3/2005)</w:t>
      </w:r>
    </w:p>
    <w:p w:rsidR="00187077" w:rsidRDefault="00187077" w:rsidP="00187077">
      <w:pPr>
        <w:pStyle w:val="NormalWeb"/>
        <w:spacing w:before="0" w:beforeAutospacing="0"/>
        <w:jc w:val="both"/>
        <w:textAlignment w:val="baseline"/>
      </w:pPr>
      <w:r>
        <w:t xml:space="preserve">Su teoría se caracteriza por defender la protección de lo que denominaba Industrias nacientes y por su visión crítica hacia el enfoque abierto y librecambista de Adam Smith, en contra de su consideración de que esta apertura beneficiaba tanto a las naciones desarrolladas como Inglaterra, como a las rezagadas como Alemania. </w:t>
      </w:r>
    </w:p>
    <w:p w:rsidR="00187077" w:rsidRDefault="00187077" w:rsidP="00187077">
      <w:pPr>
        <w:pStyle w:val="NormalWeb"/>
        <w:spacing w:before="0" w:beforeAutospacing="0"/>
        <w:jc w:val="both"/>
        <w:textAlignment w:val="baseline"/>
      </w:pPr>
      <w:r>
        <w:t xml:space="preserve">Sus postulados son rescatados por Freeman (1997) en relación directa con el concepto de Sistema Nacional de Innovación. De igual forma, Lundvall señala que la idea de Sistema Nacional de Innovación se remonta, al menos, a la concepción de Friedrich List en su obra El Sistema Nacional de Economía Política (Das System der Politischen Ökonomie) de 1841. </w:t>
      </w:r>
    </w:p>
    <w:p w:rsidR="00187077" w:rsidRDefault="00187077" w:rsidP="00187077">
      <w:pPr>
        <w:pStyle w:val="NormalWeb"/>
        <w:spacing w:before="0" w:beforeAutospacing="0"/>
        <w:jc w:val="both"/>
        <w:textAlignment w:val="baseline"/>
      </w:pPr>
      <w:r>
        <w:t xml:space="preserve">En esta línea, List enfatizó la importancia del desarrollo de instituciones nacionales que favorecieran la acumulación de lo que denominaba Capital mental y, con ello, el desarrollo económico, en contraposición del laissez-faire y la mano invisible smithiana. </w:t>
      </w:r>
    </w:p>
    <w:p w:rsidR="00187077" w:rsidRDefault="00187077" w:rsidP="00187077">
      <w:pPr>
        <w:pStyle w:val="NormalWeb"/>
        <w:spacing w:before="0" w:beforeAutospacing="0"/>
        <w:jc w:val="both"/>
        <w:textAlignment w:val="baseline"/>
      </w:pPr>
      <w:r>
        <w:t xml:space="preserve">Su principal intención era tratar de que Alemania alcanzara y, posteriormente, superara a Inglaterra. De esta forma, para los países subdesarrollados, como Alemania lo era entonces en relación con Inglaterra, propuso un modelo basado en la protección de las industrias nacionales, en su mayoría en fase muy incipiente, con objeto de auspiciar su crecimiento; así </w:t>
      </w:r>
      <w:r>
        <w:lastRenderedPageBreak/>
        <w:t xml:space="preserve">como en diversas políticas diseñadas para impulsar y acelerar la industrialización y el crecimiento económico de Alemania en un contexto de retraso comparativo. </w:t>
      </w:r>
    </w:p>
    <w:p w:rsidR="00187077" w:rsidRDefault="00187077" w:rsidP="00187077">
      <w:pPr>
        <w:pStyle w:val="NormalWeb"/>
        <w:spacing w:before="0" w:beforeAutospacing="0"/>
        <w:jc w:val="both"/>
        <w:textAlignment w:val="baseline"/>
      </w:pPr>
      <w:r>
        <w:t xml:space="preserve">Su principal propuesta teórica se resume en que el libre comercio debía esperar hasta que todos los países se hubieran industrializado, lo cual fue rápidamente adoptado en términos de política práctica en buena parte de la Europa Occidental, así como en Estados Unidos (Reinert, 2004). </w:t>
      </w:r>
    </w:p>
    <w:p w:rsidR="00187077" w:rsidRDefault="00187077" w:rsidP="00187077">
      <w:pPr>
        <w:pStyle w:val="NormalWeb"/>
        <w:spacing w:before="0" w:beforeAutospacing="0"/>
        <w:jc w:val="both"/>
        <w:textAlignment w:val="baseline"/>
      </w:pPr>
      <w:r>
        <w:t>List, en su obra, analizó con más de un siglo de antelación</w:t>
      </w:r>
      <w:r w:rsidR="003D21EF">
        <w:t>,</w:t>
      </w:r>
      <w:r>
        <w:t xml:space="preserve"> algunas de las características del contemporáneo Sistema Nacional de Innovación, cada día hoy más complejo; entre ellas: </w:t>
      </w:r>
    </w:p>
    <w:p w:rsidR="00187077" w:rsidRDefault="00187077" w:rsidP="00187077">
      <w:pPr>
        <w:pStyle w:val="NormalWeb"/>
        <w:spacing w:before="0" w:beforeAutospacing="0"/>
        <w:jc w:val="both"/>
        <w:textAlignment w:val="baseline"/>
      </w:pPr>
      <w:r>
        <w:t xml:space="preserve">- La gran importancia de las Instituciones de educación y formación, particularmente en el ámbito científico y técnico, así como la acumulación de conocimientos. </w:t>
      </w:r>
    </w:p>
    <w:p w:rsidR="00187077" w:rsidRDefault="00187077" w:rsidP="00187077">
      <w:pPr>
        <w:pStyle w:val="NormalWeb"/>
        <w:spacing w:before="0" w:beforeAutospacing="0"/>
        <w:jc w:val="both"/>
        <w:textAlignment w:val="baseline"/>
      </w:pPr>
      <w:r>
        <w:t xml:space="preserve">- La necesidad de conocimiento y adaptación de la tecnología importada. </w:t>
      </w:r>
    </w:p>
    <w:p w:rsidR="00187077" w:rsidRDefault="00187077" w:rsidP="00187077">
      <w:pPr>
        <w:pStyle w:val="NormalWeb"/>
        <w:spacing w:before="0" w:beforeAutospacing="0"/>
        <w:jc w:val="both"/>
        <w:textAlignment w:val="baseline"/>
      </w:pPr>
      <w:r>
        <w:t xml:space="preserve">- La promoción de las industrias estratégicas nacionales partiendo de las fortalezas internas. </w:t>
      </w:r>
    </w:p>
    <w:p w:rsidR="00187077" w:rsidRDefault="00187077" w:rsidP="00187077">
      <w:pPr>
        <w:pStyle w:val="NormalWeb"/>
        <w:spacing w:before="0" w:beforeAutospacing="0"/>
        <w:jc w:val="both"/>
        <w:textAlignment w:val="baseline"/>
      </w:pPr>
      <w:r>
        <w:t xml:space="preserve">En torno a ello puso gran énfasis en el papel del Estado en la coordinación y aplicación de políticas a largo plazo para la industria y la economía, estando buena parte de estas políticas centradas en atender y aprender sobre las nuevas tecnologías y su aplicación. </w:t>
      </w:r>
    </w:p>
    <w:p w:rsidR="00187077" w:rsidRDefault="00187077" w:rsidP="00187077">
      <w:pPr>
        <w:pStyle w:val="NormalWeb"/>
        <w:spacing w:before="0" w:beforeAutospacing="0"/>
        <w:jc w:val="both"/>
        <w:textAlignment w:val="baseline"/>
      </w:pPr>
      <w:r>
        <w:t xml:space="preserve">Este proceso de aprendizaje es clave en su propuesta, y es gracias a la defensa de List, así como al sistema de reformas prusiano ya iniciado desde décadas anteriores, que Alemania desarrolló uno de los mejores sistemas de educación y capacitación científicotécnica del mundo. </w:t>
      </w:r>
    </w:p>
    <w:p w:rsidR="00187077" w:rsidRDefault="00187077" w:rsidP="00187077">
      <w:pPr>
        <w:pStyle w:val="NormalWeb"/>
        <w:spacing w:before="0" w:beforeAutospacing="0"/>
        <w:jc w:val="both"/>
        <w:textAlignment w:val="baseline"/>
      </w:pPr>
      <w:r>
        <w:t xml:space="preserve">List no sólo anticipó estas características esenciales del trabajo actual sobre los Sistemas Nacionales de Innovación, sino que también reconoció la interrelación de la importación de tecnología extranjera y el desarrollo tecnológico nacional. Las naciones no sólo debían adquirir los logros de otras naciones más avanzadas, sino que debían aumentarlos con sus propios esfuerzos. De esta forma, List destacó la importancia crucial de la acumulación tecnológica a través de una combinación de importaciones de tecnología con actividades locales y políticas intervencionistas proactivas para fomentar industrias estratégicas. </w:t>
      </w:r>
    </w:p>
    <w:p w:rsidR="00187077" w:rsidRDefault="00187077" w:rsidP="00187077">
      <w:pPr>
        <w:pStyle w:val="NormalWeb"/>
        <w:spacing w:before="0" w:beforeAutospacing="0"/>
        <w:jc w:val="both"/>
        <w:textAlignment w:val="baseline"/>
      </w:pPr>
      <w:r>
        <w:t xml:space="preserve">Su propuesta encuentra cierto paralelo en el debate Schumpeter - Arrow en torno al monopolio en las actividades de innovación. En una visión previa, es prioritario salvaguardar los incentivos de las empresas a realizar actividades de investigación, que están mejor garantizados por una situación de aislamiento y proteccionismo. Por el contrario, en una visión ex post, es deseable que, una vez alcanzado cierto grado de desarrollo, sea viable una competencia internacional en equidad de condiciones y capacidades. </w:t>
      </w:r>
    </w:p>
    <w:p w:rsidR="00187077" w:rsidRDefault="00187077" w:rsidP="00187077">
      <w:pPr>
        <w:pStyle w:val="NormalWeb"/>
        <w:spacing w:before="0" w:beforeAutospacing="0"/>
        <w:jc w:val="both"/>
        <w:textAlignment w:val="baseline"/>
      </w:pPr>
      <w:r>
        <w:t xml:space="preserve">También, es interesante la idea de List acerca de la industria como fuerza productiva autónoma que permite la mejora continua del trabajo y del capital, la cual ha influido en otras escuelas de pensamiento y que igualmente profundiza en la importancia de tiempo y espacio. </w:t>
      </w:r>
    </w:p>
    <w:p w:rsidR="00187077" w:rsidRDefault="00187077" w:rsidP="00187077">
      <w:pPr>
        <w:pStyle w:val="NormalWeb"/>
        <w:spacing w:before="0" w:beforeAutospacing="0"/>
        <w:jc w:val="both"/>
        <w:textAlignment w:val="baseline"/>
      </w:pPr>
      <w:r>
        <w:t xml:space="preserve">Este sistema es, según muchos historiadores (Landes, 1970) uno de los principales factores por los que Alemania superó a Inglaterra en la segunda mitad del siglo XIX, además de, hasta fechas recientes, la base de las mayores habilidades y, con ello, la mayor productividad de la </w:t>
      </w:r>
      <w:r>
        <w:lastRenderedPageBreak/>
        <w:t xml:space="preserve">fuerza laboral alemana en muchas industrias (Prais, 1981); no sin que esto último se encuentre en un proceso de ajuste. </w:t>
      </w:r>
    </w:p>
    <w:p w:rsidR="00187077" w:rsidRPr="0018554B" w:rsidRDefault="00187077" w:rsidP="00187077">
      <w:pPr>
        <w:pStyle w:val="NormalWeb"/>
        <w:spacing w:before="0" w:beforeAutospacing="0"/>
        <w:jc w:val="both"/>
        <w:textAlignment w:val="baseline"/>
        <w:rPr>
          <w:color w:val="000000"/>
          <w:spacing w:val="3"/>
        </w:rPr>
      </w:pPr>
      <w:r>
        <w:t>Este Nationalökonomik propio de la Alemania de List allanó el camino para la Escuela Histórica que, si bien no se desvió, al menos en su primera etapa, de los fundamentos de la economía política clásica, contribuyó a remodelar sus implicaciones en términos de identidad nacional.</w:t>
      </w:r>
    </w:p>
    <w:p w:rsidR="00187077" w:rsidRPr="005F3266" w:rsidRDefault="00187077" w:rsidP="00187077">
      <w:pPr>
        <w:spacing w:line="240" w:lineRule="auto"/>
        <w:jc w:val="both"/>
        <w:rPr>
          <w:rFonts w:ascii="Times New Roman" w:hAnsi="Times New Roman" w:cs="Times New Roman"/>
          <w:sz w:val="24"/>
          <w:szCs w:val="24"/>
        </w:rPr>
      </w:pPr>
      <w:r w:rsidRPr="005F3266">
        <w:rPr>
          <w:rFonts w:ascii="Times New Roman" w:hAnsi="Times New Roman" w:cs="Times New Roman"/>
          <w:sz w:val="24"/>
          <w:szCs w:val="24"/>
        </w:rPr>
        <w:t>(Fuente: Friedrich List, coetáneos y seguidores - Pablo Martínez - Universidad Complutense de Madrid)</w:t>
      </w:r>
    </w:p>
    <w:p w:rsidR="00187077" w:rsidRPr="005F3266" w:rsidRDefault="00187077" w:rsidP="00187077">
      <w:pPr>
        <w:spacing w:line="240" w:lineRule="auto"/>
        <w:jc w:val="both"/>
        <w:rPr>
          <w:rFonts w:ascii="Times New Roman" w:hAnsi="Times New Roman" w:cs="Times New Roman"/>
          <w:sz w:val="24"/>
          <w:szCs w:val="24"/>
        </w:rPr>
      </w:pPr>
      <w:r>
        <w:rPr>
          <w:rFonts w:ascii="Times New Roman" w:hAnsi="Times New Roman" w:cs="Times New Roman"/>
          <w:sz w:val="24"/>
          <w:szCs w:val="24"/>
        </w:rPr>
        <w:t>Algunas c</w:t>
      </w:r>
      <w:r w:rsidRPr="005F3266">
        <w:rPr>
          <w:rFonts w:ascii="Times New Roman" w:hAnsi="Times New Roman" w:cs="Times New Roman"/>
          <w:sz w:val="24"/>
          <w:szCs w:val="24"/>
        </w:rPr>
        <w:t>itas célebres de Friedrich List</w:t>
      </w:r>
      <w:r w:rsidR="00461815">
        <w:rPr>
          <w:rFonts w:ascii="Times New Roman" w:hAnsi="Times New Roman" w:cs="Times New Roman"/>
          <w:sz w:val="24"/>
          <w:szCs w:val="24"/>
        </w:rPr>
        <w:t>:</w:t>
      </w:r>
    </w:p>
    <w:p w:rsidR="00187077" w:rsidRPr="005F3266" w:rsidRDefault="00187077" w:rsidP="00187077">
      <w:pPr>
        <w:spacing w:line="240" w:lineRule="auto"/>
        <w:jc w:val="both"/>
        <w:rPr>
          <w:rFonts w:ascii="Times New Roman" w:hAnsi="Times New Roman" w:cs="Times New Roman"/>
          <w:i/>
          <w:sz w:val="24"/>
          <w:szCs w:val="24"/>
        </w:rPr>
      </w:pPr>
      <w:r w:rsidRPr="005F3266">
        <w:rPr>
          <w:rFonts w:ascii="Times New Roman" w:hAnsi="Times New Roman" w:cs="Times New Roman"/>
          <w:i/>
          <w:sz w:val="24"/>
          <w:szCs w:val="24"/>
        </w:rPr>
        <w:t>“Una industria totalmente abandonada a su suerte no tardaría en arruinarse, y una nación que lo dejara todo por sí solo se suicidaría”</w:t>
      </w:r>
      <w:r w:rsidR="003D21EF">
        <w:rPr>
          <w:rFonts w:ascii="Times New Roman" w:hAnsi="Times New Roman" w:cs="Times New Roman"/>
          <w:i/>
          <w:sz w:val="24"/>
          <w:szCs w:val="24"/>
        </w:rPr>
        <w:t>.</w:t>
      </w:r>
    </w:p>
    <w:p w:rsidR="00187077" w:rsidRPr="005F3266" w:rsidRDefault="00187077" w:rsidP="00187077">
      <w:pPr>
        <w:spacing w:line="240" w:lineRule="auto"/>
        <w:jc w:val="both"/>
        <w:rPr>
          <w:rFonts w:ascii="Times New Roman" w:hAnsi="Times New Roman" w:cs="Times New Roman"/>
          <w:i/>
          <w:sz w:val="24"/>
          <w:szCs w:val="24"/>
        </w:rPr>
      </w:pPr>
      <w:r w:rsidRPr="005F3266">
        <w:rPr>
          <w:rFonts w:ascii="Times New Roman" w:hAnsi="Times New Roman" w:cs="Times New Roman"/>
          <w:i/>
          <w:sz w:val="24"/>
          <w:szCs w:val="24"/>
        </w:rPr>
        <w:t>“Hemos observado ya que las suertes o desgracias de los individuos dependen del mantenimiento de la independencia y el progreso de toda la nación”</w:t>
      </w:r>
      <w:r w:rsidR="003D21EF">
        <w:rPr>
          <w:rFonts w:ascii="Times New Roman" w:hAnsi="Times New Roman" w:cs="Times New Roman"/>
          <w:i/>
          <w:sz w:val="24"/>
          <w:szCs w:val="24"/>
        </w:rPr>
        <w:t>.</w:t>
      </w:r>
    </w:p>
    <w:p w:rsidR="00187077" w:rsidRPr="005F3266" w:rsidRDefault="00187077" w:rsidP="00187077">
      <w:pPr>
        <w:spacing w:line="240" w:lineRule="auto"/>
        <w:jc w:val="both"/>
        <w:rPr>
          <w:rFonts w:ascii="Times New Roman" w:hAnsi="Times New Roman" w:cs="Times New Roman"/>
          <w:i/>
          <w:sz w:val="24"/>
          <w:szCs w:val="24"/>
        </w:rPr>
      </w:pPr>
      <w:r w:rsidRPr="005F3266">
        <w:rPr>
          <w:rFonts w:ascii="Times New Roman" w:hAnsi="Times New Roman" w:cs="Times New Roman"/>
          <w:i/>
          <w:sz w:val="24"/>
          <w:szCs w:val="24"/>
        </w:rPr>
        <w:t>“Pero el bienestar general debe restringir y regular los esfuerzos de los individuos, ya que éstos también deben nutrir sus fortalezas del poder social”</w:t>
      </w:r>
      <w:r w:rsidR="003D21EF">
        <w:rPr>
          <w:rFonts w:ascii="Times New Roman" w:hAnsi="Times New Roman" w:cs="Times New Roman"/>
          <w:i/>
          <w:sz w:val="24"/>
          <w:szCs w:val="24"/>
        </w:rPr>
        <w:t>.</w:t>
      </w:r>
    </w:p>
    <w:p w:rsidR="00187077" w:rsidRPr="005F3266" w:rsidRDefault="00187077" w:rsidP="00187077">
      <w:pPr>
        <w:spacing w:line="240" w:lineRule="auto"/>
        <w:jc w:val="both"/>
        <w:rPr>
          <w:rFonts w:ascii="Times New Roman" w:hAnsi="Times New Roman" w:cs="Times New Roman"/>
          <w:i/>
          <w:sz w:val="24"/>
          <w:szCs w:val="24"/>
        </w:rPr>
      </w:pPr>
      <w:r w:rsidRPr="005F3266">
        <w:rPr>
          <w:rFonts w:ascii="Times New Roman" w:hAnsi="Times New Roman" w:cs="Times New Roman"/>
          <w:i/>
          <w:sz w:val="24"/>
          <w:szCs w:val="24"/>
        </w:rPr>
        <w:t>“Es ciertamente extraño ver en los tiempos actuales al Ministerio de Inglaterra… velar celosamente para impedir todo progreso de otras naciones rivales, particularmente de los Estados Unidos”</w:t>
      </w:r>
      <w:r w:rsidR="003D21EF">
        <w:rPr>
          <w:rFonts w:ascii="Times New Roman" w:hAnsi="Times New Roman" w:cs="Times New Roman"/>
          <w:i/>
          <w:sz w:val="24"/>
          <w:szCs w:val="24"/>
        </w:rPr>
        <w:t>.</w:t>
      </w:r>
    </w:p>
    <w:p w:rsidR="00187077" w:rsidRPr="005F3266" w:rsidRDefault="00187077" w:rsidP="00187077">
      <w:pPr>
        <w:spacing w:line="240" w:lineRule="auto"/>
        <w:jc w:val="both"/>
        <w:rPr>
          <w:rFonts w:ascii="Times New Roman" w:hAnsi="Times New Roman" w:cs="Times New Roman"/>
          <w:color w:val="FF0000"/>
          <w:sz w:val="24"/>
          <w:szCs w:val="24"/>
        </w:rPr>
      </w:pPr>
      <w:r w:rsidRPr="00963EFB">
        <w:rPr>
          <w:rFonts w:ascii="Times New Roman" w:hAnsi="Times New Roman" w:cs="Times New Roman"/>
          <w:b/>
          <w:color w:val="333333"/>
          <w:sz w:val="24"/>
          <w:szCs w:val="24"/>
          <w:shd w:val="clear" w:color="auto" w:fill="FFFFFF"/>
        </w:rPr>
        <w:t>Nota</w:t>
      </w:r>
      <w:r>
        <w:rPr>
          <w:rFonts w:ascii="Times New Roman" w:hAnsi="Times New Roman" w:cs="Times New Roman"/>
          <w:color w:val="333333"/>
          <w:sz w:val="24"/>
          <w:szCs w:val="24"/>
          <w:shd w:val="clear" w:color="auto" w:fill="FFFFFF"/>
        </w:rPr>
        <w:t xml:space="preserve">: List propuso </w:t>
      </w:r>
      <w:r w:rsidRPr="005F3266">
        <w:rPr>
          <w:rFonts w:ascii="Times New Roman" w:hAnsi="Times New Roman" w:cs="Times New Roman"/>
          <w:color w:val="333333"/>
          <w:sz w:val="24"/>
          <w:szCs w:val="24"/>
          <w:shd w:val="clear" w:color="auto" w:fill="FFFFFF"/>
        </w:rPr>
        <w:t>la “teoría del poder productivo” para la economía nacional, frente a la teoría de los valores intercambiables (comercio internacional) propuesta por Adam Smith, más pertinente para una economía globalizada. La teoría del poder productivo, sin embargo, va mucho más allá del comercio internacional. El poder productivo de una nación no solo depende de los factores de producción y de la “posesión de ventajas naturales”, sino también de la disponibilidad y estabilidad de los factores institucionales y de su independencia y poder como naciones. La división del trabajo debe ir acompañada de un espíritu de unidad nacional, independencia, un objetivo común y la cooperación de las fuerzas productivas.</w:t>
      </w:r>
    </w:p>
    <w:p w:rsidR="00187077" w:rsidRPr="001B40A3" w:rsidRDefault="003D21EF" w:rsidP="00187077">
      <w:pPr>
        <w:spacing w:line="240" w:lineRule="auto"/>
        <w:jc w:val="both"/>
        <w:rPr>
          <w:rFonts w:ascii="Times New Roman" w:hAnsi="Times New Roman" w:cs="Times New Roman"/>
          <w:sz w:val="24"/>
          <w:szCs w:val="24"/>
        </w:rPr>
      </w:pPr>
      <w:r w:rsidRPr="001B40A3">
        <w:rPr>
          <w:rFonts w:ascii="Times New Roman" w:hAnsi="Times New Roman" w:cs="Times New Roman"/>
          <w:sz w:val="24"/>
          <w:szCs w:val="24"/>
        </w:rPr>
        <w:t>Con humildad y respeto, elijo a</w:t>
      </w:r>
      <w:r w:rsidR="00187077" w:rsidRPr="001B40A3">
        <w:rPr>
          <w:rFonts w:ascii="Times New Roman" w:hAnsi="Times New Roman" w:cs="Times New Roman"/>
          <w:sz w:val="24"/>
          <w:szCs w:val="24"/>
        </w:rPr>
        <w:t xml:space="preserve"> </w:t>
      </w:r>
      <w:r w:rsidR="00187077" w:rsidRPr="001B40A3">
        <w:rPr>
          <w:rFonts w:ascii="Times New Roman" w:hAnsi="Times New Roman" w:cs="Times New Roman"/>
          <w:b/>
          <w:sz w:val="24"/>
          <w:szCs w:val="24"/>
        </w:rPr>
        <w:t>List</w:t>
      </w:r>
      <w:r w:rsidR="00187077" w:rsidRPr="001B40A3">
        <w:rPr>
          <w:rFonts w:ascii="Times New Roman" w:hAnsi="Times New Roman" w:cs="Times New Roman"/>
          <w:sz w:val="24"/>
          <w:szCs w:val="24"/>
        </w:rPr>
        <w:t xml:space="preserve"> para interpretar el papel (imaginario) de crítico de los </w:t>
      </w:r>
      <w:r w:rsidR="00187077" w:rsidRPr="001B40A3">
        <w:rPr>
          <w:rFonts w:ascii="Times New Roman" w:hAnsi="Times New Roman" w:cs="Times New Roman"/>
          <w:b/>
          <w:sz w:val="24"/>
          <w:szCs w:val="24"/>
        </w:rPr>
        <w:t>Informes</w:t>
      </w:r>
      <w:r w:rsidR="00187077" w:rsidRPr="001B40A3">
        <w:rPr>
          <w:rFonts w:ascii="Times New Roman" w:hAnsi="Times New Roman" w:cs="Times New Roman"/>
          <w:sz w:val="24"/>
          <w:szCs w:val="24"/>
        </w:rPr>
        <w:t xml:space="preserve"> de </w:t>
      </w:r>
      <w:r w:rsidR="00187077" w:rsidRPr="001B40A3">
        <w:rPr>
          <w:rFonts w:ascii="Times New Roman" w:hAnsi="Times New Roman" w:cs="Times New Roman"/>
          <w:b/>
          <w:sz w:val="24"/>
          <w:szCs w:val="24"/>
        </w:rPr>
        <w:t xml:space="preserve">Strohschneider, Letta y Draghi, </w:t>
      </w:r>
      <w:r w:rsidR="00187077" w:rsidRPr="001B40A3">
        <w:rPr>
          <w:rFonts w:ascii="Times New Roman" w:hAnsi="Times New Roman" w:cs="Times New Roman"/>
          <w:sz w:val="24"/>
          <w:szCs w:val="24"/>
        </w:rPr>
        <w:t xml:space="preserve">sobre </w:t>
      </w:r>
      <w:r w:rsidR="00187077" w:rsidRPr="001B40A3">
        <w:rPr>
          <w:rFonts w:ascii="Times New Roman" w:hAnsi="Times New Roman" w:cs="Times New Roman"/>
          <w:b/>
          <w:sz w:val="24"/>
          <w:szCs w:val="24"/>
        </w:rPr>
        <w:t xml:space="preserve">el Futuro de Europa </w:t>
      </w:r>
      <w:r w:rsidR="00187077" w:rsidRPr="001B40A3">
        <w:rPr>
          <w:rFonts w:ascii="Times New Roman" w:hAnsi="Times New Roman" w:cs="Times New Roman"/>
          <w:sz w:val="24"/>
          <w:szCs w:val="24"/>
        </w:rPr>
        <w:t>(Septiembre 2024)</w:t>
      </w:r>
      <w:r w:rsidR="00963EFB" w:rsidRPr="001B40A3">
        <w:rPr>
          <w:rFonts w:ascii="Times New Roman" w:hAnsi="Times New Roman" w:cs="Times New Roman"/>
          <w:sz w:val="24"/>
          <w:szCs w:val="24"/>
        </w:rPr>
        <w:t>.</w:t>
      </w:r>
    </w:p>
    <w:p w:rsidR="003A6B69" w:rsidRPr="001B40A3" w:rsidRDefault="003A6B69" w:rsidP="00187077">
      <w:pPr>
        <w:spacing w:line="240" w:lineRule="auto"/>
        <w:jc w:val="both"/>
        <w:rPr>
          <w:rFonts w:ascii="Times New Roman" w:hAnsi="Times New Roman" w:cs="Times New Roman"/>
          <w:sz w:val="24"/>
          <w:szCs w:val="24"/>
        </w:rPr>
      </w:pPr>
      <w:r w:rsidRPr="001B40A3">
        <w:rPr>
          <w:rFonts w:ascii="Times New Roman" w:hAnsi="Times New Roman" w:cs="Times New Roman"/>
          <w:sz w:val="24"/>
          <w:szCs w:val="24"/>
        </w:rPr>
        <w:t xml:space="preserve">¿La “desindustrailización” se combate con más “libremercado” o con más </w:t>
      </w:r>
      <w:r w:rsidR="00BF6191" w:rsidRPr="001B40A3">
        <w:rPr>
          <w:rFonts w:ascii="Times New Roman" w:hAnsi="Times New Roman" w:cs="Times New Roman"/>
          <w:sz w:val="24"/>
          <w:szCs w:val="24"/>
        </w:rPr>
        <w:t>“</w:t>
      </w:r>
      <w:r w:rsidRPr="001B40A3">
        <w:rPr>
          <w:rFonts w:ascii="Times New Roman" w:hAnsi="Times New Roman" w:cs="Times New Roman"/>
          <w:sz w:val="24"/>
          <w:szCs w:val="24"/>
        </w:rPr>
        <w:t>proteccionismo”?</w:t>
      </w:r>
    </w:p>
    <w:p w:rsidR="003A6B69" w:rsidRPr="001B40A3" w:rsidRDefault="003A6B69" w:rsidP="00187077">
      <w:pPr>
        <w:spacing w:line="240" w:lineRule="auto"/>
        <w:jc w:val="both"/>
        <w:rPr>
          <w:rFonts w:ascii="Times New Roman" w:hAnsi="Times New Roman" w:cs="Times New Roman"/>
          <w:sz w:val="24"/>
          <w:szCs w:val="24"/>
        </w:rPr>
      </w:pPr>
      <w:r w:rsidRPr="001B40A3">
        <w:rPr>
          <w:rFonts w:ascii="Times New Roman" w:hAnsi="Times New Roman" w:cs="Times New Roman"/>
          <w:sz w:val="24"/>
          <w:szCs w:val="24"/>
        </w:rPr>
        <w:t>¿La “seguridad alimentaria” se alcanza con menos “regulación” o con más “</w:t>
      </w:r>
      <w:r w:rsidR="00BF6191" w:rsidRPr="001B40A3">
        <w:rPr>
          <w:rFonts w:ascii="Times New Roman" w:hAnsi="Times New Roman" w:cs="Times New Roman"/>
          <w:sz w:val="24"/>
          <w:szCs w:val="24"/>
        </w:rPr>
        <w:t>Agenda 2030</w:t>
      </w:r>
      <w:r w:rsidRPr="001B40A3">
        <w:rPr>
          <w:rFonts w:ascii="Times New Roman" w:hAnsi="Times New Roman" w:cs="Times New Roman"/>
          <w:sz w:val="24"/>
          <w:szCs w:val="24"/>
        </w:rPr>
        <w:t xml:space="preserve">”? </w:t>
      </w:r>
    </w:p>
    <w:p w:rsidR="00BF6191" w:rsidRPr="001B40A3" w:rsidRDefault="00BF6191" w:rsidP="00187077">
      <w:pPr>
        <w:spacing w:line="240" w:lineRule="auto"/>
        <w:jc w:val="both"/>
        <w:rPr>
          <w:rFonts w:ascii="Times New Roman" w:hAnsi="Times New Roman" w:cs="Times New Roman"/>
          <w:sz w:val="24"/>
          <w:szCs w:val="24"/>
        </w:rPr>
      </w:pPr>
      <w:r w:rsidRPr="001B40A3">
        <w:rPr>
          <w:rFonts w:ascii="Times New Roman" w:hAnsi="Times New Roman" w:cs="Times New Roman"/>
          <w:sz w:val="24"/>
          <w:szCs w:val="24"/>
        </w:rPr>
        <w:t>¿La “seguridad energética” se alcanza con más “energía nuclear” o con más “renovables”?</w:t>
      </w:r>
    </w:p>
    <w:p w:rsidR="003A6B69" w:rsidRPr="001B40A3" w:rsidRDefault="003A6B69" w:rsidP="00187077">
      <w:pPr>
        <w:spacing w:line="240" w:lineRule="auto"/>
        <w:jc w:val="both"/>
        <w:rPr>
          <w:rFonts w:ascii="Times New Roman" w:hAnsi="Times New Roman" w:cs="Times New Roman"/>
          <w:sz w:val="24"/>
          <w:szCs w:val="24"/>
        </w:rPr>
      </w:pPr>
      <w:r w:rsidRPr="001B40A3">
        <w:rPr>
          <w:rFonts w:ascii="Times New Roman" w:hAnsi="Times New Roman" w:cs="Times New Roman"/>
          <w:sz w:val="24"/>
          <w:szCs w:val="24"/>
        </w:rPr>
        <w:t>¿El “euroescepticismo” se combate con más “intervención” o con más “libertad”?</w:t>
      </w:r>
    </w:p>
    <w:p w:rsidR="006047AE" w:rsidRPr="001B40A3" w:rsidRDefault="006047AE" w:rsidP="00187077">
      <w:pPr>
        <w:spacing w:line="240" w:lineRule="auto"/>
        <w:jc w:val="both"/>
        <w:rPr>
          <w:rFonts w:ascii="Times New Roman" w:hAnsi="Times New Roman" w:cs="Times New Roman"/>
          <w:sz w:val="24"/>
          <w:szCs w:val="24"/>
        </w:rPr>
      </w:pPr>
      <w:r w:rsidRPr="001B40A3">
        <w:rPr>
          <w:rFonts w:ascii="Times New Roman" w:hAnsi="Times New Roman" w:cs="Times New Roman"/>
          <w:sz w:val="24"/>
          <w:szCs w:val="24"/>
        </w:rPr>
        <w:t xml:space="preserve">Buceando en el </w:t>
      </w:r>
      <w:r w:rsidR="0063372F" w:rsidRPr="001B40A3">
        <w:rPr>
          <w:rFonts w:ascii="Times New Roman" w:hAnsi="Times New Roman" w:cs="Times New Roman"/>
          <w:sz w:val="24"/>
          <w:szCs w:val="24"/>
        </w:rPr>
        <w:t>“</w:t>
      </w:r>
      <w:r w:rsidRPr="001B40A3">
        <w:rPr>
          <w:rFonts w:ascii="Times New Roman" w:hAnsi="Times New Roman" w:cs="Times New Roman"/>
          <w:sz w:val="24"/>
          <w:szCs w:val="24"/>
        </w:rPr>
        <w:t>ideario</w:t>
      </w:r>
      <w:r w:rsidR="0063372F" w:rsidRPr="001B40A3">
        <w:rPr>
          <w:rFonts w:ascii="Times New Roman" w:hAnsi="Times New Roman" w:cs="Times New Roman"/>
          <w:sz w:val="24"/>
          <w:szCs w:val="24"/>
        </w:rPr>
        <w:t>”</w:t>
      </w:r>
      <w:r w:rsidRPr="001B40A3">
        <w:rPr>
          <w:rFonts w:ascii="Times New Roman" w:hAnsi="Times New Roman" w:cs="Times New Roman"/>
          <w:sz w:val="24"/>
          <w:szCs w:val="24"/>
        </w:rPr>
        <w:t xml:space="preserve"> de </w:t>
      </w:r>
      <w:r w:rsidRPr="001B40A3">
        <w:rPr>
          <w:rFonts w:ascii="Times New Roman" w:hAnsi="Times New Roman" w:cs="Times New Roman"/>
          <w:b/>
          <w:sz w:val="24"/>
          <w:szCs w:val="24"/>
        </w:rPr>
        <w:t>Friedrich List</w:t>
      </w:r>
      <w:r w:rsidR="0063372F" w:rsidRPr="001B40A3">
        <w:rPr>
          <w:rFonts w:ascii="Times New Roman" w:hAnsi="Times New Roman" w:cs="Times New Roman"/>
          <w:sz w:val="24"/>
          <w:szCs w:val="24"/>
        </w:rPr>
        <w:t>, puede saberse lo</w:t>
      </w:r>
      <w:r w:rsidRPr="001B40A3">
        <w:rPr>
          <w:rFonts w:ascii="Times New Roman" w:hAnsi="Times New Roman" w:cs="Times New Roman"/>
          <w:sz w:val="24"/>
          <w:szCs w:val="24"/>
        </w:rPr>
        <w:t xml:space="preserve"> que “necesita</w:t>
      </w:r>
      <w:r w:rsidR="0063372F" w:rsidRPr="001B40A3">
        <w:rPr>
          <w:rFonts w:ascii="Times New Roman" w:hAnsi="Times New Roman" w:cs="Times New Roman"/>
          <w:sz w:val="24"/>
          <w:szCs w:val="24"/>
        </w:rPr>
        <w:t>(ría)</w:t>
      </w:r>
      <w:r w:rsidRPr="001B40A3">
        <w:rPr>
          <w:rFonts w:ascii="Times New Roman" w:hAnsi="Times New Roman" w:cs="Times New Roman"/>
          <w:sz w:val="24"/>
          <w:szCs w:val="24"/>
        </w:rPr>
        <w:t xml:space="preserve">” Europa para </w:t>
      </w:r>
      <w:r w:rsidR="0063372F" w:rsidRPr="001B40A3">
        <w:rPr>
          <w:rFonts w:ascii="Times New Roman" w:hAnsi="Times New Roman" w:cs="Times New Roman"/>
          <w:sz w:val="24"/>
          <w:szCs w:val="24"/>
        </w:rPr>
        <w:t>crecer. Y revisando las “recomendaciones”</w:t>
      </w:r>
      <w:r w:rsidRPr="001B40A3">
        <w:rPr>
          <w:rFonts w:ascii="Times New Roman" w:hAnsi="Times New Roman" w:cs="Times New Roman"/>
          <w:sz w:val="24"/>
          <w:szCs w:val="24"/>
        </w:rPr>
        <w:t xml:space="preserve"> de </w:t>
      </w:r>
      <w:r w:rsidRPr="001B40A3">
        <w:rPr>
          <w:rFonts w:ascii="Times New Roman" w:hAnsi="Times New Roman" w:cs="Times New Roman"/>
          <w:b/>
          <w:sz w:val="24"/>
          <w:szCs w:val="24"/>
        </w:rPr>
        <w:t xml:space="preserve">Strohschneider, Letta y Draghi, </w:t>
      </w:r>
      <w:r w:rsidRPr="001B40A3">
        <w:rPr>
          <w:rFonts w:ascii="Times New Roman" w:hAnsi="Times New Roman" w:cs="Times New Roman"/>
          <w:sz w:val="24"/>
          <w:szCs w:val="24"/>
        </w:rPr>
        <w:t>pueden detectarse algunos fallos “estratégicos” (por exceso</w:t>
      </w:r>
      <w:r w:rsidR="006C089A" w:rsidRPr="001B40A3">
        <w:rPr>
          <w:rFonts w:ascii="Times New Roman" w:hAnsi="Times New Roman" w:cs="Times New Roman"/>
          <w:sz w:val="24"/>
          <w:szCs w:val="24"/>
        </w:rPr>
        <w:t>,</w:t>
      </w:r>
      <w:r w:rsidRPr="001B40A3">
        <w:rPr>
          <w:rFonts w:ascii="Times New Roman" w:hAnsi="Times New Roman" w:cs="Times New Roman"/>
          <w:sz w:val="24"/>
          <w:szCs w:val="24"/>
        </w:rPr>
        <w:t xml:space="preserve"> o por</w:t>
      </w:r>
      <w:r w:rsidR="006C089A" w:rsidRPr="001B40A3">
        <w:rPr>
          <w:rFonts w:ascii="Times New Roman" w:hAnsi="Times New Roman" w:cs="Times New Roman"/>
          <w:sz w:val="24"/>
          <w:szCs w:val="24"/>
        </w:rPr>
        <w:t xml:space="preserve"> defecto) que “lastran” el progreso</w:t>
      </w:r>
      <w:r w:rsidRPr="001B40A3">
        <w:rPr>
          <w:rFonts w:ascii="Times New Roman" w:hAnsi="Times New Roman" w:cs="Times New Roman"/>
          <w:sz w:val="24"/>
          <w:szCs w:val="24"/>
        </w:rPr>
        <w:t xml:space="preserve"> de Europa</w:t>
      </w:r>
      <w:r w:rsidR="006C089A" w:rsidRPr="001B40A3">
        <w:rPr>
          <w:rFonts w:ascii="Times New Roman" w:hAnsi="Times New Roman" w:cs="Times New Roman"/>
          <w:sz w:val="24"/>
          <w:szCs w:val="24"/>
        </w:rPr>
        <w:t>.</w:t>
      </w:r>
    </w:p>
    <w:p w:rsidR="006047AE" w:rsidRPr="001B40A3" w:rsidRDefault="006C089A" w:rsidP="00187077">
      <w:pPr>
        <w:spacing w:line="240" w:lineRule="auto"/>
        <w:jc w:val="both"/>
        <w:rPr>
          <w:rFonts w:ascii="Times New Roman" w:hAnsi="Times New Roman" w:cs="Times New Roman"/>
          <w:b/>
          <w:sz w:val="24"/>
          <w:szCs w:val="24"/>
        </w:rPr>
      </w:pPr>
      <w:r w:rsidRPr="001B40A3">
        <w:rPr>
          <w:rFonts w:ascii="Times New Roman" w:hAnsi="Times New Roman" w:cs="Times New Roman"/>
          <w:b/>
          <w:sz w:val="24"/>
          <w:szCs w:val="24"/>
        </w:rPr>
        <w:t xml:space="preserve">¿Quo </w:t>
      </w:r>
      <w:r w:rsidR="006047AE" w:rsidRPr="001B40A3">
        <w:rPr>
          <w:rFonts w:ascii="Times New Roman" w:hAnsi="Times New Roman" w:cs="Times New Roman"/>
          <w:b/>
          <w:sz w:val="24"/>
          <w:szCs w:val="24"/>
        </w:rPr>
        <w:t>vadis Europa?</w:t>
      </w:r>
      <w:r w:rsidRPr="001B40A3">
        <w:rPr>
          <w:rFonts w:ascii="Times New Roman" w:hAnsi="Times New Roman" w:cs="Times New Roman"/>
          <w:b/>
          <w:sz w:val="24"/>
          <w:szCs w:val="24"/>
        </w:rPr>
        <w:t xml:space="preserve"> </w:t>
      </w:r>
      <w:r w:rsidR="006047AE" w:rsidRPr="001B40A3">
        <w:rPr>
          <w:rFonts w:ascii="Times New Roman" w:hAnsi="Times New Roman" w:cs="Times New Roman"/>
          <w:b/>
          <w:sz w:val="24"/>
          <w:szCs w:val="24"/>
        </w:rPr>
        <w:t xml:space="preserve">Un debate de ideas sobre “volver al </w:t>
      </w:r>
      <w:r w:rsidRPr="001B40A3">
        <w:rPr>
          <w:rFonts w:ascii="Times New Roman" w:hAnsi="Times New Roman" w:cs="Times New Roman"/>
          <w:b/>
          <w:sz w:val="24"/>
          <w:szCs w:val="24"/>
        </w:rPr>
        <w:t>pasado”</w:t>
      </w:r>
      <w:r w:rsidR="0063372F" w:rsidRPr="001B40A3">
        <w:rPr>
          <w:rFonts w:ascii="Times New Roman" w:hAnsi="Times New Roman" w:cs="Times New Roman"/>
          <w:b/>
          <w:sz w:val="24"/>
          <w:szCs w:val="24"/>
        </w:rPr>
        <w:t>,</w:t>
      </w:r>
      <w:r w:rsidRPr="001B40A3">
        <w:rPr>
          <w:rFonts w:ascii="Times New Roman" w:hAnsi="Times New Roman" w:cs="Times New Roman"/>
          <w:b/>
          <w:sz w:val="24"/>
          <w:szCs w:val="24"/>
        </w:rPr>
        <w:t xml:space="preserve"> o “volver al futuro”. Regresar al </w:t>
      </w:r>
      <w:r w:rsidR="0063372F" w:rsidRPr="001B40A3">
        <w:rPr>
          <w:rFonts w:ascii="Times New Roman" w:hAnsi="Times New Roman" w:cs="Times New Roman"/>
          <w:b/>
          <w:sz w:val="24"/>
          <w:szCs w:val="24"/>
        </w:rPr>
        <w:t>“</w:t>
      </w:r>
      <w:r w:rsidRPr="001B40A3">
        <w:rPr>
          <w:rFonts w:ascii="Times New Roman" w:hAnsi="Times New Roman" w:cs="Times New Roman"/>
          <w:b/>
          <w:sz w:val="24"/>
          <w:szCs w:val="24"/>
        </w:rPr>
        <w:t>Modelo Renano</w:t>
      </w:r>
      <w:r w:rsidR="0063372F" w:rsidRPr="001B40A3">
        <w:rPr>
          <w:rFonts w:ascii="Times New Roman" w:hAnsi="Times New Roman" w:cs="Times New Roman"/>
          <w:b/>
          <w:sz w:val="24"/>
          <w:szCs w:val="24"/>
        </w:rPr>
        <w:t>”</w:t>
      </w:r>
      <w:r w:rsidRPr="001B40A3">
        <w:rPr>
          <w:rFonts w:ascii="Times New Roman" w:hAnsi="Times New Roman" w:cs="Times New Roman"/>
          <w:b/>
          <w:sz w:val="24"/>
          <w:szCs w:val="24"/>
        </w:rPr>
        <w:t>, o perpetuar</w:t>
      </w:r>
      <w:r w:rsidR="006047AE" w:rsidRPr="001B40A3">
        <w:rPr>
          <w:rFonts w:ascii="Times New Roman" w:hAnsi="Times New Roman" w:cs="Times New Roman"/>
          <w:b/>
          <w:sz w:val="24"/>
          <w:szCs w:val="24"/>
        </w:rPr>
        <w:t xml:space="preserve"> el </w:t>
      </w:r>
      <w:r w:rsidR="0063372F" w:rsidRPr="001B40A3">
        <w:rPr>
          <w:rFonts w:ascii="Times New Roman" w:hAnsi="Times New Roman" w:cs="Times New Roman"/>
          <w:b/>
          <w:sz w:val="24"/>
          <w:szCs w:val="24"/>
        </w:rPr>
        <w:t>“</w:t>
      </w:r>
      <w:r w:rsidR="006047AE" w:rsidRPr="001B40A3">
        <w:rPr>
          <w:rFonts w:ascii="Times New Roman" w:hAnsi="Times New Roman" w:cs="Times New Roman"/>
          <w:b/>
          <w:sz w:val="24"/>
          <w:szCs w:val="24"/>
        </w:rPr>
        <w:t>Mod</w:t>
      </w:r>
      <w:r w:rsidRPr="001B40A3">
        <w:rPr>
          <w:rFonts w:ascii="Times New Roman" w:hAnsi="Times New Roman" w:cs="Times New Roman"/>
          <w:b/>
          <w:sz w:val="24"/>
          <w:szCs w:val="24"/>
        </w:rPr>
        <w:t>elo Anglo</w:t>
      </w:r>
      <w:r w:rsidR="0063372F" w:rsidRPr="001B40A3">
        <w:rPr>
          <w:rFonts w:ascii="Times New Roman" w:hAnsi="Times New Roman" w:cs="Times New Roman"/>
          <w:b/>
          <w:sz w:val="24"/>
          <w:szCs w:val="24"/>
        </w:rPr>
        <w:t>sajón”. De eso, se trata.</w:t>
      </w:r>
    </w:p>
    <w:p w:rsidR="0063398C" w:rsidRPr="001B40A3" w:rsidRDefault="0063398C" w:rsidP="008865A5">
      <w:pPr>
        <w:spacing w:line="240" w:lineRule="auto"/>
        <w:jc w:val="both"/>
        <w:rPr>
          <w:rFonts w:ascii="Times New Roman" w:hAnsi="Times New Roman" w:cs="Times New Roman"/>
          <w:b/>
          <w:sz w:val="24"/>
          <w:szCs w:val="24"/>
        </w:rPr>
      </w:pPr>
      <w:r w:rsidRPr="001B40A3">
        <w:rPr>
          <w:rFonts w:ascii="Times New Roman" w:hAnsi="Times New Roman" w:cs="Times New Roman"/>
          <w:b/>
          <w:sz w:val="24"/>
          <w:szCs w:val="24"/>
        </w:rPr>
        <w:lastRenderedPageBreak/>
        <w:t>- Introducción</w:t>
      </w:r>
      <w:r w:rsidR="00A01FC2" w:rsidRPr="001B40A3">
        <w:rPr>
          <w:rFonts w:ascii="Times New Roman" w:hAnsi="Times New Roman" w:cs="Times New Roman"/>
          <w:b/>
          <w:sz w:val="24"/>
          <w:szCs w:val="24"/>
        </w:rPr>
        <w:t>: “El estado de las cosas” (la</w:t>
      </w:r>
      <w:r w:rsidRPr="001B40A3">
        <w:rPr>
          <w:rFonts w:ascii="Times New Roman" w:hAnsi="Times New Roman" w:cs="Times New Roman"/>
          <w:b/>
          <w:sz w:val="24"/>
          <w:szCs w:val="24"/>
        </w:rPr>
        <w:t xml:space="preserve"> opinión de “los que saben”</w:t>
      </w:r>
      <w:r w:rsidR="00A01FC2" w:rsidRPr="001B40A3">
        <w:rPr>
          <w:rFonts w:ascii="Times New Roman" w:hAnsi="Times New Roman" w:cs="Times New Roman"/>
          <w:b/>
          <w:sz w:val="24"/>
          <w:szCs w:val="24"/>
        </w:rPr>
        <w:t>, supuestamente</w:t>
      </w:r>
      <w:r w:rsidRPr="001B40A3">
        <w:rPr>
          <w:rFonts w:ascii="Times New Roman" w:hAnsi="Times New Roman" w:cs="Times New Roman"/>
          <w:b/>
          <w:sz w:val="24"/>
          <w:szCs w:val="24"/>
        </w:rPr>
        <w:t>)</w:t>
      </w:r>
    </w:p>
    <w:p w:rsidR="0063398C" w:rsidRPr="007B5118" w:rsidRDefault="0063398C" w:rsidP="0063398C">
      <w:pPr>
        <w:pStyle w:val="NormalWeb"/>
        <w:spacing w:after="0"/>
        <w:jc w:val="both"/>
        <w:rPr>
          <w:b/>
        </w:rPr>
      </w:pPr>
      <w:r w:rsidRPr="007B5118">
        <w:rPr>
          <w:b/>
        </w:rPr>
        <w:t>Memorándum (Bruegel - 3/7/24)</w:t>
      </w:r>
    </w:p>
    <w:p w:rsidR="0063398C" w:rsidRDefault="0063398C" w:rsidP="0063398C">
      <w:pPr>
        <w:pStyle w:val="NormalWeb"/>
        <w:spacing w:after="0"/>
        <w:jc w:val="both"/>
        <w:rPr>
          <w:b/>
        </w:rPr>
      </w:pPr>
      <w:r w:rsidRPr="007B5118">
        <w:rPr>
          <w:b/>
        </w:rPr>
        <w:t>Nota informativa a los Presidentes de la Comisión Europea, del Consejo y del Parlamento Europeo</w:t>
      </w:r>
    </w:p>
    <w:p w:rsidR="0063398C" w:rsidRPr="0063398C" w:rsidRDefault="0063398C" w:rsidP="0063398C">
      <w:pPr>
        <w:pStyle w:val="NormalWeb"/>
        <w:spacing w:after="0"/>
        <w:jc w:val="both"/>
      </w:pPr>
      <w:r w:rsidRPr="007B5118">
        <w:t>Superar las divisiones y afrontar las amenazas: nota a los presidentes de la Comisión Europe</w:t>
      </w:r>
      <w:r>
        <w:t>a, del Consejo y del Parlamento</w:t>
      </w:r>
    </w:p>
    <w:p w:rsidR="0063398C" w:rsidRPr="007B5118" w:rsidRDefault="0063398C" w:rsidP="0063398C">
      <w:pPr>
        <w:pStyle w:val="NormalWeb"/>
        <w:spacing w:after="0"/>
        <w:jc w:val="both"/>
      </w:pPr>
      <w:r w:rsidRPr="007B5118">
        <w:t>(Autores María Demertzis André Sapir Jeromin Zettelmeyer)</w:t>
      </w:r>
    </w:p>
    <w:p w:rsidR="0063398C" w:rsidRPr="007B5118" w:rsidRDefault="0063398C" w:rsidP="0063398C">
      <w:pPr>
        <w:pStyle w:val="executivesummaryheadingcoverpageprelims"/>
        <w:shd w:val="clear" w:color="auto" w:fill="FFFFFF"/>
        <w:spacing w:before="0" w:beforeAutospacing="0" w:after="0"/>
        <w:jc w:val="both"/>
        <w:textAlignment w:val="baseline"/>
        <w:rPr>
          <w:color w:val="000000"/>
          <w:spacing w:val="3"/>
        </w:rPr>
      </w:pPr>
      <w:r w:rsidRPr="007B5118">
        <w:rPr>
          <w:rStyle w:val="Textoennegrita"/>
          <w:color w:val="000000"/>
          <w:spacing w:val="3"/>
          <w:bdr w:val="none" w:sz="0" w:space="0" w:color="auto" w:frame="1"/>
        </w:rPr>
        <w:t>Resumen ejecutivo</w:t>
      </w:r>
    </w:p>
    <w:p w:rsidR="0063398C" w:rsidRPr="00327FF8" w:rsidRDefault="0063398C" w:rsidP="0063398C">
      <w:pPr>
        <w:pStyle w:val="highlightsbodycoverpageprelims"/>
        <w:shd w:val="clear" w:color="auto" w:fill="FFFFFF"/>
        <w:spacing w:before="0" w:beforeAutospacing="0" w:after="0"/>
        <w:jc w:val="both"/>
        <w:textAlignment w:val="baseline"/>
        <w:rPr>
          <w:color w:val="FF0000"/>
          <w:spacing w:val="3"/>
          <w:u w:val="single"/>
        </w:rPr>
      </w:pPr>
      <w:r w:rsidRPr="00327FF8">
        <w:rPr>
          <w:color w:val="FF0000"/>
          <w:spacing w:val="3"/>
          <w:u w:val="single"/>
          <w:bdr w:val="none" w:sz="0" w:space="0" w:color="auto" w:frame="1"/>
        </w:rPr>
        <w:t>En los últimos cinco años, la Unión Europea logró salir adelante a través de una serie de grandes conmociones</w:t>
      </w:r>
      <w:r w:rsidRPr="00327FF8">
        <w:rPr>
          <w:color w:val="000000"/>
          <w:spacing w:val="3"/>
          <w:u w:val="single"/>
          <w:bdr w:val="none" w:sz="0" w:space="0" w:color="auto" w:frame="1"/>
        </w:rPr>
        <w:t xml:space="preserve">, entre ellas la pandemia y el aumento de los precios de la energía en 2022. La respuesta fue notable en muchos sentidos, incluido un endeudamiento sin precedentes de la UE para financiar el programa de recuperación económica NextGenerationEU y una reducción coordinada de la demanda de energía. </w:t>
      </w:r>
      <w:r w:rsidRPr="00327FF8">
        <w:rPr>
          <w:color w:val="FF0000"/>
          <w:spacing w:val="3"/>
          <w:u w:val="single"/>
          <w:bdr w:val="none" w:sz="0" w:space="0" w:color="auto" w:frame="1"/>
        </w:rPr>
        <w:t>Sin embargo, estas crisis han dejado a la UE en un estado de maltrato.</w:t>
      </w:r>
    </w:p>
    <w:p w:rsidR="0063398C" w:rsidRPr="00327FF8" w:rsidRDefault="0063398C" w:rsidP="0063398C">
      <w:pPr>
        <w:pStyle w:val="highlightsbodycoverpageprelims"/>
        <w:shd w:val="clear" w:color="auto" w:fill="FFFFFF"/>
        <w:spacing w:before="0" w:beforeAutospacing="0" w:after="0"/>
        <w:jc w:val="both"/>
        <w:textAlignment w:val="baseline"/>
        <w:rPr>
          <w:color w:val="FF0000"/>
          <w:spacing w:val="3"/>
          <w:u w:val="single"/>
        </w:rPr>
      </w:pPr>
      <w:r w:rsidRPr="00327FF8">
        <w:rPr>
          <w:color w:val="FF0000"/>
          <w:spacing w:val="3"/>
          <w:u w:val="single"/>
          <w:bdr w:val="none" w:sz="0" w:space="0" w:color="auto" w:frame="1"/>
        </w:rPr>
        <w:t>La recesión pandémica y las medidas de apoyo a la energía han reducido el espacio fiscal. Los precios de la energía han persistido y la competitividad industrial de la UE se ha erosionado. La brecha de productividad y de ingresos </w:t>
      </w:r>
      <w:r w:rsidRPr="00327FF8">
        <w:rPr>
          <w:rStyle w:val="nfasis"/>
          <w:color w:val="FF0000"/>
          <w:spacing w:val="3"/>
          <w:u w:val="single"/>
          <w:bdr w:val="none" w:sz="0" w:space="0" w:color="auto" w:frame="1"/>
        </w:rPr>
        <w:t>per cápita</w:t>
      </w:r>
      <w:r w:rsidRPr="00327FF8">
        <w:rPr>
          <w:color w:val="FF0000"/>
          <w:spacing w:val="3"/>
          <w:u w:val="single"/>
          <w:bdr w:val="none" w:sz="0" w:space="0" w:color="auto" w:frame="1"/>
        </w:rPr>
        <w:t> con los Estados Unidos se ha ampliado. Mientras tanto, el mundo que rodea a la UE se ha vuelto más amenazador y fragmentado. La situación militar en Ucrania sigue siendo precaria. China se ha vuelto más autoritaria y más asertiva. El giro de Estados Unidos hacia el proteccionismo se ha afianzado. Hay menos consenso en torno a las medidas para combatir el cambio climático.</w:t>
      </w:r>
    </w:p>
    <w:p w:rsidR="0063398C" w:rsidRPr="00327FF8" w:rsidRDefault="0063398C" w:rsidP="0063398C">
      <w:pPr>
        <w:pStyle w:val="highlightsbodycoverpageprelims"/>
        <w:shd w:val="clear" w:color="auto" w:fill="FFFFFF"/>
        <w:spacing w:before="0" w:beforeAutospacing="0" w:after="0"/>
        <w:jc w:val="both"/>
        <w:textAlignment w:val="baseline"/>
        <w:rPr>
          <w:b/>
          <w:color w:val="FF0000"/>
          <w:spacing w:val="3"/>
          <w:u w:val="single"/>
        </w:rPr>
      </w:pPr>
      <w:r w:rsidRPr="00327FF8">
        <w:rPr>
          <w:b/>
          <w:color w:val="FF0000"/>
          <w:spacing w:val="3"/>
          <w:u w:val="single"/>
          <w:bdr w:val="none" w:sz="0" w:space="0" w:color="auto" w:frame="1"/>
        </w:rPr>
        <w:t>Frente a todo esto, los desafíos que afrontan son sustanciales. En los próximos cinco años, deben seguir apoyando a Ucrania y, al mismo tiempo, aplicar medidas para revitalizar el crecimiento de la UE, cumplir los objetivos climáticos de 2030 y sentar las bases para alcanzar los objetivos de 2040, y asegurar reducciones más rápidas de las emisiones más allá de las fronteras de la UE. Es necesario restablecer la cohesión social para evitar las amenazas al modelo de la UE. Es necesario hacer más para mejorar la seguridad exterior de la UE.</w:t>
      </w:r>
    </w:p>
    <w:p w:rsidR="0063398C" w:rsidRDefault="0063398C" w:rsidP="0063398C">
      <w:pPr>
        <w:pStyle w:val="highlightsbodycoverpageprelims"/>
        <w:shd w:val="clear" w:color="auto" w:fill="FFFFFF"/>
        <w:spacing w:before="0" w:beforeAutospacing="0" w:after="0"/>
        <w:jc w:val="both"/>
        <w:textAlignment w:val="baseline"/>
        <w:rPr>
          <w:color w:val="000000"/>
          <w:spacing w:val="3"/>
          <w:u w:val="single"/>
          <w:bdr w:val="none" w:sz="0" w:space="0" w:color="auto" w:frame="1"/>
        </w:rPr>
      </w:pPr>
      <w:r w:rsidRPr="00327FF8">
        <w:rPr>
          <w:b/>
          <w:color w:val="FF0000"/>
          <w:spacing w:val="3"/>
          <w:u w:val="single"/>
          <w:bdr w:val="none" w:sz="0" w:space="0" w:color="auto" w:frame="1"/>
        </w:rPr>
        <w:t xml:space="preserve">Para promover el crecimiento y mejorar la cohesión es necesario profundizar más el mercado único en las áreas con mayor impacto en el crecimiento, hacer más por apoyar la innovación y defender la competencia, la apertura y </w:t>
      </w:r>
      <w:r w:rsidRPr="003D21EF">
        <w:rPr>
          <w:b/>
          <w:color w:val="FF0000"/>
          <w:spacing w:val="3"/>
          <w:u w:val="single"/>
          <w:bdr w:val="none" w:sz="0" w:space="0" w:color="auto" w:frame="1"/>
        </w:rPr>
        <w:t>el multilateralismo. Salvaguardar el Pacto Verde Europeo significa impulsar la industrialización ecológica y un reparto justo de las cargas, al tiempo que se aumenta la financiación internacional para combatir el cambio climático</w:t>
      </w:r>
      <w:r w:rsidRPr="007B5118">
        <w:rPr>
          <w:color w:val="000000"/>
          <w:spacing w:val="3"/>
          <w:bdr w:val="none" w:sz="0" w:space="0" w:color="auto" w:frame="1"/>
        </w:rPr>
        <w:t xml:space="preserve">. Para </w:t>
      </w:r>
      <w:r w:rsidRPr="00327FF8">
        <w:rPr>
          <w:color w:val="000000"/>
          <w:spacing w:val="3"/>
          <w:u w:val="single"/>
          <w:bdr w:val="none" w:sz="0" w:space="0" w:color="auto" w:frame="1"/>
        </w:rPr>
        <w:t>reforzar la seguridad</w:t>
      </w:r>
      <w:r w:rsidRPr="007B5118">
        <w:rPr>
          <w:color w:val="000000"/>
          <w:spacing w:val="3"/>
          <w:bdr w:val="none" w:sz="0" w:space="0" w:color="auto" w:frame="1"/>
        </w:rPr>
        <w:t xml:space="preserve"> es necesario seguir apoyando a Ucrania y abordar </w:t>
      </w:r>
      <w:r w:rsidRPr="00327FF8">
        <w:rPr>
          <w:color w:val="000000"/>
          <w:spacing w:val="3"/>
          <w:u w:val="single"/>
          <w:bdr w:val="none" w:sz="0" w:space="0" w:color="auto" w:frame="1"/>
        </w:rPr>
        <w:t>los riesgos para la seguridad económica.</w:t>
      </w:r>
      <w:r w:rsidRPr="007B5118">
        <w:rPr>
          <w:color w:val="000000"/>
          <w:spacing w:val="3"/>
          <w:bdr w:val="none" w:sz="0" w:space="0" w:color="auto" w:frame="1"/>
        </w:rPr>
        <w:t xml:space="preserve"> </w:t>
      </w:r>
      <w:r w:rsidRPr="00327FF8">
        <w:rPr>
          <w:color w:val="000000"/>
          <w:spacing w:val="3"/>
          <w:u w:val="single"/>
          <w:bdr w:val="none" w:sz="0" w:space="0" w:color="auto" w:frame="1"/>
        </w:rPr>
        <w:t>Para respaldar todo esto, es necesario hacer un esfuerzo serio por mejorar la gobernanza de la UE, y esto debe hacerse sin crear más divisiones.</w:t>
      </w:r>
    </w:p>
    <w:p w:rsidR="0063398C" w:rsidRDefault="0063398C" w:rsidP="0063398C">
      <w:pPr>
        <w:pStyle w:val="highlightsbodycoverpageprelims"/>
        <w:shd w:val="clear" w:color="auto" w:fill="FFFFFF"/>
        <w:spacing w:before="0" w:beforeAutospacing="0" w:after="0"/>
        <w:jc w:val="both"/>
        <w:textAlignment w:val="baseline"/>
        <w:rPr>
          <w:color w:val="000000"/>
          <w:spacing w:val="3"/>
          <w:u w:val="single"/>
          <w:bdr w:val="none" w:sz="0" w:space="0" w:color="auto" w:frame="1"/>
        </w:rPr>
      </w:pPr>
    </w:p>
    <w:p w:rsidR="0063398C" w:rsidRPr="00327FF8" w:rsidRDefault="0063398C" w:rsidP="0063398C">
      <w:pPr>
        <w:pStyle w:val="highlightsbodycoverpageprelims"/>
        <w:shd w:val="clear" w:color="auto" w:fill="FFFFFF"/>
        <w:spacing w:before="0" w:beforeAutospacing="0" w:after="0"/>
        <w:jc w:val="both"/>
        <w:textAlignment w:val="baseline"/>
        <w:rPr>
          <w:color w:val="000000"/>
          <w:spacing w:val="3"/>
          <w:u w:val="single"/>
        </w:rPr>
      </w:pPr>
    </w:p>
    <w:p w:rsidR="0063398C" w:rsidRPr="007B5118" w:rsidRDefault="0063398C" w:rsidP="0063398C">
      <w:pPr>
        <w:pStyle w:val="Ttulo2"/>
        <w:shd w:val="clear" w:color="auto" w:fill="FFFFFF"/>
        <w:spacing w:before="0" w:beforeAutospacing="0"/>
        <w:jc w:val="both"/>
        <w:textAlignment w:val="baseline"/>
        <w:rPr>
          <w:b w:val="0"/>
          <w:bCs w:val="0"/>
          <w:color w:val="000000"/>
          <w:sz w:val="24"/>
          <w:szCs w:val="24"/>
        </w:rPr>
      </w:pPr>
      <w:r w:rsidRPr="007B5118">
        <w:rPr>
          <w:b w:val="0"/>
          <w:bCs w:val="0"/>
          <w:color w:val="000000"/>
          <w:sz w:val="24"/>
          <w:szCs w:val="24"/>
        </w:rPr>
        <w:lastRenderedPageBreak/>
        <w:t>1 Estado de cosas</w:t>
      </w:r>
    </w:p>
    <w:p w:rsidR="0063398C" w:rsidRPr="00327FF8" w:rsidRDefault="0063398C" w:rsidP="0063398C">
      <w:pPr>
        <w:pStyle w:val="bodyfulloutbody"/>
        <w:shd w:val="clear" w:color="auto" w:fill="FFFFFF"/>
        <w:spacing w:before="0" w:beforeAutospacing="0" w:after="0"/>
        <w:jc w:val="both"/>
        <w:textAlignment w:val="baseline"/>
        <w:rPr>
          <w:color w:val="000000"/>
          <w:spacing w:val="3"/>
          <w:u w:val="single"/>
        </w:rPr>
      </w:pPr>
      <w:r w:rsidRPr="00327FF8">
        <w:rPr>
          <w:color w:val="000000"/>
          <w:spacing w:val="3"/>
          <w:u w:val="single"/>
          <w:bdr w:val="none" w:sz="0" w:space="0" w:color="auto" w:frame="1"/>
        </w:rPr>
        <w:t>En los últimos cinco años, la Unión Europea logró salir de crisis sin precedentes</w:t>
      </w:r>
      <w:r w:rsidRPr="007B5118">
        <w:rPr>
          <w:color w:val="000000"/>
          <w:spacing w:val="3"/>
          <w:bdr w:val="none" w:sz="0" w:space="0" w:color="auto" w:frame="1"/>
        </w:rPr>
        <w:t xml:space="preserve">: una pandemia mundial que derivó en la peor crisis económica desde la Gran Depresión; un aumento masivo de los precios de la energía, causado por la guerra de Rusia contra Ucrania; y un marcado aumento de la inflación. </w:t>
      </w:r>
      <w:r w:rsidRPr="00327FF8">
        <w:rPr>
          <w:color w:val="000000"/>
          <w:spacing w:val="3"/>
          <w:u w:val="single"/>
          <w:bdr w:val="none" w:sz="0" w:space="0" w:color="auto" w:frame="1"/>
        </w:rPr>
        <w:t>El equipo europeo, en general, estuvo a la altura del desafío y se preservó la solidaridad europea.</w:t>
      </w:r>
    </w:p>
    <w:p w:rsidR="0063398C" w:rsidRPr="007B5118" w:rsidRDefault="0063398C" w:rsidP="0063398C">
      <w:pPr>
        <w:pStyle w:val="bodybody"/>
        <w:shd w:val="clear" w:color="auto" w:fill="FFFFFF"/>
        <w:spacing w:before="0" w:beforeAutospacing="0" w:after="0"/>
        <w:jc w:val="both"/>
        <w:textAlignment w:val="baseline"/>
        <w:rPr>
          <w:color w:val="000000"/>
          <w:spacing w:val="3"/>
        </w:rPr>
      </w:pPr>
      <w:r w:rsidRPr="00327FF8">
        <w:rPr>
          <w:color w:val="000000"/>
          <w:spacing w:val="3"/>
          <w:u w:val="single"/>
          <w:bdr w:val="none" w:sz="0" w:space="0" w:color="auto" w:frame="1"/>
        </w:rPr>
        <w:t>Los fondos NextGenerationEU (NGEU), el seguro de desempleo temporal de la UE y la prefinanciación de las compras de vacunas evitaron una catástrofe humana y económica durante la pandemia</w:t>
      </w:r>
      <w:r w:rsidRPr="007B5118">
        <w:rPr>
          <w:color w:val="000000"/>
          <w:spacing w:val="3"/>
          <w:bdr w:val="none" w:sz="0" w:space="0" w:color="auto" w:frame="1"/>
        </w:rPr>
        <w:t>. Una reducción coordinada de la demanda de energía y el compromiso de mantener abiertos los mercados energéticos evitaron la escasez de gas durante el invierno de 2022-23. La asistencia económica y militar a Ucrania ayudó a repeler el ataque inicial de Rusia y sigue siendo esencial para la resistencia ucraniana. Ucrania, Moldavia y Bosnia y Herzegovina obtuvieron el estatus de país candidato a la UE y fueron invitados a iniciar las negociaciones de adhesión.</w:t>
      </w:r>
    </w:p>
    <w:p w:rsidR="0063398C" w:rsidRPr="00327FF8" w:rsidRDefault="0063398C" w:rsidP="0063398C">
      <w:pPr>
        <w:pStyle w:val="bodybody"/>
        <w:shd w:val="clear" w:color="auto" w:fill="FFFFFF"/>
        <w:spacing w:before="0" w:beforeAutospacing="0" w:after="0"/>
        <w:jc w:val="both"/>
        <w:textAlignment w:val="baseline"/>
        <w:rPr>
          <w:color w:val="FF0000"/>
          <w:spacing w:val="3"/>
          <w:u w:val="single"/>
        </w:rPr>
      </w:pPr>
      <w:r w:rsidRPr="00327FF8">
        <w:rPr>
          <w:color w:val="FF0000"/>
          <w:spacing w:val="3"/>
          <w:u w:val="single"/>
          <w:bdr w:val="none" w:sz="0" w:space="0" w:color="auto" w:frame="1"/>
        </w:rPr>
        <w:t>Sin embargo, estas crisis han dejado a la UE en una situación muy maltrecha. A diferencia de los Estados Unidos, la UE sufrió un shock importante y persistente en los términos de intercambio en forma de precios más altos de la energía. Si bien la UE logró evitar una segunda recesión, se espera que la erosión de la competitividad industrial conduzca a un menor crecimiento a mediano plazo en el núcleo industrial de Europa. Parte de esta desaceleración se verá compensada por un mayor crecimiento en el sur y el sudeste de Europa gracias a una mayor diversificación energética, la abundante energía solar y el impacto beneficioso de sus planes de recuperación y resiliencia financiados por la UE. El efecto neto, sin embargo, es una ampliación de la brecha de productividad y de ingresos </w:t>
      </w:r>
      <w:r w:rsidRPr="00327FF8">
        <w:rPr>
          <w:rStyle w:val="nfasis"/>
          <w:color w:val="FF0000"/>
          <w:spacing w:val="3"/>
          <w:u w:val="single"/>
          <w:bdr w:val="none" w:sz="0" w:space="0" w:color="auto" w:frame="1"/>
        </w:rPr>
        <w:t>per cápita</w:t>
      </w:r>
      <w:r w:rsidRPr="00327FF8">
        <w:rPr>
          <w:color w:val="FF0000"/>
          <w:spacing w:val="3"/>
          <w:u w:val="single"/>
          <w:bdr w:val="none" w:sz="0" w:space="0" w:color="auto" w:frame="1"/>
        </w:rPr>
        <w:t> con los Estados Unidos. </w:t>
      </w:r>
    </w:p>
    <w:p w:rsidR="0063398C" w:rsidRPr="007B5118" w:rsidRDefault="0063398C" w:rsidP="0063398C">
      <w:pPr>
        <w:pStyle w:val="bodybody"/>
        <w:shd w:val="clear" w:color="auto" w:fill="FFFFFF"/>
        <w:spacing w:before="0" w:beforeAutospacing="0" w:after="0"/>
        <w:jc w:val="both"/>
        <w:textAlignment w:val="baseline"/>
        <w:rPr>
          <w:color w:val="000000"/>
          <w:spacing w:val="3"/>
        </w:rPr>
      </w:pPr>
      <w:r w:rsidRPr="00327FF8">
        <w:rPr>
          <w:color w:val="FF0000"/>
          <w:spacing w:val="3"/>
          <w:u w:val="single"/>
          <w:bdr w:val="none" w:sz="0" w:space="0" w:color="auto" w:frame="1"/>
        </w:rPr>
        <w:t xml:space="preserve">Mientras tanto, el mundo que rodea a la UE se ha vuelto más amenazador y fragmentado. </w:t>
      </w:r>
      <w:r w:rsidRPr="00327FF8">
        <w:rPr>
          <w:color w:val="000000"/>
          <w:spacing w:val="3"/>
          <w:u w:val="single"/>
          <w:bdr w:val="none" w:sz="0" w:space="0" w:color="auto" w:frame="1"/>
        </w:rPr>
        <w:t>La situación militar en Ucrania sigue siendo precaria. China se ha vuelto más autoritaria y más asertiva, ejerciendo coerción económica contra la UE y sus aliados. El giro de Estados Unidos hacia el proteccionismo, iniciado por el presidente Trump, ha continuado bajo el presidente Biden. El regreso de Donald Trump a la Casa Blanca podría significar el fin del apoyo de Estados Unidos a Ucrania y de la acción conjunta de Estados Unidos y la UE contra Putin, y puede conducir a nuevos aranceles y otras acciones hostiles de Estados Unidos contra la UE</w:t>
      </w:r>
      <w:r w:rsidRPr="007B5118">
        <w:rPr>
          <w:color w:val="000000"/>
          <w:spacing w:val="3"/>
          <w:bdr w:val="none" w:sz="0" w:space="0" w:color="auto" w:frame="1"/>
        </w:rPr>
        <w:t>. Incluso si Trump no regresa, es probable que el apoyo de Estados Unidos a Ucrania y su compromiso con Europa disminuyan, lo que requerirá que la UE cubra el vacío, fortalezca su capacidad defensiva y defienda sus intereses y valores con más vigor.</w:t>
      </w:r>
    </w:p>
    <w:p w:rsidR="0063398C" w:rsidRPr="007B5118" w:rsidRDefault="0063398C" w:rsidP="0063398C">
      <w:pPr>
        <w:pStyle w:val="bodybody"/>
        <w:shd w:val="clear" w:color="auto" w:fill="FFFFFF"/>
        <w:spacing w:before="0" w:beforeAutospacing="0" w:after="0"/>
        <w:jc w:val="both"/>
        <w:textAlignment w:val="baseline"/>
        <w:rPr>
          <w:color w:val="000000"/>
          <w:spacing w:val="3"/>
        </w:rPr>
      </w:pPr>
      <w:r w:rsidRPr="00327FF8">
        <w:rPr>
          <w:color w:val="FF0000"/>
          <w:spacing w:val="3"/>
          <w:u w:val="single"/>
          <w:bdr w:val="none" w:sz="0" w:space="0" w:color="auto" w:frame="1"/>
        </w:rPr>
        <w:t>La recesión provocada por la pandemia y las medidas de apoyo a la energía han reducido, pero no eliminado, el margen de maniobra fiscal de la UE. La ratio de deuda pública aumentó en más de 12 puntos del PIB de la UE en 2020, pero desde entonces ha bajado casi 9 puntos, lo que refleja la recuperación económica y el inesperado aumento de la inflación</w:t>
      </w:r>
      <w:r w:rsidRPr="007B5118">
        <w:rPr>
          <w:color w:val="000000"/>
          <w:spacing w:val="3"/>
          <w:bdr w:val="none" w:sz="0" w:space="0" w:color="auto" w:frame="1"/>
        </w:rPr>
        <w:t xml:space="preserve">. </w:t>
      </w:r>
      <w:r w:rsidRPr="00327FF8">
        <w:rPr>
          <w:color w:val="FF0000"/>
          <w:spacing w:val="3"/>
          <w:u w:val="single"/>
          <w:bdr w:val="none" w:sz="0" w:space="0" w:color="auto" w:frame="1"/>
        </w:rPr>
        <w:t>Más preocupante que el nivel de deuda </w:t>
      </w:r>
      <w:r w:rsidRPr="00327FF8">
        <w:rPr>
          <w:rStyle w:val="nfasis"/>
          <w:color w:val="FF0000"/>
          <w:spacing w:val="3"/>
          <w:u w:val="single"/>
          <w:bdr w:val="none" w:sz="0" w:space="0" w:color="auto" w:frame="1"/>
        </w:rPr>
        <w:t>en sí</w:t>
      </w:r>
      <w:r w:rsidRPr="00327FF8">
        <w:rPr>
          <w:color w:val="FF0000"/>
          <w:spacing w:val="3"/>
          <w:u w:val="single"/>
          <w:bdr w:val="none" w:sz="0" w:space="0" w:color="auto" w:frame="1"/>
        </w:rPr>
        <w:t> es el hecho de que los déficits siguen siendo elevados en muchos países con un elevado nivel de deuda.</w:t>
      </w:r>
      <w:r w:rsidRPr="007B5118">
        <w:rPr>
          <w:color w:val="000000"/>
          <w:spacing w:val="3"/>
          <w:bdr w:val="none" w:sz="0" w:space="0" w:color="auto" w:frame="1"/>
        </w:rPr>
        <w:t xml:space="preserve"> En junio de 2024, la Comisión Europea anunció que recomendaría abrir procedimientos de déficit excesivo para Bélgica, Francia, Italia, Hungría, Malta, Polonia y Eslovaquia (además de Rumanía, que está en el procedimiento desde 2021).</w:t>
      </w:r>
    </w:p>
    <w:p w:rsidR="0063398C" w:rsidRPr="0045538C" w:rsidRDefault="0063398C" w:rsidP="0063398C">
      <w:pPr>
        <w:pStyle w:val="bodybody"/>
        <w:shd w:val="clear" w:color="auto" w:fill="FFFFFF"/>
        <w:spacing w:before="0" w:beforeAutospacing="0" w:after="0"/>
        <w:jc w:val="both"/>
        <w:textAlignment w:val="baseline"/>
        <w:rPr>
          <w:color w:val="000000"/>
          <w:spacing w:val="3"/>
          <w:u w:val="single"/>
        </w:rPr>
      </w:pPr>
      <w:r w:rsidRPr="0045538C">
        <w:rPr>
          <w:color w:val="FF0000"/>
          <w:spacing w:val="3"/>
          <w:u w:val="single"/>
          <w:bdr w:val="none" w:sz="0" w:space="0" w:color="auto" w:frame="1"/>
        </w:rPr>
        <w:lastRenderedPageBreak/>
        <w:t xml:space="preserve">Al mismo </w:t>
      </w:r>
      <w:r w:rsidR="003D21EF">
        <w:rPr>
          <w:color w:val="FF0000"/>
          <w:spacing w:val="3"/>
          <w:u w:val="single"/>
          <w:bdr w:val="none" w:sz="0" w:space="0" w:color="auto" w:frame="1"/>
        </w:rPr>
        <w:t>tiempo, la UE ha perdido tanto “espacio climático”</w:t>
      </w:r>
      <w:r w:rsidRPr="0045538C">
        <w:rPr>
          <w:color w:val="FF0000"/>
          <w:spacing w:val="3"/>
          <w:u w:val="single"/>
          <w:bdr w:val="none" w:sz="0" w:space="0" w:color="auto" w:frame="1"/>
        </w:rPr>
        <w:t xml:space="preserve"> (lo que hace que la acción climática sea más urgente) como espacio político para la acción climática. Aunque las emisiones de la UE han estado en una tendencia descendente durante unos 15 años, las emisiones mundiales siguen siendo altas y están aumentando</w:t>
      </w:r>
      <w:r w:rsidRPr="007B5118">
        <w:rPr>
          <w:color w:val="000000"/>
          <w:spacing w:val="3"/>
          <w:bdr w:val="none" w:sz="0" w:space="0" w:color="auto" w:frame="1"/>
        </w:rPr>
        <w:t xml:space="preserve">. Las emisiones en 2023 por sí solas pueden haber agotado el 11 por ciento del presupuesto global de carbono restante, lo que sería coherente con limitar el calentamiento global a 1,5 grados Celsius en comparación con los niveles preindustriales (Liu et al, 2024). </w:t>
      </w:r>
      <w:r w:rsidRPr="0045538C">
        <w:rPr>
          <w:color w:val="000000"/>
          <w:spacing w:val="3"/>
          <w:u w:val="single"/>
          <w:bdr w:val="none" w:sz="0" w:space="0" w:color="auto" w:frame="1"/>
        </w:rPr>
        <w:t>Los efectos del cambio climático se están sintiendo más rápido y con más violencia de lo esperado, como lo demostraron las inundaciones, sequías e incendios forestales de 2023. Sin embargo, los partidos opuestos a las medidas climáticas y a la acción a nivel de la UE obtuvieron avances significativos en las elecciones al Parlamento Europeo. Esto refleja una creciente polarización política y social, incluso en las mayores economías de la UE.</w:t>
      </w:r>
    </w:p>
    <w:p w:rsidR="0063398C" w:rsidRPr="007B5118" w:rsidRDefault="0063398C" w:rsidP="0063398C">
      <w:pPr>
        <w:pStyle w:val="bodybody"/>
        <w:shd w:val="clear" w:color="auto" w:fill="FFFFFF"/>
        <w:spacing w:before="0" w:beforeAutospacing="0" w:after="0"/>
        <w:jc w:val="both"/>
        <w:textAlignment w:val="baseline"/>
        <w:rPr>
          <w:color w:val="000000"/>
          <w:spacing w:val="3"/>
        </w:rPr>
      </w:pPr>
      <w:r w:rsidRPr="0045538C">
        <w:rPr>
          <w:color w:val="000000"/>
          <w:spacing w:val="3"/>
          <w:u w:val="single"/>
          <w:bdr w:val="none" w:sz="0" w:space="0" w:color="auto" w:frame="1"/>
        </w:rPr>
        <w:t>En el ciclo anterior, la UE aprobó varias leyes históricas</w:t>
      </w:r>
      <w:r w:rsidRPr="007B5118">
        <w:rPr>
          <w:color w:val="000000"/>
          <w:spacing w:val="3"/>
          <w:bdr w:val="none" w:sz="0" w:space="0" w:color="auto" w:frame="1"/>
        </w:rPr>
        <w:t>, entre ellas el Mecanismo de Recuperación y Resiliencia financiado con préstamos comunes (febrero de 2021), la Ley Europea del Clima (junio de 2021) y un conjunto de leyes digitales (la Ley de Mercados Digitales y la Ley de Servicios Digitales en 2022; la Ley de Inteligencia Artificial en 2023). La seguridad económica ocupó un lugar central (la Ley Europea de Chips, la Ley de Materias Primas Esenciales y el Instrumento Anticoerción en 2023; la Ley de Ciberresiliencia de 2024). El paquete de medidas de migración y asilo de 2024 y la renovación de las normas fiscales europeas de 2024 representaron compromisos muy logrados y son, en su mayor parte, mejoras. </w:t>
      </w:r>
    </w:p>
    <w:p w:rsidR="0063398C" w:rsidRPr="007B5118" w:rsidRDefault="0063398C" w:rsidP="0063398C">
      <w:pPr>
        <w:pStyle w:val="bodybody"/>
        <w:shd w:val="clear" w:color="auto" w:fill="FFFFFF"/>
        <w:spacing w:before="0" w:beforeAutospacing="0" w:after="0"/>
        <w:jc w:val="both"/>
        <w:textAlignment w:val="baseline"/>
        <w:rPr>
          <w:color w:val="000000"/>
          <w:spacing w:val="3"/>
        </w:rPr>
      </w:pPr>
      <w:r w:rsidRPr="0045538C">
        <w:rPr>
          <w:color w:val="000000"/>
          <w:spacing w:val="3"/>
          <w:u w:val="single"/>
          <w:bdr w:val="none" w:sz="0" w:space="0" w:color="auto" w:frame="1"/>
        </w:rPr>
        <w:t>Pero no toda la nueva legislación ha sido buena, y el progreso ha sido lento o nulo en áreas importantes</w:t>
      </w:r>
      <w:r w:rsidRPr="007B5118">
        <w:rPr>
          <w:color w:val="000000"/>
          <w:spacing w:val="3"/>
          <w:bdr w:val="none" w:sz="0" w:space="0" w:color="auto" w:frame="1"/>
        </w:rPr>
        <w:t>: </w:t>
      </w:r>
    </w:p>
    <w:p w:rsidR="0063398C" w:rsidRPr="0045538C" w:rsidRDefault="0063398C" w:rsidP="0063398C">
      <w:pPr>
        <w:pStyle w:val="bullet1levelfirstlists"/>
        <w:shd w:val="clear" w:color="auto" w:fill="FFFFFF"/>
        <w:spacing w:before="0" w:beforeAutospacing="0" w:after="0"/>
        <w:jc w:val="both"/>
        <w:textAlignment w:val="baseline"/>
        <w:rPr>
          <w:color w:val="FF0000"/>
          <w:spacing w:val="3"/>
          <w:u w:val="single"/>
        </w:rPr>
      </w:pPr>
      <w:r w:rsidRPr="0045538C">
        <w:rPr>
          <w:color w:val="FF0000"/>
          <w:spacing w:val="3"/>
          <w:u w:val="single"/>
          <w:bdr w:val="none" w:sz="0" w:space="0" w:color="auto" w:frame="1"/>
        </w:rPr>
        <w:t>Algunas reglamentaciones se han aprobado apresuradamente sin una evaluación adecuada de sus efectos, lo que ha dado lugar a elevadas cargas de cumplimiento y/o fallos de alto perfil (como la Estrategia de la Granja a la Mesa). A pesar de los esfuerzos de la Comisión Europea, la calidad de la evaluación </w:t>
      </w:r>
      <w:r w:rsidRPr="0045538C">
        <w:rPr>
          <w:rStyle w:val="nfasis"/>
          <w:color w:val="FF0000"/>
          <w:spacing w:val="3"/>
          <w:u w:val="single"/>
          <w:bdr w:val="none" w:sz="0" w:space="0" w:color="auto" w:frame="1"/>
        </w:rPr>
        <w:t>ex post</w:t>
      </w:r>
      <w:r w:rsidRPr="0045538C">
        <w:rPr>
          <w:color w:val="FF0000"/>
          <w:spacing w:val="3"/>
          <w:u w:val="single"/>
          <w:bdr w:val="none" w:sz="0" w:space="0" w:color="auto" w:frame="1"/>
        </w:rPr>
        <w:t> sigue siendo deficiente.</w:t>
      </w:r>
    </w:p>
    <w:p w:rsidR="0063398C" w:rsidRPr="007B5118" w:rsidRDefault="0063398C" w:rsidP="0063398C">
      <w:pPr>
        <w:pStyle w:val="bullet1levelcontinuedlists"/>
        <w:shd w:val="clear" w:color="auto" w:fill="FFFFFF"/>
        <w:spacing w:before="0" w:beforeAutospacing="0" w:after="0"/>
        <w:jc w:val="both"/>
        <w:textAlignment w:val="baseline"/>
        <w:rPr>
          <w:color w:val="000000"/>
          <w:spacing w:val="3"/>
        </w:rPr>
      </w:pPr>
      <w:r w:rsidRPr="0045538C">
        <w:rPr>
          <w:color w:val="FF0000"/>
          <w:spacing w:val="3"/>
          <w:u w:val="single"/>
          <w:bdr w:val="none" w:sz="0" w:space="0" w:color="auto" w:frame="1"/>
        </w:rPr>
        <w:t>El Consejo no logró ponerse de acuerdo sobre nuevos recursos propios para ayudar a reembolsar los préstamos del Next Generation EU</w:t>
      </w:r>
      <w:r w:rsidRPr="007B5118">
        <w:rPr>
          <w:color w:val="000000"/>
          <w:spacing w:val="3"/>
          <w:bdr w:val="none" w:sz="0" w:space="0" w:color="auto" w:frame="1"/>
        </w:rPr>
        <w:t>, a pesar de las buenas propuestas de la Comisión en 2021 y 2023 y su respaldo por parte del Parlamento Europeo. </w:t>
      </w:r>
    </w:p>
    <w:p w:rsidR="0063398C" w:rsidRPr="0045538C" w:rsidRDefault="0063398C" w:rsidP="0063398C">
      <w:pPr>
        <w:pStyle w:val="bullet1levelcontinuedlists"/>
        <w:shd w:val="clear" w:color="auto" w:fill="FFFFFF"/>
        <w:spacing w:before="0" w:beforeAutospacing="0" w:after="0"/>
        <w:jc w:val="both"/>
        <w:textAlignment w:val="baseline"/>
        <w:rPr>
          <w:color w:val="FF0000"/>
          <w:spacing w:val="3"/>
          <w:u w:val="single"/>
        </w:rPr>
      </w:pPr>
      <w:r w:rsidRPr="0045538C">
        <w:rPr>
          <w:color w:val="FF0000"/>
          <w:spacing w:val="3"/>
          <w:u w:val="single"/>
          <w:bdr w:val="none" w:sz="0" w:space="0" w:color="auto" w:frame="1"/>
        </w:rPr>
        <w:t>La respuesta de la Comisión a la disminución de la competitividad de la UE ha sido desigual: si bien intentó ampliar la política industrial a nivel de la UE (la Ley de Industria Neta Cero de 2024), no ha logrado aprobar una legislación importante para profundizar el mercado único.</w:t>
      </w:r>
    </w:p>
    <w:p w:rsidR="0063398C" w:rsidRPr="0045538C" w:rsidRDefault="0063398C" w:rsidP="0063398C">
      <w:pPr>
        <w:pStyle w:val="bullet1levellastlists"/>
        <w:shd w:val="clear" w:color="auto" w:fill="FFFFFF"/>
        <w:spacing w:before="0" w:beforeAutospacing="0" w:after="0"/>
        <w:jc w:val="both"/>
        <w:textAlignment w:val="baseline"/>
        <w:rPr>
          <w:color w:val="FF0000"/>
          <w:spacing w:val="3"/>
          <w:u w:val="single"/>
        </w:rPr>
      </w:pPr>
      <w:r w:rsidRPr="0045538C">
        <w:rPr>
          <w:color w:val="FF0000"/>
          <w:spacing w:val="3"/>
          <w:u w:val="single"/>
          <w:bdr w:val="none" w:sz="0" w:space="0" w:color="auto" w:frame="1"/>
        </w:rPr>
        <w:t>No ha habido avances en la unión bancaria y sólo pequeños pasos en la unión de los mercados de capitales (UMC). </w:t>
      </w:r>
    </w:p>
    <w:p w:rsidR="0063398C" w:rsidRDefault="0063398C" w:rsidP="0063398C">
      <w:pPr>
        <w:pStyle w:val="bodybody"/>
        <w:shd w:val="clear" w:color="auto" w:fill="FFFFFF"/>
        <w:spacing w:before="0" w:beforeAutospacing="0" w:after="0"/>
        <w:jc w:val="both"/>
        <w:textAlignment w:val="baseline"/>
        <w:rPr>
          <w:color w:val="000000"/>
          <w:spacing w:val="3"/>
          <w:bdr w:val="none" w:sz="0" w:space="0" w:color="auto" w:frame="1"/>
        </w:rPr>
      </w:pPr>
      <w:r w:rsidRPr="007B5118">
        <w:rPr>
          <w:color w:val="000000"/>
          <w:spacing w:val="3"/>
          <w:bdr w:val="none" w:sz="0" w:space="0" w:color="auto" w:frame="1"/>
        </w:rPr>
        <w:t>Dicho esto, el debate sobre el mercado único se ha visto revitalizado por la publicación del Informe Letta sobre el Mercado Único (Letta, 2024), los llamamientos del Banco Central Europeo para acelerar la UMC y el regreso de la UMC a la agenda del Consejo en 2024.</w:t>
      </w:r>
    </w:p>
    <w:p w:rsidR="0063398C" w:rsidRDefault="0063398C" w:rsidP="0063398C">
      <w:pPr>
        <w:pStyle w:val="bodybody"/>
        <w:shd w:val="clear" w:color="auto" w:fill="FFFFFF"/>
        <w:spacing w:before="0" w:beforeAutospacing="0" w:after="0"/>
        <w:jc w:val="both"/>
        <w:textAlignment w:val="baseline"/>
        <w:rPr>
          <w:color w:val="000000"/>
          <w:spacing w:val="3"/>
          <w:bdr w:val="none" w:sz="0" w:space="0" w:color="auto" w:frame="1"/>
        </w:rPr>
      </w:pPr>
    </w:p>
    <w:p w:rsidR="0063398C" w:rsidRPr="007B5118" w:rsidRDefault="0063398C" w:rsidP="0063398C">
      <w:pPr>
        <w:pStyle w:val="bodybody"/>
        <w:shd w:val="clear" w:color="auto" w:fill="FFFFFF"/>
        <w:spacing w:before="0" w:beforeAutospacing="0" w:after="0"/>
        <w:jc w:val="both"/>
        <w:textAlignment w:val="baseline"/>
        <w:rPr>
          <w:color w:val="000000"/>
          <w:spacing w:val="3"/>
        </w:rPr>
      </w:pPr>
    </w:p>
    <w:p w:rsidR="0063398C" w:rsidRPr="007B5118" w:rsidRDefault="0063398C" w:rsidP="0063398C">
      <w:pPr>
        <w:pStyle w:val="Ttulo2"/>
        <w:shd w:val="clear" w:color="auto" w:fill="FFFFFF"/>
        <w:spacing w:before="0" w:beforeAutospacing="0"/>
        <w:jc w:val="both"/>
        <w:textAlignment w:val="baseline"/>
        <w:rPr>
          <w:b w:val="0"/>
          <w:bCs w:val="0"/>
          <w:color w:val="000000"/>
          <w:sz w:val="24"/>
          <w:szCs w:val="24"/>
        </w:rPr>
      </w:pPr>
      <w:r w:rsidRPr="007B5118">
        <w:rPr>
          <w:b w:val="0"/>
          <w:bCs w:val="0"/>
          <w:color w:val="000000"/>
          <w:sz w:val="24"/>
          <w:szCs w:val="24"/>
        </w:rPr>
        <w:lastRenderedPageBreak/>
        <w:t>2 desafíos</w:t>
      </w:r>
    </w:p>
    <w:p w:rsidR="0063398C" w:rsidRPr="0045538C" w:rsidRDefault="0063398C" w:rsidP="0063398C">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rPr>
      </w:pPr>
      <w:r w:rsidRPr="0045538C">
        <w:rPr>
          <w:rFonts w:ascii="Times New Roman" w:hAnsi="Times New Roman" w:cs="Times New Roman"/>
          <w:b w:val="0"/>
          <w:bCs w:val="0"/>
          <w:color w:val="FF0000"/>
          <w:sz w:val="24"/>
          <w:szCs w:val="24"/>
          <w:bdr w:val="none" w:sz="0" w:space="0" w:color="auto" w:frame="1"/>
        </w:rPr>
        <w:t>Proporcionar apoyo eficaz a Ucrania</w:t>
      </w:r>
    </w:p>
    <w:p w:rsidR="0063398C" w:rsidRPr="007B5118" w:rsidRDefault="0063398C" w:rsidP="0063398C">
      <w:pPr>
        <w:pStyle w:val="bodyfulloutbody"/>
        <w:shd w:val="clear" w:color="auto" w:fill="FFFFFF"/>
        <w:spacing w:before="0" w:beforeAutospacing="0" w:after="0"/>
        <w:jc w:val="both"/>
        <w:textAlignment w:val="baseline"/>
        <w:rPr>
          <w:color w:val="000000"/>
          <w:spacing w:val="3"/>
        </w:rPr>
      </w:pPr>
      <w:r w:rsidRPr="007B5118">
        <w:rPr>
          <w:color w:val="000000"/>
          <w:spacing w:val="3"/>
          <w:bdr w:val="none" w:sz="0" w:space="0" w:color="auto" w:frame="1"/>
        </w:rPr>
        <w:t>El desafío más urgente es apoyar a Ucrania en su guerra existencial contra Rusia. Una derrota ucraniana sería una catástrofe humanitaria y política y un golpe a la seguridad de la UE.</w:t>
      </w:r>
    </w:p>
    <w:p w:rsidR="0063398C" w:rsidRPr="0045538C" w:rsidRDefault="0063398C" w:rsidP="0063398C">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rPr>
      </w:pPr>
      <w:r w:rsidRPr="0045538C">
        <w:rPr>
          <w:rFonts w:ascii="Times New Roman" w:hAnsi="Times New Roman" w:cs="Times New Roman"/>
          <w:b w:val="0"/>
          <w:bCs w:val="0"/>
          <w:color w:val="FF0000"/>
          <w:sz w:val="24"/>
          <w:szCs w:val="24"/>
          <w:bdr w:val="none" w:sz="0" w:space="0" w:color="auto" w:frame="1"/>
        </w:rPr>
        <w:t>Dinamizar el crecimiento</w:t>
      </w:r>
    </w:p>
    <w:p w:rsidR="0063398C" w:rsidRPr="007B5118" w:rsidRDefault="0063398C" w:rsidP="0063398C">
      <w:pPr>
        <w:pStyle w:val="bodyfulloutbody"/>
        <w:shd w:val="clear" w:color="auto" w:fill="FFFFFF"/>
        <w:spacing w:before="0" w:beforeAutospacing="0" w:after="0"/>
        <w:jc w:val="both"/>
        <w:textAlignment w:val="baseline"/>
        <w:rPr>
          <w:color w:val="000000"/>
          <w:spacing w:val="3"/>
        </w:rPr>
      </w:pPr>
      <w:r w:rsidRPr="007B5118">
        <w:rPr>
          <w:color w:val="000000"/>
          <w:spacing w:val="3"/>
          <w:bdr w:val="none" w:sz="0" w:space="0" w:color="auto" w:frame="1"/>
        </w:rPr>
        <w:t>Los altos precios de la energía, la disminución de la población en edad laboral, la escasez de mano de obra calificada, la lentitud de la inversión pública y privada, la salida insuficiente de empresas ineficientes y la lenta adopción de tecnología digital están exacerbando las diferencias de crec</w:t>
      </w:r>
      <w:r w:rsidR="003D21EF">
        <w:rPr>
          <w:color w:val="000000"/>
          <w:spacing w:val="3"/>
          <w:bdr w:val="none" w:sz="0" w:space="0" w:color="auto" w:frame="1"/>
        </w:rPr>
        <w:t>imiento de larga data entre la “Europa avanzada”</w:t>
      </w:r>
      <w:r w:rsidRPr="007B5118">
        <w:rPr>
          <w:color w:val="000000"/>
          <w:spacing w:val="3"/>
          <w:bdr w:val="none" w:sz="0" w:space="0" w:color="auto" w:frame="1"/>
        </w:rPr>
        <w:t xml:space="preserve"> y los Estados Unidos (</w:t>
      </w:r>
      <w:r w:rsidR="003D21EF">
        <w:rPr>
          <w:color w:val="000000"/>
          <w:spacing w:val="3"/>
          <w:u w:val="single"/>
          <w:bdr w:val="none" w:sz="0" w:space="0" w:color="auto" w:frame="1"/>
        </w:rPr>
        <w:t>se proyecta que la “Europa emergente”</w:t>
      </w:r>
      <w:r w:rsidRPr="0045538C">
        <w:rPr>
          <w:color w:val="000000"/>
          <w:spacing w:val="3"/>
          <w:u w:val="single"/>
          <w:bdr w:val="none" w:sz="0" w:space="0" w:color="auto" w:frame="1"/>
        </w:rPr>
        <w:t xml:space="preserve"> -los miembros del centro y este de la UE- crecerá mucho más rápido, aproximadamente al doble del promedio de la UE, y continuará convergiendo con los países más ricos de la UE</w:t>
      </w:r>
      <w:r w:rsidRPr="007B5118">
        <w:rPr>
          <w:color w:val="000000"/>
          <w:spacing w:val="3"/>
          <w:bdr w:val="none" w:sz="0" w:space="0" w:color="auto" w:frame="1"/>
        </w:rPr>
        <w:t>).</w:t>
      </w:r>
    </w:p>
    <w:p w:rsidR="0063398C" w:rsidRPr="0045538C" w:rsidRDefault="0063398C" w:rsidP="0063398C">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bdr w:val="none" w:sz="0" w:space="0" w:color="auto" w:frame="1"/>
        </w:rPr>
      </w:pPr>
      <w:r w:rsidRPr="0045538C">
        <w:rPr>
          <w:rFonts w:ascii="Times New Roman" w:hAnsi="Times New Roman" w:cs="Times New Roman"/>
          <w:b w:val="0"/>
          <w:bCs w:val="0"/>
          <w:color w:val="FF0000"/>
          <w:sz w:val="24"/>
          <w:szCs w:val="24"/>
          <w:bdr w:val="none" w:sz="0" w:space="0" w:color="auto" w:frame="1"/>
        </w:rPr>
        <w:t>Cumplir los objetivos climáticos de 2030 y sentar las bases para alcanzar los objetivos de 2040</w:t>
      </w:r>
    </w:p>
    <w:p w:rsidR="0063398C" w:rsidRPr="0045538C" w:rsidRDefault="0063398C" w:rsidP="0063398C">
      <w:pPr>
        <w:pStyle w:val="bodyfulloutbody"/>
        <w:shd w:val="clear" w:color="auto" w:fill="FFFFFF"/>
        <w:spacing w:before="0" w:beforeAutospacing="0" w:after="0"/>
        <w:jc w:val="both"/>
        <w:textAlignment w:val="baseline"/>
        <w:rPr>
          <w:color w:val="000000"/>
          <w:spacing w:val="3"/>
          <w:u w:val="single"/>
        </w:rPr>
      </w:pPr>
      <w:r w:rsidRPr="0045538C">
        <w:rPr>
          <w:color w:val="000000"/>
          <w:spacing w:val="3"/>
          <w:u w:val="single"/>
          <w:bdr w:val="none" w:sz="0" w:space="0" w:color="auto" w:frame="1"/>
        </w:rPr>
        <w:t>Dar cumplimiento al Pacto Verde Europeo es más importante que nunca, pero será difícil en vista del lento crecimiento, la reacción política contra los costos de la acción climática y el reducido espacio fiscal. </w:t>
      </w:r>
    </w:p>
    <w:p w:rsidR="0063398C" w:rsidRPr="0045538C" w:rsidRDefault="0063398C" w:rsidP="0063398C">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rPr>
      </w:pPr>
      <w:r w:rsidRPr="0045538C">
        <w:rPr>
          <w:rFonts w:ascii="Times New Roman" w:hAnsi="Times New Roman" w:cs="Times New Roman"/>
          <w:b w:val="0"/>
          <w:bCs w:val="0"/>
          <w:color w:val="FF0000"/>
          <w:sz w:val="24"/>
          <w:szCs w:val="24"/>
          <w:bdr w:val="none" w:sz="0" w:space="0" w:color="auto" w:frame="1"/>
        </w:rPr>
        <w:t>Acelerar la acción climática fuera de las fronteras de la UE</w:t>
      </w:r>
    </w:p>
    <w:p w:rsidR="0063398C" w:rsidRPr="0045538C" w:rsidRDefault="0063398C" w:rsidP="0063398C">
      <w:pPr>
        <w:pStyle w:val="bodyfulloutbody"/>
        <w:shd w:val="clear" w:color="auto" w:fill="FFFFFF"/>
        <w:spacing w:before="0" w:beforeAutospacing="0" w:after="0"/>
        <w:jc w:val="both"/>
        <w:textAlignment w:val="baseline"/>
        <w:rPr>
          <w:color w:val="000000"/>
          <w:spacing w:val="3"/>
          <w:u w:val="single"/>
        </w:rPr>
      </w:pPr>
      <w:r w:rsidRPr="0045538C">
        <w:rPr>
          <w:color w:val="000000"/>
          <w:spacing w:val="3"/>
          <w:u w:val="single"/>
          <w:bdr w:val="none" w:sz="0" w:space="0" w:color="auto" w:frame="1"/>
        </w:rPr>
        <w:t>Un Pacto Verde Europeo exitoso es necesario, pero no suficiente, para frenar el cambio climático. La UE debe dedicar mucha más energía (y recursos) a acelerar la reducción de emisiones fuera de sus fronteras, en particular en los mercados emergentes y las economías en desarrollo, donde las emisiones siguen aumentando.</w:t>
      </w:r>
    </w:p>
    <w:p w:rsidR="0063398C" w:rsidRPr="0045538C" w:rsidRDefault="0063398C" w:rsidP="0063398C">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bdr w:val="none" w:sz="0" w:space="0" w:color="auto" w:frame="1"/>
        </w:rPr>
      </w:pPr>
      <w:r w:rsidRPr="0045538C">
        <w:rPr>
          <w:rFonts w:ascii="Times New Roman" w:hAnsi="Times New Roman" w:cs="Times New Roman"/>
          <w:b w:val="0"/>
          <w:bCs w:val="0"/>
          <w:color w:val="FF0000"/>
          <w:sz w:val="24"/>
          <w:szCs w:val="24"/>
          <w:bdr w:val="none" w:sz="0" w:space="0" w:color="auto" w:frame="1"/>
        </w:rPr>
        <w:t>Restaurar la cohesión social</w:t>
      </w:r>
    </w:p>
    <w:p w:rsidR="0063398C" w:rsidRPr="0045538C" w:rsidRDefault="0063398C" w:rsidP="0063398C">
      <w:pPr>
        <w:pStyle w:val="bodyfulloutbody"/>
        <w:shd w:val="clear" w:color="auto" w:fill="FFFFFF"/>
        <w:spacing w:before="0" w:beforeAutospacing="0" w:after="0"/>
        <w:jc w:val="both"/>
        <w:textAlignment w:val="baseline"/>
        <w:rPr>
          <w:color w:val="000000"/>
          <w:spacing w:val="3"/>
          <w:u w:val="single"/>
        </w:rPr>
      </w:pPr>
      <w:r w:rsidRPr="0045538C">
        <w:rPr>
          <w:color w:val="000000"/>
          <w:spacing w:val="3"/>
          <w:u w:val="single"/>
          <w:bdr w:val="none" w:sz="0" w:space="0" w:color="auto" w:frame="1"/>
        </w:rPr>
        <w:t>La mayor polarización política y social en la UE amenaza no solo el Pacto Verde, sino potencialmente todo el proyecto europeo. Sin embargo, abordar este problema a nivel de la UE es un desafío porque la mayoría de estas divisiones se producen dentro de los Estados miembros y no entre ellos.</w:t>
      </w:r>
    </w:p>
    <w:p w:rsidR="0063398C" w:rsidRPr="0045538C" w:rsidRDefault="0063398C" w:rsidP="0063398C">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bdr w:val="none" w:sz="0" w:space="0" w:color="auto" w:frame="1"/>
        </w:rPr>
      </w:pPr>
      <w:r w:rsidRPr="0045538C">
        <w:rPr>
          <w:rFonts w:ascii="Times New Roman" w:hAnsi="Times New Roman" w:cs="Times New Roman"/>
          <w:b w:val="0"/>
          <w:bCs w:val="0"/>
          <w:color w:val="FF0000"/>
          <w:sz w:val="24"/>
          <w:szCs w:val="24"/>
          <w:bdr w:val="none" w:sz="0" w:space="0" w:color="auto" w:frame="1"/>
        </w:rPr>
        <w:t>Mejorar la seguridad exterior de la UE </w:t>
      </w:r>
    </w:p>
    <w:p w:rsidR="0063398C" w:rsidRPr="0045538C" w:rsidRDefault="0063398C" w:rsidP="0063398C">
      <w:pPr>
        <w:pStyle w:val="bodyfulloutbody"/>
        <w:shd w:val="clear" w:color="auto" w:fill="FFFFFF"/>
        <w:spacing w:before="0" w:beforeAutospacing="0" w:after="0"/>
        <w:jc w:val="both"/>
        <w:textAlignment w:val="baseline"/>
        <w:rPr>
          <w:color w:val="000000"/>
          <w:spacing w:val="3"/>
          <w:u w:val="single"/>
        </w:rPr>
      </w:pPr>
      <w:r w:rsidRPr="0045538C">
        <w:rPr>
          <w:color w:val="000000"/>
          <w:spacing w:val="3"/>
          <w:u w:val="single"/>
          <w:bdr w:val="none" w:sz="0" w:space="0" w:color="auto" w:frame="1"/>
        </w:rPr>
        <w:t>En un mundo estructuralmente más peligroso, la UE debe reforzar sus capacidades de defensa y hacer más por proteger la infraestructura crítica, incluida la ciberinfraestructura. También debe reducir su vulnerabilidad a las perturbaciones comerciales y a los actos de coerción económica, tanto de parte de China como (dado el posible regreso del presidente Trump) de parte de Estados Unidos.</w:t>
      </w:r>
    </w:p>
    <w:p w:rsidR="0063398C" w:rsidRPr="0045538C" w:rsidRDefault="0063398C" w:rsidP="0063398C">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bdr w:val="none" w:sz="0" w:space="0" w:color="auto" w:frame="1"/>
        </w:rPr>
      </w:pPr>
      <w:r w:rsidRPr="0045538C">
        <w:rPr>
          <w:rFonts w:ascii="Times New Roman" w:hAnsi="Times New Roman" w:cs="Times New Roman"/>
          <w:b w:val="0"/>
          <w:bCs w:val="0"/>
          <w:color w:val="FF0000"/>
          <w:sz w:val="24"/>
          <w:szCs w:val="24"/>
          <w:bdr w:val="none" w:sz="0" w:space="0" w:color="auto" w:frame="1"/>
        </w:rPr>
        <w:t>Mejorar la gobernanza de la UE </w:t>
      </w:r>
    </w:p>
    <w:p w:rsidR="0063398C" w:rsidRPr="0045538C" w:rsidRDefault="0063398C" w:rsidP="0063398C">
      <w:pPr>
        <w:pStyle w:val="bodyfulloutbody"/>
        <w:shd w:val="clear" w:color="auto" w:fill="FFFFFF"/>
        <w:spacing w:before="0" w:beforeAutospacing="0" w:after="0"/>
        <w:jc w:val="both"/>
        <w:textAlignment w:val="baseline"/>
        <w:rPr>
          <w:b/>
          <w:color w:val="FF0000"/>
          <w:spacing w:val="3"/>
          <w:u w:val="single"/>
        </w:rPr>
      </w:pPr>
      <w:r w:rsidRPr="0045538C">
        <w:rPr>
          <w:b/>
          <w:color w:val="FF0000"/>
          <w:spacing w:val="3"/>
          <w:u w:val="single"/>
          <w:bdr w:val="none" w:sz="0" w:space="0" w:color="auto" w:frame="1"/>
        </w:rPr>
        <w:t>Demasiadas decisiones de la UE exigen unanimidad, lo que otorga poder de veto a los países que intentan aprovecharse del resto de la UE o cuyos gobiernos no comparten plenamente los valores democráticos de la UE. Con una mayor ampliación, la UE se volverá aún más diversa. A menos que se reduzca el poder de los posibles reticentes, la UE no podrá ampliarse ni actuar con decisión en áreas esenciales para su seguridad, incluida la prestación de apoyo a Ucrania.</w:t>
      </w:r>
    </w:p>
    <w:p w:rsidR="0063398C" w:rsidRPr="0045538C" w:rsidRDefault="0063398C" w:rsidP="0063398C">
      <w:pPr>
        <w:pStyle w:val="bodybody"/>
        <w:shd w:val="clear" w:color="auto" w:fill="FFFFFF"/>
        <w:spacing w:before="0" w:beforeAutospacing="0" w:after="0"/>
        <w:jc w:val="both"/>
        <w:textAlignment w:val="baseline"/>
        <w:rPr>
          <w:color w:val="000000"/>
          <w:spacing w:val="3"/>
          <w:u w:val="single"/>
        </w:rPr>
      </w:pPr>
      <w:r w:rsidRPr="0045538C">
        <w:rPr>
          <w:color w:val="000000"/>
          <w:spacing w:val="3"/>
          <w:u w:val="single"/>
          <w:bdr w:val="none" w:sz="0" w:space="0" w:color="auto" w:frame="1"/>
        </w:rPr>
        <w:lastRenderedPageBreak/>
        <w:t>El estímulo del crecimiento ayudará a afrontar todos estos desafíos. Lo mismo puede decirse de la reforma de la gobernanza de la UE. Sin embargo, para alcanzar otros objetivos habrá que hacer concesiones difíciles:</w:t>
      </w:r>
    </w:p>
    <w:p w:rsidR="0063398C" w:rsidRPr="0045538C" w:rsidRDefault="0063398C" w:rsidP="0063398C">
      <w:pPr>
        <w:pStyle w:val="bullet1levelfirstlists"/>
        <w:shd w:val="clear" w:color="auto" w:fill="FFFFFF"/>
        <w:spacing w:before="0" w:beforeAutospacing="0" w:after="0"/>
        <w:jc w:val="both"/>
        <w:textAlignment w:val="baseline"/>
        <w:rPr>
          <w:b/>
          <w:color w:val="FF0000"/>
          <w:spacing w:val="3"/>
          <w:u w:val="single"/>
        </w:rPr>
      </w:pPr>
      <w:r w:rsidRPr="0045538C">
        <w:rPr>
          <w:b/>
          <w:color w:val="FF0000"/>
          <w:spacing w:val="3"/>
          <w:u w:val="single"/>
          <w:bdr w:val="none" w:sz="0" w:space="0" w:color="auto" w:frame="1"/>
        </w:rPr>
        <w:t>Apoyar a Ucrania, cumplir con el Pacto Verde, aumentar la financiación internacional para el clima y mejorar la seguridad cuestan dinero. Sus servicios calculan que los países de la UE se enfrentan colectivamente a un déficit de inversión anual total (pública y privada) de al menos 356 000 millones de euros para la transición climática y de 125 000 millones de euros para la transición digital, hasta 2030. El déficit es mucho mayor si se tienen en cuenta también las necesidades de rearme y la reconstrucción de Ucrania. Pero el margen fiscal es limitado y conseguir recursos propios o aceptar nuevos préstamos de la UE será difícil y generará divisiones.</w:t>
      </w:r>
    </w:p>
    <w:p w:rsidR="0063398C" w:rsidRPr="007B5118" w:rsidRDefault="0063398C" w:rsidP="0063398C">
      <w:pPr>
        <w:pStyle w:val="bullet1levelcontinuedlists"/>
        <w:shd w:val="clear" w:color="auto" w:fill="FFFFFF"/>
        <w:spacing w:before="0" w:beforeAutospacing="0" w:after="0"/>
        <w:jc w:val="both"/>
        <w:textAlignment w:val="baseline"/>
        <w:rPr>
          <w:color w:val="000000"/>
          <w:spacing w:val="3"/>
        </w:rPr>
      </w:pPr>
      <w:r w:rsidRPr="0045538C">
        <w:rPr>
          <w:color w:val="000000"/>
          <w:spacing w:val="3"/>
          <w:u w:val="single"/>
          <w:bdr w:val="none" w:sz="0" w:space="0" w:color="auto" w:frame="1"/>
        </w:rPr>
        <w:t>La aceleración de la descarbonización tendrá un impacto negativo en el crecimiento, al menos en el corto plazo (en particular, después de que el sistema de comercio de emisiones (ETS) se extienda a la mayoría de las áreas de la economía, incluidos los edificios y el transporte, en 2027, conocido como ETS2).</w:t>
      </w:r>
      <w:r w:rsidRPr="007B5118">
        <w:rPr>
          <w:color w:val="000000"/>
          <w:spacing w:val="3"/>
          <w:bdr w:val="none" w:sz="0" w:space="0" w:color="auto" w:frame="1"/>
        </w:rPr>
        <w:t xml:space="preserve"> Un precio del carbono más alto y más amplio tensará aún más la cohesión social y avivará la polarización en torno a la acción climática.</w:t>
      </w:r>
    </w:p>
    <w:p w:rsidR="0063398C" w:rsidRPr="0045538C" w:rsidRDefault="0063398C" w:rsidP="0063398C">
      <w:pPr>
        <w:pStyle w:val="bullet1levellastlists"/>
        <w:shd w:val="clear" w:color="auto" w:fill="FFFFFF"/>
        <w:spacing w:before="0" w:beforeAutospacing="0" w:after="0"/>
        <w:jc w:val="both"/>
        <w:textAlignment w:val="baseline"/>
        <w:rPr>
          <w:b/>
          <w:spacing w:val="3"/>
          <w:u w:val="single"/>
        </w:rPr>
      </w:pPr>
      <w:r w:rsidRPr="0045538C">
        <w:rPr>
          <w:b/>
          <w:color w:val="FF0000"/>
          <w:spacing w:val="3"/>
          <w:u w:val="single"/>
          <w:bdr w:val="none" w:sz="0" w:space="0" w:color="auto" w:frame="1"/>
        </w:rPr>
        <w:t xml:space="preserve">Mejorar la seguridad económica de la UE y acelerar la transición ecológica puede exigir un mayor recurso a la política industrial y comercial que en el pasado, pero </w:t>
      </w:r>
      <w:r w:rsidRPr="0045538C">
        <w:rPr>
          <w:b/>
          <w:spacing w:val="3"/>
          <w:u w:val="single"/>
          <w:bdr w:val="none" w:sz="0" w:space="0" w:color="auto" w:frame="1"/>
        </w:rPr>
        <w:t>una estrategia torpe que adopte el proteccionismo y/o una actitud hostil hacia China perjudicará el crecimiento de la UE y dificultará la acción internacional en materia climática. </w:t>
      </w:r>
    </w:p>
    <w:p w:rsidR="0063398C" w:rsidRPr="007B5118" w:rsidRDefault="0063398C" w:rsidP="0063398C">
      <w:pPr>
        <w:pStyle w:val="bodybody"/>
        <w:shd w:val="clear" w:color="auto" w:fill="FFFFFF"/>
        <w:spacing w:before="0" w:beforeAutospacing="0" w:after="0"/>
        <w:jc w:val="both"/>
        <w:textAlignment w:val="baseline"/>
        <w:rPr>
          <w:color w:val="000000"/>
          <w:spacing w:val="3"/>
        </w:rPr>
      </w:pPr>
      <w:r w:rsidRPr="007B5118">
        <w:rPr>
          <w:color w:val="000000"/>
          <w:spacing w:val="3"/>
          <w:bdr w:val="none" w:sz="0" w:space="0" w:color="auto" w:frame="1"/>
        </w:rPr>
        <w:t>Será necesario elegir políticas que minimicen estos sacrificios, teniendo en cuenta no sólo su objetivo principal sino también sus consecuencias no deseadas.</w:t>
      </w:r>
    </w:p>
    <w:p w:rsidR="0063398C" w:rsidRPr="007B5118" w:rsidRDefault="0063398C" w:rsidP="0063398C">
      <w:pPr>
        <w:pStyle w:val="Ttulo2"/>
        <w:shd w:val="clear" w:color="auto" w:fill="FFFFFF"/>
        <w:spacing w:before="0" w:beforeAutospacing="0"/>
        <w:jc w:val="both"/>
        <w:textAlignment w:val="baseline"/>
        <w:rPr>
          <w:b w:val="0"/>
          <w:bCs w:val="0"/>
          <w:color w:val="000000"/>
          <w:sz w:val="24"/>
          <w:szCs w:val="24"/>
        </w:rPr>
      </w:pPr>
      <w:r w:rsidRPr="007B5118">
        <w:rPr>
          <w:b w:val="0"/>
          <w:bCs w:val="0"/>
          <w:color w:val="000000"/>
          <w:sz w:val="24"/>
          <w:szCs w:val="24"/>
        </w:rPr>
        <w:t>3 recomendaciones</w:t>
      </w:r>
    </w:p>
    <w:p w:rsidR="0063398C" w:rsidRPr="0045538C" w:rsidRDefault="0063398C" w:rsidP="0063398C">
      <w:pPr>
        <w:pStyle w:val="bodyfulloutbody"/>
        <w:shd w:val="clear" w:color="auto" w:fill="FFFFFF"/>
        <w:spacing w:before="0" w:beforeAutospacing="0" w:after="0"/>
        <w:jc w:val="both"/>
        <w:textAlignment w:val="baseline"/>
        <w:rPr>
          <w:color w:val="000000"/>
          <w:spacing w:val="3"/>
          <w:u w:val="single"/>
        </w:rPr>
      </w:pPr>
      <w:r w:rsidRPr="0045538C">
        <w:rPr>
          <w:color w:val="000000"/>
          <w:spacing w:val="3"/>
          <w:u w:val="single"/>
          <w:bdr w:val="none" w:sz="0" w:space="0" w:color="auto" w:frame="1"/>
        </w:rPr>
        <w:t>Nuestras recomendaciones tienen dos elementos comunes: primero, hacer más con recursos limitados; segundo, evitar la microgestión de las empresas, los Estados miembros y sus principales grupos de interés, que genera oposición a la integración europea y puede convertirse en un impedimento para el crecimiento. Agrupamos nuestras recomendaciones según su objetivo principal.</w:t>
      </w:r>
    </w:p>
    <w:p w:rsidR="0063398C" w:rsidRDefault="0063398C" w:rsidP="003D21EF">
      <w:pPr>
        <w:pStyle w:val="Ttulo3"/>
        <w:shd w:val="clear" w:color="auto" w:fill="FFFFFF"/>
        <w:spacing w:before="0" w:line="240" w:lineRule="auto"/>
        <w:jc w:val="both"/>
        <w:textAlignment w:val="baseline"/>
        <w:rPr>
          <w:rStyle w:val="nfasis"/>
          <w:rFonts w:ascii="Times New Roman" w:hAnsi="Times New Roman" w:cs="Times New Roman"/>
          <w:b w:val="0"/>
          <w:bCs w:val="0"/>
          <w:color w:val="FF0000"/>
          <w:sz w:val="24"/>
          <w:szCs w:val="24"/>
          <w:bdr w:val="none" w:sz="0" w:space="0" w:color="auto" w:frame="1"/>
        </w:rPr>
      </w:pPr>
      <w:r w:rsidRPr="0045538C">
        <w:rPr>
          <w:rStyle w:val="nfasis"/>
          <w:rFonts w:ascii="Times New Roman" w:hAnsi="Times New Roman" w:cs="Times New Roman"/>
          <w:b w:val="0"/>
          <w:bCs w:val="0"/>
          <w:color w:val="FF0000"/>
          <w:sz w:val="24"/>
          <w:szCs w:val="24"/>
          <w:bdr w:val="none" w:sz="0" w:space="0" w:color="auto" w:frame="1"/>
        </w:rPr>
        <w:t>Fomentar el crecimiento y mejorar la cohesión</w:t>
      </w:r>
    </w:p>
    <w:p w:rsidR="003D21EF" w:rsidRPr="003D21EF" w:rsidRDefault="003D21EF" w:rsidP="003D21EF"/>
    <w:p w:rsidR="0063398C" w:rsidRPr="0045538C" w:rsidRDefault="0063398C" w:rsidP="0063398C">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bdr w:val="none" w:sz="0" w:space="0" w:color="auto" w:frame="1"/>
        </w:rPr>
      </w:pPr>
      <w:r w:rsidRPr="0045538C">
        <w:rPr>
          <w:rFonts w:ascii="Times New Roman" w:hAnsi="Times New Roman" w:cs="Times New Roman"/>
          <w:b w:val="0"/>
          <w:bCs w:val="0"/>
          <w:color w:val="FF0000"/>
          <w:sz w:val="24"/>
          <w:szCs w:val="24"/>
          <w:bdr w:val="none" w:sz="0" w:space="0" w:color="auto" w:frame="1"/>
        </w:rPr>
        <w:t>1 Profundizar el mercado único en las áreas de mayor impacto en el crecimiento</w:t>
      </w:r>
    </w:p>
    <w:p w:rsidR="001B40A3" w:rsidRDefault="001B40A3" w:rsidP="0063398C">
      <w:pPr>
        <w:pStyle w:val="bullet1levelfirstlists"/>
        <w:shd w:val="clear" w:color="auto" w:fill="FFFFFF"/>
        <w:spacing w:before="0" w:beforeAutospacing="0" w:after="0"/>
        <w:jc w:val="both"/>
        <w:textAlignment w:val="baseline"/>
        <w:rPr>
          <w:rFonts w:asciiTheme="minorHAnsi" w:eastAsiaTheme="minorHAnsi" w:hAnsiTheme="minorHAnsi" w:cstheme="minorBidi"/>
          <w:sz w:val="22"/>
          <w:szCs w:val="22"/>
          <w:lang w:eastAsia="en-US"/>
        </w:rPr>
      </w:pPr>
    </w:p>
    <w:p w:rsidR="0063398C" w:rsidRPr="0045538C" w:rsidRDefault="0063398C" w:rsidP="0063398C">
      <w:pPr>
        <w:pStyle w:val="bullet1levelfirstlists"/>
        <w:shd w:val="clear" w:color="auto" w:fill="FFFFFF"/>
        <w:spacing w:before="0" w:beforeAutospacing="0" w:after="0"/>
        <w:jc w:val="both"/>
        <w:textAlignment w:val="baseline"/>
        <w:rPr>
          <w:color w:val="000000"/>
          <w:spacing w:val="3"/>
          <w:u w:val="single"/>
        </w:rPr>
      </w:pPr>
      <w:r w:rsidRPr="0045538C">
        <w:rPr>
          <w:color w:val="FF0000"/>
          <w:spacing w:val="3"/>
          <w:bdr w:val="none" w:sz="0" w:space="0" w:color="auto" w:frame="1"/>
        </w:rPr>
        <w:t>Política energética</w:t>
      </w:r>
      <w:r w:rsidRPr="007B5118">
        <w:rPr>
          <w:color w:val="000000"/>
          <w:spacing w:val="3"/>
          <w:bdr w:val="none" w:sz="0" w:space="0" w:color="auto" w:frame="1"/>
        </w:rPr>
        <w:t xml:space="preserve">. La electrificación es la mejor apuesta de Europa para descarbonizarse sin quedarse en desventaja perpetua en materia de costes energéticos. La coordinación a escala de la UE de las inversiones en generación, transmisión y almacenamiento de electricidad y </w:t>
      </w:r>
      <w:r w:rsidRPr="0045538C">
        <w:rPr>
          <w:color w:val="000000"/>
          <w:spacing w:val="3"/>
          <w:u w:val="single"/>
          <w:bdr w:val="none" w:sz="0" w:space="0" w:color="auto" w:frame="1"/>
        </w:rPr>
        <w:t>la creación de un mercado eléctrico conjunto reducirán el coste de la electricidad aprovechando las ventajas geográficas de los recursos, evitando duplicaciones costosas y reduciendo los costes de capital. </w:t>
      </w:r>
    </w:p>
    <w:p w:rsidR="0063398C" w:rsidRPr="007B5118" w:rsidRDefault="0063398C" w:rsidP="0063398C">
      <w:pPr>
        <w:pStyle w:val="bullet1levelcontinuedlists"/>
        <w:shd w:val="clear" w:color="auto" w:fill="FFFFFF"/>
        <w:spacing w:before="0" w:beforeAutospacing="0" w:after="0"/>
        <w:jc w:val="both"/>
        <w:textAlignment w:val="baseline"/>
        <w:rPr>
          <w:color w:val="000000"/>
          <w:spacing w:val="3"/>
        </w:rPr>
      </w:pPr>
      <w:r w:rsidRPr="0045538C">
        <w:rPr>
          <w:color w:val="FF0000"/>
          <w:spacing w:val="3"/>
          <w:bdr w:val="none" w:sz="0" w:space="0" w:color="auto" w:frame="1"/>
        </w:rPr>
        <w:lastRenderedPageBreak/>
        <w:t>Movilidad laboral y mercado interior de servicios.</w:t>
      </w:r>
      <w:r w:rsidRPr="007B5118">
        <w:rPr>
          <w:color w:val="000000"/>
          <w:spacing w:val="3"/>
          <w:bdr w:val="none" w:sz="0" w:space="0" w:color="auto" w:frame="1"/>
        </w:rPr>
        <w:t xml:space="preserve"> </w:t>
      </w:r>
      <w:r w:rsidRPr="0045538C">
        <w:rPr>
          <w:color w:val="000000"/>
          <w:spacing w:val="3"/>
          <w:u w:val="single"/>
          <w:bdr w:val="none" w:sz="0" w:space="0" w:color="auto" w:frame="1"/>
        </w:rPr>
        <w:t>Junto con los elevados costes energéticos, la escasez de personal cualificado es el principal impedimento a la inversión en la UE (BEI, 2023). Para promover una asignación eficiente de competencias y servicios, es necesario reducir las barreras a la movilidad ocupacional eliminando o reformando la regulación profesional que la impide, ampliando el reconocimiento automático de las cualificaciones profesionales y mejorando la coordinación de la seguridad social.</w:t>
      </w:r>
      <w:r w:rsidRPr="007B5118">
        <w:rPr>
          <w:color w:val="000000"/>
          <w:spacing w:val="3"/>
          <w:bdr w:val="none" w:sz="0" w:space="0" w:color="auto" w:frame="1"/>
        </w:rPr>
        <w:t xml:space="preserve"> Las recomendaciones del informe Letta constituyen un buen punto de partida (Letta, 2024).</w:t>
      </w:r>
    </w:p>
    <w:p w:rsidR="0063398C" w:rsidRPr="00B87CA0" w:rsidRDefault="0063398C" w:rsidP="0063398C">
      <w:pPr>
        <w:pStyle w:val="bullet1levellastlists"/>
        <w:shd w:val="clear" w:color="auto" w:fill="FFFFFF"/>
        <w:spacing w:before="0" w:beforeAutospacing="0" w:after="0"/>
        <w:jc w:val="both"/>
        <w:textAlignment w:val="baseline"/>
        <w:rPr>
          <w:color w:val="000000"/>
          <w:spacing w:val="3"/>
          <w:u w:val="single"/>
        </w:rPr>
      </w:pPr>
      <w:r w:rsidRPr="0045538C">
        <w:rPr>
          <w:color w:val="FF0000"/>
          <w:spacing w:val="3"/>
          <w:bdr w:val="none" w:sz="0" w:space="0" w:color="auto" w:frame="1"/>
        </w:rPr>
        <w:t>Unión bancaria y de mercados de capitales</w:t>
      </w:r>
      <w:r w:rsidRPr="007B5118">
        <w:rPr>
          <w:color w:val="000000"/>
          <w:spacing w:val="3"/>
          <w:bdr w:val="none" w:sz="0" w:space="0" w:color="auto" w:frame="1"/>
        </w:rPr>
        <w:t xml:space="preserve">. </w:t>
      </w:r>
      <w:r w:rsidRPr="0045538C">
        <w:rPr>
          <w:color w:val="000000"/>
          <w:spacing w:val="3"/>
          <w:u w:val="single"/>
          <w:bdr w:val="none" w:sz="0" w:space="0" w:color="auto" w:frame="1"/>
        </w:rPr>
        <w:t>La gestión de las crisis bancarias debería consolidarse en una Junta Única de Resolución reforzada que integre a todas las entidades nacionales pertinentes y fusione los sistemas de garantía de depósitos.</w:t>
      </w:r>
      <w:r w:rsidRPr="007B5118">
        <w:rPr>
          <w:color w:val="000000"/>
          <w:spacing w:val="3"/>
          <w:bdr w:val="none" w:sz="0" w:space="0" w:color="auto" w:frame="1"/>
        </w:rPr>
        <w:t xml:space="preserve"> Los bancos que dependen en gran medida de los gobiernos nacionales (y viceversa) deberían recibir incentivos regulatorios para diversificar sus exposiciones a los gobiernos soberanos. </w:t>
      </w:r>
      <w:r w:rsidRPr="00B87CA0">
        <w:rPr>
          <w:color w:val="000000"/>
          <w:spacing w:val="3"/>
          <w:u w:val="single"/>
          <w:bdr w:val="none" w:sz="0" w:space="0" w:color="auto" w:frame="1"/>
        </w:rPr>
        <w:t>Un supervisor común e independiente del mercado de valores sería una forma viable y eficaz de impulsar la unión de los mercados de capitales.</w:t>
      </w:r>
    </w:p>
    <w:p w:rsidR="0063398C" w:rsidRDefault="0063398C" w:rsidP="0063398C">
      <w:pPr>
        <w:pStyle w:val="Ttulo3"/>
        <w:shd w:val="clear" w:color="auto" w:fill="FFFFFF"/>
        <w:spacing w:before="0" w:line="240" w:lineRule="auto"/>
        <w:jc w:val="both"/>
        <w:textAlignment w:val="baseline"/>
        <w:rPr>
          <w:rFonts w:ascii="Times New Roman" w:hAnsi="Times New Roman" w:cs="Times New Roman"/>
          <w:b w:val="0"/>
          <w:bCs w:val="0"/>
          <w:color w:val="000000"/>
          <w:sz w:val="24"/>
          <w:szCs w:val="24"/>
          <w:bdr w:val="none" w:sz="0" w:space="0" w:color="auto" w:frame="1"/>
        </w:rPr>
      </w:pPr>
      <w:r w:rsidRPr="00B87CA0">
        <w:rPr>
          <w:rFonts w:ascii="Times New Roman" w:hAnsi="Times New Roman" w:cs="Times New Roman"/>
          <w:b w:val="0"/>
          <w:bCs w:val="0"/>
          <w:color w:val="FF0000"/>
          <w:sz w:val="24"/>
          <w:szCs w:val="24"/>
          <w:bdr w:val="none" w:sz="0" w:space="0" w:color="auto" w:frame="1"/>
        </w:rPr>
        <w:t>2. Frenar el exceso regulatorio y hacer que la regulación de la UE sea más favorable al crecimiento</w:t>
      </w:r>
      <w:r w:rsidRPr="007B5118">
        <w:rPr>
          <w:rFonts w:ascii="Times New Roman" w:hAnsi="Times New Roman" w:cs="Times New Roman"/>
          <w:b w:val="0"/>
          <w:bCs w:val="0"/>
          <w:color w:val="000000"/>
          <w:sz w:val="24"/>
          <w:szCs w:val="24"/>
          <w:bdr w:val="none" w:sz="0" w:space="0" w:color="auto" w:frame="1"/>
        </w:rPr>
        <w:t>.</w:t>
      </w:r>
    </w:p>
    <w:p w:rsidR="001B40A3" w:rsidRDefault="001B40A3" w:rsidP="0063398C">
      <w:pPr>
        <w:pStyle w:val="bodyfulloutbody"/>
        <w:shd w:val="clear" w:color="auto" w:fill="FFFFFF"/>
        <w:spacing w:before="0" w:beforeAutospacing="0" w:after="0"/>
        <w:jc w:val="both"/>
        <w:textAlignment w:val="baseline"/>
        <w:rPr>
          <w:color w:val="000000"/>
          <w:spacing w:val="3"/>
          <w:u w:val="single"/>
          <w:bdr w:val="none" w:sz="0" w:space="0" w:color="auto" w:frame="1"/>
        </w:rPr>
      </w:pPr>
    </w:p>
    <w:p w:rsidR="0063398C" w:rsidRPr="00CA5846" w:rsidRDefault="0063398C" w:rsidP="00CA5846">
      <w:pPr>
        <w:pStyle w:val="bodyfulloutbody"/>
        <w:shd w:val="clear" w:color="auto" w:fill="FFFFFF"/>
        <w:spacing w:before="0" w:beforeAutospacing="0" w:after="0"/>
        <w:jc w:val="both"/>
        <w:textAlignment w:val="baseline"/>
        <w:rPr>
          <w:color w:val="000000"/>
          <w:spacing w:val="3"/>
        </w:rPr>
      </w:pPr>
      <w:r w:rsidRPr="00B87CA0">
        <w:rPr>
          <w:color w:val="000000"/>
          <w:spacing w:val="3"/>
          <w:u w:val="single"/>
          <w:bdr w:val="none" w:sz="0" w:space="0" w:color="auto" w:frame="1"/>
        </w:rPr>
        <w:t>La regulación puede resultar contraproducente</w:t>
      </w:r>
      <w:r w:rsidRPr="007B5118">
        <w:rPr>
          <w:color w:val="000000"/>
          <w:spacing w:val="3"/>
          <w:bdr w:val="none" w:sz="0" w:space="0" w:color="auto" w:frame="1"/>
        </w:rPr>
        <w:t xml:space="preserve"> si las cargas de cumplimiento son demasiado altas o la implementación es deficiente</w:t>
      </w:r>
      <w:r w:rsidR="001B40A3">
        <w:rPr>
          <w:color w:val="000000"/>
          <w:spacing w:val="3"/>
          <w:bdr w:val="none" w:sz="0" w:space="0" w:color="auto" w:frame="1"/>
        </w:rPr>
        <w:t>.</w:t>
      </w:r>
      <w:r w:rsidRPr="007B5118">
        <w:rPr>
          <w:color w:val="000000"/>
          <w:spacing w:val="3"/>
          <w:bdr w:val="none" w:sz="0" w:space="0" w:color="auto" w:frame="1"/>
        </w:rPr>
        <w:t> </w:t>
      </w:r>
      <w:r w:rsidRPr="00B87CA0">
        <w:rPr>
          <w:color w:val="000000"/>
          <w:spacing w:val="3"/>
          <w:u w:val="single"/>
          <w:bdr w:val="none" w:sz="0" w:space="0" w:color="auto" w:frame="1"/>
        </w:rPr>
        <w:t>La presión para regular demasiado o demasiado pronto puede provenir de todas las direcciones, incluidos los Estados miembros (que presionan para que se replique su legislación), la Comisión (que intenta adelantarse a la legislación incoherente de los Estados miembros) o incluso las empresas (que buscan seguridad jurídica). Es necesario ser consciente de estos sesgos y luchar contra ellos. </w:t>
      </w:r>
    </w:p>
    <w:p w:rsidR="0063398C" w:rsidRPr="00B87CA0" w:rsidRDefault="0063398C" w:rsidP="0063398C">
      <w:pPr>
        <w:pStyle w:val="bullet1levelcontinuedlists"/>
        <w:shd w:val="clear" w:color="auto" w:fill="FFFFFF"/>
        <w:spacing w:before="0" w:beforeAutospacing="0" w:after="0"/>
        <w:jc w:val="both"/>
        <w:textAlignment w:val="baseline"/>
        <w:rPr>
          <w:color w:val="000000"/>
          <w:spacing w:val="3"/>
          <w:u w:val="single"/>
        </w:rPr>
      </w:pPr>
      <w:r w:rsidRPr="00B87CA0">
        <w:rPr>
          <w:color w:val="000000"/>
          <w:spacing w:val="3"/>
          <w:u w:val="single"/>
          <w:bdr w:val="none" w:sz="0" w:space="0" w:color="auto" w:frame="1"/>
        </w:rPr>
        <w:t>Renovar el compromiso con el Acuerdo interinstitucional de 2016 sobre la mejora de la legislación y el programa REFIT para reducir la carga regulatoria</w:t>
      </w:r>
      <w:r w:rsidRPr="007B5118">
        <w:rPr>
          <w:color w:val="000000"/>
          <w:spacing w:val="3"/>
          <w:bdr w:val="none" w:sz="0" w:space="0" w:color="auto" w:frame="1"/>
        </w:rPr>
        <w:t xml:space="preserve">. La evaluación de impacto debe ser sistemática, incluir la evaluación de los actos delegados y de ejecución, y debe actualizarse para tener en cuenta los cambios importantes introducidos en el proceso legislativo. </w:t>
      </w:r>
      <w:r w:rsidRPr="00B87CA0">
        <w:rPr>
          <w:color w:val="000000"/>
          <w:spacing w:val="3"/>
          <w:u w:val="single"/>
          <w:bdr w:val="none" w:sz="0" w:space="0" w:color="auto" w:frame="1"/>
        </w:rPr>
        <w:t>Para mejorar la calidad, se necesita un cambio más radical: la evaluación </w:t>
      </w:r>
      <w:r w:rsidRPr="00B87CA0">
        <w:rPr>
          <w:rStyle w:val="nfasis"/>
          <w:color w:val="000000"/>
          <w:spacing w:val="3"/>
          <w:u w:val="single"/>
          <w:bdr w:val="none" w:sz="0" w:space="0" w:color="auto" w:frame="1"/>
        </w:rPr>
        <w:t>ex post</w:t>
      </w:r>
      <w:r w:rsidRPr="00B87CA0">
        <w:rPr>
          <w:color w:val="000000"/>
          <w:spacing w:val="3"/>
          <w:u w:val="single"/>
          <w:bdr w:val="none" w:sz="0" w:space="0" w:color="auto" w:frame="1"/>
        </w:rPr>
        <w:t> debe ser realizada por una autoridad independiente, como el Tribunal de Cuentas Europeo, al que se podría ampliar su ámbito de competencias.</w:t>
      </w:r>
    </w:p>
    <w:p w:rsidR="0063398C" w:rsidRDefault="0063398C" w:rsidP="0063398C">
      <w:pPr>
        <w:pStyle w:val="bullet1levellastlists"/>
        <w:shd w:val="clear" w:color="auto" w:fill="FFFFFF"/>
        <w:spacing w:before="0" w:beforeAutospacing="0" w:after="0"/>
        <w:jc w:val="both"/>
        <w:textAlignment w:val="baseline"/>
        <w:rPr>
          <w:color w:val="000000"/>
          <w:spacing w:val="3"/>
          <w:bdr w:val="none" w:sz="0" w:space="0" w:color="auto" w:frame="1"/>
        </w:rPr>
      </w:pPr>
      <w:r w:rsidRPr="00B87CA0">
        <w:rPr>
          <w:color w:val="000000"/>
          <w:spacing w:val="3"/>
          <w:u w:val="single"/>
          <w:bdr w:val="none" w:sz="0" w:space="0" w:color="auto" w:frame="1"/>
        </w:rPr>
        <w:t>Implementar las normas digitales promulgadas en los últimos cinco años de manera que estimulen la competencia entre los servicios basados ​​en datos, no perjudiquen a las empresas emergentes innovadoras y minimicen el costo del cumplimiento normativo, especialmente para las pequeñas empresas</w:t>
      </w:r>
      <w:r w:rsidRPr="007B5118">
        <w:rPr>
          <w:color w:val="000000"/>
          <w:spacing w:val="3"/>
          <w:bdr w:val="none" w:sz="0" w:space="0" w:color="auto" w:frame="1"/>
        </w:rPr>
        <w:t>. Esto requerirá una fuerte coordinación de los organismos de supervisión digital y posiblemente la creación de un regulador digital único. </w:t>
      </w:r>
    </w:p>
    <w:p w:rsidR="0063398C" w:rsidRPr="00B87CA0" w:rsidRDefault="0063398C" w:rsidP="0063398C">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bdr w:val="none" w:sz="0" w:space="0" w:color="auto" w:frame="1"/>
        </w:rPr>
      </w:pPr>
      <w:r w:rsidRPr="00B87CA0">
        <w:rPr>
          <w:rFonts w:ascii="Times New Roman" w:hAnsi="Times New Roman" w:cs="Times New Roman"/>
          <w:b w:val="0"/>
          <w:bCs w:val="0"/>
          <w:color w:val="FF0000"/>
          <w:sz w:val="24"/>
          <w:szCs w:val="24"/>
          <w:bdr w:val="none" w:sz="0" w:space="0" w:color="auto" w:frame="1"/>
        </w:rPr>
        <w:t>3 Mejorar la gobernanza, la misión y la financiación del apoyo a la innovación a nivel de la UE</w:t>
      </w:r>
    </w:p>
    <w:p w:rsidR="00CA5846" w:rsidRDefault="00CA5846" w:rsidP="0063398C">
      <w:pPr>
        <w:pStyle w:val="bodyfulloutbody"/>
        <w:shd w:val="clear" w:color="auto" w:fill="FFFFFF"/>
        <w:spacing w:before="0" w:beforeAutospacing="0" w:after="0"/>
        <w:jc w:val="both"/>
        <w:textAlignment w:val="baseline"/>
        <w:rPr>
          <w:rFonts w:asciiTheme="minorHAnsi" w:eastAsiaTheme="minorHAnsi" w:hAnsiTheme="minorHAnsi" w:cstheme="minorBidi"/>
          <w:color w:val="FF0000"/>
          <w:sz w:val="22"/>
          <w:szCs w:val="22"/>
          <w:lang w:eastAsia="en-US"/>
        </w:rPr>
      </w:pPr>
    </w:p>
    <w:p w:rsidR="0063398C" w:rsidRPr="007B5118" w:rsidRDefault="0063398C" w:rsidP="0063398C">
      <w:pPr>
        <w:pStyle w:val="bodyfulloutbody"/>
        <w:shd w:val="clear" w:color="auto" w:fill="FFFFFF"/>
        <w:spacing w:before="0" w:beforeAutospacing="0" w:after="0"/>
        <w:jc w:val="both"/>
        <w:textAlignment w:val="baseline"/>
        <w:rPr>
          <w:color w:val="000000"/>
          <w:spacing w:val="3"/>
        </w:rPr>
      </w:pPr>
      <w:r w:rsidRPr="00B87CA0">
        <w:rPr>
          <w:color w:val="000000"/>
          <w:spacing w:val="3"/>
          <w:u w:val="single"/>
          <w:bdr w:val="none" w:sz="0" w:space="0" w:color="auto" w:frame="1"/>
        </w:rPr>
        <w:t>La UE hizo bien en crear el Consejo Europeo de I</w:t>
      </w:r>
      <w:r w:rsidR="003D21EF">
        <w:rPr>
          <w:color w:val="000000"/>
          <w:spacing w:val="3"/>
          <w:u w:val="single"/>
          <w:bdr w:val="none" w:sz="0" w:space="0" w:color="auto" w:frame="1"/>
        </w:rPr>
        <w:t>nnovación (CEI) para apoyar la “innovación de vanguardia”</w:t>
      </w:r>
      <w:r w:rsidRPr="00B87CA0">
        <w:rPr>
          <w:color w:val="000000"/>
          <w:spacing w:val="3"/>
          <w:u w:val="single"/>
          <w:bdr w:val="none" w:sz="0" w:space="0" w:color="auto" w:frame="1"/>
        </w:rPr>
        <w:t xml:space="preserve"> junto con su apoyo actual a la investigación científica, pero es necesario fortalecer la gobernanza del CEI estableciendo un consejo autónomo compuesto </w:t>
      </w:r>
      <w:r w:rsidRPr="00B87CA0">
        <w:rPr>
          <w:color w:val="000000"/>
          <w:spacing w:val="3"/>
          <w:u w:val="single"/>
          <w:bdr w:val="none" w:sz="0" w:space="0" w:color="auto" w:frame="1"/>
        </w:rPr>
        <w:lastRenderedPageBreak/>
        <w:t>por líderes tecnológicos reconocidos y responsables de la selección de proyectos</w:t>
      </w:r>
      <w:r w:rsidRPr="007B5118">
        <w:rPr>
          <w:color w:val="000000"/>
          <w:spacing w:val="3"/>
          <w:bdr w:val="none" w:sz="0" w:space="0" w:color="auto" w:frame="1"/>
        </w:rPr>
        <w:t>. El apoyo a la innovación de la UE también debería ampliarse mediante un pilar independiente y orientado a una misión, dirigido por una institución independiente similar a las Agencias de Proyectos de Investigación Avanzada de Estados Unidos, que pueden tomar decisiones de apoyo discrecionales en cumplimiento de un mandato establecido políticamente (Pinkus et al, 2024).</w:t>
      </w:r>
    </w:p>
    <w:p w:rsidR="0063398C" w:rsidRPr="00B87CA0" w:rsidRDefault="0063398C" w:rsidP="0063398C">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bdr w:val="none" w:sz="0" w:space="0" w:color="auto" w:frame="1"/>
        </w:rPr>
      </w:pPr>
      <w:r w:rsidRPr="00B87CA0">
        <w:rPr>
          <w:rFonts w:ascii="Times New Roman" w:hAnsi="Times New Roman" w:cs="Times New Roman"/>
          <w:b w:val="0"/>
          <w:bCs w:val="0"/>
          <w:color w:val="FF0000"/>
          <w:sz w:val="24"/>
          <w:szCs w:val="24"/>
          <w:bdr w:val="none" w:sz="0" w:space="0" w:color="auto" w:frame="1"/>
        </w:rPr>
        <w:t>4 Centrar el presupuesto de la UE en los bienes públicos de la UE </w:t>
      </w:r>
    </w:p>
    <w:p w:rsidR="0063398C" w:rsidRPr="007B5118" w:rsidRDefault="0063398C" w:rsidP="0063398C"/>
    <w:p w:rsidR="0063398C" w:rsidRPr="00B87CA0" w:rsidRDefault="0063398C" w:rsidP="0063398C">
      <w:pPr>
        <w:pStyle w:val="bodyfulloutbody"/>
        <w:shd w:val="clear" w:color="auto" w:fill="FFFFFF"/>
        <w:spacing w:before="0" w:beforeAutospacing="0" w:after="0"/>
        <w:jc w:val="both"/>
        <w:textAlignment w:val="baseline"/>
        <w:rPr>
          <w:color w:val="FF0000"/>
          <w:spacing w:val="3"/>
          <w:u w:val="single"/>
        </w:rPr>
      </w:pPr>
      <w:r w:rsidRPr="00B87CA0">
        <w:rPr>
          <w:color w:val="FF0000"/>
          <w:spacing w:val="3"/>
          <w:u w:val="single"/>
          <w:bdr w:val="none" w:sz="0" w:space="0" w:color="auto" w:frame="1"/>
        </w:rPr>
        <w:t xml:space="preserve">El presupuesto de la UE debería reorientarse hacia los bienes públicos europeos, incluidas las infraestructuras transfronterizas, el apoyo a la innovación, la inversión pública ecológica en la UE, la financiación internacional para hacer frente al cambio climático y la financiación de las asociaciones internacionales. </w:t>
      </w:r>
      <w:r w:rsidRPr="005D76BF">
        <w:rPr>
          <w:b/>
          <w:spacing w:val="3"/>
          <w:u w:val="single"/>
          <w:bdr w:val="none" w:sz="0" w:space="0" w:color="auto" w:frame="1"/>
        </w:rPr>
        <w:t>Para crear los recursos necesarios para</w:t>
      </w:r>
      <w:r w:rsidRPr="00B87CA0">
        <w:rPr>
          <w:b/>
          <w:spacing w:val="3"/>
          <w:u w:val="single"/>
          <w:bdr w:val="none" w:sz="0" w:space="0" w:color="auto" w:frame="1"/>
        </w:rPr>
        <w:t xml:space="preserve"> financiar estas prioridades, debería reducirse la parte asignada a la Política Agrícola Común, introduciendo la cofinanciación por parte de los Estados miembros de la UE.</w:t>
      </w:r>
      <w:r w:rsidRPr="00B87CA0">
        <w:rPr>
          <w:spacing w:val="3"/>
          <w:u w:val="single"/>
          <w:bdr w:val="none" w:sz="0" w:space="0" w:color="auto" w:frame="1"/>
        </w:rPr>
        <w:t xml:space="preserve"> </w:t>
      </w:r>
      <w:r w:rsidRPr="00B87CA0">
        <w:rPr>
          <w:color w:val="FF0000"/>
          <w:spacing w:val="3"/>
          <w:u w:val="single"/>
          <w:bdr w:val="none" w:sz="0" w:space="0" w:color="auto" w:frame="1"/>
        </w:rPr>
        <w:t>También debería estudiarse la posibilidad de contar con un presupuesto de la UE mayor, pero sólo si se reforman también las políticas actuales que absorben la mayor parte de los fondos del presupuesto de la UE (PAC y cohesión).</w:t>
      </w:r>
    </w:p>
    <w:p w:rsidR="0063398C" w:rsidRPr="00B87CA0" w:rsidRDefault="0063398C" w:rsidP="0063398C">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bdr w:val="none" w:sz="0" w:space="0" w:color="auto" w:frame="1"/>
        </w:rPr>
      </w:pPr>
      <w:r w:rsidRPr="00B87CA0">
        <w:rPr>
          <w:rFonts w:ascii="Times New Roman" w:hAnsi="Times New Roman" w:cs="Times New Roman"/>
          <w:b w:val="0"/>
          <w:bCs w:val="0"/>
          <w:color w:val="FF0000"/>
          <w:sz w:val="24"/>
          <w:szCs w:val="24"/>
          <w:bdr w:val="none" w:sz="0" w:space="0" w:color="auto" w:frame="1"/>
        </w:rPr>
        <w:t>5 Ampliar el programa de la Tarjeta Azul y convertirlo en un trampolín hacia la residencia permanente en la UE </w:t>
      </w:r>
    </w:p>
    <w:p w:rsidR="0063398C" w:rsidRPr="00B87CA0" w:rsidRDefault="0063398C" w:rsidP="0063398C">
      <w:pPr>
        <w:rPr>
          <w:color w:val="FF0000"/>
        </w:rPr>
      </w:pPr>
    </w:p>
    <w:p w:rsidR="0063398C" w:rsidRPr="00B87CA0" w:rsidRDefault="0063398C" w:rsidP="0063398C">
      <w:pPr>
        <w:pStyle w:val="bodyfulloutbody"/>
        <w:shd w:val="clear" w:color="auto" w:fill="FFFFFF"/>
        <w:spacing w:before="0" w:beforeAutospacing="0" w:after="0"/>
        <w:jc w:val="both"/>
        <w:textAlignment w:val="baseline"/>
        <w:rPr>
          <w:color w:val="000000"/>
          <w:spacing w:val="3"/>
          <w:u w:val="single"/>
        </w:rPr>
      </w:pPr>
      <w:r w:rsidRPr="00B87CA0">
        <w:rPr>
          <w:color w:val="FF0000"/>
          <w:spacing w:val="3"/>
          <w:u w:val="single"/>
          <w:bdr w:val="none" w:sz="0" w:space="0" w:color="auto" w:frame="1"/>
        </w:rPr>
        <w:t>El principal instrumento de la UE para la inmigración basada en el empleo, la tarjeta azul, no ha logrado atraer a más trabajadores cualificados a toda la UE. Las recientes reformas de la Directiva sobre la tarjeta azul (2021) y la Directiva sobre el permiso único (2024) van en la dirección correcta, pero son insuficientes. Los extranjeros que se gradúen de la educación superior o realicen una formación profesional pertinente en la UE deberían recibir una tarjeta azul de la UE automática, que les permita permanecer y trabajar en la UE durante al menos un año más allá de sus estudios o formación</w:t>
      </w:r>
      <w:r w:rsidRPr="00B87CA0">
        <w:rPr>
          <w:color w:val="000000"/>
          <w:spacing w:val="3"/>
          <w:u w:val="single"/>
          <w:bdr w:val="none" w:sz="0" w:space="0" w:color="auto" w:frame="1"/>
        </w:rPr>
        <w:t>. Los trabajadores que hayan agotado su estancia con tarjeta azul pero que cumplan todos los criterios pertinentes deberían tener la opción de seguir residiendo y trabajando en la UE mediante la creación de vínculos explícitos entre el sistema de la tarjeta azul y las disposiciones de los Estados miembros sobre la residencia permanente.</w:t>
      </w:r>
    </w:p>
    <w:p w:rsidR="0063398C" w:rsidRPr="00B87CA0" w:rsidRDefault="0063398C" w:rsidP="0063398C">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bdr w:val="none" w:sz="0" w:space="0" w:color="auto" w:frame="1"/>
        </w:rPr>
      </w:pPr>
      <w:r w:rsidRPr="00B87CA0">
        <w:rPr>
          <w:rFonts w:ascii="Times New Roman" w:hAnsi="Times New Roman" w:cs="Times New Roman"/>
          <w:b w:val="0"/>
          <w:bCs w:val="0"/>
          <w:color w:val="FF0000"/>
          <w:sz w:val="24"/>
          <w:szCs w:val="24"/>
          <w:bdr w:val="none" w:sz="0" w:space="0" w:color="auto" w:frame="1"/>
        </w:rPr>
        <w:t>6 Defender la competencia, la apertura y el multilateralismo </w:t>
      </w:r>
    </w:p>
    <w:p w:rsidR="0063398C" w:rsidRPr="007B5118" w:rsidRDefault="0063398C" w:rsidP="0063398C"/>
    <w:p w:rsidR="0063398C" w:rsidRPr="007B5118" w:rsidRDefault="0063398C" w:rsidP="0063398C">
      <w:pPr>
        <w:pStyle w:val="bodyfulloutbody"/>
        <w:shd w:val="clear" w:color="auto" w:fill="FFFFFF"/>
        <w:spacing w:before="0" w:beforeAutospacing="0" w:after="0"/>
        <w:jc w:val="both"/>
        <w:textAlignment w:val="baseline"/>
        <w:rPr>
          <w:color w:val="000000"/>
          <w:spacing w:val="3"/>
        </w:rPr>
      </w:pPr>
      <w:r w:rsidRPr="00B87CA0">
        <w:rPr>
          <w:color w:val="000000"/>
          <w:spacing w:val="3"/>
          <w:u w:val="single"/>
          <w:bdr w:val="none" w:sz="0" w:space="0" w:color="auto" w:frame="1"/>
        </w:rPr>
        <w:t>La aplicación de las normas de competencia y de ayudas estatales sigue siendo esencial para la salida de empresas ineficientes y para permitir la entrada y el crecimiento de empresas en la frontera de la productividad. Un sistema de comercio basado en normas sigue siendo esencial para garantizar el acceso a los mercados de exportación y a los bienes y servicios importados al menor coste, incluidos los productos intermedios y las materias primas que son esenciales para la competitividad de la UE</w:t>
      </w:r>
      <w:r w:rsidRPr="00B87CA0">
        <w:rPr>
          <w:b/>
          <w:color w:val="000000"/>
          <w:spacing w:val="3"/>
          <w:u w:val="single"/>
          <w:bdr w:val="none" w:sz="0" w:space="0" w:color="auto" w:frame="1"/>
        </w:rPr>
        <w:t>. Junto con las economías avanzadas de ideas afines, como el Reino Unido, el Japón, el Canadá y Corea del Sur, la UE debe seguir siendo una fuerza para mantener abiertos los mercados mundiales y luchar contra el proteccionismo</w:t>
      </w:r>
      <w:r w:rsidRPr="00B87CA0">
        <w:rPr>
          <w:b/>
          <w:color w:val="000000"/>
          <w:spacing w:val="3"/>
          <w:bdr w:val="none" w:sz="0" w:space="0" w:color="auto" w:frame="1"/>
        </w:rPr>
        <w:t>.</w:t>
      </w:r>
      <w:r w:rsidRPr="007B5118">
        <w:rPr>
          <w:color w:val="000000"/>
          <w:spacing w:val="3"/>
          <w:bdr w:val="none" w:sz="0" w:space="0" w:color="auto" w:frame="1"/>
        </w:rPr>
        <w:t xml:space="preserve"> Para ello es necesario defender y reformar las normas de la Organización Mundial del Comercio, en particular su tratamiento de los subsidios, y hacer que la OMC sea más eficaz como institución.</w:t>
      </w:r>
    </w:p>
    <w:p w:rsidR="0063398C" w:rsidRPr="00B87CA0" w:rsidRDefault="0063398C" w:rsidP="0063398C">
      <w:pPr>
        <w:pStyle w:val="Ttulo3"/>
        <w:shd w:val="clear" w:color="auto" w:fill="FFFFFF"/>
        <w:spacing w:before="0" w:line="240" w:lineRule="auto"/>
        <w:jc w:val="both"/>
        <w:textAlignment w:val="baseline"/>
        <w:rPr>
          <w:rStyle w:val="nfasis"/>
          <w:rFonts w:ascii="Times New Roman" w:hAnsi="Times New Roman" w:cs="Times New Roman"/>
          <w:b w:val="0"/>
          <w:bCs w:val="0"/>
          <w:color w:val="FF0000"/>
          <w:sz w:val="24"/>
          <w:szCs w:val="24"/>
          <w:bdr w:val="none" w:sz="0" w:space="0" w:color="auto" w:frame="1"/>
        </w:rPr>
      </w:pPr>
      <w:r w:rsidRPr="00B87CA0">
        <w:rPr>
          <w:rStyle w:val="nfasis"/>
          <w:rFonts w:ascii="Times New Roman" w:hAnsi="Times New Roman" w:cs="Times New Roman"/>
          <w:b w:val="0"/>
          <w:bCs w:val="0"/>
          <w:color w:val="FF0000"/>
          <w:sz w:val="24"/>
          <w:szCs w:val="24"/>
          <w:bdr w:val="none" w:sz="0" w:space="0" w:color="auto" w:frame="1"/>
        </w:rPr>
        <w:lastRenderedPageBreak/>
        <w:t>Salvaguardar el Pacto Verde y ampliar su alcance global</w:t>
      </w:r>
    </w:p>
    <w:p w:rsidR="0063398C" w:rsidRPr="007B5118" w:rsidRDefault="0063398C" w:rsidP="0063398C"/>
    <w:p w:rsidR="0063398C" w:rsidRPr="00B87CA0" w:rsidRDefault="0063398C" w:rsidP="0063398C">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bdr w:val="none" w:sz="0" w:space="0" w:color="auto" w:frame="1"/>
        </w:rPr>
      </w:pPr>
      <w:r w:rsidRPr="00B87CA0">
        <w:rPr>
          <w:rFonts w:ascii="Times New Roman" w:hAnsi="Times New Roman" w:cs="Times New Roman"/>
          <w:b w:val="0"/>
          <w:bCs w:val="0"/>
          <w:color w:val="FF0000"/>
          <w:sz w:val="24"/>
          <w:szCs w:val="24"/>
          <w:bdr w:val="none" w:sz="0" w:space="0" w:color="auto" w:frame="1"/>
        </w:rPr>
        <w:t>7 Impulsar la industrialización verde y establecer un contrato social verde </w:t>
      </w:r>
    </w:p>
    <w:p w:rsidR="0063398C" w:rsidRPr="007B5118" w:rsidRDefault="0063398C" w:rsidP="0063398C"/>
    <w:p w:rsidR="0063398C" w:rsidRPr="00B87CA0" w:rsidRDefault="0063398C" w:rsidP="0063398C">
      <w:pPr>
        <w:pStyle w:val="bodyfulloutbody"/>
        <w:shd w:val="clear" w:color="auto" w:fill="FFFFFF"/>
        <w:spacing w:before="0" w:beforeAutospacing="0" w:after="0"/>
        <w:jc w:val="both"/>
        <w:textAlignment w:val="baseline"/>
        <w:rPr>
          <w:b/>
          <w:color w:val="FF0000"/>
          <w:spacing w:val="3"/>
          <w:u w:val="single"/>
        </w:rPr>
      </w:pPr>
      <w:r w:rsidRPr="00B87CA0">
        <w:rPr>
          <w:color w:val="000000"/>
          <w:spacing w:val="3"/>
          <w:u w:val="single"/>
          <w:bdr w:val="none" w:sz="0" w:space="0" w:color="auto" w:frame="1"/>
        </w:rPr>
        <w:t>Los objetivos del Pacto Verde tendrán costos a mediano plazo para la competitividad industrial europea, en particular después de la pérdida de los derechos de emisión gratuitos del RCDE y, más adelante, cuando se aplique el RCDE2. Esto se debe abordar fortaleciendo la ventaja comparativa de la UE en materia de tecnología limpia mediante instrumentos como el apoyo a la innovación orientada a misiones propuesto en la recomendación 3</w:t>
      </w:r>
      <w:r w:rsidRPr="007B5118">
        <w:rPr>
          <w:color w:val="000000"/>
          <w:spacing w:val="3"/>
          <w:bdr w:val="none" w:sz="0" w:space="0" w:color="auto" w:frame="1"/>
        </w:rPr>
        <w:t xml:space="preserve">. Otro obstáculo para alcanzar los objetivos del Pacto Verde es la carga desproporcionada de la fijación de precios y la regulación del carbono que soportan los grupos vulnerables. </w:t>
      </w:r>
      <w:r w:rsidRPr="00B87CA0">
        <w:rPr>
          <w:color w:val="FF0000"/>
          <w:spacing w:val="3"/>
          <w:u w:val="single"/>
          <w:bdr w:val="none" w:sz="0" w:space="0" w:color="auto" w:frame="1"/>
        </w:rPr>
        <w:t xml:space="preserve">Para abordar esto, el Fondo de Transición Justa y el Fondo Social para el Clima existentes deben estar mejor orientados a ayudar a quienes tienen ingresos más bajos a adaptarse a la transición energética, mientras que </w:t>
      </w:r>
      <w:r w:rsidRPr="00B87CA0">
        <w:rPr>
          <w:b/>
          <w:color w:val="FF0000"/>
          <w:spacing w:val="3"/>
          <w:u w:val="single"/>
          <w:bdr w:val="none" w:sz="0" w:space="0" w:color="auto" w:frame="1"/>
        </w:rPr>
        <w:t xml:space="preserve">la Política Agrícola </w:t>
      </w:r>
      <w:r w:rsidR="005D76BF">
        <w:rPr>
          <w:b/>
          <w:color w:val="FF0000"/>
          <w:spacing w:val="3"/>
          <w:u w:val="single"/>
          <w:bdr w:val="none" w:sz="0" w:space="0" w:color="auto" w:frame="1"/>
        </w:rPr>
        <w:t>Común debe transformarse en un “Pacto Verde Rural”</w:t>
      </w:r>
      <w:r w:rsidRPr="00B87CA0">
        <w:rPr>
          <w:b/>
          <w:color w:val="FF0000"/>
          <w:spacing w:val="3"/>
          <w:u w:val="single"/>
          <w:bdr w:val="none" w:sz="0" w:space="0" w:color="auto" w:frame="1"/>
        </w:rPr>
        <w:t xml:space="preserve"> que apoye a los agricultores.</w:t>
      </w:r>
    </w:p>
    <w:p w:rsidR="0063398C" w:rsidRPr="00B87CA0" w:rsidRDefault="0063398C" w:rsidP="0063398C">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bdr w:val="none" w:sz="0" w:space="0" w:color="auto" w:frame="1"/>
        </w:rPr>
      </w:pPr>
      <w:r w:rsidRPr="00B87CA0">
        <w:rPr>
          <w:rFonts w:ascii="Times New Roman" w:hAnsi="Times New Roman" w:cs="Times New Roman"/>
          <w:b w:val="0"/>
          <w:bCs w:val="0"/>
          <w:color w:val="FF0000"/>
          <w:sz w:val="24"/>
          <w:szCs w:val="24"/>
          <w:bdr w:val="none" w:sz="0" w:space="0" w:color="auto" w:frame="1"/>
        </w:rPr>
        <w:t>8 Ampliar la financiación climática internacional </w:t>
      </w:r>
    </w:p>
    <w:p w:rsidR="0063398C" w:rsidRPr="007B5118" w:rsidRDefault="0063398C" w:rsidP="0063398C"/>
    <w:p w:rsidR="0063398C" w:rsidRPr="00B87CA0" w:rsidRDefault="0063398C" w:rsidP="0063398C">
      <w:pPr>
        <w:pStyle w:val="bodyfulloutbody"/>
        <w:shd w:val="clear" w:color="auto" w:fill="FFFFFF"/>
        <w:spacing w:before="0" w:beforeAutospacing="0" w:after="0"/>
        <w:jc w:val="both"/>
        <w:textAlignment w:val="baseline"/>
        <w:rPr>
          <w:color w:val="000000"/>
          <w:spacing w:val="3"/>
          <w:u w:val="single"/>
        </w:rPr>
      </w:pPr>
      <w:r w:rsidRPr="00B87CA0">
        <w:rPr>
          <w:color w:val="000000"/>
          <w:spacing w:val="3"/>
          <w:u w:val="single"/>
          <w:bdr w:val="none" w:sz="0" w:space="0" w:color="auto" w:frame="1"/>
        </w:rPr>
        <w:t>La UE debe dejar de pensar en la financiación internacional para el clima como una forma de ayuda al desarrollo. La financiación climática que acelere significativamente la descarbonización en las economías emergentes y en desarrollo redunda en interés económico directo de la UE y de otros países avanzados, y es al menos tan rentable como el dinero gastado en descarbonización dentro de la UE. La UE y sus miembros del G7 deberían patrocinar una iniciativa G7-UE para ampliar y ampliar el apoyo a la mitigación de emisiones en las economías emergentes y en desarrollo. Esto debería incluir una financiación en forma de subvenciones suficiente para pagar las transiciones sociales de las comunidades carboneras, condicionando el apoyo financiero a políticas acordadas para eliminar gradualmente el carbón (incluida la fijación de precios del carbono a nivel nacional).</w:t>
      </w:r>
    </w:p>
    <w:p w:rsidR="0063398C" w:rsidRPr="00B87CA0" w:rsidRDefault="0063398C" w:rsidP="0063398C">
      <w:pPr>
        <w:pStyle w:val="Ttulo3"/>
        <w:shd w:val="clear" w:color="auto" w:fill="FFFFFF"/>
        <w:spacing w:before="0" w:line="240" w:lineRule="auto"/>
        <w:jc w:val="both"/>
        <w:textAlignment w:val="baseline"/>
        <w:rPr>
          <w:rStyle w:val="nfasis"/>
          <w:rFonts w:ascii="Times New Roman" w:hAnsi="Times New Roman" w:cs="Times New Roman"/>
          <w:b w:val="0"/>
          <w:bCs w:val="0"/>
          <w:color w:val="FF0000"/>
          <w:sz w:val="24"/>
          <w:szCs w:val="24"/>
          <w:bdr w:val="none" w:sz="0" w:space="0" w:color="auto" w:frame="1"/>
        </w:rPr>
      </w:pPr>
      <w:r w:rsidRPr="00B87CA0">
        <w:rPr>
          <w:rStyle w:val="nfasis"/>
          <w:rFonts w:ascii="Times New Roman" w:hAnsi="Times New Roman" w:cs="Times New Roman"/>
          <w:b w:val="0"/>
          <w:bCs w:val="0"/>
          <w:color w:val="FF0000"/>
          <w:sz w:val="24"/>
          <w:szCs w:val="24"/>
          <w:bdr w:val="none" w:sz="0" w:space="0" w:color="auto" w:frame="1"/>
        </w:rPr>
        <w:t>Reforzar la seguridad de la UE</w:t>
      </w:r>
    </w:p>
    <w:p w:rsidR="0063398C" w:rsidRPr="007B5118" w:rsidRDefault="0063398C" w:rsidP="0063398C"/>
    <w:p w:rsidR="0063398C" w:rsidRPr="00B87CA0" w:rsidRDefault="0063398C" w:rsidP="0063398C">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bdr w:val="none" w:sz="0" w:space="0" w:color="auto" w:frame="1"/>
        </w:rPr>
      </w:pPr>
      <w:r w:rsidRPr="00B87CA0">
        <w:rPr>
          <w:rFonts w:ascii="Times New Roman" w:hAnsi="Times New Roman" w:cs="Times New Roman"/>
          <w:b w:val="0"/>
          <w:bCs w:val="0"/>
          <w:color w:val="FF0000"/>
          <w:sz w:val="24"/>
          <w:szCs w:val="24"/>
          <w:bdr w:val="none" w:sz="0" w:space="0" w:color="auto" w:frame="1"/>
        </w:rPr>
        <w:t>9. Apoyar a Ucrania y reforzar la autonomía de defensa de la UE </w:t>
      </w:r>
    </w:p>
    <w:p w:rsidR="0063398C" w:rsidRPr="00B87CA0" w:rsidRDefault="0063398C" w:rsidP="0063398C">
      <w:pPr>
        <w:rPr>
          <w:u w:val="single"/>
        </w:rPr>
      </w:pPr>
    </w:p>
    <w:p w:rsidR="0063398C" w:rsidRPr="00B87CA0" w:rsidRDefault="0063398C" w:rsidP="0063398C">
      <w:pPr>
        <w:pStyle w:val="bullet1levelfirstlists"/>
        <w:shd w:val="clear" w:color="auto" w:fill="FFFFFF"/>
        <w:spacing w:before="0" w:beforeAutospacing="0" w:after="0"/>
        <w:jc w:val="both"/>
        <w:textAlignment w:val="baseline"/>
        <w:rPr>
          <w:b/>
          <w:color w:val="FF0000"/>
          <w:spacing w:val="3"/>
          <w:u w:val="single"/>
        </w:rPr>
      </w:pPr>
      <w:r w:rsidRPr="00B87CA0">
        <w:rPr>
          <w:color w:val="000000"/>
          <w:spacing w:val="3"/>
          <w:u w:val="single"/>
          <w:bdr w:val="none" w:sz="0" w:space="0" w:color="auto" w:frame="1"/>
        </w:rPr>
        <w:t>Hay que hacer todo lo posible para garantizar que Ucrania tenga tanto el apoyo fiscal como el armamento militar necesarios para defenderse, incluso si el apoyo estadounidense disminuyera</w:t>
      </w:r>
      <w:r w:rsidRPr="007B5118">
        <w:rPr>
          <w:color w:val="000000"/>
          <w:spacing w:val="3"/>
          <w:bdr w:val="none" w:sz="0" w:space="0" w:color="auto" w:frame="1"/>
        </w:rPr>
        <w:t xml:space="preserve">. </w:t>
      </w:r>
      <w:r w:rsidRPr="00B87CA0">
        <w:rPr>
          <w:b/>
          <w:color w:val="FF0000"/>
          <w:spacing w:val="3"/>
          <w:u w:val="single"/>
          <w:bdr w:val="none" w:sz="0" w:space="0" w:color="auto" w:frame="1"/>
        </w:rPr>
        <w:t>Para frenar la agresión rusa se justificaría: 1) un endeudamiento común de la UE; 2) una prefinanciación (o garantías de compra) de la producción de defensa (como en el caso de la prefinanciación para el desarrollo de vacunas).</w:t>
      </w:r>
    </w:p>
    <w:p w:rsidR="0063398C" w:rsidRPr="007B5118" w:rsidRDefault="0063398C" w:rsidP="0063398C">
      <w:pPr>
        <w:pStyle w:val="bullet1levelcontinuedlists"/>
        <w:shd w:val="clear" w:color="auto" w:fill="FFFFFF"/>
        <w:spacing w:before="0" w:beforeAutospacing="0" w:after="0"/>
        <w:jc w:val="both"/>
        <w:textAlignment w:val="baseline"/>
        <w:rPr>
          <w:color w:val="000000"/>
          <w:spacing w:val="3"/>
        </w:rPr>
      </w:pPr>
      <w:r w:rsidRPr="00B87CA0">
        <w:rPr>
          <w:color w:val="FF0000"/>
          <w:spacing w:val="3"/>
          <w:u w:val="single"/>
          <w:bdr w:val="none" w:sz="0" w:space="0" w:color="auto" w:frame="1"/>
        </w:rPr>
        <w:t>Crear un mercado único para la producción y adquisición de material de defensa</w:t>
      </w:r>
      <w:r w:rsidRPr="007B5118">
        <w:rPr>
          <w:color w:val="000000"/>
          <w:spacing w:val="3"/>
          <w:bdr w:val="none" w:sz="0" w:space="0" w:color="auto" w:frame="1"/>
        </w:rPr>
        <w:t>. Aunque el Tratado de la UE (artículo 346) no exige un mercado único de este tipo, su creación está permitida y reducirá el coste del rearme y aumentará la flexibilidad del suministro de armas. </w:t>
      </w:r>
    </w:p>
    <w:p w:rsidR="0063398C" w:rsidRPr="007B5118" w:rsidRDefault="0063398C" w:rsidP="0063398C">
      <w:pPr>
        <w:pStyle w:val="bullet1levellastlists"/>
        <w:shd w:val="clear" w:color="auto" w:fill="FFFFFF"/>
        <w:spacing w:before="0" w:beforeAutospacing="0" w:after="0"/>
        <w:jc w:val="both"/>
        <w:textAlignment w:val="baseline"/>
        <w:rPr>
          <w:color w:val="000000"/>
          <w:spacing w:val="3"/>
        </w:rPr>
      </w:pPr>
      <w:r w:rsidRPr="00B87CA0">
        <w:rPr>
          <w:color w:val="FF0000"/>
          <w:spacing w:val="3"/>
          <w:u w:val="single"/>
          <w:bdr w:val="none" w:sz="0" w:space="0" w:color="auto" w:frame="1"/>
        </w:rPr>
        <w:lastRenderedPageBreak/>
        <w:t>Crear un fondo temporal extrapresupuestario de la UE para acelerar el rearme</w:t>
      </w:r>
      <w:r w:rsidRPr="007B5118">
        <w:rPr>
          <w:color w:val="000000"/>
          <w:spacing w:val="3"/>
          <w:bdr w:val="none" w:sz="0" w:space="0" w:color="auto" w:frame="1"/>
        </w:rPr>
        <w:t>. Este fondo podría financiarse mediante préstamos comunes o mediante contribuciones de los Estados miembros. La asignación de fondos (o de armas adquiridas mediante financiación común) debería seguir una lógica de eficiencia; por ejemplo, una mayor proporción se distribuiría a los países fronterizos de la UE con mayores niveles de gasto en defensa.</w:t>
      </w:r>
    </w:p>
    <w:p w:rsidR="0063398C" w:rsidRPr="00B87CA0" w:rsidRDefault="0063398C" w:rsidP="0063398C">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bdr w:val="none" w:sz="0" w:space="0" w:color="auto" w:frame="1"/>
        </w:rPr>
      </w:pPr>
      <w:r w:rsidRPr="00B87CA0">
        <w:rPr>
          <w:rFonts w:ascii="Times New Roman" w:hAnsi="Times New Roman" w:cs="Times New Roman"/>
          <w:b w:val="0"/>
          <w:bCs w:val="0"/>
          <w:color w:val="FF0000"/>
          <w:sz w:val="24"/>
          <w:szCs w:val="24"/>
          <w:bdr w:val="none" w:sz="0" w:space="0" w:color="auto" w:frame="1"/>
        </w:rPr>
        <w:t>10 Abordar los puntos ciegos de la seguridad económica </w:t>
      </w:r>
    </w:p>
    <w:p w:rsidR="0063398C" w:rsidRPr="007B5118" w:rsidRDefault="0063398C" w:rsidP="0063398C"/>
    <w:p w:rsidR="0063398C" w:rsidRPr="007B5118" w:rsidRDefault="0063398C" w:rsidP="0063398C">
      <w:pPr>
        <w:pStyle w:val="bodyfulloutbody"/>
        <w:shd w:val="clear" w:color="auto" w:fill="FFFFFF"/>
        <w:spacing w:before="0" w:beforeAutospacing="0" w:after="0"/>
        <w:jc w:val="both"/>
        <w:textAlignment w:val="baseline"/>
        <w:rPr>
          <w:color w:val="000000"/>
          <w:spacing w:val="3"/>
        </w:rPr>
      </w:pPr>
      <w:r w:rsidRPr="007B5118">
        <w:rPr>
          <w:color w:val="000000"/>
          <w:spacing w:val="3"/>
          <w:bdr w:val="none" w:sz="0" w:space="0" w:color="auto" w:frame="1"/>
        </w:rPr>
        <w:t xml:space="preserve">Si bien la estrategia de seguridad económica de </w:t>
      </w:r>
      <w:r w:rsidR="005D76BF">
        <w:rPr>
          <w:color w:val="000000"/>
          <w:spacing w:val="3"/>
          <w:bdr w:val="none" w:sz="0" w:space="0" w:color="auto" w:frame="1"/>
        </w:rPr>
        <w:t>la Comisión ha sido encomiable -</w:t>
      </w:r>
      <w:r w:rsidRPr="007B5118">
        <w:rPr>
          <w:color w:val="000000"/>
          <w:spacing w:val="3"/>
          <w:bdr w:val="none" w:sz="0" w:space="0" w:color="auto" w:frame="1"/>
        </w:rPr>
        <w:t>en particular, la creación del Instrumento Antic</w:t>
      </w:r>
      <w:r w:rsidR="005D76BF">
        <w:rPr>
          <w:color w:val="000000"/>
          <w:spacing w:val="3"/>
          <w:bdr w:val="none" w:sz="0" w:space="0" w:color="auto" w:frame="1"/>
        </w:rPr>
        <w:t>oerción-</w:t>
      </w:r>
      <w:r w:rsidRPr="007B5118">
        <w:rPr>
          <w:color w:val="000000"/>
          <w:spacing w:val="3"/>
          <w:bdr w:val="none" w:sz="0" w:space="0" w:color="auto" w:frame="1"/>
        </w:rPr>
        <w:t xml:space="preserve"> corre el riesgo de centrarse demasiado en las calamidades del pasado (las perturbaciones de las importaciones) en lugar de en los posibles riesgos del futuro (la dependencia a través de la concentración de las exportaciones y los beneficios, las expropiaciones de activos y el uso de las finanzas como arma). La UE debe abordar estos riesgos en colaboración con aliados que compartan sus ideas, entre ellos el Reino Unido y Japón. También debe aprovechar la agenda del mercado único teniendo en cuenta la seguridad.</w:t>
      </w:r>
    </w:p>
    <w:p w:rsidR="0063398C" w:rsidRPr="00B87CA0" w:rsidRDefault="0063398C" w:rsidP="0063398C">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bdr w:val="none" w:sz="0" w:space="0" w:color="auto" w:frame="1"/>
        </w:rPr>
      </w:pPr>
      <w:r w:rsidRPr="00B87CA0">
        <w:rPr>
          <w:rFonts w:ascii="Times New Roman" w:hAnsi="Times New Roman" w:cs="Times New Roman"/>
          <w:b w:val="0"/>
          <w:bCs w:val="0"/>
          <w:color w:val="FF0000"/>
          <w:sz w:val="24"/>
          <w:szCs w:val="24"/>
          <w:bdr w:val="none" w:sz="0" w:space="0" w:color="auto" w:frame="1"/>
        </w:rPr>
        <w:t>11 Restablecer la relación con el Reino Unido </w:t>
      </w:r>
    </w:p>
    <w:p w:rsidR="0063398C" w:rsidRPr="007B5118" w:rsidRDefault="0063398C" w:rsidP="0063398C"/>
    <w:p w:rsidR="0063398C" w:rsidRPr="00821938" w:rsidRDefault="0063398C" w:rsidP="0063398C">
      <w:pPr>
        <w:pStyle w:val="bodyfulloutbody"/>
        <w:shd w:val="clear" w:color="auto" w:fill="FFFFFF"/>
        <w:spacing w:before="0" w:beforeAutospacing="0" w:after="0"/>
        <w:jc w:val="both"/>
        <w:textAlignment w:val="baseline"/>
        <w:rPr>
          <w:color w:val="000000"/>
          <w:spacing w:val="3"/>
          <w:u w:val="single"/>
        </w:rPr>
      </w:pPr>
      <w:r w:rsidRPr="00821938">
        <w:rPr>
          <w:color w:val="000000"/>
          <w:spacing w:val="3"/>
          <w:u w:val="single"/>
          <w:bdr w:val="none" w:sz="0" w:space="0" w:color="auto" w:frame="1"/>
        </w:rPr>
        <w:t>La relación entre la UE y el Reino Unido es importante para ambos socios por razones económicas y de seguridad. Se debería buscar una relación más estrecha, en particular en materia de defensa (con una relación más estrecha entre la UE y el Reino Unido dentro de la OTAN, para prevenir y (si es inevitable) gestionar una reducción de la participación de los EE. UU.) y en materia de adquisiciones de defensa comunes</w:t>
      </w:r>
      <w:r w:rsidRPr="007B5118">
        <w:rPr>
          <w:color w:val="000000"/>
          <w:spacing w:val="3"/>
          <w:bdr w:val="none" w:sz="0" w:space="0" w:color="auto" w:frame="1"/>
        </w:rPr>
        <w:t xml:space="preserve">. </w:t>
      </w:r>
      <w:r w:rsidRPr="00821938">
        <w:rPr>
          <w:color w:val="000000"/>
          <w:spacing w:val="3"/>
          <w:u w:val="single"/>
          <w:bdr w:val="none" w:sz="0" w:space="0" w:color="auto" w:frame="1"/>
        </w:rPr>
        <w:t>El desarrollo de un mercado único europeo en la producción de defensa debería incluir al Reino Unido (si es necesario, respaldado por un tratado intergubernamental). También se deberían buscar mejoras o ampliaciones del actual Acuerdo de Comercio y Cooperación entre la UE y el Reino Unido en áreas como la alineación regulatoria y para garantizar que no haya fricciones entre los mecanismos de ajuste fronterizo de las emisiones de carbono de la UE y el Reino Unido.</w:t>
      </w:r>
    </w:p>
    <w:p w:rsidR="0063398C" w:rsidRPr="00821938" w:rsidRDefault="0063398C" w:rsidP="0063398C">
      <w:pPr>
        <w:pStyle w:val="Ttulo3"/>
        <w:shd w:val="clear" w:color="auto" w:fill="FFFFFF"/>
        <w:spacing w:before="0" w:line="240" w:lineRule="auto"/>
        <w:jc w:val="both"/>
        <w:textAlignment w:val="baseline"/>
        <w:rPr>
          <w:rStyle w:val="nfasis"/>
          <w:rFonts w:ascii="Times New Roman" w:hAnsi="Times New Roman" w:cs="Times New Roman"/>
          <w:b w:val="0"/>
          <w:bCs w:val="0"/>
          <w:color w:val="FF0000"/>
          <w:sz w:val="24"/>
          <w:szCs w:val="24"/>
          <w:bdr w:val="none" w:sz="0" w:space="0" w:color="auto" w:frame="1"/>
        </w:rPr>
      </w:pPr>
      <w:r w:rsidRPr="00821938">
        <w:rPr>
          <w:rStyle w:val="nfasis"/>
          <w:rFonts w:ascii="Times New Roman" w:hAnsi="Times New Roman" w:cs="Times New Roman"/>
          <w:b w:val="0"/>
          <w:bCs w:val="0"/>
          <w:color w:val="FF0000"/>
          <w:sz w:val="24"/>
          <w:szCs w:val="24"/>
          <w:bdr w:val="none" w:sz="0" w:space="0" w:color="auto" w:frame="1"/>
        </w:rPr>
        <w:t>Reforma de la toma de decisiones de la UE </w:t>
      </w:r>
    </w:p>
    <w:p w:rsidR="0063398C" w:rsidRPr="007B5118" w:rsidRDefault="0063398C" w:rsidP="0063398C"/>
    <w:p w:rsidR="0063398C" w:rsidRPr="00821938" w:rsidRDefault="0063398C" w:rsidP="0063398C">
      <w:pPr>
        <w:pStyle w:val="Ttulo3"/>
        <w:shd w:val="clear" w:color="auto" w:fill="FFFFFF"/>
        <w:spacing w:before="0" w:line="240" w:lineRule="auto"/>
        <w:jc w:val="both"/>
        <w:textAlignment w:val="baseline"/>
        <w:rPr>
          <w:rFonts w:ascii="Times New Roman" w:hAnsi="Times New Roman" w:cs="Times New Roman"/>
          <w:b w:val="0"/>
          <w:bCs w:val="0"/>
          <w:color w:val="FF0000"/>
          <w:sz w:val="24"/>
          <w:szCs w:val="24"/>
          <w:bdr w:val="none" w:sz="0" w:space="0" w:color="auto" w:frame="1"/>
        </w:rPr>
      </w:pPr>
      <w:r w:rsidRPr="00821938">
        <w:rPr>
          <w:rFonts w:ascii="Times New Roman" w:hAnsi="Times New Roman" w:cs="Times New Roman"/>
          <w:b w:val="0"/>
          <w:bCs w:val="0"/>
          <w:color w:val="FF0000"/>
          <w:sz w:val="24"/>
          <w:szCs w:val="24"/>
          <w:bdr w:val="none" w:sz="0" w:space="0" w:color="auto" w:frame="1"/>
        </w:rPr>
        <w:t>12 Reformar el proceso de toma de decisiones de la UE tanto para lograr una mayor eficiencia como para prepararse para la ampliación </w:t>
      </w:r>
    </w:p>
    <w:p w:rsidR="0063398C" w:rsidRPr="007B5118" w:rsidRDefault="0063398C" w:rsidP="0063398C"/>
    <w:p w:rsidR="0063398C" w:rsidRPr="00821938" w:rsidRDefault="0063398C" w:rsidP="0063398C">
      <w:pPr>
        <w:pStyle w:val="bodyfulloutbody"/>
        <w:shd w:val="clear" w:color="auto" w:fill="FFFFFF"/>
        <w:spacing w:before="0" w:beforeAutospacing="0" w:after="0"/>
        <w:jc w:val="both"/>
        <w:textAlignment w:val="baseline"/>
        <w:rPr>
          <w:color w:val="FF0000"/>
          <w:spacing w:val="3"/>
          <w:u w:val="single"/>
        </w:rPr>
      </w:pPr>
      <w:r w:rsidRPr="00821938">
        <w:rPr>
          <w:color w:val="000000"/>
          <w:spacing w:val="3"/>
          <w:u w:val="single"/>
          <w:bdr w:val="none" w:sz="0" w:space="0" w:color="auto" w:frame="1"/>
        </w:rPr>
        <w:t xml:space="preserve">La UE debería ser innovadora a la hora de prepararse para la próxima oleada de ampliaciones, incluida la adhesión de Ucrania. </w:t>
      </w:r>
      <w:r w:rsidRPr="00821938">
        <w:rPr>
          <w:b/>
          <w:color w:val="FF0000"/>
          <w:spacing w:val="3"/>
          <w:u w:val="single"/>
          <w:bdr w:val="none" w:sz="0" w:space="0" w:color="auto" w:frame="1"/>
        </w:rPr>
        <w:t>Debería considerarse seriamente la posibilidad de una adhesión por etapas</w:t>
      </w:r>
      <w:r w:rsidRPr="00821938">
        <w:rPr>
          <w:b/>
          <w:color w:val="FF0000"/>
          <w:spacing w:val="3"/>
          <w:bdr w:val="none" w:sz="0" w:space="0" w:color="auto" w:frame="1"/>
        </w:rPr>
        <w:t>.</w:t>
      </w:r>
      <w:r w:rsidRPr="007B5118">
        <w:rPr>
          <w:color w:val="000000"/>
          <w:spacing w:val="3"/>
          <w:bdr w:val="none" w:sz="0" w:space="0" w:color="auto" w:frame="1"/>
        </w:rPr>
        <w:t xml:space="preserve"> Es poco probable que Ucrania o cualquier otro país candidato se una a la UE durante su mandato y usted podría verse tentado a negociar simplemente la adhesión con los países candidatos e ignorar las reformas que la propia UE necesita implementar para poder funcionar después de la próxima ampliación. Pero esto sería un gran error: </w:t>
      </w:r>
      <w:r w:rsidRPr="00821938">
        <w:rPr>
          <w:color w:val="FF0000"/>
          <w:spacing w:val="3"/>
          <w:u w:val="single"/>
          <w:bdr w:val="none" w:sz="0" w:space="0" w:color="auto" w:frame="1"/>
        </w:rPr>
        <w:t>la toma de decisiones y la gobernanza de la UE son problemáticas incluso hoy en día. </w:t>
      </w:r>
    </w:p>
    <w:p w:rsidR="0063398C" w:rsidRPr="00821938" w:rsidRDefault="0063398C" w:rsidP="0063398C">
      <w:pPr>
        <w:pStyle w:val="bodybody"/>
        <w:shd w:val="clear" w:color="auto" w:fill="FFFFFF"/>
        <w:spacing w:before="0" w:beforeAutospacing="0" w:after="0"/>
        <w:jc w:val="both"/>
        <w:textAlignment w:val="baseline"/>
        <w:rPr>
          <w:b/>
          <w:color w:val="FF0000"/>
          <w:spacing w:val="3"/>
          <w:u w:val="single"/>
        </w:rPr>
      </w:pPr>
      <w:r w:rsidRPr="00821938">
        <w:rPr>
          <w:b/>
          <w:color w:val="FF0000"/>
          <w:spacing w:val="3"/>
          <w:u w:val="single"/>
          <w:bdr w:val="none" w:sz="0" w:space="0" w:color="auto" w:frame="1"/>
        </w:rPr>
        <w:t xml:space="preserve">No hay que tener miedo de iniciar el debate institucional, porque es muy divisivo. Ni la cooperación reforzada ni siquiera los cambios en los tratados debería descartarse. </w:t>
      </w:r>
      <w:r w:rsidRPr="00821938">
        <w:rPr>
          <w:b/>
          <w:color w:val="FF0000"/>
          <w:spacing w:val="3"/>
          <w:u w:val="single"/>
          <w:bdr w:val="none" w:sz="0" w:space="0" w:color="auto" w:frame="1"/>
        </w:rPr>
        <w:lastRenderedPageBreak/>
        <w:t>Al mismo tiempo, la gobernanza no debería ser un ejercicio ideológico que enfrente a los partidarios y los detractores de una mayor integración en la UE. Debería ser pragmática. Puede que sea necesaria una mayor integración en algunas áreas, pero no en otras. </w:t>
      </w:r>
    </w:p>
    <w:p w:rsidR="0063398C" w:rsidRPr="00CA5846" w:rsidRDefault="0063398C" w:rsidP="0063398C">
      <w:pPr>
        <w:pStyle w:val="Ttulo2"/>
        <w:spacing w:before="0" w:beforeAutospacing="0" w:after="0" w:afterAutospacing="0"/>
        <w:jc w:val="both"/>
        <w:textAlignment w:val="baseline"/>
        <w:rPr>
          <w:b w:val="0"/>
          <w:bCs w:val="0"/>
          <w:sz w:val="24"/>
          <w:szCs w:val="24"/>
        </w:rPr>
      </w:pPr>
      <w:r w:rsidRPr="00CA5846">
        <w:rPr>
          <w:b w:val="0"/>
          <w:bCs w:val="0"/>
          <w:sz w:val="24"/>
          <w:szCs w:val="24"/>
        </w:rPr>
        <w:t>Acerca de los autores</w:t>
      </w:r>
    </w:p>
    <w:p w:rsidR="0063398C" w:rsidRPr="007B5118" w:rsidRDefault="0063398C" w:rsidP="0018554B">
      <w:pPr>
        <w:pStyle w:val="Ttulo3"/>
        <w:keepNext w:val="0"/>
        <w:keepLines w:val="0"/>
        <w:spacing w:before="0" w:line="240" w:lineRule="auto"/>
        <w:jc w:val="both"/>
        <w:textAlignment w:val="baseline"/>
        <w:rPr>
          <w:rFonts w:ascii="Times New Roman" w:hAnsi="Times New Roman" w:cs="Times New Roman"/>
          <w:b w:val="0"/>
          <w:bCs w:val="0"/>
          <w:color w:val="000000"/>
          <w:sz w:val="24"/>
          <w:szCs w:val="24"/>
        </w:rPr>
      </w:pPr>
    </w:p>
    <w:p w:rsidR="0063398C" w:rsidRPr="007B5118" w:rsidRDefault="0063398C" w:rsidP="00B84DCE">
      <w:pPr>
        <w:spacing w:line="240" w:lineRule="auto"/>
        <w:jc w:val="both"/>
        <w:textAlignment w:val="baseline"/>
        <w:rPr>
          <w:rFonts w:ascii="Times New Roman" w:hAnsi="Times New Roman" w:cs="Times New Roman"/>
          <w:b/>
          <w:bCs/>
          <w:color w:val="000000"/>
          <w:sz w:val="24"/>
          <w:szCs w:val="24"/>
        </w:rPr>
      </w:pPr>
      <w:r w:rsidRPr="007B5118">
        <w:rPr>
          <w:rFonts w:ascii="Times New Roman" w:hAnsi="Times New Roman" w:cs="Times New Roman"/>
          <w:color w:val="000000"/>
          <w:spacing w:val="3"/>
          <w:sz w:val="24"/>
          <w:szCs w:val="24"/>
          <w:bdr w:val="none" w:sz="0" w:space="0" w:color="auto" w:frame="1"/>
        </w:rPr>
        <w:t xml:space="preserve">Maria Demertzis es directora de ESF, The Conference Board Europe, ex investigadora senior de Bruegel y profesora a tiempo parcial de Política Económica en la Florence School of Transnational Governance del European University Institute. Fue directora adjunta de Bruegel hasta diciembre de 2022. Anteriormente trabajó en la Comisión Europea y en el departamento de investigación del Banco Central de los Países Bajos. También ocupó puestos académicos en la Harvard Kennedy School of Government (EE. UU.) y en la Universidad de Strathclyde (Reino Unido), donde obtuvo un doctorado en Economía. </w:t>
      </w:r>
    </w:p>
    <w:p w:rsidR="0063398C" w:rsidRPr="0018554B" w:rsidRDefault="0018554B" w:rsidP="0018554B">
      <w:pPr>
        <w:pStyle w:val="NormalWeb"/>
        <w:spacing w:before="0" w:beforeAutospacing="0"/>
        <w:jc w:val="both"/>
        <w:textAlignment w:val="baseline"/>
        <w:rPr>
          <w:color w:val="000000"/>
          <w:spacing w:val="3"/>
        </w:rPr>
      </w:pPr>
      <w:r>
        <w:rPr>
          <w:color w:val="000000"/>
          <w:spacing w:val="3"/>
        </w:rPr>
        <w:t xml:space="preserve">André Sapir, </w:t>
      </w:r>
      <w:r w:rsidR="0063398C" w:rsidRPr="007B5118">
        <w:rPr>
          <w:color w:val="000000"/>
          <w:spacing w:val="3"/>
        </w:rPr>
        <w:t>es investigador principal de Bruegel. También es catedrático de la Universidad Libre de Bruselas (ULB) e investigador del Centro de Investigación de Política Económica con sede en</w:t>
      </w:r>
      <w:r>
        <w:rPr>
          <w:color w:val="000000"/>
          <w:spacing w:val="3"/>
        </w:rPr>
        <w:t xml:space="preserve"> Londres.</w:t>
      </w:r>
      <w:r w:rsidR="00461815">
        <w:rPr>
          <w:color w:val="000000"/>
          <w:spacing w:val="3"/>
        </w:rPr>
        <w:t xml:space="preserve"> </w:t>
      </w:r>
      <w:r w:rsidR="0063398C" w:rsidRPr="007B5118">
        <w:rPr>
          <w:color w:val="000000"/>
          <w:spacing w:val="3"/>
        </w:rPr>
        <w:t>Entre 1990 y 2004 trabajó para la Comisión Europea, primero como asesor económico del director general de Asuntos Económicos y Financieros y luego como asesor económico principal del presidente Prodi, dirigiendo también su grupo de asesoramie</w:t>
      </w:r>
      <w:r w:rsidR="005D76BF">
        <w:rPr>
          <w:color w:val="000000"/>
          <w:spacing w:val="3"/>
        </w:rPr>
        <w:t>nto económico. En 2004 publicó “</w:t>
      </w:r>
      <w:r w:rsidR="0063398C" w:rsidRPr="007B5118">
        <w:rPr>
          <w:color w:val="000000"/>
          <w:spacing w:val="3"/>
        </w:rPr>
        <w:t>Una agenda</w:t>
      </w:r>
      <w:r w:rsidR="005D76BF">
        <w:rPr>
          <w:color w:val="000000"/>
          <w:spacing w:val="3"/>
        </w:rPr>
        <w:t xml:space="preserve"> para una Europa en crecimiento”</w:t>
      </w:r>
      <w:r w:rsidR="0063398C" w:rsidRPr="007B5118">
        <w:rPr>
          <w:color w:val="000000"/>
          <w:spacing w:val="3"/>
        </w:rPr>
        <w:t>, un informe para el presidente de la Comisión elaborado por un grupo de expertos independientes conocido como el informe Sapir. Tras dejar la Comisión, trabajó primero como miembro externo del grupo de asesoramiento económico del presidente Barroso y luego como miembro del consejo general (y presidente del comité científico asesor) de la Junta Europea de Riesgo Sistémico con sede en el Banc</w:t>
      </w:r>
      <w:r>
        <w:rPr>
          <w:color w:val="000000"/>
          <w:spacing w:val="3"/>
        </w:rPr>
        <w:t>o Central Europeo en Frankfurt.</w:t>
      </w:r>
    </w:p>
    <w:p w:rsidR="0063398C" w:rsidRDefault="0063398C" w:rsidP="0018554B">
      <w:pPr>
        <w:pStyle w:val="NormalWeb"/>
        <w:spacing w:before="0" w:beforeAutospacing="0"/>
        <w:jc w:val="both"/>
        <w:textAlignment w:val="baseline"/>
        <w:rPr>
          <w:color w:val="000000"/>
          <w:spacing w:val="3"/>
        </w:rPr>
      </w:pPr>
      <w:r w:rsidRPr="007B5118">
        <w:rPr>
          <w:color w:val="000000"/>
          <w:spacing w:val="3"/>
        </w:rPr>
        <w:t>Jeromin Zettelmeyer es director de Bruegel desde septiembre de 202</w:t>
      </w:r>
      <w:r w:rsidR="0018554B">
        <w:rPr>
          <w:color w:val="000000"/>
          <w:spacing w:val="3"/>
        </w:rPr>
        <w:t>2. A</w:t>
      </w:r>
      <w:r w:rsidRPr="007B5118">
        <w:rPr>
          <w:color w:val="000000"/>
          <w:spacing w:val="3"/>
        </w:rPr>
        <w:t>nteriormente</w:t>
      </w:r>
      <w:r w:rsidR="0018554B">
        <w:rPr>
          <w:color w:val="000000"/>
          <w:spacing w:val="3"/>
        </w:rPr>
        <w:t xml:space="preserve"> fue</w:t>
      </w:r>
      <w:r w:rsidRPr="007B5118">
        <w:rPr>
          <w:color w:val="000000"/>
          <w:spacing w:val="3"/>
        </w:rPr>
        <w:t xml:space="preserve"> subdirector del Departamento de Estrategia y Revisión de Políticas del Fondo Monetario Internacional (FMI). Antes de eso, fue Dennis Weatherstone Senior Fellow (2019) y Senior Fellow (2016-19) en el Peterson Institute for International Economics, Director General de Política Económica en el Ministerio Federal de Asuntos Económicos y Energía de Alemania (2014-16); Director de Investigación y Economista Jefe Adjunto en el Banco Europeo de Reconstrucción y Desarrollo (2008-2014), y miembro del personal del FMI, donde trabajó en los Departamentos de Investigación, Hemisferio Occi</w:t>
      </w:r>
      <w:r w:rsidR="0018554B">
        <w:rPr>
          <w:color w:val="000000"/>
          <w:spacing w:val="3"/>
        </w:rPr>
        <w:t>dental y Europa II (1994-2008). T</w:t>
      </w:r>
      <w:r w:rsidRPr="007B5118">
        <w:rPr>
          <w:color w:val="000000"/>
          <w:spacing w:val="3"/>
        </w:rPr>
        <w:t xml:space="preserve">iene un doctorado en economía del MIT (1995) y una licenciatura en economía de la Universidad de Bonn (1990). Es investigador asociado en el Programa de Macroeconomía Internacional del Centro de Investigación de Política Económica (CEPR) y miembro de la Red de Investigación y Política del CEPR sobre la arquitectura económica europea, que ayudó a fundar. También es miembro de CESIfo. </w:t>
      </w:r>
    </w:p>
    <w:p w:rsidR="00461815" w:rsidRPr="009360CF" w:rsidRDefault="00461815" w:rsidP="00461815">
      <w:pPr>
        <w:pStyle w:val="NormalWeb"/>
        <w:spacing w:after="0"/>
        <w:jc w:val="both"/>
        <w:rPr>
          <w:b/>
        </w:rPr>
      </w:pPr>
      <w:r w:rsidRPr="007832BF">
        <w:rPr>
          <w:b/>
          <w:color w:val="000000"/>
          <w:spacing w:val="3"/>
        </w:rPr>
        <w:t>Nota</w:t>
      </w:r>
      <w:r w:rsidR="007832BF">
        <w:rPr>
          <w:color w:val="000000"/>
          <w:spacing w:val="3"/>
        </w:rPr>
        <w:t xml:space="preserve">: </w:t>
      </w:r>
      <w:r w:rsidR="007832BF" w:rsidRPr="009360CF">
        <w:rPr>
          <w:b/>
          <w:color w:val="000000"/>
          <w:spacing w:val="3"/>
        </w:rPr>
        <w:t>El</w:t>
      </w:r>
      <w:r>
        <w:rPr>
          <w:color w:val="000000"/>
          <w:spacing w:val="3"/>
        </w:rPr>
        <w:t xml:space="preserve"> </w:t>
      </w:r>
      <w:r w:rsidR="007832BF">
        <w:rPr>
          <w:b/>
        </w:rPr>
        <w:t xml:space="preserve">Memorándum Bruegel, presentado </w:t>
      </w:r>
      <w:r w:rsidRPr="007B5118">
        <w:rPr>
          <w:b/>
        </w:rPr>
        <w:t>a los Presidentes de la Comisión Europea, del Consejo y del Parlamento Europeo</w:t>
      </w:r>
      <w:r w:rsidR="007832BF">
        <w:rPr>
          <w:b/>
        </w:rPr>
        <w:t xml:space="preserve"> (3/7/24)</w:t>
      </w:r>
      <w:r w:rsidR="009360CF">
        <w:rPr>
          <w:b/>
        </w:rPr>
        <w:t xml:space="preserve">, puede </w:t>
      </w:r>
      <w:r w:rsidR="007832BF">
        <w:rPr>
          <w:b/>
        </w:rPr>
        <w:t>considerar</w:t>
      </w:r>
      <w:r w:rsidR="009360CF">
        <w:rPr>
          <w:b/>
        </w:rPr>
        <w:t>se</w:t>
      </w:r>
      <w:r w:rsidR="007832BF">
        <w:rPr>
          <w:b/>
        </w:rPr>
        <w:t xml:space="preserve"> un TAC (diagnóstico) de la Unión Europea, a julio de 2024, y servir como punto de referencia (por el </w:t>
      </w:r>
      <w:r w:rsidR="009360CF">
        <w:rPr>
          <w:b/>
        </w:rPr>
        <w:t>prestigio de los autores</w:t>
      </w:r>
      <w:r w:rsidR="007832BF">
        <w:rPr>
          <w:b/>
        </w:rPr>
        <w:t>, y su influencia en las instituciones europeas</w:t>
      </w:r>
      <w:r w:rsidR="009360CF">
        <w:rPr>
          <w:b/>
        </w:rPr>
        <w:t xml:space="preserve">), para estimar las posibilidades de éxito del </w:t>
      </w:r>
      <w:r w:rsidR="007832BF">
        <w:rPr>
          <w:b/>
        </w:rPr>
        <w:t>tratamiento aconsejado por los</w:t>
      </w:r>
      <w:r w:rsidR="009360CF">
        <w:rPr>
          <w:b/>
        </w:rPr>
        <w:t xml:space="preserve"> especialistas seleccionados: </w:t>
      </w:r>
      <w:r w:rsidR="009360CF" w:rsidRPr="001B40A3">
        <w:rPr>
          <w:b/>
        </w:rPr>
        <w:t>Peter Strohschneider</w:t>
      </w:r>
      <w:r w:rsidR="009360CF">
        <w:t xml:space="preserve">, </w:t>
      </w:r>
      <w:r w:rsidR="009360CF" w:rsidRPr="001B40A3">
        <w:rPr>
          <w:b/>
        </w:rPr>
        <w:t>Enrico Letta</w:t>
      </w:r>
      <w:r w:rsidR="009360CF">
        <w:t xml:space="preserve">, y </w:t>
      </w:r>
      <w:r w:rsidR="009360CF" w:rsidRPr="001B40A3">
        <w:t xml:space="preserve"> </w:t>
      </w:r>
      <w:r w:rsidR="009360CF" w:rsidRPr="001B40A3">
        <w:rPr>
          <w:b/>
        </w:rPr>
        <w:t>Mario Draghi</w:t>
      </w:r>
      <w:r w:rsidR="009360CF">
        <w:t xml:space="preserve">. </w:t>
      </w:r>
      <w:r w:rsidR="009360CF" w:rsidRPr="009360CF">
        <w:rPr>
          <w:b/>
        </w:rPr>
        <w:t>Pasen</w:t>
      </w:r>
      <w:r w:rsidR="009360CF">
        <w:rPr>
          <w:b/>
        </w:rPr>
        <w:t>.</w:t>
      </w:r>
      <w:r w:rsidR="009360CF" w:rsidRPr="009360CF">
        <w:rPr>
          <w:b/>
        </w:rPr>
        <w:t xml:space="preserve"> y lean…</w:t>
      </w:r>
    </w:p>
    <w:p w:rsidR="008865A5" w:rsidRPr="00CA5846" w:rsidRDefault="0063398C" w:rsidP="008865A5">
      <w:pPr>
        <w:spacing w:line="240" w:lineRule="auto"/>
        <w:jc w:val="both"/>
        <w:rPr>
          <w:rFonts w:ascii="Times New Roman" w:hAnsi="Times New Roman" w:cs="Times New Roman"/>
          <w:b/>
          <w:sz w:val="24"/>
          <w:szCs w:val="24"/>
        </w:rPr>
      </w:pPr>
      <w:r w:rsidRPr="00CA5846">
        <w:rPr>
          <w:rFonts w:ascii="Times New Roman" w:hAnsi="Times New Roman" w:cs="Times New Roman"/>
          <w:b/>
          <w:sz w:val="24"/>
          <w:szCs w:val="24"/>
        </w:rPr>
        <w:lastRenderedPageBreak/>
        <w:t xml:space="preserve">- </w:t>
      </w:r>
      <w:r w:rsidR="001F247E" w:rsidRPr="00CA5846">
        <w:rPr>
          <w:rFonts w:ascii="Times New Roman" w:hAnsi="Times New Roman" w:cs="Times New Roman"/>
          <w:b/>
          <w:sz w:val="24"/>
          <w:szCs w:val="24"/>
        </w:rPr>
        <w:t>El Informe Strohschneider: Diálogo estratégico sobre el futuro de la agricultura de la UE</w:t>
      </w:r>
    </w:p>
    <w:p w:rsidR="008865A5" w:rsidRDefault="008865A5" w:rsidP="008865A5">
      <w:pPr>
        <w:spacing w:line="240" w:lineRule="auto"/>
        <w:jc w:val="both"/>
        <w:rPr>
          <w:rFonts w:ascii="Times New Roman" w:hAnsi="Times New Roman" w:cs="Times New Roman"/>
          <w:b/>
          <w:color w:val="FF0000"/>
          <w:sz w:val="24"/>
          <w:szCs w:val="24"/>
        </w:rPr>
      </w:pPr>
      <w:r>
        <w:rPr>
          <w:noProof/>
          <w:lang w:eastAsia="es-ES"/>
        </w:rPr>
        <w:drawing>
          <wp:inline distT="0" distB="0" distL="0" distR="0">
            <wp:extent cx="5676900" cy="3492500"/>
            <wp:effectExtent l="0" t="0" r="0" b="0"/>
            <wp:docPr id="2" name="Imagen 2" descr="Press conference by Ursula von der Leyen, President of the European Commission, and Peter Strohschneider, Chairman of the Strategic Dialogue on the Future of EU Agriculture, on the publication of the final report of the Strategic Dialogue on the Fu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ss conference by Ursula von der Leyen, President of the European Commission, and Peter Strohschneider, Chairman of the Strategic Dialogue on the Future of EU Agriculture, on the publication of the final report of the Strategic Dialogue on the Futu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74385" cy="3490953"/>
                    </a:xfrm>
                    <a:prstGeom prst="rect">
                      <a:avLst/>
                    </a:prstGeom>
                    <a:noFill/>
                    <a:ln>
                      <a:noFill/>
                    </a:ln>
                  </pic:spPr>
                </pic:pic>
              </a:graphicData>
            </a:graphic>
          </wp:inline>
        </w:drawing>
      </w:r>
    </w:p>
    <w:p w:rsidR="008865A5" w:rsidRPr="003522CE" w:rsidRDefault="008865A5" w:rsidP="008865A5">
      <w:pPr>
        <w:pStyle w:val="NormalWeb"/>
        <w:shd w:val="clear" w:color="auto" w:fill="FFFFFF"/>
        <w:spacing w:after="300"/>
        <w:jc w:val="both"/>
        <w:rPr>
          <w:b/>
          <w:color w:val="000000"/>
        </w:rPr>
      </w:pPr>
      <w:r w:rsidRPr="003522CE">
        <w:rPr>
          <w:b/>
          <w:color w:val="000000"/>
        </w:rPr>
        <w:t>Principales iniciativas: Diálogo estratégico sobre el futuro de la agricultura en la UE</w:t>
      </w:r>
    </w:p>
    <w:p w:rsidR="008865A5" w:rsidRPr="00B76155" w:rsidRDefault="008865A5" w:rsidP="008865A5">
      <w:pPr>
        <w:pStyle w:val="NormalWeb"/>
        <w:shd w:val="clear" w:color="auto" w:fill="FFFFFF"/>
        <w:spacing w:after="300"/>
        <w:jc w:val="both"/>
        <w:rPr>
          <w:color w:val="FF0000"/>
        </w:rPr>
      </w:pPr>
      <w:r w:rsidRPr="00B76155">
        <w:rPr>
          <w:color w:val="FF0000"/>
        </w:rPr>
        <w:t>El diálogo estratégico sobre el futuro de la agricultura en la UE, puesto en marcha en enero de 2024, es un nuevo foro que tiene como objetivo configurar una visión compartida de la agricultura de la UE.</w:t>
      </w:r>
    </w:p>
    <w:p w:rsidR="008865A5" w:rsidRPr="003522CE" w:rsidRDefault="008865A5" w:rsidP="008865A5">
      <w:pPr>
        <w:pStyle w:val="NormalWeb"/>
        <w:shd w:val="clear" w:color="auto" w:fill="FFFFFF"/>
        <w:spacing w:after="300"/>
        <w:jc w:val="both"/>
        <w:rPr>
          <w:color w:val="000000"/>
        </w:rPr>
      </w:pPr>
      <w:r w:rsidRPr="003522CE">
        <w:rPr>
          <w:color w:val="000000"/>
        </w:rPr>
        <w:t>El diálogo estratégico reúne a las principales partes interesadas de toda la cadena agroalimentaria, tales como agricultores, cooperativas, empresas agroalimentarias y comunidades rurales, así como organizaciones no gubernamentales y representantes de la sociedad civil, instituciones f</w:t>
      </w:r>
      <w:r>
        <w:rPr>
          <w:color w:val="000000"/>
        </w:rPr>
        <w:t>inancieras y universidades.</w:t>
      </w:r>
    </w:p>
    <w:p w:rsidR="008865A5" w:rsidRPr="00B76155" w:rsidRDefault="008865A5" w:rsidP="008865A5">
      <w:pPr>
        <w:pStyle w:val="NormalWeb"/>
        <w:shd w:val="clear" w:color="auto" w:fill="FFFFFF"/>
        <w:spacing w:after="300"/>
        <w:jc w:val="both"/>
        <w:rPr>
          <w:color w:val="FF0000"/>
        </w:rPr>
      </w:pPr>
      <w:r w:rsidRPr="00B76155">
        <w:rPr>
          <w:color w:val="FF0000"/>
        </w:rPr>
        <w:t>El profesor Peter Strohschneider ha sido nombrado presidente, debido a su dilatada experiencia, concretame</w:t>
      </w:r>
      <w:r w:rsidR="005D76BF" w:rsidRPr="00B76155">
        <w:rPr>
          <w:color w:val="FF0000"/>
        </w:rPr>
        <w:t>nte como presidente de la “</w:t>
      </w:r>
      <w:r w:rsidRPr="00B76155">
        <w:rPr>
          <w:color w:val="FF0000"/>
        </w:rPr>
        <w:t>Comisión so</w:t>
      </w:r>
      <w:r w:rsidR="005D76BF" w:rsidRPr="00B76155">
        <w:rPr>
          <w:color w:val="FF0000"/>
        </w:rPr>
        <w:t>bre el Futuro de la Agricultura”</w:t>
      </w:r>
      <w:r w:rsidRPr="00B76155">
        <w:rPr>
          <w:color w:val="FF0000"/>
        </w:rPr>
        <w:t xml:space="preserve"> del Gobierno federal de Alemania.</w:t>
      </w:r>
    </w:p>
    <w:p w:rsidR="008865A5" w:rsidRPr="003522CE" w:rsidRDefault="008865A5" w:rsidP="008865A5">
      <w:pPr>
        <w:pStyle w:val="NormalWeb"/>
        <w:shd w:val="clear" w:color="auto" w:fill="FFFFFF"/>
        <w:spacing w:after="300"/>
        <w:jc w:val="both"/>
        <w:rPr>
          <w:color w:val="000000"/>
        </w:rPr>
      </w:pPr>
      <w:r w:rsidRPr="003522CE">
        <w:rPr>
          <w:color w:val="000000"/>
        </w:rPr>
        <w:t>Desarrollar una comprensión conjunta</w:t>
      </w:r>
    </w:p>
    <w:p w:rsidR="008865A5" w:rsidRPr="003522CE" w:rsidRDefault="008865A5" w:rsidP="008865A5">
      <w:pPr>
        <w:pStyle w:val="NormalWeb"/>
        <w:shd w:val="clear" w:color="auto" w:fill="FFFFFF"/>
        <w:spacing w:after="300"/>
        <w:jc w:val="both"/>
        <w:rPr>
          <w:color w:val="000000"/>
        </w:rPr>
      </w:pPr>
      <w:r w:rsidRPr="003522CE">
        <w:rPr>
          <w:color w:val="000000"/>
        </w:rPr>
        <w:t>El diálogo estratégico es crucial para desarrollar una comprensión conjunta del futuro sistema agrícola y alimentario de la UE. Aborda los si</w:t>
      </w:r>
      <w:r>
        <w:rPr>
          <w:color w:val="000000"/>
        </w:rPr>
        <w:t>guientes retos y oportunidades:</w:t>
      </w:r>
    </w:p>
    <w:p w:rsidR="008865A5" w:rsidRPr="003522CE" w:rsidRDefault="008865A5" w:rsidP="008865A5">
      <w:pPr>
        <w:pStyle w:val="NormalWeb"/>
        <w:shd w:val="clear" w:color="auto" w:fill="FFFFFF"/>
        <w:spacing w:after="300"/>
        <w:jc w:val="both"/>
        <w:rPr>
          <w:color w:val="000000"/>
        </w:rPr>
      </w:pPr>
      <w:r w:rsidRPr="003522CE">
        <w:rPr>
          <w:color w:val="000000"/>
        </w:rPr>
        <w:t>¿Cómo podemos ofrecer a nuestros agricultores, y a las comunidades rurales en las que viven, mejores perspectivas, por ejemplo, un nivel de vida adecuado?</w:t>
      </w:r>
    </w:p>
    <w:p w:rsidR="008865A5" w:rsidRPr="003522CE" w:rsidRDefault="008865A5" w:rsidP="008865A5">
      <w:pPr>
        <w:pStyle w:val="NormalWeb"/>
        <w:shd w:val="clear" w:color="auto" w:fill="FFFFFF"/>
        <w:spacing w:after="300"/>
        <w:jc w:val="both"/>
        <w:rPr>
          <w:color w:val="000000"/>
        </w:rPr>
      </w:pPr>
      <w:r w:rsidRPr="003522CE">
        <w:rPr>
          <w:color w:val="000000"/>
        </w:rPr>
        <w:t>¿Cómo podemos apoyar la agricultura, dentro de los límites de nuestro planeta y de su ecosistema?</w:t>
      </w:r>
    </w:p>
    <w:p w:rsidR="008865A5" w:rsidRPr="003522CE" w:rsidRDefault="008865A5" w:rsidP="008865A5">
      <w:pPr>
        <w:pStyle w:val="NormalWeb"/>
        <w:shd w:val="clear" w:color="auto" w:fill="FFFFFF"/>
        <w:spacing w:after="300"/>
        <w:jc w:val="both"/>
        <w:rPr>
          <w:color w:val="000000"/>
        </w:rPr>
      </w:pPr>
      <w:r w:rsidRPr="003522CE">
        <w:rPr>
          <w:color w:val="000000"/>
        </w:rPr>
        <w:lastRenderedPageBreak/>
        <w:t>¿Cómo podemos aprovechar mejor las inmensas oportunidades que brindan los conocimientos y la innovación tecnológica?</w:t>
      </w:r>
    </w:p>
    <w:p w:rsidR="008865A5" w:rsidRPr="003522CE" w:rsidRDefault="008865A5" w:rsidP="008865A5">
      <w:pPr>
        <w:pStyle w:val="NormalWeb"/>
        <w:shd w:val="clear" w:color="auto" w:fill="FFFFFF"/>
        <w:spacing w:after="300"/>
        <w:jc w:val="both"/>
        <w:rPr>
          <w:color w:val="000000"/>
        </w:rPr>
      </w:pPr>
      <w:r w:rsidRPr="003522CE">
        <w:rPr>
          <w:color w:val="000000"/>
        </w:rPr>
        <w:t>¿Cómo podemos promover un futuro prometedor y floreciente para el sistema alimentario europeo en un mundo competitivo?</w:t>
      </w:r>
    </w:p>
    <w:p w:rsidR="008865A5" w:rsidRPr="003522CE" w:rsidRDefault="008865A5" w:rsidP="008865A5">
      <w:pPr>
        <w:pStyle w:val="NormalWeb"/>
        <w:shd w:val="clear" w:color="auto" w:fill="FFFFFF"/>
        <w:spacing w:after="300"/>
        <w:jc w:val="both"/>
        <w:rPr>
          <w:color w:val="000000"/>
        </w:rPr>
      </w:pPr>
      <w:r w:rsidRPr="003522CE">
        <w:rPr>
          <w:color w:val="000000"/>
        </w:rPr>
        <w:t>El diálogo estratégico brinda la oportunidad de atender a las perspectivas, ambiciones, preocupaciones y soluciones de los agricultores y otras partes interesadas clave de toda la cadena agroalimentaria, con el objetivo de encontrar una base común para el futuro del sector ag</w:t>
      </w:r>
      <w:r>
        <w:rPr>
          <w:color w:val="000000"/>
        </w:rPr>
        <w:t>roalimentario de la Unión.</w:t>
      </w:r>
    </w:p>
    <w:p w:rsidR="008865A5" w:rsidRPr="004302B6" w:rsidRDefault="008865A5" w:rsidP="008865A5">
      <w:pPr>
        <w:pStyle w:val="NormalWeb"/>
        <w:shd w:val="clear" w:color="auto" w:fill="FFFFFF"/>
        <w:spacing w:after="300"/>
        <w:jc w:val="both"/>
        <w:rPr>
          <w:b/>
          <w:color w:val="000000"/>
        </w:rPr>
      </w:pPr>
      <w:r w:rsidRPr="004302B6">
        <w:rPr>
          <w:b/>
          <w:color w:val="000000"/>
        </w:rPr>
        <w:t>Informe del diálogo estratégico</w:t>
      </w:r>
    </w:p>
    <w:p w:rsidR="008865A5" w:rsidRPr="004302B6" w:rsidRDefault="008865A5" w:rsidP="001F247E">
      <w:pPr>
        <w:pStyle w:val="NormalWeb"/>
        <w:shd w:val="clear" w:color="auto" w:fill="FFFFFF"/>
        <w:spacing w:before="0" w:beforeAutospacing="0" w:after="300" w:afterAutospacing="0"/>
        <w:jc w:val="both"/>
        <w:rPr>
          <w:color w:val="000000"/>
        </w:rPr>
      </w:pPr>
      <w:r w:rsidRPr="003522CE">
        <w:rPr>
          <w:color w:val="000000"/>
        </w:rPr>
        <w:t>El 4 de septiembre de 2024, la presidenta de la Comisión Europea, Ursula von der Leyen, recibió el informe final del diálogo estratégico sobre el futuro de la agricultura de la UE.</w:t>
      </w:r>
    </w:p>
    <w:p w:rsidR="008865A5" w:rsidRPr="005D76BF" w:rsidRDefault="008865A5" w:rsidP="001F247E">
      <w:pPr>
        <w:shd w:val="clear" w:color="auto" w:fill="FFFFFF"/>
        <w:spacing w:line="240" w:lineRule="auto"/>
        <w:jc w:val="both"/>
        <w:rPr>
          <w:rFonts w:ascii="Times New Roman" w:eastAsia="Times New Roman" w:hAnsi="Times New Roman" w:cs="Times New Roman"/>
          <w:b/>
          <w:bCs/>
          <w:iCs/>
          <w:sz w:val="24"/>
          <w:szCs w:val="24"/>
          <w:lang w:eastAsia="es-ES"/>
        </w:rPr>
      </w:pPr>
      <w:r w:rsidRPr="005D76BF">
        <w:rPr>
          <w:rFonts w:ascii="Times New Roman" w:eastAsia="Times New Roman" w:hAnsi="Times New Roman" w:cs="Times New Roman"/>
          <w:b/>
          <w:bCs/>
          <w:iCs/>
          <w:sz w:val="24"/>
          <w:szCs w:val="24"/>
          <w:lang w:eastAsia="es-ES"/>
        </w:rPr>
        <w:t>Resiliencia y competitividad</w:t>
      </w:r>
    </w:p>
    <w:p w:rsidR="008865A5" w:rsidRPr="004302B6" w:rsidRDefault="005D76BF" w:rsidP="001F247E">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color w:val="212529"/>
          <w:sz w:val="24"/>
          <w:szCs w:val="24"/>
          <w:lang w:eastAsia="es-ES"/>
        </w:rPr>
        <w:t>El informe, titulado “</w:t>
      </w:r>
      <w:r w:rsidR="008865A5" w:rsidRPr="004302B6">
        <w:rPr>
          <w:rFonts w:ascii="Times New Roman" w:eastAsia="Times New Roman" w:hAnsi="Times New Roman" w:cs="Times New Roman"/>
          <w:color w:val="212529"/>
          <w:sz w:val="24"/>
          <w:szCs w:val="24"/>
          <w:lang w:eastAsia="es-ES"/>
        </w:rPr>
        <w:t>Una perspectiva común sobre la agricult</w:t>
      </w:r>
      <w:r>
        <w:rPr>
          <w:rFonts w:ascii="Times New Roman" w:eastAsia="Times New Roman" w:hAnsi="Times New Roman" w:cs="Times New Roman"/>
          <w:color w:val="212529"/>
          <w:sz w:val="24"/>
          <w:szCs w:val="24"/>
          <w:lang w:eastAsia="es-ES"/>
        </w:rPr>
        <w:t>ura y la alimentación en Europa”</w:t>
      </w:r>
      <w:r w:rsidR="008865A5" w:rsidRPr="004302B6">
        <w:rPr>
          <w:rFonts w:ascii="Times New Roman" w:eastAsia="Times New Roman" w:hAnsi="Times New Roman" w:cs="Times New Roman"/>
          <w:color w:val="212529"/>
          <w:sz w:val="24"/>
          <w:szCs w:val="24"/>
          <w:lang w:eastAsia="es-ES"/>
        </w:rPr>
        <w:t>, constituye el nuevo punto de partida en la estrategia agraria europea</w:t>
      </w:r>
    </w:p>
    <w:p w:rsidR="008865A5" w:rsidRPr="004302B6" w:rsidRDefault="005D76BF" w:rsidP="001F247E">
      <w:pPr>
        <w:numPr>
          <w:ilvl w:val="0"/>
          <w:numId w:val="1"/>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Pr>
          <w:rFonts w:ascii="Times New Roman" w:eastAsia="Times New Roman" w:hAnsi="Times New Roman" w:cs="Times New Roman"/>
          <w:iCs/>
          <w:color w:val="212529"/>
          <w:sz w:val="24"/>
          <w:szCs w:val="24"/>
          <w:lang w:eastAsia="es-ES"/>
        </w:rPr>
        <w:t>El informe, titulado “</w:t>
      </w:r>
      <w:r w:rsidR="008865A5" w:rsidRPr="001F247E">
        <w:rPr>
          <w:rFonts w:ascii="Times New Roman" w:eastAsia="Times New Roman" w:hAnsi="Times New Roman" w:cs="Times New Roman"/>
          <w:iCs/>
          <w:color w:val="212529"/>
          <w:sz w:val="24"/>
          <w:szCs w:val="24"/>
          <w:lang w:eastAsia="es-ES"/>
        </w:rPr>
        <w:t>Una perspectiva común sobre la agricult</w:t>
      </w:r>
      <w:r>
        <w:rPr>
          <w:rFonts w:ascii="Times New Roman" w:eastAsia="Times New Roman" w:hAnsi="Times New Roman" w:cs="Times New Roman"/>
          <w:iCs/>
          <w:color w:val="212529"/>
          <w:sz w:val="24"/>
          <w:szCs w:val="24"/>
          <w:lang w:eastAsia="es-ES"/>
        </w:rPr>
        <w:t>ura y la alimentación en Europa”</w:t>
      </w:r>
      <w:r w:rsidR="008865A5" w:rsidRPr="001F247E">
        <w:rPr>
          <w:rFonts w:ascii="Times New Roman" w:eastAsia="Times New Roman" w:hAnsi="Times New Roman" w:cs="Times New Roman"/>
          <w:iCs/>
          <w:color w:val="212529"/>
          <w:sz w:val="24"/>
          <w:szCs w:val="24"/>
          <w:lang w:eastAsia="es-ES"/>
        </w:rPr>
        <w:t>, constituye el nuevo punto de partida en la estrategia agraria europea</w:t>
      </w:r>
    </w:p>
    <w:p w:rsidR="008865A5" w:rsidRPr="004302B6" w:rsidRDefault="008865A5" w:rsidP="001F247E">
      <w:pPr>
        <w:numPr>
          <w:ilvl w:val="0"/>
          <w:numId w:val="1"/>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1F247E">
        <w:rPr>
          <w:rFonts w:ascii="Times New Roman" w:eastAsia="Times New Roman" w:hAnsi="Times New Roman" w:cs="Times New Roman"/>
          <w:iCs/>
          <w:color w:val="212529"/>
          <w:sz w:val="24"/>
          <w:szCs w:val="24"/>
          <w:lang w:eastAsia="es-ES"/>
        </w:rPr>
        <w:t>Este estudio configurará la nueva “Visión sobre la Agricultura y la Alimentación”, que se presentará en los próximos meses</w:t>
      </w:r>
    </w:p>
    <w:p w:rsidR="008865A5" w:rsidRPr="004302B6" w:rsidRDefault="008865A5" w:rsidP="001F247E">
      <w:pPr>
        <w:numPr>
          <w:ilvl w:val="0"/>
          <w:numId w:val="1"/>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1F247E">
        <w:rPr>
          <w:rFonts w:ascii="Times New Roman" w:eastAsia="Times New Roman" w:hAnsi="Times New Roman" w:cs="Times New Roman"/>
          <w:iCs/>
          <w:color w:val="212529"/>
          <w:sz w:val="24"/>
          <w:szCs w:val="24"/>
          <w:lang w:eastAsia="es-ES"/>
        </w:rPr>
        <w:t>A raíz de este informe, la Comisión Europea se plantea crear una nueva plataforma que reúna a las partes interesadas de todo el sector agroalimentario, la sociedad civil y el mundo de la ciencia para plantear nuevas estrategias en favor de sistemas agroalimentarios más sostenibles y resilientes</w:t>
      </w:r>
    </w:p>
    <w:p w:rsidR="008865A5" w:rsidRPr="005D76BF" w:rsidRDefault="008865A5" w:rsidP="001F247E">
      <w:pPr>
        <w:shd w:val="clear" w:color="auto" w:fill="FFFFFF"/>
        <w:spacing w:after="100" w:afterAutospacing="1" w:line="240" w:lineRule="auto"/>
        <w:jc w:val="both"/>
        <w:rPr>
          <w:rFonts w:ascii="Times New Roman" w:eastAsia="Times New Roman" w:hAnsi="Times New Roman" w:cs="Times New Roman"/>
          <w:sz w:val="24"/>
          <w:szCs w:val="24"/>
          <w:lang w:eastAsia="es-ES"/>
        </w:rPr>
      </w:pPr>
      <w:r w:rsidRPr="005D76BF">
        <w:rPr>
          <w:rFonts w:ascii="Times New Roman" w:eastAsia="Times New Roman" w:hAnsi="Times New Roman" w:cs="Times New Roman"/>
          <w:sz w:val="24"/>
          <w:szCs w:val="24"/>
          <w:lang w:eastAsia="es-ES"/>
        </w:rPr>
        <w:t>La </w:t>
      </w:r>
      <w:hyperlink r:id="rId11" w:tgtFrame="_blank" w:history="1">
        <w:r w:rsidRPr="005D76BF">
          <w:rPr>
            <w:rFonts w:ascii="Times New Roman" w:eastAsia="Times New Roman" w:hAnsi="Times New Roman" w:cs="Times New Roman"/>
            <w:b/>
            <w:bCs/>
            <w:sz w:val="24"/>
            <w:szCs w:val="24"/>
            <w:lang w:eastAsia="es-ES"/>
          </w:rPr>
          <w:t>Comisión Europea</w:t>
        </w:r>
      </w:hyperlink>
      <w:r w:rsidRPr="005D76BF">
        <w:rPr>
          <w:rFonts w:ascii="Times New Roman" w:eastAsia="Times New Roman" w:hAnsi="Times New Roman" w:cs="Times New Roman"/>
          <w:sz w:val="24"/>
          <w:szCs w:val="24"/>
          <w:lang w:eastAsia="es-ES"/>
        </w:rPr>
        <w:t> (CE) presentó el pasado 4 de septiembre, a modo de arranque del nuevo curso agrario y rural 2024-2025, el informe titulado </w:t>
      </w:r>
      <w:hyperlink r:id="rId12" w:tgtFrame="_blank" w:history="1">
        <w:r w:rsidR="005D76BF">
          <w:rPr>
            <w:rFonts w:ascii="Times New Roman" w:eastAsia="Times New Roman" w:hAnsi="Times New Roman" w:cs="Times New Roman"/>
            <w:b/>
            <w:bCs/>
            <w:iCs/>
            <w:sz w:val="24"/>
            <w:szCs w:val="24"/>
            <w:lang w:eastAsia="es-ES"/>
          </w:rPr>
          <w:t>“</w:t>
        </w:r>
        <w:r w:rsidRPr="005D76BF">
          <w:rPr>
            <w:rFonts w:ascii="Times New Roman" w:eastAsia="Times New Roman" w:hAnsi="Times New Roman" w:cs="Times New Roman"/>
            <w:b/>
            <w:bCs/>
            <w:iCs/>
            <w:sz w:val="24"/>
            <w:szCs w:val="24"/>
            <w:lang w:eastAsia="es-ES"/>
          </w:rPr>
          <w:t>Una perspectiva común sobre la agricultura y la alimentación en Europa”</w:t>
        </w:r>
      </w:hyperlink>
      <w:r w:rsidRPr="005D76BF">
        <w:rPr>
          <w:rFonts w:ascii="Times New Roman" w:eastAsia="Times New Roman" w:hAnsi="Times New Roman" w:cs="Times New Roman"/>
          <w:iCs/>
          <w:sz w:val="24"/>
          <w:szCs w:val="24"/>
          <w:lang w:eastAsia="es-ES"/>
        </w:rPr>
        <w:t>, </w:t>
      </w:r>
      <w:r w:rsidRPr="005D76BF">
        <w:rPr>
          <w:rFonts w:ascii="Times New Roman" w:eastAsia="Times New Roman" w:hAnsi="Times New Roman" w:cs="Times New Roman"/>
          <w:sz w:val="24"/>
          <w:szCs w:val="24"/>
          <w:lang w:eastAsia="es-ES"/>
        </w:rPr>
        <w:t>el cual fue encargado por la presidenta de esta entidad, Úrsula Von der Leyen, el pasado mes de enero, cuando abrió una </w:t>
      </w:r>
      <w:hyperlink r:id="rId13" w:tgtFrame="_blank" w:history="1">
        <w:r w:rsidRPr="005D76BF">
          <w:rPr>
            <w:rFonts w:ascii="Times New Roman" w:eastAsia="Times New Roman" w:hAnsi="Times New Roman" w:cs="Times New Roman"/>
            <w:b/>
            <w:bCs/>
            <w:sz w:val="24"/>
            <w:szCs w:val="24"/>
            <w:lang w:eastAsia="es-ES"/>
          </w:rPr>
          <w:t>mesa de diálogo</w:t>
        </w:r>
      </w:hyperlink>
      <w:r w:rsidRPr="005D76BF">
        <w:rPr>
          <w:rFonts w:ascii="Times New Roman" w:eastAsia="Times New Roman" w:hAnsi="Times New Roman" w:cs="Times New Roman"/>
          <w:b/>
          <w:bCs/>
          <w:sz w:val="24"/>
          <w:szCs w:val="24"/>
          <w:lang w:eastAsia="es-ES"/>
        </w:rPr>
        <w:t> </w:t>
      </w:r>
      <w:r w:rsidRPr="005D76BF">
        <w:rPr>
          <w:rFonts w:ascii="Times New Roman" w:eastAsia="Times New Roman" w:hAnsi="Times New Roman" w:cs="Times New Roman"/>
          <w:sz w:val="24"/>
          <w:szCs w:val="24"/>
          <w:lang w:eastAsia="es-ES"/>
        </w:rPr>
        <w:t>entre los 29 países miembros de la Unión Europea (UE) para alcanzar un consenso estratégico en torno a la cadena agroalimentaria europea.</w:t>
      </w:r>
    </w:p>
    <w:p w:rsidR="008865A5" w:rsidRDefault="008865A5" w:rsidP="001F247E">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4302B6">
        <w:rPr>
          <w:rFonts w:ascii="Times New Roman" w:eastAsia="Times New Roman" w:hAnsi="Times New Roman" w:cs="Times New Roman"/>
          <w:color w:val="212529"/>
          <w:sz w:val="24"/>
          <w:szCs w:val="24"/>
          <w:lang w:eastAsia="es-ES"/>
        </w:rPr>
        <w:t>El informe final presentado por esta mesa de diálogo está destinado a guiar el trabajo de la CE a la hora de configurar una </w:t>
      </w:r>
      <w:r w:rsidRPr="001F247E">
        <w:rPr>
          <w:rFonts w:ascii="Times New Roman" w:eastAsia="Times New Roman" w:hAnsi="Times New Roman" w:cs="Times New Roman"/>
          <w:b/>
          <w:bCs/>
          <w:color w:val="212529"/>
          <w:sz w:val="24"/>
          <w:szCs w:val="24"/>
          <w:lang w:eastAsia="es-ES"/>
        </w:rPr>
        <w:t>“Visión sobre la Agricultura y la Alimentación”,</w:t>
      </w:r>
      <w:r w:rsidRPr="004302B6">
        <w:rPr>
          <w:rFonts w:ascii="Times New Roman" w:eastAsia="Times New Roman" w:hAnsi="Times New Roman" w:cs="Times New Roman"/>
          <w:color w:val="212529"/>
          <w:sz w:val="24"/>
          <w:szCs w:val="24"/>
          <w:lang w:eastAsia="es-ES"/>
        </w:rPr>
        <w:t> que será presentado próximamente. Asimismo, la CE está estudiando la posibilidad de crear una </w:t>
      </w:r>
      <w:r w:rsidRPr="001F247E">
        <w:rPr>
          <w:rFonts w:ascii="Times New Roman" w:eastAsia="Times New Roman" w:hAnsi="Times New Roman" w:cs="Times New Roman"/>
          <w:b/>
          <w:bCs/>
          <w:color w:val="212529"/>
          <w:sz w:val="24"/>
          <w:szCs w:val="24"/>
          <w:lang w:eastAsia="es-ES"/>
        </w:rPr>
        <w:t>plataforma</w:t>
      </w:r>
      <w:r w:rsidRPr="004302B6">
        <w:rPr>
          <w:rFonts w:ascii="Times New Roman" w:eastAsia="Times New Roman" w:hAnsi="Times New Roman" w:cs="Times New Roman"/>
          <w:color w:val="212529"/>
          <w:sz w:val="24"/>
          <w:szCs w:val="24"/>
          <w:lang w:eastAsia="es-ES"/>
        </w:rPr>
        <w:t> que reúna a partes interesadas de todo el sector agroalimentario, la sociedad civil y el mundo de la ciencia para plantear nuevas estrategias orientadas hacia sistemas agroalimentarios más sostenibles y resilientes.</w:t>
      </w:r>
    </w:p>
    <w:p w:rsidR="001F247E" w:rsidRPr="001F247E" w:rsidRDefault="008865A5" w:rsidP="001F247E">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1F247E">
        <w:rPr>
          <w:rFonts w:ascii="Times New Roman" w:eastAsia="Times New Roman" w:hAnsi="Times New Roman" w:cs="Times New Roman"/>
          <w:b/>
          <w:bCs/>
          <w:color w:val="212529"/>
          <w:sz w:val="24"/>
          <w:szCs w:val="24"/>
          <w:lang w:eastAsia="es-ES"/>
        </w:rPr>
        <w:t>El futuro de la agricultura</w:t>
      </w:r>
    </w:p>
    <w:p w:rsidR="008865A5" w:rsidRPr="004302B6" w:rsidRDefault="008865A5" w:rsidP="001F247E">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4302B6">
        <w:rPr>
          <w:rFonts w:ascii="Times New Roman" w:eastAsia="Times New Roman" w:hAnsi="Times New Roman" w:cs="Times New Roman"/>
          <w:color w:val="212529"/>
          <w:sz w:val="24"/>
          <w:szCs w:val="24"/>
          <w:lang w:eastAsia="es-ES"/>
        </w:rPr>
        <w:t>El profesor Peter Strohschneider ha sido el experto encargado de tutelar el informe, titulado “Una perspectiva común sobre la agricultura y la alimentación en Europa” (</w:t>
      </w:r>
      <w:r w:rsidRPr="001F247E">
        <w:rPr>
          <w:rFonts w:ascii="Times New Roman" w:eastAsia="Times New Roman" w:hAnsi="Times New Roman" w:cs="Times New Roman"/>
          <w:iCs/>
          <w:color w:val="212529"/>
          <w:sz w:val="24"/>
          <w:szCs w:val="24"/>
          <w:lang w:eastAsia="es-ES"/>
        </w:rPr>
        <w:t>A shared prospect for farming and food in Europe</w:t>
      </w:r>
      <w:r w:rsidRPr="004302B6">
        <w:rPr>
          <w:rFonts w:ascii="Times New Roman" w:eastAsia="Times New Roman" w:hAnsi="Times New Roman" w:cs="Times New Roman"/>
          <w:color w:val="212529"/>
          <w:sz w:val="24"/>
          <w:szCs w:val="24"/>
          <w:lang w:eastAsia="es-ES"/>
        </w:rPr>
        <w:t>), debido a su dilatada experiencia.</w:t>
      </w:r>
    </w:p>
    <w:p w:rsidR="008865A5" w:rsidRPr="004302B6" w:rsidRDefault="008865A5" w:rsidP="001F247E">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4302B6">
        <w:rPr>
          <w:rFonts w:ascii="Times New Roman" w:eastAsia="Times New Roman" w:hAnsi="Times New Roman" w:cs="Times New Roman"/>
          <w:color w:val="212529"/>
          <w:sz w:val="24"/>
          <w:szCs w:val="24"/>
          <w:lang w:eastAsia="es-ES"/>
        </w:rPr>
        <w:lastRenderedPageBreak/>
        <w:t>El estudio presenta los actuales retos y oportunidades del sector, seguido de una serie de </w:t>
      </w:r>
      <w:r w:rsidRPr="001F247E">
        <w:rPr>
          <w:rFonts w:ascii="Times New Roman" w:eastAsia="Times New Roman" w:hAnsi="Times New Roman" w:cs="Times New Roman"/>
          <w:b/>
          <w:bCs/>
          <w:color w:val="212529"/>
          <w:sz w:val="24"/>
          <w:szCs w:val="24"/>
          <w:lang w:eastAsia="es-ES"/>
        </w:rPr>
        <w:t>recomendaciones</w:t>
      </w:r>
      <w:r w:rsidRPr="004302B6">
        <w:rPr>
          <w:rFonts w:ascii="Times New Roman" w:eastAsia="Times New Roman" w:hAnsi="Times New Roman" w:cs="Times New Roman"/>
          <w:color w:val="212529"/>
          <w:sz w:val="24"/>
          <w:szCs w:val="24"/>
          <w:lang w:eastAsia="es-ES"/>
        </w:rPr>
        <w:t> que se estructuran en torno a 5 pilares:</w:t>
      </w:r>
    </w:p>
    <w:p w:rsidR="008865A5" w:rsidRPr="004302B6" w:rsidRDefault="008865A5" w:rsidP="001F247E">
      <w:pPr>
        <w:numPr>
          <w:ilvl w:val="0"/>
          <w:numId w:val="2"/>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1F247E">
        <w:rPr>
          <w:rFonts w:ascii="Times New Roman" w:eastAsia="Times New Roman" w:hAnsi="Times New Roman" w:cs="Times New Roman"/>
          <w:b/>
          <w:bCs/>
          <w:color w:val="212529"/>
          <w:sz w:val="24"/>
          <w:szCs w:val="24"/>
          <w:lang w:eastAsia="es-ES"/>
        </w:rPr>
        <w:t>Cooperar por un futuro sostenible, resiliente y competitivo</w:t>
      </w:r>
      <w:r w:rsidRPr="004302B6">
        <w:rPr>
          <w:rFonts w:ascii="Times New Roman" w:eastAsia="Times New Roman" w:hAnsi="Times New Roman" w:cs="Times New Roman"/>
          <w:color w:val="212529"/>
          <w:sz w:val="24"/>
          <w:szCs w:val="24"/>
          <w:lang w:eastAsia="es-ES"/>
        </w:rPr>
        <w:t>: En esta parte se abordan la necesidad de adaptar la </w:t>
      </w:r>
      <w:hyperlink r:id="rId14" w:tgtFrame="_blank" w:history="1">
        <w:r w:rsidRPr="005D76BF">
          <w:rPr>
            <w:rFonts w:ascii="Times New Roman" w:eastAsia="Times New Roman" w:hAnsi="Times New Roman" w:cs="Times New Roman"/>
            <w:b/>
            <w:bCs/>
            <w:sz w:val="24"/>
            <w:szCs w:val="24"/>
            <w:lang w:eastAsia="es-ES"/>
          </w:rPr>
          <w:t>PAC</w:t>
        </w:r>
      </w:hyperlink>
      <w:r w:rsidRPr="001F247E">
        <w:rPr>
          <w:rFonts w:ascii="Times New Roman" w:eastAsia="Times New Roman" w:hAnsi="Times New Roman" w:cs="Times New Roman"/>
          <w:b/>
          <w:bCs/>
          <w:color w:val="212529"/>
          <w:sz w:val="24"/>
          <w:szCs w:val="24"/>
          <w:lang w:eastAsia="es-ES"/>
        </w:rPr>
        <w:t> </w:t>
      </w:r>
      <w:r w:rsidRPr="004302B6">
        <w:rPr>
          <w:rFonts w:ascii="Times New Roman" w:eastAsia="Times New Roman" w:hAnsi="Times New Roman" w:cs="Times New Roman"/>
          <w:color w:val="212529"/>
          <w:sz w:val="24"/>
          <w:szCs w:val="24"/>
          <w:lang w:eastAsia="es-ES"/>
        </w:rPr>
        <w:t>actual hacia sistemas alimentarios más sostenibles y competitivos, así como la importancia de reforzar la posición de los agricultores en la cadena de valor alimentaria, el acceso a la financiación y el papel del comercio y de las normas internacionales.</w:t>
      </w:r>
    </w:p>
    <w:p w:rsidR="008865A5" w:rsidRPr="004302B6" w:rsidRDefault="008865A5" w:rsidP="001F247E">
      <w:pPr>
        <w:numPr>
          <w:ilvl w:val="0"/>
          <w:numId w:val="2"/>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1F247E">
        <w:rPr>
          <w:rFonts w:ascii="Times New Roman" w:eastAsia="Times New Roman" w:hAnsi="Times New Roman" w:cs="Times New Roman"/>
          <w:b/>
          <w:bCs/>
          <w:color w:val="212529"/>
          <w:sz w:val="24"/>
          <w:szCs w:val="24"/>
          <w:lang w:eastAsia="es-ES"/>
        </w:rPr>
        <w:t>Avanzar hacia sistemas agroalimentarios sostenibles:</w:t>
      </w:r>
      <w:r w:rsidRPr="004302B6">
        <w:rPr>
          <w:rFonts w:ascii="Times New Roman" w:eastAsia="Times New Roman" w:hAnsi="Times New Roman" w:cs="Times New Roman"/>
          <w:color w:val="212529"/>
          <w:sz w:val="24"/>
          <w:szCs w:val="24"/>
          <w:lang w:eastAsia="es-ES"/>
        </w:rPr>
        <w:t> Aquí se detallan prácticas agrarias y ganaderas sostenibles, y se apela a una mayor conciencia sobre el bienestar animal y el ejercicio de dietas sostenibles y equilibradas.</w:t>
      </w:r>
    </w:p>
    <w:p w:rsidR="008865A5" w:rsidRPr="004302B6" w:rsidRDefault="008865A5" w:rsidP="001F247E">
      <w:pPr>
        <w:numPr>
          <w:ilvl w:val="0"/>
          <w:numId w:val="2"/>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1F247E">
        <w:rPr>
          <w:rFonts w:ascii="Times New Roman" w:eastAsia="Times New Roman" w:hAnsi="Times New Roman" w:cs="Times New Roman"/>
          <w:b/>
          <w:bCs/>
          <w:color w:val="212529"/>
          <w:sz w:val="24"/>
          <w:szCs w:val="24"/>
          <w:lang w:eastAsia="es-ES"/>
        </w:rPr>
        <w:t>Fomentar la resiliencia:</w:t>
      </w:r>
      <w:r w:rsidRPr="004302B6">
        <w:rPr>
          <w:rFonts w:ascii="Times New Roman" w:eastAsia="Times New Roman" w:hAnsi="Times New Roman" w:cs="Times New Roman"/>
          <w:color w:val="212529"/>
          <w:sz w:val="24"/>
          <w:szCs w:val="24"/>
          <w:lang w:eastAsia="es-ES"/>
        </w:rPr>
        <w:t> Ante los crecientes riesgos medioambientales, climáticos, geopolíticos y económicos, el informe destaca la necesidad de reforzar las herramientas de gestión de riesgos y de crisis, de preservar las tierras y sus recursos hídricos, así como fomentar la innovación en este campo.</w:t>
      </w:r>
    </w:p>
    <w:p w:rsidR="008865A5" w:rsidRPr="004302B6" w:rsidRDefault="008865A5" w:rsidP="001F247E">
      <w:pPr>
        <w:numPr>
          <w:ilvl w:val="0"/>
          <w:numId w:val="2"/>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1F247E">
        <w:rPr>
          <w:rFonts w:ascii="Times New Roman" w:eastAsia="Times New Roman" w:hAnsi="Times New Roman" w:cs="Times New Roman"/>
          <w:b/>
          <w:bCs/>
          <w:color w:val="212529"/>
          <w:sz w:val="24"/>
          <w:szCs w:val="24"/>
          <w:lang w:eastAsia="es-ES"/>
        </w:rPr>
        <w:t>Crear un sector atractivo y diverso y potenciar las áreas rurales:</w:t>
      </w:r>
      <w:r w:rsidRPr="004302B6">
        <w:rPr>
          <w:rFonts w:ascii="Times New Roman" w:eastAsia="Times New Roman" w:hAnsi="Times New Roman" w:cs="Times New Roman"/>
          <w:color w:val="212529"/>
          <w:sz w:val="24"/>
          <w:szCs w:val="24"/>
          <w:lang w:eastAsia="es-ES"/>
        </w:rPr>
        <w:t> en este punto se manifiesta la importancia del relevo generacional y de la igualdad de género, así como de reforzar las zonas rurales.</w:t>
      </w:r>
    </w:p>
    <w:p w:rsidR="008865A5" w:rsidRPr="004302B6" w:rsidRDefault="008865A5" w:rsidP="001F247E">
      <w:pPr>
        <w:numPr>
          <w:ilvl w:val="0"/>
          <w:numId w:val="2"/>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1F247E">
        <w:rPr>
          <w:rFonts w:ascii="Times New Roman" w:eastAsia="Times New Roman" w:hAnsi="Times New Roman" w:cs="Times New Roman"/>
          <w:b/>
          <w:bCs/>
          <w:color w:val="212529"/>
          <w:sz w:val="24"/>
          <w:szCs w:val="24"/>
          <w:lang w:eastAsia="es-ES"/>
        </w:rPr>
        <w:t>Acceso al conocimiento y a la innovación:</w:t>
      </w:r>
      <w:r w:rsidRPr="004302B6">
        <w:rPr>
          <w:rFonts w:ascii="Times New Roman" w:eastAsia="Times New Roman" w:hAnsi="Times New Roman" w:cs="Times New Roman"/>
          <w:color w:val="212529"/>
          <w:sz w:val="24"/>
          <w:szCs w:val="24"/>
          <w:lang w:eastAsia="es-ES"/>
        </w:rPr>
        <w:t> Se apela a un esfuerzo para facilitar el acceso a los conocimientos y a las nuevas herramientas en digitalización.</w:t>
      </w:r>
    </w:p>
    <w:p w:rsidR="008865A5" w:rsidRPr="004302B6" w:rsidRDefault="008865A5" w:rsidP="001F247E">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4302B6">
        <w:rPr>
          <w:rFonts w:ascii="Times New Roman" w:eastAsia="Times New Roman" w:hAnsi="Times New Roman" w:cs="Times New Roman"/>
          <w:color w:val="212529"/>
          <w:sz w:val="24"/>
          <w:szCs w:val="24"/>
          <w:lang w:eastAsia="es-ES"/>
        </w:rPr>
        <w:t>En definitiva, existe un consenso entre los miembros de la mesa de diálogo estratégico para que la sostenibilidad económica, medioambiental y social, dentro del sector agroalimentario puedan reforzarse a través de las medidas políticas adecuadas.</w:t>
      </w:r>
    </w:p>
    <w:p w:rsidR="008865A5" w:rsidRPr="004302B6" w:rsidRDefault="008865A5" w:rsidP="001F247E">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1F247E">
        <w:rPr>
          <w:rFonts w:ascii="Times New Roman" w:eastAsia="Times New Roman" w:hAnsi="Times New Roman" w:cs="Times New Roman"/>
          <w:b/>
          <w:bCs/>
          <w:color w:val="212529"/>
          <w:sz w:val="24"/>
          <w:szCs w:val="24"/>
          <w:lang w:eastAsia="es-ES"/>
        </w:rPr>
        <w:t>Protagonismo rural</w:t>
      </w:r>
    </w:p>
    <w:p w:rsidR="008865A5" w:rsidRPr="004302B6" w:rsidRDefault="008865A5" w:rsidP="001F247E">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4302B6">
        <w:rPr>
          <w:rFonts w:ascii="Times New Roman" w:eastAsia="Times New Roman" w:hAnsi="Times New Roman" w:cs="Times New Roman"/>
          <w:color w:val="212529"/>
          <w:sz w:val="24"/>
          <w:szCs w:val="24"/>
          <w:lang w:eastAsia="es-ES"/>
        </w:rPr>
        <w:t>En esta mesa de diálogo ha jugado un papel fundamental, la Red Europea de Grupos </w:t>
      </w:r>
      <w:hyperlink r:id="rId15" w:tgtFrame="_blank" w:history="1">
        <w:r w:rsidRPr="005D76BF">
          <w:rPr>
            <w:rFonts w:ascii="Times New Roman" w:eastAsia="Times New Roman" w:hAnsi="Times New Roman" w:cs="Times New Roman"/>
            <w:b/>
            <w:bCs/>
            <w:sz w:val="24"/>
            <w:szCs w:val="24"/>
            <w:lang w:val="es-ES_tradnl" w:eastAsia="es-ES"/>
          </w:rPr>
          <w:t>LEADER</w:t>
        </w:r>
      </w:hyperlink>
      <w:r w:rsidRPr="005D76BF">
        <w:rPr>
          <w:rFonts w:ascii="Times New Roman" w:eastAsia="Times New Roman" w:hAnsi="Times New Roman" w:cs="Times New Roman"/>
          <w:b/>
          <w:bCs/>
          <w:sz w:val="24"/>
          <w:szCs w:val="24"/>
          <w:lang w:eastAsia="es-ES"/>
        </w:rPr>
        <w:t> (</w:t>
      </w:r>
      <w:hyperlink r:id="rId16" w:tgtFrame="_blank" w:history="1">
        <w:r w:rsidRPr="005D76BF">
          <w:rPr>
            <w:rFonts w:ascii="Times New Roman" w:eastAsia="Times New Roman" w:hAnsi="Times New Roman" w:cs="Times New Roman"/>
            <w:b/>
            <w:bCs/>
            <w:sz w:val="24"/>
            <w:szCs w:val="24"/>
            <w:lang w:val="es-ES_tradnl" w:eastAsia="es-ES"/>
          </w:rPr>
          <w:t>ELARD</w:t>
        </w:r>
      </w:hyperlink>
      <w:r w:rsidRPr="005D76BF">
        <w:rPr>
          <w:rFonts w:ascii="Times New Roman" w:eastAsia="Times New Roman" w:hAnsi="Times New Roman" w:cs="Times New Roman"/>
          <w:b/>
          <w:bCs/>
          <w:sz w:val="24"/>
          <w:szCs w:val="24"/>
          <w:lang w:eastAsia="es-ES"/>
        </w:rPr>
        <w:t>)</w:t>
      </w:r>
      <w:r w:rsidRPr="004302B6">
        <w:rPr>
          <w:rFonts w:ascii="Times New Roman" w:eastAsia="Times New Roman" w:hAnsi="Times New Roman" w:cs="Times New Roman"/>
          <w:color w:val="212529"/>
          <w:sz w:val="24"/>
          <w:szCs w:val="24"/>
          <w:lang w:eastAsia="es-ES"/>
        </w:rPr>
        <w:t>, pues ha sido la única entidad relacionada con el desarrollo rural que ha participado en el diálogo. A través de la ELARD se ha podido incorporar el medio rural y a sus habitantes dentro de este informe a través de unas recomendaciones:</w:t>
      </w:r>
    </w:p>
    <w:p w:rsidR="008865A5" w:rsidRPr="005D76BF" w:rsidRDefault="008865A5" w:rsidP="001F247E">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4302B6">
        <w:rPr>
          <w:rFonts w:ascii="Times New Roman" w:eastAsia="Times New Roman" w:hAnsi="Times New Roman" w:cs="Times New Roman"/>
          <w:color w:val="212529"/>
          <w:sz w:val="24"/>
          <w:szCs w:val="24"/>
          <w:lang w:eastAsia="es-ES"/>
        </w:rPr>
        <w:t>Adoptar la </w:t>
      </w:r>
      <w:hyperlink r:id="rId17" w:tgtFrame="_blank" w:history="1">
        <w:r w:rsidRPr="005D76BF">
          <w:rPr>
            <w:rFonts w:ascii="Times New Roman" w:eastAsia="Times New Roman" w:hAnsi="Times New Roman" w:cs="Times New Roman"/>
            <w:b/>
            <w:bCs/>
            <w:sz w:val="24"/>
            <w:szCs w:val="24"/>
            <w:lang w:val="es-ES_tradnl" w:eastAsia="es-ES"/>
          </w:rPr>
          <w:t>Visión a Largo plazo Para las Áreas Rurales (LTVRA).</w:t>
        </w:r>
      </w:hyperlink>
    </w:p>
    <w:p w:rsidR="008865A5" w:rsidRPr="004302B6" w:rsidRDefault="008865A5" w:rsidP="001F247E">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1F247E">
        <w:rPr>
          <w:rFonts w:ascii="Times New Roman" w:eastAsia="Times New Roman" w:hAnsi="Times New Roman" w:cs="Times New Roman"/>
          <w:b/>
          <w:bCs/>
          <w:color w:val="212529"/>
          <w:sz w:val="24"/>
          <w:szCs w:val="24"/>
          <w:lang w:eastAsia="es-ES"/>
        </w:rPr>
        <w:t>Fortalecer </w:t>
      </w:r>
      <w:r w:rsidRPr="004302B6">
        <w:rPr>
          <w:rFonts w:ascii="Times New Roman" w:eastAsia="Times New Roman" w:hAnsi="Times New Roman" w:cs="Times New Roman"/>
          <w:color w:val="212529"/>
          <w:sz w:val="24"/>
          <w:szCs w:val="24"/>
          <w:lang w:eastAsia="es-ES"/>
        </w:rPr>
        <w:t>el papel de las </w:t>
      </w:r>
      <w:r w:rsidRPr="001F247E">
        <w:rPr>
          <w:rFonts w:ascii="Times New Roman" w:eastAsia="Times New Roman" w:hAnsi="Times New Roman" w:cs="Times New Roman"/>
          <w:b/>
          <w:bCs/>
          <w:color w:val="212529"/>
          <w:sz w:val="24"/>
          <w:szCs w:val="24"/>
          <w:lang w:eastAsia="es-ES"/>
        </w:rPr>
        <w:t>áreas rurales</w:t>
      </w:r>
      <w:r w:rsidR="001F247E">
        <w:rPr>
          <w:rFonts w:ascii="Times New Roman" w:eastAsia="Times New Roman" w:hAnsi="Times New Roman" w:cs="Times New Roman"/>
          <w:b/>
          <w:bCs/>
          <w:color w:val="212529"/>
          <w:sz w:val="24"/>
          <w:szCs w:val="24"/>
          <w:lang w:eastAsia="es-ES"/>
        </w:rPr>
        <w:t xml:space="preserve"> </w:t>
      </w:r>
      <w:r w:rsidRPr="004302B6">
        <w:rPr>
          <w:rFonts w:ascii="Times New Roman" w:eastAsia="Times New Roman" w:hAnsi="Times New Roman" w:cs="Times New Roman"/>
          <w:color w:val="212529"/>
          <w:sz w:val="24"/>
          <w:szCs w:val="24"/>
          <w:lang w:eastAsia="es-ES"/>
        </w:rPr>
        <w:t> y de las </w:t>
      </w:r>
      <w:r w:rsidRPr="001F247E">
        <w:rPr>
          <w:rFonts w:ascii="Times New Roman" w:eastAsia="Times New Roman" w:hAnsi="Times New Roman" w:cs="Times New Roman"/>
          <w:b/>
          <w:bCs/>
          <w:color w:val="212529"/>
          <w:sz w:val="24"/>
          <w:szCs w:val="24"/>
          <w:lang w:eastAsia="es-ES"/>
        </w:rPr>
        <w:t>comunidades rurales </w:t>
      </w:r>
      <w:r w:rsidR="001F247E" w:rsidRPr="004302B6">
        <w:rPr>
          <w:rFonts w:ascii="Times New Roman" w:eastAsia="Times New Roman" w:hAnsi="Times New Roman" w:cs="Times New Roman"/>
          <w:color w:val="212529"/>
          <w:sz w:val="24"/>
          <w:szCs w:val="24"/>
          <w:lang w:eastAsia="es-ES"/>
        </w:rPr>
        <w:t xml:space="preserve"> </w:t>
      </w:r>
    </w:p>
    <w:p w:rsidR="008865A5" w:rsidRPr="004302B6" w:rsidRDefault="008865A5" w:rsidP="001F247E">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4302B6">
        <w:rPr>
          <w:rFonts w:ascii="Times New Roman" w:eastAsia="Times New Roman" w:hAnsi="Times New Roman" w:cs="Times New Roman"/>
          <w:color w:val="212529"/>
          <w:sz w:val="24"/>
          <w:szCs w:val="24"/>
          <w:lang w:eastAsia="es-ES"/>
        </w:rPr>
        <w:t>Aplicar el “</w:t>
      </w:r>
      <w:r w:rsidRPr="001F247E">
        <w:rPr>
          <w:rFonts w:ascii="Times New Roman" w:eastAsia="Times New Roman" w:hAnsi="Times New Roman" w:cs="Times New Roman"/>
          <w:b/>
          <w:bCs/>
          <w:color w:val="212529"/>
          <w:sz w:val="24"/>
          <w:szCs w:val="24"/>
          <w:lang w:eastAsia="es-ES"/>
        </w:rPr>
        <w:t>rural proofing</w:t>
      </w:r>
      <w:r w:rsidRPr="004302B6">
        <w:rPr>
          <w:rFonts w:ascii="Times New Roman" w:eastAsia="Times New Roman" w:hAnsi="Times New Roman" w:cs="Times New Roman"/>
          <w:color w:val="212529"/>
          <w:sz w:val="24"/>
          <w:szCs w:val="24"/>
          <w:lang w:eastAsia="es-ES"/>
        </w:rPr>
        <w:t>” ante el nuevo Marco Financiero Plurianual -previsto para 2025- y alentar a los estados miembros a que hagan lo mismo.</w:t>
      </w:r>
    </w:p>
    <w:p w:rsidR="008865A5" w:rsidRPr="004302B6" w:rsidRDefault="008865A5" w:rsidP="001F247E">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4302B6">
        <w:rPr>
          <w:rFonts w:ascii="Times New Roman" w:eastAsia="Times New Roman" w:hAnsi="Times New Roman" w:cs="Times New Roman"/>
          <w:color w:val="212529"/>
          <w:sz w:val="24"/>
          <w:szCs w:val="24"/>
          <w:lang w:eastAsia="es-ES"/>
        </w:rPr>
        <w:t>Establecer un “</w:t>
      </w:r>
      <w:r w:rsidRPr="001F247E">
        <w:rPr>
          <w:rFonts w:ascii="Times New Roman" w:eastAsia="Times New Roman" w:hAnsi="Times New Roman" w:cs="Times New Roman"/>
          <w:b/>
          <w:bCs/>
          <w:color w:val="212529"/>
          <w:sz w:val="24"/>
          <w:szCs w:val="24"/>
          <w:lang w:eastAsia="es-ES"/>
        </w:rPr>
        <w:t>contrato rural europeo</w:t>
      </w:r>
      <w:r w:rsidRPr="004302B6">
        <w:rPr>
          <w:rFonts w:ascii="Times New Roman" w:eastAsia="Times New Roman" w:hAnsi="Times New Roman" w:cs="Times New Roman"/>
          <w:color w:val="212529"/>
          <w:sz w:val="24"/>
          <w:szCs w:val="24"/>
          <w:lang w:eastAsia="es-ES"/>
        </w:rPr>
        <w:t>”.</w:t>
      </w:r>
    </w:p>
    <w:p w:rsidR="008865A5" w:rsidRPr="004302B6" w:rsidRDefault="008865A5" w:rsidP="001F247E">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4302B6">
        <w:rPr>
          <w:rFonts w:ascii="Times New Roman" w:eastAsia="Times New Roman" w:hAnsi="Times New Roman" w:cs="Times New Roman"/>
          <w:color w:val="212529"/>
          <w:sz w:val="24"/>
          <w:szCs w:val="24"/>
          <w:lang w:eastAsia="es-ES"/>
        </w:rPr>
        <w:t>Crear un </w:t>
      </w:r>
      <w:r w:rsidRPr="001F247E">
        <w:rPr>
          <w:rFonts w:ascii="Times New Roman" w:eastAsia="Times New Roman" w:hAnsi="Times New Roman" w:cs="Times New Roman"/>
          <w:b/>
          <w:bCs/>
          <w:color w:val="212529"/>
          <w:sz w:val="24"/>
          <w:szCs w:val="24"/>
          <w:lang w:eastAsia="es-ES"/>
        </w:rPr>
        <w:t>“Fondo de Transición Justa”</w:t>
      </w:r>
      <w:r w:rsidRPr="004302B6">
        <w:rPr>
          <w:rFonts w:ascii="Times New Roman" w:eastAsia="Times New Roman" w:hAnsi="Times New Roman" w:cs="Times New Roman"/>
          <w:color w:val="212529"/>
          <w:sz w:val="24"/>
          <w:szCs w:val="24"/>
          <w:lang w:eastAsia="es-ES"/>
        </w:rPr>
        <w:t> complementario y temporal</w:t>
      </w:r>
      <w:r w:rsidRPr="001F247E">
        <w:rPr>
          <w:rFonts w:ascii="Times New Roman" w:eastAsia="Times New Roman" w:hAnsi="Times New Roman" w:cs="Times New Roman"/>
          <w:b/>
          <w:bCs/>
          <w:color w:val="212529"/>
          <w:sz w:val="24"/>
          <w:szCs w:val="24"/>
          <w:lang w:eastAsia="es-ES"/>
        </w:rPr>
        <w:t> </w:t>
      </w:r>
      <w:r w:rsidRPr="004302B6">
        <w:rPr>
          <w:rFonts w:ascii="Times New Roman" w:eastAsia="Times New Roman" w:hAnsi="Times New Roman" w:cs="Times New Roman"/>
          <w:color w:val="212529"/>
          <w:sz w:val="24"/>
          <w:szCs w:val="24"/>
          <w:lang w:eastAsia="es-ES"/>
        </w:rPr>
        <w:t>para acelerar la transición hacia la sostenibilidad del sector.</w:t>
      </w:r>
    </w:p>
    <w:p w:rsidR="008865A5" w:rsidRDefault="008865A5" w:rsidP="001F247E">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color w:val="212529"/>
          <w:sz w:val="24"/>
          <w:szCs w:val="24"/>
          <w:lang w:eastAsia="es-ES"/>
        </w:rPr>
      </w:pPr>
      <w:r w:rsidRPr="004302B6">
        <w:rPr>
          <w:rFonts w:ascii="Times New Roman" w:eastAsia="Times New Roman" w:hAnsi="Times New Roman" w:cs="Times New Roman"/>
          <w:color w:val="212529"/>
          <w:sz w:val="24"/>
          <w:szCs w:val="24"/>
          <w:lang w:eastAsia="es-ES"/>
        </w:rPr>
        <w:t>Crear un </w:t>
      </w:r>
      <w:r w:rsidRPr="001F247E">
        <w:rPr>
          <w:rFonts w:ascii="Times New Roman" w:eastAsia="Times New Roman" w:hAnsi="Times New Roman" w:cs="Times New Roman"/>
          <w:b/>
          <w:bCs/>
          <w:color w:val="212529"/>
          <w:sz w:val="24"/>
          <w:szCs w:val="24"/>
          <w:lang w:eastAsia="es-ES"/>
        </w:rPr>
        <w:t>“Fondo de Restauración de la Naturaleza”</w:t>
      </w:r>
      <w:r w:rsidRPr="004302B6">
        <w:rPr>
          <w:rFonts w:ascii="Times New Roman" w:eastAsia="Times New Roman" w:hAnsi="Times New Roman" w:cs="Times New Roman"/>
          <w:color w:val="212529"/>
          <w:sz w:val="24"/>
          <w:szCs w:val="24"/>
          <w:lang w:eastAsia="es-ES"/>
        </w:rPr>
        <w:t> dotado de recursos suficientes (fuera de la PAC).</w:t>
      </w:r>
    </w:p>
    <w:p w:rsidR="00B76155" w:rsidRDefault="00C4010A" w:rsidP="00B76155">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sidRPr="00C4010A">
        <w:rPr>
          <w:rFonts w:ascii="Times New Roman" w:eastAsia="Times New Roman" w:hAnsi="Times New Roman" w:cs="Times New Roman"/>
          <w:b/>
          <w:color w:val="212529"/>
          <w:sz w:val="24"/>
          <w:szCs w:val="24"/>
          <w:lang w:eastAsia="es-ES"/>
        </w:rPr>
        <w:t>Nota</w:t>
      </w:r>
      <w:r w:rsidRPr="00C4010A">
        <w:rPr>
          <w:rFonts w:ascii="Times New Roman" w:eastAsia="Times New Roman" w:hAnsi="Times New Roman" w:cs="Times New Roman"/>
          <w:color w:val="212529"/>
          <w:sz w:val="24"/>
          <w:szCs w:val="24"/>
          <w:lang w:eastAsia="es-ES"/>
        </w:rPr>
        <w:t>: Peter Strohschneider estudió filología alemana, derecho, historia, sociología y ciencias políticas, y recibió su doctorado en la Universidad Ludwig-Maximilians (LMU) de Múnich en 1984. Fue profesor de estudios medievales y modernos alemanes en la Universidad Te</w:t>
      </w:r>
      <w:r w:rsidR="00FE7EFD">
        <w:rPr>
          <w:rFonts w:ascii="Times New Roman" w:eastAsia="Times New Roman" w:hAnsi="Times New Roman" w:cs="Times New Roman"/>
          <w:color w:val="212529"/>
          <w:sz w:val="24"/>
          <w:szCs w:val="24"/>
          <w:lang w:eastAsia="es-ES"/>
        </w:rPr>
        <w:t>cnológica de Dresde</w:t>
      </w:r>
      <w:r>
        <w:rPr>
          <w:rFonts w:ascii="Times New Roman" w:eastAsia="Times New Roman" w:hAnsi="Times New Roman" w:cs="Times New Roman"/>
          <w:color w:val="212529"/>
          <w:sz w:val="24"/>
          <w:szCs w:val="24"/>
          <w:lang w:eastAsia="es-ES"/>
        </w:rPr>
        <w:t xml:space="preserve"> desde 1992</w:t>
      </w:r>
      <w:r w:rsidRPr="00C4010A">
        <w:rPr>
          <w:rFonts w:ascii="Times New Roman" w:eastAsia="Times New Roman" w:hAnsi="Times New Roman" w:cs="Times New Roman"/>
          <w:color w:val="212529"/>
          <w:sz w:val="24"/>
          <w:szCs w:val="24"/>
          <w:lang w:eastAsia="es-ES"/>
        </w:rPr>
        <w:t xml:space="preserve"> hasta 2002. Desde 2002, ocupa la cátedra de Estudios medievale</w:t>
      </w:r>
      <w:r>
        <w:rPr>
          <w:rFonts w:ascii="Times New Roman" w:eastAsia="Times New Roman" w:hAnsi="Times New Roman" w:cs="Times New Roman"/>
          <w:color w:val="212529"/>
          <w:sz w:val="24"/>
          <w:szCs w:val="24"/>
          <w:lang w:eastAsia="es-ES"/>
        </w:rPr>
        <w:t>s alemanes en la LMU de Múnich. “Con estos mimbres”… ¿será capaz</w:t>
      </w:r>
      <w:r w:rsidR="00B76155">
        <w:rPr>
          <w:rFonts w:ascii="Times New Roman" w:eastAsia="Times New Roman" w:hAnsi="Times New Roman" w:cs="Times New Roman"/>
          <w:color w:val="212529"/>
          <w:sz w:val="24"/>
          <w:szCs w:val="24"/>
          <w:lang w:eastAsia="es-ES"/>
        </w:rPr>
        <w:t xml:space="preserve"> el profesor de estudios medievales</w:t>
      </w:r>
      <w:r>
        <w:rPr>
          <w:rFonts w:ascii="Times New Roman" w:eastAsia="Times New Roman" w:hAnsi="Times New Roman" w:cs="Times New Roman"/>
          <w:color w:val="212529"/>
          <w:sz w:val="24"/>
          <w:szCs w:val="24"/>
          <w:lang w:eastAsia="es-ES"/>
        </w:rPr>
        <w:t xml:space="preserve"> </w:t>
      </w:r>
      <w:r w:rsidR="00B76155">
        <w:rPr>
          <w:rFonts w:ascii="Times New Roman" w:eastAsia="Times New Roman" w:hAnsi="Times New Roman" w:cs="Times New Roman"/>
          <w:color w:val="212529"/>
          <w:sz w:val="24"/>
          <w:szCs w:val="24"/>
          <w:lang w:eastAsia="es-ES"/>
        </w:rPr>
        <w:t>de consensuar una estrategia</w:t>
      </w:r>
      <w:r>
        <w:rPr>
          <w:rFonts w:ascii="Times New Roman" w:eastAsia="Times New Roman" w:hAnsi="Times New Roman" w:cs="Times New Roman"/>
          <w:color w:val="212529"/>
          <w:sz w:val="24"/>
          <w:szCs w:val="24"/>
          <w:lang w:eastAsia="es-ES"/>
        </w:rPr>
        <w:t xml:space="preserve"> </w:t>
      </w:r>
      <w:r w:rsidR="00B76155">
        <w:rPr>
          <w:rFonts w:ascii="Times New Roman" w:eastAsia="Times New Roman" w:hAnsi="Times New Roman" w:cs="Times New Roman"/>
          <w:color w:val="212529"/>
          <w:sz w:val="24"/>
          <w:szCs w:val="24"/>
          <w:lang w:eastAsia="es-ES"/>
        </w:rPr>
        <w:t>de</w:t>
      </w:r>
      <w:r>
        <w:rPr>
          <w:rFonts w:ascii="Times New Roman" w:eastAsia="Times New Roman" w:hAnsi="Times New Roman" w:cs="Times New Roman"/>
          <w:color w:val="212529"/>
          <w:sz w:val="24"/>
          <w:szCs w:val="24"/>
          <w:lang w:eastAsia="es-ES"/>
        </w:rPr>
        <w:t xml:space="preserve"> recuperación de la agricultura europea</w:t>
      </w:r>
      <w:r w:rsidR="00B76155">
        <w:rPr>
          <w:rFonts w:ascii="Times New Roman" w:eastAsia="Times New Roman" w:hAnsi="Times New Roman" w:cs="Times New Roman"/>
          <w:color w:val="212529"/>
          <w:sz w:val="24"/>
          <w:szCs w:val="24"/>
          <w:lang w:eastAsia="es-ES"/>
        </w:rPr>
        <w:t>, para</w:t>
      </w:r>
      <w:r>
        <w:rPr>
          <w:rFonts w:ascii="Times New Roman" w:eastAsia="Times New Roman" w:hAnsi="Times New Roman" w:cs="Times New Roman"/>
          <w:color w:val="212529"/>
          <w:sz w:val="24"/>
          <w:szCs w:val="24"/>
          <w:lang w:eastAsia="es-ES"/>
        </w:rPr>
        <w:t xml:space="preserve"> alcanzar la soberanía alimenticia</w:t>
      </w:r>
      <w:r w:rsidR="00B76155">
        <w:rPr>
          <w:rFonts w:ascii="Times New Roman" w:eastAsia="Times New Roman" w:hAnsi="Times New Roman" w:cs="Times New Roman"/>
          <w:color w:val="212529"/>
          <w:sz w:val="24"/>
          <w:szCs w:val="24"/>
          <w:lang w:eastAsia="es-ES"/>
        </w:rPr>
        <w:t>? O ¿</w:t>
      </w:r>
      <w:r>
        <w:rPr>
          <w:rFonts w:ascii="Times New Roman" w:eastAsia="Times New Roman" w:hAnsi="Times New Roman" w:cs="Times New Roman"/>
          <w:color w:val="212529"/>
          <w:sz w:val="24"/>
          <w:szCs w:val="24"/>
          <w:lang w:eastAsia="es-ES"/>
        </w:rPr>
        <w:t xml:space="preserve">en la </w:t>
      </w:r>
      <w:r w:rsidR="00B76155">
        <w:rPr>
          <w:rFonts w:ascii="Times New Roman" w:eastAsia="Times New Roman" w:hAnsi="Times New Roman" w:cs="Times New Roman"/>
          <w:color w:val="212529"/>
          <w:sz w:val="24"/>
          <w:szCs w:val="24"/>
          <w:lang w:eastAsia="es-ES"/>
        </w:rPr>
        <w:t>mesa de diálogo (solo) se disertará sobre</w:t>
      </w:r>
      <w:r>
        <w:rPr>
          <w:rFonts w:ascii="Times New Roman" w:eastAsia="Times New Roman" w:hAnsi="Times New Roman" w:cs="Times New Roman"/>
          <w:color w:val="212529"/>
          <w:sz w:val="24"/>
          <w:szCs w:val="24"/>
          <w:lang w:eastAsia="es-ES"/>
        </w:rPr>
        <w:t xml:space="preserve"> Umberto Ecco y “El </w:t>
      </w:r>
      <w:r w:rsidR="00B76155">
        <w:rPr>
          <w:rFonts w:ascii="Times New Roman" w:eastAsia="Times New Roman" w:hAnsi="Times New Roman" w:cs="Times New Roman"/>
          <w:color w:val="212529"/>
          <w:sz w:val="24"/>
          <w:szCs w:val="24"/>
          <w:lang w:eastAsia="es-ES"/>
        </w:rPr>
        <w:t>nombre de la rosa”?</w:t>
      </w:r>
      <w:r>
        <w:rPr>
          <w:rFonts w:ascii="Times New Roman" w:eastAsia="Times New Roman" w:hAnsi="Times New Roman" w:cs="Times New Roman"/>
          <w:color w:val="212529"/>
          <w:sz w:val="24"/>
          <w:szCs w:val="24"/>
          <w:lang w:eastAsia="es-ES"/>
        </w:rPr>
        <w:t xml:space="preserve"> </w:t>
      </w:r>
      <w:r w:rsidR="00B76155">
        <w:rPr>
          <w:rFonts w:ascii="Times New Roman" w:eastAsia="Times New Roman" w:hAnsi="Times New Roman" w:cs="Times New Roman"/>
          <w:color w:val="212529"/>
          <w:sz w:val="24"/>
          <w:szCs w:val="24"/>
          <w:lang w:eastAsia="es-ES"/>
        </w:rPr>
        <w:t xml:space="preserve"> </w:t>
      </w:r>
    </w:p>
    <w:p w:rsidR="001F247E" w:rsidRPr="00B76155" w:rsidRDefault="00CA5846" w:rsidP="00B76155">
      <w:pPr>
        <w:shd w:val="clear" w:color="auto" w:fill="FFFFFF"/>
        <w:spacing w:after="100" w:afterAutospacing="1" w:line="240" w:lineRule="auto"/>
        <w:jc w:val="both"/>
        <w:rPr>
          <w:rFonts w:ascii="Times New Roman" w:eastAsia="Times New Roman" w:hAnsi="Times New Roman" w:cs="Times New Roman"/>
          <w:color w:val="212529"/>
          <w:sz w:val="24"/>
          <w:szCs w:val="24"/>
          <w:lang w:eastAsia="es-ES"/>
        </w:rPr>
      </w:pPr>
      <w:r>
        <w:rPr>
          <w:rFonts w:ascii="Times New Roman" w:hAnsi="Times New Roman" w:cs="Times New Roman"/>
          <w:b/>
          <w:bCs/>
          <w:color w:val="000000"/>
          <w:sz w:val="24"/>
          <w:szCs w:val="24"/>
        </w:rPr>
        <w:lastRenderedPageBreak/>
        <w:t xml:space="preserve">- </w:t>
      </w:r>
      <w:r w:rsidR="003B4338">
        <w:rPr>
          <w:rFonts w:ascii="Times New Roman" w:hAnsi="Times New Roman" w:cs="Times New Roman"/>
          <w:b/>
          <w:bCs/>
          <w:color w:val="000000"/>
          <w:sz w:val="24"/>
          <w:szCs w:val="24"/>
        </w:rPr>
        <w:t>El Informe Letta: E</w:t>
      </w:r>
      <w:r w:rsidR="001F247E" w:rsidRPr="001B1933">
        <w:rPr>
          <w:rFonts w:ascii="Times New Roman" w:hAnsi="Times New Roman" w:cs="Times New Roman"/>
          <w:b/>
          <w:bCs/>
          <w:color w:val="000000"/>
          <w:sz w:val="24"/>
          <w:szCs w:val="24"/>
        </w:rPr>
        <w:t>l futuro del mercado único europeo</w:t>
      </w:r>
    </w:p>
    <w:p w:rsidR="001F247E" w:rsidRPr="001B1933" w:rsidRDefault="001F247E" w:rsidP="001F247E">
      <w:pPr>
        <w:shd w:val="clear" w:color="auto" w:fill="FFFFFF"/>
        <w:spacing w:line="240" w:lineRule="auto"/>
        <w:jc w:val="both"/>
        <w:rPr>
          <w:rFonts w:ascii="Times New Roman" w:hAnsi="Times New Roman" w:cs="Times New Roman"/>
          <w:b/>
          <w:bCs/>
          <w:color w:val="000000"/>
          <w:sz w:val="24"/>
          <w:szCs w:val="24"/>
        </w:rPr>
      </w:pPr>
      <w:r>
        <w:rPr>
          <w:noProof/>
          <w:lang w:eastAsia="es-ES"/>
        </w:rPr>
        <w:drawing>
          <wp:inline distT="0" distB="0" distL="0" distR="0" wp14:anchorId="036746D7" wp14:editId="2C1563EC">
            <wp:extent cx="5731510" cy="3821007"/>
            <wp:effectExtent l="0" t="0" r="2540" b="8255"/>
            <wp:docPr id="19" name="Imagen 19" descr="https://www.hablamosdeeuropa.es/es/PublishingImages/SEUE/enricolett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hablamosdeeuropa.es/es/PublishingImages/SEUE/enricoletta.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3821007"/>
                    </a:xfrm>
                    <a:prstGeom prst="rect">
                      <a:avLst/>
                    </a:prstGeom>
                    <a:noFill/>
                    <a:ln>
                      <a:noFill/>
                    </a:ln>
                  </pic:spPr>
                </pic:pic>
              </a:graphicData>
            </a:graphic>
          </wp:inline>
        </w:drawing>
      </w:r>
    </w:p>
    <w:p w:rsidR="001F247E" w:rsidRPr="009360CF" w:rsidRDefault="001F247E" w:rsidP="001F247E">
      <w:pPr>
        <w:shd w:val="clear" w:color="auto" w:fill="FFFFFF"/>
        <w:spacing w:line="240" w:lineRule="auto"/>
        <w:jc w:val="both"/>
        <w:rPr>
          <w:rFonts w:ascii="Times New Roman" w:hAnsi="Times New Roman" w:cs="Times New Roman"/>
          <w:bCs/>
          <w:iCs/>
          <w:color w:val="FF0000"/>
          <w:sz w:val="24"/>
          <w:szCs w:val="24"/>
        </w:rPr>
      </w:pPr>
      <w:r w:rsidRPr="009360CF">
        <w:rPr>
          <w:rFonts w:ascii="Times New Roman" w:hAnsi="Times New Roman" w:cs="Times New Roman"/>
          <w:bCs/>
          <w:iCs/>
          <w:color w:val="FF0000"/>
          <w:sz w:val="24"/>
          <w:szCs w:val="24"/>
        </w:rPr>
        <w:t>Enrico Letta ha presentado su informe de alto nivel “Mucho más que un mercado,” en el que recoge las conclusiones de un trabajo que inició en septiembre de 2023 bajo la Presidencia Española del Consejo de la UE.</w:t>
      </w:r>
    </w:p>
    <w:p w:rsidR="001F247E" w:rsidRPr="00BB5577" w:rsidRDefault="001F247E" w:rsidP="001F247E">
      <w:pPr>
        <w:pStyle w:val="NormalWeb"/>
        <w:shd w:val="clear" w:color="auto" w:fill="FFFFFF"/>
        <w:spacing w:before="0" w:beforeAutospacing="0" w:after="150" w:afterAutospacing="0"/>
        <w:jc w:val="both"/>
        <w:rPr>
          <w:color w:val="212529"/>
          <w:u w:val="single"/>
        </w:rPr>
      </w:pPr>
      <w:r w:rsidRPr="001B1933">
        <w:rPr>
          <w:color w:val="212529"/>
        </w:rPr>
        <w:t xml:space="preserve">En junio de 2023 el Consejo Europeo solicitó que se presentase un informe de alto nivel sobre el futuro del mercado único, una de las piezas clave del proceso de integración europeo. </w:t>
      </w:r>
      <w:r w:rsidRPr="00BB5577">
        <w:rPr>
          <w:color w:val="212529"/>
          <w:u w:val="single"/>
        </w:rPr>
        <w:t xml:space="preserve">Durante la Presidencia española del Consejo de la UE, el 15 de septiembre de 2023, el ex primer ministro de la República de Italia y actual presidente del Instituto Jacques Delors, Enrico Letta, aceptó la propuesta para ponerse a cargo de la elaboración del informe. El 17 de abril de 2024, ya durante la Presidencia belga, el informe fue presentado bajo el </w:t>
      </w:r>
      <w:r w:rsidR="005D76BF">
        <w:rPr>
          <w:color w:val="212529"/>
          <w:u w:val="single"/>
        </w:rPr>
        <w:t>título “Much more than a market”</w:t>
      </w:r>
      <w:r w:rsidRPr="00BB5577">
        <w:rPr>
          <w:color w:val="212529"/>
          <w:u w:val="single"/>
        </w:rPr>
        <w:t xml:space="preserve"> (Mucho más que un mercado).</w:t>
      </w:r>
    </w:p>
    <w:p w:rsidR="001F247E" w:rsidRPr="001B1933" w:rsidRDefault="001F247E" w:rsidP="001F247E">
      <w:pPr>
        <w:pStyle w:val="NormalWeb"/>
        <w:shd w:val="clear" w:color="auto" w:fill="FFFFFF"/>
        <w:spacing w:before="0" w:beforeAutospacing="0" w:after="150" w:afterAutospacing="0"/>
        <w:jc w:val="both"/>
        <w:rPr>
          <w:color w:val="212529"/>
        </w:rPr>
      </w:pPr>
      <w:r w:rsidRPr="001B1933">
        <w:rPr>
          <w:color w:val="212529"/>
        </w:rPr>
        <w:t>Poco después de la publicación oficial del informe y coincidiendo con el Día de Europa el 9 de mayo, Enrico Letta asistió al evento “Una oportun</w:t>
      </w:r>
      <w:r w:rsidR="005D76BF">
        <w:rPr>
          <w:color w:val="212529"/>
        </w:rPr>
        <w:t>idad para mirar hacia el futuro”</w:t>
      </w:r>
      <w:r w:rsidRPr="001B1933">
        <w:rPr>
          <w:color w:val="212529"/>
        </w:rPr>
        <w:t xml:space="preserve"> en la sede del Ministerio de Asuntos Exteriores, Unión Europea y Cooperación en Madrid, en el que este conversó con el Ministro español de Asuntos Exteriores, José Manuel Albares, sobre los elementos clave del futuro del mercado único de la UE.</w:t>
      </w:r>
    </w:p>
    <w:p w:rsidR="001F247E" w:rsidRPr="005D76BF" w:rsidRDefault="00CA5846" w:rsidP="001F247E">
      <w:pPr>
        <w:pStyle w:val="NormalWeb"/>
        <w:shd w:val="clear" w:color="auto" w:fill="FFFFFF"/>
        <w:spacing w:before="0" w:beforeAutospacing="0" w:after="150" w:afterAutospacing="0"/>
        <w:jc w:val="both"/>
      </w:pPr>
      <w:r>
        <w:rPr>
          <w:rStyle w:val="Textoennegrita"/>
        </w:rPr>
        <w:t>“Mucho más que un mercado”</w:t>
      </w:r>
    </w:p>
    <w:p w:rsidR="001F247E" w:rsidRPr="001B1933" w:rsidRDefault="001F247E" w:rsidP="001F247E">
      <w:pPr>
        <w:pStyle w:val="NormalWeb"/>
        <w:shd w:val="clear" w:color="auto" w:fill="FFFFFF"/>
        <w:spacing w:before="0" w:beforeAutospacing="0" w:after="150" w:afterAutospacing="0"/>
        <w:jc w:val="both"/>
        <w:rPr>
          <w:color w:val="212529"/>
        </w:rPr>
      </w:pPr>
      <w:r w:rsidRPr="00BB5577">
        <w:rPr>
          <w:color w:val="212529"/>
          <w:u w:val="single"/>
        </w:rPr>
        <w:t>Para la elaboración del informe de alto nivel solicitado por el Consejo Europeo y la Comisión Europea, Enrico Letta visitó 65 ciudades europeas y participó en más de 400 reuniones en un periodo de ocho meses</w:t>
      </w:r>
      <w:r w:rsidRPr="001B1933">
        <w:rPr>
          <w:color w:val="212529"/>
        </w:rPr>
        <w:t xml:space="preserve">. </w:t>
      </w:r>
      <w:r w:rsidRPr="00BB5577">
        <w:rPr>
          <w:color w:val="FF0000"/>
          <w:u w:val="single"/>
        </w:rPr>
        <w:t>La principal conclusión alcanzada por Letta durante esta experiencia fue que el mercado único debe adaptarse a los nuevos tiempos y no quedarse estancado en una configuración diseñada para el contexto económico, político y social del siglo veinte, muy diferente del actual.</w:t>
      </w:r>
    </w:p>
    <w:p w:rsidR="001F247E" w:rsidRPr="00BB5577" w:rsidRDefault="001F247E" w:rsidP="001F247E">
      <w:pPr>
        <w:pStyle w:val="NormalWeb"/>
        <w:shd w:val="clear" w:color="auto" w:fill="FFFFFF"/>
        <w:spacing w:before="0" w:beforeAutospacing="0" w:after="150" w:afterAutospacing="0"/>
        <w:jc w:val="both"/>
        <w:rPr>
          <w:color w:val="FF0000"/>
          <w:u w:val="single"/>
        </w:rPr>
      </w:pPr>
      <w:r w:rsidRPr="00BB5577">
        <w:rPr>
          <w:color w:val="FF0000"/>
          <w:u w:val="single"/>
        </w:rPr>
        <w:lastRenderedPageBreak/>
        <w:t>Factores como los cambios demográficos, con una población europea cada vez más envejecida, el incremento de la diversidad y complejidad de una UE formada por 27 miembros, el impacto que ha causado en el panorama económico internacional, el rápido crecimiento de las economías asiáticas, o el resurgimiento de guerras y conflictos que amenazan los principios básicos de convivencia en el sistema internacional, requieren que el mercado único del pasado se adapte para poder hacer frente a los retos del presente.</w:t>
      </w:r>
    </w:p>
    <w:p w:rsidR="001F247E" w:rsidRPr="001B1933" w:rsidRDefault="001F247E" w:rsidP="001F247E">
      <w:pPr>
        <w:pStyle w:val="NormalWeb"/>
        <w:shd w:val="clear" w:color="auto" w:fill="FFFFFF"/>
        <w:spacing w:before="0" w:beforeAutospacing="0" w:after="150" w:afterAutospacing="0"/>
        <w:jc w:val="both"/>
        <w:rPr>
          <w:color w:val="212529"/>
        </w:rPr>
      </w:pPr>
      <w:r w:rsidRPr="001B1933">
        <w:rPr>
          <w:color w:val="212529"/>
        </w:rPr>
        <w:t>Según el análisis de Enrico Letta, esta transformación del mercado único debe basarse en los siguientes elementos:</w:t>
      </w:r>
    </w:p>
    <w:p w:rsidR="001F247E" w:rsidRPr="001B1933" w:rsidRDefault="001F247E" w:rsidP="001F247E">
      <w:pPr>
        <w:numPr>
          <w:ilvl w:val="0"/>
          <w:numId w:val="4"/>
        </w:numPr>
        <w:shd w:val="clear" w:color="auto" w:fill="FFFFFF"/>
        <w:spacing w:before="100" w:beforeAutospacing="1" w:after="100" w:afterAutospacing="1" w:line="240" w:lineRule="auto"/>
        <w:jc w:val="both"/>
        <w:rPr>
          <w:rFonts w:ascii="Times New Roman" w:hAnsi="Times New Roman" w:cs="Times New Roman"/>
          <w:color w:val="212529"/>
          <w:sz w:val="24"/>
          <w:szCs w:val="24"/>
        </w:rPr>
      </w:pPr>
      <w:r w:rsidRPr="001B1933">
        <w:rPr>
          <w:rStyle w:val="Textoennegrita"/>
          <w:rFonts w:ascii="Times New Roman" w:hAnsi="Times New Roman" w:cs="Times New Roman"/>
          <w:color w:val="212529"/>
          <w:sz w:val="24"/>
          <w:szCs w:val="24"/>
        </w:rPr>
        <w:t>El quinto pilar</w:t>
      </w:r>
      <w:r w:rsidRPr="001B1933">
        <w:rPr>
          <w:rFonts w:ascii="Times New Roman" w:hAnsi="Times New Roman" w:cs="Times New Roman"/>
          <w:color w:val="212529"/>
          <w:sz w:val="24"/>
          <w:szCs w:val="24"/>
        </w:rPr>
        <w:t xml:space="preserve">. </w:t>
      </w:r>
      <w:r w:rsidRPr="00BB5577">
        <w:rPr>
          <w:rFonts w:ascii="Times New Roman" w:hAnsi="Times New Roman" w:cs="Times New Roman"/>
          <w:color w:val="FF0000"/>
          <w:sz w:val="24"/>
          <w:szCs w:val="24"/>
          <w:u w:val="single"/>
        </w:rPr>
        <w:t>A las cuatro libertades fundamentales que caracterizan al mercado único (el libre movimiento de personas, bienes, servicios y capital), ha de añadirse una quinta: la libertad de investigar, explorar y crear sin limitaciones</w:t>
      </w:r>
      <w:r w:rsidRPr="001B1933">
        <w:rPr>
          <w:rFonts w:ascii="Times New Roman" w:hAnsi="Times New Roman" w:cs="Times New Roman"/>
          <w:color w:val="212529"/>
          <w:sz w:val="24"/>
          <w:szCs w:val="24"/>
        </w:rPr>
        <w:t>. Este quinto pilar capturará los elementos intangibles de la economía digital y los beneficios de la economía circular necesaria para combatir el cambio climático que el mercado único actual no tiene en cuenta.</w:t>
      </w:r>
    </w:p>
    <w:p w:rsidR="001F247E" w:rsidRPr="00BB5577" w:rsidRDefault="001F247E" w:rsidP="001F247E">
      <w:pPr>
        <w:numPr>
          <w:ilvl w:val="0"/>
          <w:numId w:val="4"/>
        </w:numPr>
        <w:shd w:val="clear" w:color="auto" w:fill="FFFFFF"/>
        <w:spacing w:before="100" w:beforeAutospacing="1" w:after="100" w:afterAutospacing="1" w:line="240" w:lineRule="auto"/>
        <w:jc w:val="both"/>
        <w:rPr>
          <w:rFonts w:ascii="Times New Roman" w:hAnsi="Times New Roman" w:cs="Times New Roman"/>
          <w:color w:val="FF0000"/>
          <w:sz w:val="24"/>
          <w:szCs w:val="24"/>
          <w:u w:val="single"/>
        </w:rPr>
      </w:pPr>
      <w:r w:rsidRPr="001B1933">
        <w:rPr>
          <w:rStyle w:val="Textoennegrita"/>
          <w:rFonts w:ascii="Times New Roman" w:hAnsi="Times New Roman" w:cs="Times New Roman"/>
          <w:color w:val="212529"/>
          <w:sz w:val="24"/>
          <w:szCs w:val="24"/>
        </w:rPr>
        <w:t>Un mercado único para ser grandes. </w:t>
      </w:r>
      <w:r w:rsidRPr="00BB5577">
        <w:rPr>
          <w:rFonts w:ascii="Times New Roman" w:hAnsi="Times New Roman" w:cs="Times New Roman"/>
          <w:color w:val="FF0000"/>
          <w:sz w:val="24"/>
          <w:szCs w:val="24"/>
          <w:u w:val="single"/>
        </w:rPr>
        <w:t>Las empresas europeas deben crecer en tamaño para poder competir a escala global. Además, el mercado único debe fortalecer su integración financiera, energética y en comunicaciones electrónicas.</w:t>
      </w:r>
    </w:p>
    <w:p w:rsidR="001F247E" w:rsidRPr="001B1933" w:rsidRDefault="001F247E" w:rsidP="001F247E">
      <w:pPr>
        <w:numPr>
          <w:ilvl w:val="0"/>
          <w:numId w:val="4"/>
        </w:numPr>
        <w:shd w:val="clear" w:color="auto" w:fill="FFFFFF"/>
        <w:spacing w:before="100" w:beforeAutospacing="1" w:after="100" w:afterAutospacing="1" w:line="240" w:lineRule="auto"/>
        <w:jc w:val="both"/>
        <w:rPr>
          <w:rFonts w:ascii="Times New Roman" w:hAnsi="Times New Roman" w:cs="Times New Roman"/>
          <w:color w:val="212529"/>
          <w:sz w:val="24"/>
          <w:szCs w:val="24"/>
        </w:rPr>
      </w:pPr>
      <w:r w:rsidRPr="001B1933">
        <w:rPr>
          <w:rStyle w:val="Textoennegrita"/>
          <w:rFonts w:ascii="Times New Roman" w:hAnsi="Times New Roman" w:cs="Times New Roman"/>
          <w:color w:val="212529"/>
          <w:sz w:val="24"/>
          <w:szCs w:val="24"/>
        </w:rPr>
        <w:t>Un mercado único que apoye la creación de empleo y facilite el hacer negocios.</w:t>
      </w:r>
      <w:r w:rsidRPr="001B1933">
        <w:rPr>
          <w:rFonts w:ascii="Times New Roman" w:hAnsi="Times New Roman" w:cs="Times New Roman"/>
          <w:color w:val="212529"/>
          <w:sz w:val="24"/>
          <w:szCs w:val="24"/>
        </w:rPr>
        <w:t> </w:t>
      </w:r>
      <w:r w:rsidRPr="00BB5577">
        <w:rPr>
          <w:rFonts w:ascii="Times New Roman" w:hAnsi="Times New Roman" w:cs="Times New Roman"/>
          <w:color w:val="FF0000"/>
          <w:sz w:val="24"/>
          <w:szCs w:val="24"/>
          <w:u w:val="single"/>
        </w:rPr>
        <w:t>La eliminación de barreras administrativas y burocráticas y la armonización de la regulación mediante un Código Europeo de Derecho Mercantil permitiría crear un régimen unificado</w:t>
      </w:r>
      <w:r w:rsidRPr="001B1933">
        <w:rPr>
          <w:rFonts w:ascii="Times New Roman" w:hAnsi="Times New Roman" w:cs="Times New Roman"/>
          <w:color w:val="212529"/>
          <w:sz w:val="24"/>
          <w:szCs w:val="24"/>
        </w:rPr>
        <w:t>, el número 28, para que las empresas puedan operar con mayor facilidad en la UE.</w:t>
      </w:r>
    </w:p>
    <w:p w:rsidR="001F247E" w:rsidRPr="001B1933" w:rsidRDefault="001F247E" w:rsidP="001F247E">
      <w:pPr>
        <w:numPr>
          <w:ilvl w:val="0"/>
          <w:numId w:val="4"/>
        </w:numPr>
        <w:shd w:val="clear" w:color="auto" w:fill="FFFFFF"/>
        <w:spacing w:before="100" w:beforeAutospacing="1" w:after="100" w:afterAutospacing="1" w:line="240" w:lineRule="auto"/>
        <w:jc w:val="both"/>
        <w:rPr>
          <w:rFonts w:ascii="Times New Roman" w:hAnsi="Times New Roman" w:cs="Times New Roman"/>
          <w:color w:val="212529"/>
          <w:sz w:val="24"/>
          <w:szCs w:val="24"/>
        </w:rPr>
      </w:pPr>
      <w:r w:rsidRPr="001B1933">
        <w:rPr>
          <w:rStyle w:val="Textoennegrita"/>
          <w:rFonts w:ascii="Times New Roman" w:hAnsi="Times New Roman" w:cs="Times New Roman"/>
          <w:color w:val="212529"/>
          <w:sz w:val="24"/>
          <w:szCs w:val="24"/>
        </w:rPr>
        <w:t>La transición hacia un mercado justo, verde y digital</w:t>
      </w:r>
      <w:r w:rsidRPr="001B1933">
        <w:rPr>
          <w:rFonts w:ascii="Times New Roman" w:hAnsi="Times New Roman" w:cs="Times New Roman"/>
          <w:color w:val="212529"/>
          <w:sz w:val="24"/>
          <w:szCs w:val="24"/>
        </w:rPr>
        <w:t xml:space="preserve">. Si bien es cierto que se han realizado importantes avances a nivel legislativo en la materia, es necesario llevarlos a la práctica. Para ello, </w:t>
      </w:r>
      <w:r w:rsidRPr="00BB5577">
        <w:rPr>
          <w:rFonts w:ascii="Times New Roman" w:hAnsi="Times New Roman" w:cs="Times New Roman"/>
          <w:color w:val="FF0000"/>
          <w:sz w:val="24"/>
          <w:szCs w:val="24"/>
          <w:u w:val="single"/>
        </w:rPr>
        <w:t>la creación de una Unión de Ahorros e Inversión jugará un papel esencial en la movilización de capital privado que apoye la transición verde y digital</w:t>
      </w:r>
      <w:r w:rsidRPr="001B1933">
        <w:rPr>
          <w:rFonts w:ascii="Times New Roman" w:hAnsi="Times New Roman" w:cs="Times New Roman"/>
          <w:color w:val="212529"/>
          <w:sz w:val="24"/>
          <w:szCs w:val="24"/>
        </w:rPr>
        <w:t>.</w:t>
      </w:r>
    </w:p>
    <w:p w:rsidR="001F247E" w:rsidRPr="00BB5577" w:rsidRDefault="001F247E" w:rsidP="001F247E">
      <w:pPr>
        <w:numPr>
          <w:ilvl w:val="0"/>
          <w:numId w:val="4"/>
        </w:numPr>
        <w:shd w:val="clear" w:color="auto" w:fill="FFFFFF"/>
        <w:spacing w:before="100" w:beforeAutospacing="1" w:after="100" w:afterAutospacing="1" w:line="240" w:lineRule="auto"/>
        <w:jc w:val="both"/>
        <w:rPr>
          <w:rFonts w:ascii="Times New Roman" w:hAnsi="Times New Roman" w:cs="Times New Roman"/>
          <w:color w:val="FF0000"/>
          <w:sz w:val="24"/>
          <w:szCs w:val="24"/>
          <w:u w:val="single"/>
        </w:rPr>
      </w:pPr>
      <w:r w:rsidRPr="001B1933">
        <w:rPr>
          <w:rStyle w:val="Textoennegrita"/>
          <w:rFonts w:ascii="Times New Roman" w:hAnsi="Times New Roman" w:cs="Times New Roman"/>
          <w:color w:val="212529"/>
          <w:sz w:val="24"/>
          <w:szCs w:val="24"/>
        </w:rPr>
        <w:t>Promover la paz y el respeto del Estado de Derecho: un mercado único que impulse la capacidad de la UE en materia de defensa y seguridad</w:t>
      </w:r>
      <w:r w:rsidRPr="001B1933">
        <w:rPr>
          <w:rFonts w:ascii="Times New Roman" w:hAnsi="Times New Roman" w:cs="Times New Roman"/>
          <w:color w:val="212529"/>
          <w:sz w:val="24"/>
          <w:szCs w:val="24"/>
        </w:rPr>
        <w:t xml:space="preserve">. </w:t>
      </w:r>
      <w:r w:rsidRPr="00BB5577">
        <w:rPr>
          <w:rFonts w:ascii="Times New Roman" w:hAnsi="Times New Roman" w:cs="Times New Roman"/>
          <w:color w:val="FF0000"/>
          <w:sz w:val="24"/>
          <w:szCs w:val="24"/>
          <w:u w:val="single"/>
        </w:rPr>
        <w:t>En el contexto actual resulta vital que se lleve a cabo una transformación radical de la industria de defensa y seguridad europeas, promoviendo y financiando la creación de industrias propias que incrementen la autonomía estratégica de la UE.</w:t>
      </w:r>
    </w:p>
    <w:p w:rsidR="001F247E" w:rsidRPr="00BB5577" w:rsidRDefault="001F247E" w:rsidP="001F247E">
      <w:pPr>
        <w:numPr>
          <w:ilvl w:val="0"/>
          <w:numId w:val="4"/>
        </w:numPr>
        <w:shd w:val="clear" w:color="auto" w:fill="FFFFFF"/>
        <w:spacing w:before="100" w:beforeAutospacing="1" w:after="100" w:afterAutospacing="1" w:line="240" w:lineRule="auto"/>
        <w:jc w:val="both"/>
        <w:rPr>
          <w:rFonts w:ascii="Times New Roman" w:hAnsi="Times New Roman" w:cs="Times New Roman"/>
          <w:color w:val="FF0000"/>
          <w:sz w:val="24"/>
          <w:szCs w:val="24"/>
          <w:u w:val="single"/>
        </w:rPr>
      </w:pPr>
      <w:r w:rsidRPr="001B1933">
        <w:rPr>
          <w:rStyle w:val="Textoennegrita"/>
          <w:rFonts w:ascii="Times New Roman" w:hAnsi="Times New Roman" w:cs="Times New Roman"/>
          <w:color w:val="212529"/>
          <w:sz w:val="24"/>
          <w:szCs w:val="24"/>
        </w:rPr>
        <w:t>Libertad de movimiento y libertad de permanecer. </w:t>
      </w:r>
      <w:r w:rsidRPr="001B1933">
        <w:rPr>
          <w:rFonts w:ascii="Times New Roman" w:hAnsi="Times New Roman" w:cs="Times New Roman"/>
          <w:color w:val="212529"/>
          <w:sz w:val="24"/>
          <w:szCs w:val="24"/>
        </w:rPr>
        <w:t xml:space="preserve">En relación con su dimensión social, </w:t>
      </w:r>
      <w:r w:rsidRPr="00BB5577">
        <w:rPr>
          <w:rFonts w:ascii="Times New Roman" w:hAnsi="Times New Roman" w:cs="Times New Roman"/>
          <w:color w:val="FF0000"/>
          <w:sz w:val="24"/>
          <w:szCs w:val="24"/>
          <w:u w:val="single"/>
        </w:rPr>
        <w:t>el mercado único debe permitir que los ciudadanos puedan acceder a empleos de calidad en sus comunidades locales, sin que tengan que verse obligados a establecerse en otro país europeo ante la falta de empleo.</w:t>
      </w:r>
    </w:p>
    <w:p w:rsidR="001F247E" w:rsidRPr="00BB5577" w:rsidRDefault="001F247E" w:rsidP="001F247E">
      <w:pPr>
        <w:numPr>
          <w:ilvl w:val="0"/>
          <w:numId w:val="4"/>
        </w:numPr>
        <w:shd w:val="clear" w:color="auto" w:fill="FFFFFF"/>
        <w:spacing w:before="100" w:beforeAutospacing="1" w:after="100" w:afterAutospacing="1" w:line="240" w:lineRule="auto"/>
        <w:jc w:val="both"/>
        <w:rPr>
          <w:rFonts w:ascii="Times New Roman" w:hAnsi="Times New Roman" w:cs="Times New Roman"/>
          <w:color w:val="FF0000"/>
          <w:sz w:val="24"/>
          <w:szCs w:val="24"/>
          <w:u w:val="single"/>
        </w:rPr>
      </w:pPr>
      <w:r w:rsidRPr="001B1933">
        <w:rPr>
          <w:rStyle w:val="Textoennegrita"/>
          <w:rFonts w:ascii="Times New Roman" w:hAnsi="Times New Roman" w:cs="Times New Roman"/>
          <w:color w:val="212529"/>
          <w:sz w:val="24"/>
          <w:szCs w:val="24"/>
        </w:rPr>
        <w:t>Un mercado único que potencie y se aproveche de los beneficios de la ampliación. </w:t>
      </w:r>
      <w:r w:rsidRPr="00BB5577">
        <w:rPr>
          <w:rFonts w:ascii="Times New Roman" w:hAnsi="Times New Roman" w:cs="Times New Roman"/>
          <w:color w:val="FF0000"/>
          <w:sz w:val="24"/>
          <w:szCs w:val="24"/>
          <w:u w:val="single"/>
        </w:rPr>
        <w:t>La incorporación de nuevos estados miembros debe planificarse correctamente para que estos puedan gradualmente disfrutar de las ventajas del mercado único, al mismo tiempo que se asegure la estabilidad del mismo.</w:t>
      </w:r>
    </w:p>
    <w:p w:rsidR="001F247E" w:rsidRPr="001B1933" w:rsidRDefault="001F247E" w:rsidP="001F247E">
      <w:pPr>
        <w:shd w:val="clear" w:color="auto" w:fill="FFFFFF"/>
        <w:spacing w:before="100" w:beforeAutospacing="1" w:after="100" w:afterAutospacing="1" w:line="240" w:lineRule="auto"/>
        <w:jc w:val="both"/>
        <w:rPr>
          <w:rFonts w:ascii="Times New Roman" w:hAnsi="Times New Roman" w:cs="Times New Roman"/>
          <w:color w:val="212529"/>
          <w:sz w:val="24"/>
          <w:szCs w:val="24"/>
        </w:rPr>
      </w:pPr>
      <w:r>
        <w:rPr>
          <w:rFonts w:ascii="Times New Roman" w:hAnsi="Times New Roman" w:cs="Times New Roman"/>
          <w:color w:val="212529"/>
          <w:sz w:val="24"/>
          <w:szCs w:val="24"/>
        </w:rPr>
        <w:t xml:space="preserve">- </w:t>
      </w:r>
      <w:r w:rsidR="005D76BF">
        <w:rPr>
          <w:rFonts w:ascii="Times New Roman" w:hAnsi="Times New Roman" w:cs="Times New Roman"/>
          <w:color w:val="212529"/>
          <w:sz w:val="24"/>
          <w:szCs w:val="24"/>
          <w:u w:val="single"/>
        </w:rPr>
        <w:t>El “informe Letta”</w:t>
      </w:r>
      <w:r w:rsidRPr="001B1933">
        <w:rPr>
          <w:rFonts w:ascii="Times New Roman" w:hAnsi="Times New Roman" w:cs="Times New Roman"/>
          <w:color w:val="212529"/>
          <w:sz w:val="24"/>
          <w:szCs w:val="24"/>
          <w:u w:val="single"/>
        </w:rPr>
        <w:t xml:space="preserve"> apunta a la energía, telecomunicaciones y mercados financieros como sectores estratégicos</w:t>
      </w:r>
      <w:r>
        <w:rPr>
          <w:rFonts w:ascii="Times New Roman" w:hAnsi="Times New Roman" w:cs="Times New Roman"/>
          <w:color w:val="212529"/>
          <w:sz w:val="24"/>
          <w:szCs w:val="24"/>
        </w:rPr>
        <w:t xml:space="preserve"> (El Economista - </w:t>
      </w:r>
      <w:r w:rsidRPr="001B1933">
        <w:rPr>
          <w:rFonts w:ascii="Times New Roman" w:hAnsi="Times New Roman" w:cs="Times New Roman"/>
          <w:b/>
          <w:color w:val="212529"/>
          <w:sz w:val="24"/>
          <w:szCs w:val="24"/>
        </w:rPr>
        <w:t>17/4/24</w:t>
      </w:r>
      <w:r>
        <w:rPr>
          <w:rFonts w:ascii="Times New Roman" w:hAnsi="Times New Roman" w:cs="Times New Roman"/>
          <w:color w:val="212529"/>
          <w:sz w:val="24"/>
          <w:szCs w:val="24"/>
        </w:rPr>
        <w:t>)</w:t>
      </w:r>
    </w:p>
    <w:p w:rsidR="001F247E" w:rsidRPr="00BB5577" w:rsidRDefault="005D76BF" w:rsidP="001F247E">
      <w:pPr>
        <w:shd w:val="clear" w:color="auto" w:fill="FFFFFF"/>
        <w:spacing w:before="100" w:beforeAutospacing="1" w:after="100" w:afterAutospacing="1"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Reclama una “</w:t>
      </w:r>
      <w:r w:rsidR="001F247E" w:rsidRPr="00BB5577">
        <w:rPr>
          <w:rFonts w:ascii="Times New Roman" w:hAnsi="Times New Roman" w:cs="Times New Roman"/>
          <w:color w:val="FF0000"/>
          <w:sz w:val="24"/>
          <w:szCs w:val="24"/>
        </w:rPr>
        <w:t>es</w:t>
      </w:r>
      <w:r>
        <w:rPr>
          <w:rFonts w:ascii="Times New Roman" w:hAnsi="Times New Roman" w:cs="Times New Roman"/>
          <w:color w:val="FF0000"/>
          <w:sz w:val="24"/>
          <w:szCs w:val="24"/>
        </w:rPr>
        <w:t>trategia industrial competitiva”</w:t>
      </w:r>
      <w:r w:rsidR="001F247E" w:rsidRPr="00BB5577">
        <w:rPr>
          <w:rFonts w:ascii="Times New Roman" w:hAnsi="Times New Roman" w:cs="Times New Roman"/>
          <w:color w:val="FF0000"/>
          <w:sz w:val="24"/>
          <w:szCs w:val="24"/>
        </w:rPr>
        <w:t xml:space="preserve"> para hacer frente a EEUU y China</w:t>
      </w:r>
    </w:p>
    <w:p w:rsidR="001F247E" w:rsidRPr="00BB5577" w:rsidRDefault="005D76BF" w:rsidP="001F247E">
      <w:pPr>
        <w:shd w:val="clear" w:color="auto" w:fill="FFFFFF"/>
        <w:spacing w:before="100" w:beforeAutospacing="1" w:after="100" w:afterAutospacing="1"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Advierte de que “</w:t>
      </w:r>
      <w:r w:rsidR="001F247E" w:rsidRPr="00BB5577">
        <w:rPr>
          <w:rFonts w:ascii="Times New Roman" w:hAnsi="Times New Roman" w:cs="Times New Roman"/>
          <w:color w:val="FF0000"/>
          <w:sz w:val="24"/>
          <w:szCs w:val="24"/>
        </w:rPr>
        <w:t>el riesgo de desindustrialización en e</w:t>
      </w:r>
      <w:r>
        <w:rPr>
          <w:rFonts w:ascii="Times New Roman" w:hAnsi="Times New Roman" w:cs="Times New Roman"/>
          <w:color w:val="FF0000"/>
          <w:sz w:val="24"/>
          <w:szCs w:val="24"/>
        </w:rPr>
        <w:t>l continente no es irreversible” pero es “una amenaza real”</w:t>
      </w:r>
    </w:p>
    <w:p w:rsidR="001F247E" w:rsidRPr="00BB5577" w:rsidRDefault="001F247E" w:rsidP="001F247E">
      <w:pPr>
        <w:shd w:val="clear" w:color="auto" w:fill="FFFFFF"/>
        <w:spacing w:before="100" w:beforeAutospacing="1" w:after="100" w:afterAutospacing="1" w:line="240" w:lineRule="auto"/>
        <w:jc w:val="both"/>
        <w:rPr>
          <w:rFonts w:ascii="Times New Roman" w:hAnsi="Times New Roman" w:cs="Times New Roman"/>
          <w:color w:val="FF0000"/>
          <w:sz w:val="24"/>
          <w:szCs w:val="24"/>
        </w:rPr>
      </w:pPr>
      <w:r w:rsidRPr="00BB5577">
        <w:rPr>
          <w:rFonts w:ascii="Times New Roman" w:hAnsi="Times New Roman" w:cs="Times New Roman"/>
          <w:color w:val="FF0000"/>
          <w:sz w:val="24"/>
          <w:szCs w:val="24"/>
        </w:rPr>
        <w:lastRenderedPageBreak/>
        <w:t>Cree que sentará las bases de una oleada de inversiones públicas genuinamente europeas</w:t>
      </w:r>
    </w:p>
    <w:p w:rsidR="001F247E" w:rsidRPr="001B1933" w:rsidRDefault="001F247E" w:rsidP="001F247E">
      <w:pPr>
        <w:shd w:val="clear" w:color="auto" w:fill="FFFFFF"/>
        <w:spacing w:before="100" w:beforeAutospacing="1" w:after="100" w:afterAutospacing="1" w:line="240" w:lineRule="auto"/>
        <w:jc w:val="both"/>
        <w:rPr>
          <w:rFonts w:ascii="Times New Roman" w:hAnsi="Times New Roman" w:cs="Times New Roman"/>
          <w:color w:val="212529"/>
          <w:sz w:val="24"/>
          <w:szCs w:val="24"/>
        </w:rPr>
      </w:pPr>
      <w:r>
        <w:rPr>
          <w:rFonts w:ascii="Times New Roman" w:hAnsi="Times New Roman" w:cs="Times New Roman"/>
          <w:color w:val="212529"/>
          <w:sz w:val="24"/>
          <w:szCs w:val="24"/>
        </w:rPr>
        <w:t xml:space="preserve">(Por </w:t>
      </w:r>
      <w:r w:rsidRPr="001B1933">
        <w:rPr>
          <w:rFonts w:ascii="Times New Roman" w:hAnsi="Times New Roman" w:cs="Times New Roman"/>
          <w:color w:val="212529"/>
          <w:sz w:val="24"/>
          <w:szCs w:val="24"/>
        </w:rPr>
        <w:t>Lidia Montes</w:t>
      </w:r>
      <w:r>
        <w:rPr>
          <w:rFonts w:ascii="Times New Roman" w:hAnsi="Times New Roman" w:cs="Times New Roman"/>
          <w:color w:val="212529"/>
          <w:sz w:val="24"/>
          <w:szCs w:val="24"/>
        </w:rPr>
        <w:t>)</w:t>
      </w:r>
    </w:p>
    <w:p w:rsidR="001F247E" w:rsidRPr="00BB5577" w:rsidRDefault="001F247E" w:rsidP="001F247E">
      <w:pPr>
        <w:shd w:val="clear" w:color="auto" w:fill="FFFFFF"/>
        <w:spacing w:before="100" w:beforeAutospacing="1" w:after="100" w:afterAutospacing="1" w:line="240" w:lineRule="auto"/>
        <w:jc w:val="both"/>
        <w:rPr>
          <w:rFonts w:ascii="Times New Roman" w:hAnsi="Times New Roman" w:cs="Times New Roman"/>
          <w:color w:val="212529"/>
          <w:sz w:val="24"/>
          <w:szCs w:val="24"/>
          <w:u w:val="single"/>
        </w:rPr>
      </w:pPr>
      <w:r w:rsidRPr="00BB5577">
        <w:rPr>
          <w:rFonts w:ascii="Times New Roman" w:hAnsi="Times New Roman" w:cs="Times New Roman"/>
          <w:color w:val="FF0000"/>
          <w:sz w:val="24"/>
          <w:szCs w:val="24"/>
          <w:u w:val="single"/>
        </w:rPr>
        <w:t>Energía, telecomunicaciones y mercados financieros. Son los tres sectores que el informe elaborado por el exprimer ministro italiano, Enrico Letta, identifica como los estratégicos para los próximos años para Europa</w:t>
      </w:r>
      <w:r w:rsidRPr="001B1933">
        <w:rPr>
          <w:rFonts w:ascii="Times New Roman" w:hAnsi="Times New Roman" w:cs="Times New Roman"/>
          <w:color w:val="212529"/>
          <w:sz w:val="24"/>
          <w:szCs w:val="24"/>
        </w:rPr>
        <w:t xml:space="preserve">. Su análisis, centrado en el mercado único, tiene la vista puesta en construir </w:t>
      </w:r>
      <w:r w:rsidRPr="00BB5577">
        <w:rPr>
          <w:rFonts w:ascii="Times New Roman" w:hAnsi="Times New Roman" w:cs="Times New Roman"/>
          <w:color w:val="FF0000"/>
          <w:sz w:val="24"/>
          <w:szCs w:val="24"/>
          <w:u w:val="single"/>
        </w:rPr>
        <w:t>una estrategia con la que impulsar la competitividad de la UE. Porque</w:t>
      </w:r>
      <w:r w:rsidRPr="00BB5577">
        <w:rPr>
          <w:rFonts w:ascii="Times New Roman" w:hAnsi="Times New Roman" w:cs="Times New Roman"/>
          <w:color w:val="FF0000"/>
          <w:sz w:val="24"/>
          <w:szCs w:val="24"/>
        </w:rPr>
        <w:t xml:space="preserve"> </w:t>
      </w:r>
      <w:r w:rsidR="005D76BF">
        <w:rPr>
          <w:rFonts w:ascii="Times New Roman" w:hAnsi="Times New Roman" w:cs="Times New Roman"/>
          <w:color w:val="FF0000"/>
          <w:sz w:val="24"/>
          <w:szCs w:val="24"/>
          <w:u w:val="single"/>
        </w:rPr>
        <w:t>“</w:t>
      </w:r>
      <w:r w:rsidRPr="00BB5577">
        <w:rPr>
          <w:rFonts w:ascii="Times New Roman" w:hAnsi="Times New Roman" w:cs="Times New Roman"/>
          <w:color w:val="FF0000"/>
          <w:sz w:val="24"/>
          <w:szCs w:val="24"/>
          <w:u w:val="single"/>
        </w:rPr>
        <w:t>el riesgo de desindustrialización en e</w:t>
      </w:r>
      <w:r w:rsidR="005D76BF">
        <w:rPr>
          <w:rFonts w:ascii="Times New Roman" w:hAnsi="Times New Roman" w:cs="Times New Roman"/>
          <w:color w:val="FF0000"/>
          <w:sz w:val="24"/>
          <w:szCs w:val="24"/>
          <w:u w:val="single"/>
        </w:rPr>
        <w:t>l continente no es irreversible” pero es “una amenaza real”</w:t>
      </w:r>
      <w:r w:rsidRPr="00BB5577">
        <w:rPr>
          <w:rFonts w:ascii="Times New Roman" w:hAnsi="Times New Roman" w:cs="Times New Roman"/>
          <w:color w:val="FF0000"/>
          <w:sz w:val="24"/>
          <w:szCs w:val="24"/>
          <w:u w:val="single"/>
        </w:rPr>
        <w:t>.</w:t>
      </w:r>
      <w:r w:rsidRPr="00BB5577">
        <w:rPr>
          <w:rFonts w:ascii="Times New Roman" w:hAnsi="Times New Roman" w:cs="Times New Roman"/>
          <w:color w:val="FF0000"/>
          <w:sz w:val="24"/>
          <w:szCs w:val="24"/>
        </w:rPr>
        <w:t xml:space="preserve"> </w:t>
      </w:r>
      <w:r w:rsidRPr="00BB5577">
        <w:rPr>
          <w:rFonts w:ascii="Times New Roman" w:hAnsi="Times New Roman" w:cs="Times New Roman"/>
          <w:color w:val="212529"/>
          <w:sz w:val="24"/>
          <w:szCs w:val="24"/>
          <w:u w:val="single"/>
        </w:rPr>
        <w:t>Y ante tal tesitura, el italia</w:t>
      </w:r>
      <w:r w:rsidR="005D76BF">
        <w:rPr>
          <w:rFonts w:ascii="Times New Roman" w:hAnsi="Times New Roman" w:cs="Times New Roman"/>
          <w:color w:val="212529"/>
          <w:sz w:val="24"/>
          <w:szCs w:val="24"/>
          <w:u w:val="single"/>
        </w:rPr>
        <w:t>no ha abogado por impulsar una “</w:t>
      </w:r>
      <w:r w:rsidRPr="00BB5577">
        <w:rPr>
          <w:rFonts w:ascii="Times New Roman" w:hAnsi="Times New Roman" w:cs="Times New Roman"/>
          <w:color w:val="212529"/>
          <w:sz w:val="24"/>
          <w:szCs w:val="24"/>
          <w:u w:val="single"/>
        </w:rPr>
        <w:t>estrategia</w:t>
      </w:r>
      <w:r w:rsidR="005D76BF">
        <w:rPr>
          <w:rFonts w:ascii="Times New Roman" w:hAnsi="Times New Roman" w:cs="Times New Roman"/>
          <w:color w:val="212529"/>
          <w:sz w:val="24"/>
          <w:szCs w:val="24"/>
          <w:u w:val="single"/>
        </w:rPr>
        <w:t xml:space="preserve"> industrial competitiva”</w:t>
      </w:r>
      <w:r w:rsidRPr="00BB5577">
        <w:rPr>
          <w:rFonts w:ascii="Times New Roman" w:hAnsi="Times New Roman" w:cs="Times New Roman"/>
          <w:color w:val="212529"/>
          <w:sz w:val="24"/>
          <w:szCs w:val="24"/>
          <w:u w:val="single"/>
        </w:rPr>
        <w:t>, en la que incluye fórmulas como un código europeo de legislación empresarial, un sistema de contribución de ayudas de los Estados miembro o la simplificación del marco regulatorio.</w:t>
      </w:r>
    </w:p>
    <w:p w:rsidR="001F247E" w:rsidRPr="00BB5577" w:rsidRDefault="005D76BF" w:rsidP="001F247E">
      <w:pPr>
        <w:shd w:val="clear" w:color="auto" w:fill="FFFFFF"/>
        <w:spacing w:before="100" w:beforeAutospacing="1" w:after="100" w:afterAutospacing="1"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1F247E" w:rsidRPr="00BB5577">
        <w:rPr>
          <w:rFonts w:ascii="Times New Roman" w:hAnsi="Times New Roman" w:cs="Times New Roman"/>
          <w:color w:val="FF0000"/>
          <w:sz w:val="24"/>
          <w:szCs w:val="24"/>
          <w:u w:val="single"/>
        </w:rPr>
        <w:t xml:space="preserve">La energía, las telecomunicaciones y los mercados financieros están en el corazón de </w:t>
      </w:r>
      <w:r>
        <w:rPr>
          <w:rFonts w:ascii="Times New Roman" w:hAnsi="Times New Roman" w:cs="Times New Roman"/>
          <w:color w:val="FF0000"/>
          <w:sz w:val="24"/>
          <w:szCs w:val="24"/>
          <w:u w:val="single"/>
        </w:rPr>
        <w:t>mi reflexión desde el principio”</w:t>
      </w:r>
      <w:r w:rsidR="001F247E" w:rsidRPr="00BB5577">
        <w:rPr>
          <w:rFonts w:ascii="Times New Roman" w:hAnsi="Times New Roman" w:cs="Times New Roman"/>
          <w:color w:val="FF0000"/>
          <w:sz w:val="24"/>
          <w:szCs w:val="24"/>
          <w:u w:val="single"/>
        </w:rPr>
        <w:t xml:space="preserve">, ha explicado el exprimer ministro italiano durante la presentación de un informe que considera estos tres sectores como pilares de la próxima agenda estratégica de la UE. Ante la fuerte </w:t>
      </w:r>
      <w:r>
        <w:rPr>
          <w:rFonts w:ascii="Times New Roman" w:hAnsi="Times New Roman" w:cs="Times New Roman"/>
          <w:color w:val="FF0000"/>
          <w:sz w:val="24"/>
          <w:szCs w:val="24"/>
          <w:u w:val="single"/>
        </w:rPr>
        <w:t>competencia mundial, el bloque “</w:t>
      </w:r>
      <w:r w:rsidR="001F247E" w:rsidRPr="00BB5577">
        <w:rPr>
          <w:rFonts w:ascii="Times New Roman" w:hAnsi="Times New Roman" w:cs="Times New Roman"/>
          <w:color w:val="FF0000"/>
          <w:sz w:val="24"/>
          <w:szCs w:val="24"/>
          <w:u w:val="single"/>
        </w:rPr>
        <w:t>debe redoblar sus esfuerzos para desarrollar una estrategia industrial competitiva capaz de contrarrestar los instrumentos adoptados recientemente por otras potencias mundiales, como la Ley de Reducción de la Inflación esta</w:t>
      </w:r>
      <w:r>
        <w:rPr>
          <w:rFonts w:ascii="Times New Roman" w:hAnsi="Times New Roman" w:cs="Times New Roman"/>
          <w:color w:val="FF0000"/>
          <w:sz w:val="24"/>
          <w:szCs w:val="24"/>
          <w:u w:val="single"/>
        </w:rPr>
        <w:t>dounidense”</w:t>
      </w:r>
      <w:r w:rsidR="001F247E" w:rsidRPr="00BB5577">
        <w:rPr>
          <w:rFonts w:ascii="Times New Roman" w:hAnsi="Times New Roman" w:cs="Times New Roman"/>
          <w:color w:val="FF0000"/>
          <w:sz w:val="24"/>
          <w:szCs w:val="24"/>
          <w:u w:val="single"/>
        </w:rPr>
        <w:t>, explica Letta en su informe.</w:t>
      </w:r>
    </w:p>
    <w:p w:rsidR="001F247E" w:rsidRPr="001B1933" w:rsidRDefault="001F247E" w:rsidP="001F247E">
      <w:pPr>
        <w:shd w:val="clear" w:color="auto" w:fill="FFFFFF"/>
        <w:spacing w:before="100" w:beforeAutospacing="1" w:after="100" w:afterAutospacing="1" w:line="240" w:lineRule="auto"/>
        <w:jc w:val="both"/>
        <w:rPr>
          <w:rFonts w:ascii="Times New Roman" w:hAnsi="Times New Roman" w:cs="Times New Roman"/>
          <w:color w:val="212529"/>
          <w:sz w:val="24"/>
          <w:szCs w:val="24"/>
        </w:rPr>
      </w:pPr>
      <w:r w:rsidRPr="00F426EB">
        <w:rPr>
          <w:rFonts w:ascii="Times New Roman" w:hAnsi="Times New Roman" w:cs="Times New Roman"/>
          <w:color w:val="FF0000"/>
          <w:sz w:val="24"/>
          <w:szCs w:val="24"/>
          <w:u w:val="single"/>
        </w:rPr>
        <w:t xml:space="preserve">El informe propone avanzar en la unión de mercado de capitales o un mecanismo de contribución de ayudas de Estado de los países de la UE como fórmulas para impulsar la competitividad. </w:t>
      </w:r>
      <w:r w:rsidR="005D76BF">
        <w:rPr>
          <w:rFonts w:ascii="Times New Roman" w:hAnsi="Times New Roman" w:cs="Times New Roman"/>
          <w:b/>
          <w:color w:val="FF0000"/>
          <w:sz w:val="24"/>
          <w:szCs w:val="24"/>
          <w:u w:val="single"/>
        </w:rPr>
        <w:t>“</w:t>
      </w:r>
      <w:r w:rsidRPr="00F426EB">
        <w:rPr>
          <w:rFonts w:ascii="Times New Roman" w:hAnsi="Times New Roman" w:cs="Times New Roman"/>
          <w:b/>
          <w:color w:val="FF0000"/>
          <w:sz w:val="24"/>
          <w:szCs w:val="24"/>
          <w:u w:val="single"/>
        </w:rPr>
        <w:t>Para aliviar la tensión entre los nuevos planteamientos industriales y el marco del mercado único, la estrategia industrial de la UE debe adoptar un enfoque más europeo.</w:t>
      </w:r>
      <w:r w:rsidRPr="00F426EB">
        <w:rPr>
          <w:rFonts w:ascii="Times New Roman" w:hAnsi="Times New Roman" w:cs="Times New Roman"/>
          <w:b/>
          <w:color w:val="212529"/>
          <w:sz w:val="24"/>
          <w:szCs w:val="24"/>
        </w:rPr>
        <w:t xml:space="preserve"> </w:t>
      </w:r>
      <w:r w:rsidRPr="00F426EB">
        <w:rPr>
          <w:rFonts w:ascii="Times New Roman" w:hAnsi="Times New Roman" w:cs="Times New Roman"/>
          <w:color w:val="212529"/>
          <w:sz w:val="24"/>
          <w:szCs w:val="24"/>
          <w:u w:val="single"/>
        </w:rPr>
        <w:t>El mencionado mecanismo de contribución de las ayudas estatales es un primer paso en esta dirección y, a largo plazo, podría sentar las bases para iniciar una oleada de inversiones</w:t>
      </w:r>
      <w:r w:rsidR="005D76BF">
        <w:rPr>
          <w:rFonts w:ascii="Times New Roman" w:hAnsi="Times New Roman" w:cs="Times New Roman"/>
          <w:color w:val="212529"/>
          <w:sz w:val="24"/>
          <w:szCs w:val="24"/>
          <w:u w:val="single"/>
        </w:rPr>
        <w:t xml:space="preserve"> públicas genuinamente europeas”</w:t>
      </w:r>
      <w:r w:rsidRPr="00F426EB">
        <w:rPr>
          <w:rFonts w:ascii="Times New Roman" w:hAnsi="Times New Roman" w:cs="Times New Roman"/>
          <w:color w:val="212529"/>
          <w:sz w:val="24"/>
          <w:szCs w:val="24"/>
          <w:u w:val="single"/>
        </w:rPr>
        <w:t>, subraya Letta en su informe</w:t>
      </w:r>
      <w:r w:rsidRPr="001B1933">
        <w:rPr>
          <w:rFonts w:ascii="Times New Roman" w:hAnsi="Times New Roman" w:cs="Times New Roman"/>
          <w:color w:val="212529"/>
          <w:sz w:val="24"/>
          <w:szCs w:val="24"/>
        </w:rPr>
        <w:t>.</w:t>
      </w:r>
    </w:p>
    <w:p w:rsidR="001F247E" w:rsidRPr="001B1933" w:rsidRDefault="001F247E" w:rsidP="001F247E">
      <w:pPr>
        <w:shd w:val="clear" w:color="auto" w:fill="FFFFFF"/>
        <w:spacing w:before="100" w:beforeAutospacing="1" w:after="100" w:afterAutospacing="1" w:line="240" w:lineRule="auto"/>
        <w:jc w:val="both"/>
        <w:rPr>
          <w:rFonts w:ascii="Times New Roman" w:hAnsi="Times New Roman" w:cs="Times New Roman"/>
          <w:color w:val="212529"/>
          <w:sz w:val="24"/>
          <w:szCs w:val="24"/>
        </w:rPr>
      </w:pPr>
      <w:r w:rsidRPr="00F426EB">
        <w:rPr>
          <w:rFonts w:ascii="Times New Roman" w:hAnsi="Times New Roman" w:cs="Times New Roman"/>
          <w:color w:val="212529"/>
          <w:sz w:val="24"/>
          <w:szCs w:val="24"/>
          <w:u w:val="single"/>
        </w:rPr>
        <w:t>Pero la verdadera cuestión para la UE radica en la inversión. Hay varios factores que han propiciado una pérdida de competitividad de la economía del bloque</w:t>
      </w:r>
      <w:r w:rsidRPr="001B1933">
        <w:rPr>
          <w:rFonts w:ascii="Times New Roman" w:hAnsi="Times New Roman" w:cs="Times New Roman"/>
          <w:color w:val="212529"/>
          <w:sz w:val="24"/>
          <w:szCs w:val="24"/>
        </w:rPr>
        <w:t xml:space="preserve">, </w:t>
      </w:r>
      <w:r w:rsidRPr="00F426EB">
        <w:rPr>
          <w:rFonts w:ascii="Times New Roman" w:hAnsi="Times New Roman" w:cs="Times New Roman"/>
          <w:color w:val="212529"/>
          <w:sz w:val="24"/>
          <w:szCs w:val="24"/>
          <w:u w:val="single"/>
        </w:rPr>
        <w:t>que se enfrenta a una competencia pujante en un contexto geopolítico muy diferente al que vio nacer al mercado único.</w:t>
      </w:r>
      <w:r w:rsidRPr="001B1933">
        <w:rPr>
          <w:rFonts w:ascii="Times New Roman" w:hAnsi="Times New Roman" w:cs="Times New Roman"/>
          <w:color w:val="212529"/>
          <w:sz w:val="24"/>
          <w:szCs w:val="24"/>
        </w:rPr>
        <w:t xml:space="preserve"> </w:t>
      </w:r>
      <w:r w:rsidRPr="00F426EB">
        <w:rPr>
          <w:rFonts w:ascii="Times New Roman" w:hAnsi="Times New Roman" w:cs="Times New Roman"/>
          <w:color w:val="FF0000"/>
          <w:sz w:val="24"/>
          <w:szCs w:val="24"/>
          <w:u w:val="single"/>
        </w:rPr>
        <w:t>El documento evidencia el desvío anual de unos 300.000 millones de euros de los ahorros de las familias europeas de los mercados de la UE al extranjero, principalmente a la economía estadounidense</w:t>
      </w:r>
      <w:r w:rsidRPr="001B1933">
        <w:rPr>
          <w:rFonts w:ascii="Times New Roman" w:hAnsi="Times New Roman" w:cs="Times New Roman"/>
          <w:color w:val="212529"/>
          <w:sz w:val="24"/>
          <w:szCs w:val="24"/>
        </w:rPr>
        <w:t>.</w:t>
      </w:r>
    </w:p>
    <w:p w:rsidR="001F247E" w:rsidRPr="00F426EB" w:rsidRDefault="005D76BF" w:rsidP="001F247E">
      <w:pPr>
        <w:shd w:val="clear" w:color="auto" w:fill="FFFFFF"/>
        <w:spacing w:before="100" w:beforeAutospacing="1" w:after="100" w:afterAutospacing="1"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w:t>
      </w:r>
      <w:r w:rsidR="001F247E" w:rsidRPr="00F426EB">
        <w:rPr>
          <w:rFonts w:ascii="Times New Roman" w:hAnsi="Times New Roman" w:cs="Times New Roman"/>
          <w:b/>
          <w:color w:val="FF0000"/>
          <w:sz w:val="24"/>
          <w:szCs w:val="24"/>
          <w:u w:val="single"/>
        </w:rPr>
        <w:t>No es que la economía estadounidense tenga un tamaño mayor que la nuestra, pero si ellos lo están haciendo mejor que nosotros, quizás es que estamos haciendo algo ma</w:t>
      </w:r>
      <w:r>
        <w:rPr>
          <w:rFonts w:ascii="Times New Roman" w:hAnsi="Times New Roman" w:cs="Times New Roman"/>
          <w:b/>
          <w:color w:val="FF0000"/>
          <w:sz w:val="24"/>
          <w:szCs w:val="24"/>
          <w:u w:val="single"/>
        </w:rPr>
        <w:t>l”</w:t>
      </w:r>
      <w:r w:rsidR="001F247E" w:rsidRPr="00F426EB">
        <w:rPr>
          <w:rFonts w:ascii="Times New Roman" w:hAnsi="Times New Roman" w:cs="Times New Roman"/>
          <w:b/>
          <w:color w:val="FF0000"/>
          <w:sz w:val="24"/>
          <w:szCs w:val="24"/>
          <w:u w:val="single"/>
        </w:rPr>
        <w:t>, ha aseverado el italiano</w:t>
      </w:r>
      <w:r w:rsidR="001F247E" w:rsidRPr="001B1933">
        <w:rPr>
          <w:rFonts w:ascii="Times New Roman" w:hAnsi="Times New Roman" w:cs="Times New Roman"/>
          <w:color w:val="212529"/>
          <w:sz w:val="24"/>
          <w:szCs w:val="24"/>
        </w:rPr>
        <w:t xml:space="preserve">. Puso sobre la mesa el presidente del Consejo de la UE, Charles Michel, como </w:t>
      </w:r>
      <w:r w:rsidR="001F247E" w:rsidRPr="00F426EB">
        <w:rPr>
          <w:rFonts w:ascii="Times New Roman" w:hAnsi="Times New Roman" w:cs="Times New Roman"/>
          <w:b/>
          <w:color w:val="FF0000"/>
          <w:sz w:val="24"/>
          <w:szCs w:val="24"/>
          <w:u w:val="single"/>
        </w:rPr>
        <w:t>la fragmentación del mercado único impulsa a las empresas europeas a buscar capital más allá de las fronteras comunitarias.</w:t>
      </w:r>
    </w:p>
    <w:p w:rsidR="001F247E" w:rsidRPr="00F426EB" w:rsidRDefault="001F247E" w:rsidP="001F247E">
      <w:pPr>
        <w:shd w:val="clear" w:color="auto" w:fill="FFFFFF"/>
        <w:spacing w:before="100" w:beforeAutospacing="1" w:after="100" w:afterAutospacing="1" w:line="240" w:lineRule="auto"/>
        <w:jc w:val="both"/>
        <w:rPr>
          <w:rFonts w:ascii="Times New Roman" w:hAnsi="Times New Roman" w:cs="Times New Roman"/>
          <w:color w:val="FF0000"/>
          <w:sz w:val="24"/>
          <w:szCs w:val="24"/>
          <w:u w:val="single"/>
        </w:rPr>
      </w:pPr>
      <w:r w:rsidRPr="00F426EB">
        <w:rPr>
          <w:rFonts w:ascii="Times New Roman" w:hAnsi="Times New Roman" w:cs="Times New Roman"/>
          <w:color w:val="212529"/>
          <w:sz w:val="24"/>
          <w:szCs w:val="24"/>
          <w:u w:val="single"/>
        </w:rPr>
        <w:t>El informe</w:t>
      </w:r>
      <w:r w:rsidRPr="001B1933">
        <w:rPr>
          <w:rFonts w:ascii="Times New Roman" w:hAnsi="Times New Roman" w:cs="Times New Roman"/>
          <w:color w:val="212529"/>
          <w:sz w:val="24"/>
          <w:szCs w:val="24"/>
        </w:rPr>
        <w:t xml:space="preserve">, que ha sido elaborado tras más de 400 reuniones durante ocho meses en todos los Estados miembro, </w:t>
      </w:r>
      <w:r w:rsidRPr="00F426EB">
        <w:rPr>
          <w:rFonts w:ascii="Times New Roman" w:hAnsi="Times New Roman" w:cs="Times New Roman"/>
          <w:color w:val="FF0000"/>
          <w:sz w:val="24"/>
          <w:szCs w:val="24"/>
          <w:u w:val="single"/>
        </w:rPr>
        <w:t>considera que una integración real del mercado único constituirá un punto de inflexión para el bloque, tanto para movilizar los ahorros de los europeos, como para asegurar la continuidad de las transiciones verde digital y garantizar que la financiación necesaria está disponible.</w:t>
      </w:r>
    </w:p>
    <w:p w:rsidR="001F247E" w:rsidRPr="00F426EB" w:rsidRDefault="001F247E" w:rsidP="001F247E">
      <w:pPr>
        <w:shd w:val="clear" w:color="auto" w:fill="FFFFFF"/>
        <w:spacing w:before="100" w:beforeAutospacing="1" w:after="100" w:afterAutospacing="1" w:line="240" w:lineRule="auto"/>
        <w:jc w:val="both"/>
        <w:rPr>
          <w:rFonts w:ascii="Times New Roman" w:hAnsi="Times New Roman" w:cs="Times New Roman"/>
          <w:b/>
          <w:color w:val="FF0000"/>
          <w:sz w:val="24"/>
          <w:szCs w:val="24"/>
          <w:u w:val="single"/>
        </w:rPr>
      </w:pPr>
      <w:r w:rsidRPr="001B1933">
        <w:rPr>
          <w:rFonts w:ascii="Times New Roman" w:hAnsi="Times New Roman" w:cs="Times New Roman"/>
          <w:color w:val="212529"/>
          <w:sz w:val="24"/>
          <w:szCs w:val="24"/>
        </w:rPr>
        <w:lastRenderedPageBreak/>
        <w:t xml:space="preserve">De hecho, la financiación es precisamente una de las piedras angulares de la estrategia de competitividad que el bloque intenta delinear de cara al próximo ciclo legislativo, de 2025 a 2029. </w:t>
      </w:r>
      <w:r w:rsidRPr="00F426EB">
        <w:rPr>
          <w:rFonts w:ascii="Times New Roman" w:hAnsi="Times New Roman" w:cs="Times New Roman"/>
          <w:b/>
          <w:color w:val="FF0000"/>
          <w:sz w:val="24"/>
          <w:szCs w:val="24"/>
          <w:u w:val="single"/>
        </w:rPr>
        <w:t>Las necesidades de financiación para las transiciones verde y digital, a la que ahora se suma defensa, ascienden a unos 500.000 millones de euros anuales, según estimaciones del exprimer ministro italiano, Mario Draghi, a quien Bruselas también encomendó un informe sobre la competitividad de la UE que no verá la luz hasta junio.</w:t>
      </w:r>
    </w:p>
    <w:p w:rsidR="001F247E" w:rsidRPr="00F426EB" w:rsidRDefault="001F247E" w:rsidP="001F247E">
      <w:pPr>
        <w:shd w:val="clear" w:color="auto" w:fill="FFFFFF"/>
        <w:spacing w:before="100" w:beforeAutospacing="1" w:after="100" w:afterAutospacing="1" w:line="240" w:lineRule="auto"/>
        <w:jc w:val="both"/>
        <w:rPr>
          <w:rFonts w:ascii="Times New Roman" w:hAnsi="Times New Roman" w:cs="Times New Roman"/>
          <w:b/>
          <w:color w:val="FF0000"/>
          <w:sz w:val="24"/>
          <w:szCs w:val="24"/>
          <w:u w:val="single"/>
        </w:rPr>
      </w:pPr>
      <w:r w:rsidRPr="00F426EB">
        <w:rPr>
          <w:rFonts w:ascii="Times New Roman" w:hAnsi="Times New Roman" w:cs="Times New Roman"/>
          <w:color w:val="FF0000"/>
          <w:sz w:val="24"/>
          <w:szCs w:val="24"/>
          <w:u w:val="single"/>
        </w:rPr>
        <w:t>Se trata de encontrar un equilibrio entre financiación privada y pública, explicaron fuentes comunitarias a este medio</w:t>
      </w:r>
      <w:r w:rsidRPr="001B1933">
        <w:rPr>
          <w:rFonts w:ascii="Times New Roman" w:hAnsi="Times New Roman" w:cs="Times New Roman"/>
          <w:color w:val="212529"/>
          <w:sz w:val="24"/>
          <w:szCs w:val="24"/>
        </w:rPr>
        <w:t xml:space="preserve">. Pero el debate empieza a tomar forma entre los líderes comunitarios. </w:t>
      </w:r>
      <w:r w:rsidRPr="00F426EB">
        <w:rPr>
          <w:rFonts w:ascii="Times New Roman" w:hAnsi="Times New Roman" w:cs="Times New Roman"/>
          <w:b/>
          <w:color w:val="FF0000"/>
          <w:sz w:val="24"/>
          <w:szCs w:val="24"/>
          <w:u w:val="single"/>
        </w:rPr>
        <w:t>Para hacer frente a las necesidades de financiación del bloque de los próximos años, Letta sugiere avanzar en la unión de mercado de capitales, como una forma de impulsar la inversión privada en la economía real.</w:t>
      </w:r>
    </w:p>
    <w:p w:rsidR="001F247E" w:rsidRPr="00F426EB" w:rsidRDefault="001F247E" w:rsidP="001F247E">
      <w:pPr>
        <w:shd w:val="clear" w:color="auto" w:fill="FFFFFF"/>
        <w:spacing w:before="100" w:beforeAutospacing="1" w:after="100" w:afterAutospacing="1" w:line="240" w:lineRule="auto"/>
        <w:jc w:val="both"/>
        <w:rPr>
          <w:rFonts w:ascii="Times New Roman" w:hAnsi="Times New Roman" w:cs="Times New Roman"/>
          <w:b/>
          <w:color w:val="FF0000"/>
          <w:sz w:val="24"/>
          <w:szCs w:val="24"/>
          <w:u w:val="single"/>
        </w:rPr>
      </w:pPr>
      <w:r w:rsidRPr="00F426EB">
        <w:rPr>
          <w:rFonts w:ascii="Times New Roman" w:hAnsi="Times New Roman" w:cs="Times New Roman"/>
          <w:b/>
          <w:color w:val="FF0000"/>
          <w:sz w:val="24"/>
          <w:szCs w:val="24"/>
          <w:u w:val="single"/>
        </w:rPr>
        <w:t>El documento también se refiere a la creación de un mecanismo de contribución a nivel europeo en el que los Estados miembro hagan sus aportaciones con ayudas de Estado, una medida que busca evitar la fragmentación que generaría el diferente músculo fiscal con el que cuenta cada Estado miembro. El Banco Europeo de Inversiones está llamado a tener un papel más relevante, especialmente, en el sector de defensa.</w:t>
      </w:r>
    </w:p>
    <w:p w:rsidR="001F247E" w:rsidRPr="001B1933" w:rsidRDefault="001F247E" w:rsidP="001F247E">
      <w:pPr>
        <w:shd w:val="clear" w:color="auto" w:fill="FFFFFF"/>
        <w:spacing w:before="100" w:beforeAutospacing="1" w:after="100" w:afterAutospacing="1" w:line="240" w:lineRule="auto"/>
        <w:jc w:val="both"/>
        <w:rPr>
          <w:rFonts w:ascii="Times New Roman" w:hAnsi="Times New Roman" w:cs="Times New Roman"/>
          <w:color w:val="212529"/>
          <w:sz w:val="24"/>
          <w:szCs w:val="24"/>
        </w:rPr>
      </w:pPr>
      <w:r w:rsidRPr="00F426EB">
        <w:rPr>
          <w:rFonts w:ascii="Times New Roman" w:hAnsi="Times New Roman" w:cs="Times New Roman"/>
          <w:b/>
          <w:color w:val="FF0000"/>
          <w:sz w:val="24"/>
          <w:szCs w:val="24"/>
          <w:u w:val="single"/>
        </w:rPr>
        <w:t>Además, se ha abierto el debate de una nueva emisión de deuda, que no convence a países frugales como Alemania o Países Bajos</w:t>
      </w:r>
      <w:r w:rsidRPr="001B1933">
        <w:rPr>
          <w:rFonts w:ascii="Times New Roman" w:hAnsi="Times New Roman" w:cs="Times New Roman"/>
          <w:color w:val="212529"/>
          <w:sz w:val="24"/>
          <w:szCs w:val="24"/>
        </w:rPr>
        <w:t>. Y el documento evidencia el desafío al que se enfrentan las pequeñas y medianas empresas, no solo por las escasas oportunidades para captar inversión y escalar sus negocios sino para impulsar su papel en el ámbito de la innovación, uno de los puntos en los que la UE quiere intentar coger fuerza para competir con EEUU y China.</w:t>
      </w:r>
    </w:p>
    <w:p w:rsidR="001F247E" w:rsidRPr="00F426EB" w:rsidRDefault="001F247E" w:rsidP="001F247E">
      <w:pPr>
        <w:shd w:val="clear" w:color="auto" w:fill="FFFFFF"/>
        <w:spacing w:before="100" w:beforeAutospacing="1" w:after="100" w:afterAutospacing="1" w:line="240" w:lineRule="auto"/>
        <w:jc w:val="both"/>
        <w:rPr>
          <w:rFonts w:ascii="Times New Roman" w:hAnsi="Times New Roman" w:cs="Times New Roman"/>
          <w:b/>
          <w:color w:val="FF0000"/>
          <w:sz w:val="24"/>
          <w:szCs w:val="24"/>
          <w:u w:val="single"/>
        </w:rPr>
      </w:pPr>
      <w:r w:rsidRPr="00F426EB">
        <w:rPr>
          <w:rFonts w:ascii="Times New Roman" w:hAnsi="Times New Roman" w:cs="Times New Roman"/>
          <w:b/>
          <w:color w:val="FF0000"/>
          <w:sz w:val="24"/>
          <w:szCs w:val="24"/>
          <w:u w:val="single"/>
        </w:rPr>
        <w:t>Sobre</w:t>
      </w:r>
      <w:r w:rsidR="005D76BF">
        <w:rPr>
          <w:rFonts w:ascii="Times New Roman" w:hAnsi="Times New Roman" w:cs="Times New Roman"/>
          <w:b/>
          <w:color w:val="FF0000"/>
          <w:sz w:val="24"/>
          <w:szCs w:val="24"/>
          <w:u w:val="single"/>
        </w:rPr>
        <w:t xml:space="preserve"> todo, el informe evidencia el “</w:t>
      </w:r>
      <w:r w:rsidRPr="00F426EB">
        <w:rPr>
          <w:rFonts w:ascii="Times New Roman" w:hAnsi="Times New Roman" w:cs="Times New Roman"/>
          <w:b/>
          <w:color w:val="FF0000"/>
          <w:sz w:val="24"/>
          <w:szCs w:val="24"/>
          <w:u w:val="single"/>
        </w:rPr>
        <w:t>fuerte compromiso político para p</w:t>
      </w:r>
      <w:r w:rsidR="005D76BF">
        <w:rPr>
          <w:rFonts w:ascii="Times New Roman" w:hAnsi="Times New Roman" w:cs="Times New Roman"/>
          <w:b/>
          <w:color w:val="FF0000"/>
          <w:sz w:val="24"/>
          <w:szCs w:val="24"/>
          <w:u w:val="single"/>
        </w:rPr>
        <w:t>otenciar un nuevo Mercado Único”</w:t>
      </w:r>
      <w:r w:rsidRPr="00F426EB">
        <w:rPr>
          <w:rFonts w:ascii="Times New Roman" w:hAnsi="Times New Roman" w:cs="Times New Roman"/>
          <w:b/>
          <w:color w:val="FF0000"/>
          <w:sz w:val="24"/>
          <w:szCs w:val="24"/>
          <w:u w:val="single"/>
        </w:rPr>
        <w:t>. Este nuevo marco, según explica, debe ser cap</w:t>
      </w:r>
      <w:r w:rsidR="005D76BF">
        <w:rPr>
          <w:rFonts w:ascii="Times New Roman" w:hAnsi="Times New Roman" w:cs="Times New Roman"/>
          <w:b/>
          <w:color w:val="FF0000"/>
          <w:sz w:val="24"/>
          <w:szCs w:val="24"/>
          <w:u w:val="single"/>
        </w:rPr>
        <w:t>az de “</w:t>
      </w:r>
      <w:r w:rsidRPr="00F426EB">
        <w:rPr>
          <w:rFonts w:ascii="Times New Roman" w:hAnsi="Times New Roman" w:cs="Times New Roman"/>
          <w:b/>
          <w:color w:val="FF0000"/>
          <w:sz w:val="24"/>
          <w:szCs w:val="24"/>
          <w:u w:val="single"/>
        </w:rPr>
        <w:t>establecer una política industrial europea dinámica y eficaz. Para alcanzar estos ambiciosos objetivos, necesitamos velocidad, necesitamos escala y, sobre todo, necesitamos r</w:t>
      </w:r>
      <w:r w:rsidR="005D76BF">
        <w:rPr>
          <w:rFonts w:ascii="Times New Roman" w:hAnsi="Times New Roman" w:cs="Times New Roman"/>
          <w:b/>
          <w:color w:val="FF0000"/>
          <w:sz w:val="24"/>
          <w:szCs w:val="24"/>
          <w:u w:val="single"/>
        </w:rPr>
        <w:t>ecursos financieros suficientes”</w:t>
      </w:r>
      <w:r w:rsidRPr="00F426EB">
        <w:rPr>
          <w:rFonts w:ascii="Times New Roman" w:hAnsi="Times New Roman" w:cs="Times New Roman"/>
          <w:b/>
          <w:color w:val="FF0000"/>
          <w:sz w:val="24"/>
          <w:szCs w:val="24"/>
          <w:u w:val="single"/>
        </w:rPr>
        <w:t>.</w:t>
      </w:r>
    </w:p>
    <w:p w:rsidR="001F247E" w:rsidRPr="00F426EB" w:rsidRDefault="001F247E" w:rsidP="001F247E">
      <w:pPr>
        <w:shd w:val="clear" w:color="auto" w:fill="FFFFFF"/>
        <w:spacing w:before="100" w:beforeAutospacing="1" w:after="100" w:afterAutospacing="1" w:line="240" w:lineRule="auto"/>
        <w:jc w:val="both"/>
        <w:rPr>
          <w:rFonts w:ascii="Times New Roman" w:hAnsi="Times New Roman" w:cs="Times New Roman"/>
          <w:color w:val="FF0000"/>
          <w:sz w:val="24"/>
          <w:szCs w:val="24"/>
          <w:u w:val="single"/>
        </w:rPr>
      </w:pPr>
      <w:r w:rsidRPr="001B1933">
        <w:rPr>
          <w:rFonts w:ascii="Times New Roman" w:hAnsi="Times New Roman" w:cs="Times New Roman"/>
          <w:color w:val="212529"/>
          <w:sz w:val="24"/>
          <w:szCs w:val="24"/>
        </w:rPr>
        <w:t xml:space="preserve">El informe de Letta en cierta manera engorda la larga lista de documentos que han sido preparados en los últimos años para avanzar en la integración del mercado único. Uno de los más conocidos, sobre una nueva estrategia para el mercado único, elaborado por el profesor Mario Monti. </w:t>
      </w:r>
      <w:r w:rsidRPr="00F426EB">
        <w:rPr>
          <w:rFonts w:ascii="Times New Roman" w:hAnsi="Times New Roman" w:cs="Times New Roman"/>
          <w:color w:val="FF0000"/>
          <w:sz w:val="24"/>
          <w:szCs w:val="24"/>
          <w:u w:val="single"/>
        </w:rPr>
        <w:t xml:space="preserve">Preguntado sobre los múltiples informes elaborados hasta la fecha que no han llegado a tener traslación real, Letta se ha mostrado en la trascendencia de </w:t>
      </w:r>
      <w:r w:rsidR="005D76BF">
        <w:rPr>
          <w:rFonts w:ascii="Times New Roman" w:hAnsi="Times New Roman" w:cs="Times New Roman"/>
          <w:color w:val="FF0000"/>
          <w:sz w:val="24"/>
          <w:szCs w:val="24"/>
          <w:u w:val="single"/>
        </w:rPr>
        <w:t>su documento al considerar que “</w:t>
      </w:r>
      <w:r w:rsidRPr="00F426EB">
        <w:rPr>
          <w:rFonts w:ascii="Times New Roman" w:hAnsi="Times New Roman" w:cs="Times New Roman"/>
          <w:color w:val="FF0000"/>
          <w:sz w:val="24"/>
          <w:szCs w:val="24"/>
          <w:u w:val="single"/>
        </w:rPr>
        <w:t>esta es l</w:t>
      </w:r>
      <w:r w:rsidR="005D76BF">
        <w:rPr>
          <w:rFonts w:ascii="Times New Roman" w:hAnsi="Times New Roman" w:cs="Times New Roman"/>
          <w:color w:val="FF0000"/>
          <w:sz w:val="24"/>
          <w:szCs w:val="24"/>
          <w:u w:val="single"/>
        </w:rPr>
        <w:t>a última ventana de oportunidad” para la UE. “</w:t>
      </w:r>
      <w:r w:rsidRPr="00F426EB">
        <w:rPr>
          <w:rFonts w:ascii="Times New Roman" w:hAnsi="Times New Roman" w:cs="Times New Roman"/>
          <w:color w:val="FF0000"/>
          <w:sz w:val="24"/>
          <w:szCs w:val="24"/>
          <w:u w:val="single"/>
        </w:rPr>
        <w:t>Ahora es el momento de actuar</w:t>
      </w:r>
      <w:r w:rsidR="005D76BF">
        <w:rPr>
          <w:rFonts w:ascii="Times New Roman" w:hAnsi="Times New Roman" w:cs="Times New Roman"/>
          <w:color w:val="FF0000"/>
          <w:sz w:val="24"/>
          <w:szCs w:val="24"/>
          <w:u w:val="single"/>
        </w:rPr>
        <w:t>”</w:t>
      </w:r>
      <w:r w:rsidRPr="00F426EB">
        <w:rPr>
          <w:rFonts w:ascii="Times New Roman" w:hAnsi="Times New Roman" w:cs="Times New Roman"/>
          <w:color w:val="FF0000"/>
          <w:sz w:val="24"/>
          <w:szCs w:val="24"/>
          <w:u w:val="single"/>
        </w:rPr>
        <w:t xml:space="preserve"> para que el bloque no se quede rezagado ante Estados Unidos y China, ha considerado.</w:t>
      </w:r>
    </w:p>
    <w:p w:rsidR="001F247E" w:rsidRPr="00F426EB" w:rsidRDefault="001F247E" w:rsidP="001F247E">
      <w:pPr>
        <w:shd w:val="clear" w:color="auto" w:fill="FFFFFF"/>
        <w:spacing w:before="100" w:beforeAutospacing="1" w:after="100" w:afterAutospacing="1" w:line="240" w:lineRule="auto"/>
        <w:jc w:val="both"/>
        <w:rPr>
          <w:rFonts w:ascii="Times New Roman" w:hAnsi="Times New Roman" w:cs="Times New Roman"/>
          <w:color w:val="FF0000"/>
          <w:sz w:val="24"/>
          <w:szCs w:val="24"/>
          <w:u w:val="single"/>
        </w:rPr>
      </w:pPr>
      <w:r w:rsidRPr="00F426EB">
        <w:rPr>
          <w:rFonts w:ascii="Times New Roman" w:hAnsi="Times New Roman" w:cs="Times New Roman"/>
          <w:color w:val="212529"/>
          <w:sz w:val="24"/>
          <w:szCs w:val="24"/>
          <w:u w:val="single"/>
        </w:rPr>
        <w:t>El de Letta no será el único informe que delinee la estrategia de competitividad de la UE. En junio el exprimer ministro italiano, Mario Draghi, presentará su informe sobre la competitividad del bloque,</w:t>
      </w:r>
      <w:r w:rsidRPr="001B1933">
        <w:rPr>
          <w:rFonts w:ascii="Times New Roman" w:hAnsi="Times New Roman" w:cs="Times New Roman"/>
          <w:color w:val="212529"/>
          <w:sz w:val="24"/>
          <w:szCs w:val="24"/>
        </w:rPr>
        <w:t xml:space="preserve"> a encargo de la presidenta de la Comisión Europea, Ursula von der Leyen. </w:t>
      </w:r>
      <w:r w:rsidRPr="00F426EB">
        <w:rPr>
          <w:rFonts w:ascii="Times New Roman" w:hAnsi="Times New Roman" w:cs="Times New Roman"/>
          <w:color w:val="FF0000"/>
          <w:sz w:val="24"/>
          <w:szCs w:val="24"/>
          <w:u w:val="single"/>
        </w:rPr>
        <w:t>Un documento que busca poner el foco en la política industrial de la UE que le confiera autonomía estratégica. Una política industrial que elimine dependencias de terceros países como fue la del gas natural de Rusia, la de la fotovoltaica de China o, el próximo paso, reducir dependencias del 78% de suministro de sector de defensa de Estados Unidos.</w:t>
      </w:r>
    </w:p>
    <w:p w:rsidR="001F247E" w:rsidRPr="004302B6" w:rsidRDefault="001F247E" w:rsidP="001F247E">
      <w:pPr>
        <w:shd w:val="clear" w:color="auto" w:fill="FFFFFF"/>
        <w:spacing w:before="100" w:beforeAutospacing="1" w:after="100" w:afterAutospacing="1" w:line="240" w:lineRule="auto"/>
        <w:ind w:left="720"/>
        <w:rPr>
          <w:rFonts w:ascii="Times New Roman" w:eastAsia="Times New Roman" w:hAnsi="Times New Roman" w:cs="Times New Roman"/>
          <w:i/>
          <w:color w:val="212529"/>
          <w:sz w:val="24"/>
          <w:szCs w:val="24"/>
          <w:lang w:eastAsia="es-ES"/>
        </w:rPr>
      </w:pPr>
    </w:p>
    <w:p w:rsidR="008865A5" w:rsidRPr="00CA5846" w:rsidRDefault="00CA5846" w:rsidP="005D76BF">
      <w:pPr>
        <w:shd w:val="clear" w:color="auto" w:fill="FFFFFF"/>
        <w:spacing w:after="100" w:afterAutospacing="1" w:line="240" w:lineRule="auto"/>
        <w:rPr>
          <w:rFonts w:ascii="Open Sans" w:eastAsia="Times New Roman" w:hAnsi="Open Sans" w:cs="Open Sans"/>
          <w:sz w:val="21"/>
          <w:szCs w:val="21"/>
          <w:lang w:eastAsia="es-ES"/>
        </w:rPr>
      </w:pPr>
      <w:r w:rsidRPr="00CA5846">
        <w:rPr>
          <w:rFonts w:ascii="Open Sans" w:eastAsia="Times New Roman" w:hAnsi="Open Sans" w:cs="Open Sans"/>
          <w:sz w:val="21"/>
          <w:szCs w:val="21"/>
          <w:lang w:eastAsia="es-ES"/>
        </w:rPr>
        <w:lastRenderedPageBreak/>
        <w:t xml:space="preserve">- </w:t>
      </w:r>
      <w:r w:rsidR="005D76BF" w:rsidRPr="00CA5846">
        <w:rPr>
          <w:rFonts w:ascii="Open Sans" w:eastAsia="Times New Roman" w:hAnsi="Open Sans" w:cs="Open Sans"/>
          <w:sz w:val="21"/>
          <w:szCs w:val="21"/>
          <w:lang w:eastAsia="es-ES"/>
        </w:rPr>
        <w:t> </w:t>
      </w:r>
      <w:r w:rsidR="003B4338" w:rsidRPr="00CA5846">
        <w:rPr>
          <w:rFonts w:ascii="Times New Roman" w:hAnsi="Times New Roman" w:cs="Times New Roman"/>
          <w:b/>
          <w:sz w:val="24"/>
          <w:szCs w:val="24"/>
        </w:rPr>
        <w:t>El Informe Draghi: El futuro de la competitividad europ</w:t>
      </w:r>
      <w:r w:rsidR="005D76BF" w:rsidRPr="00CA5846">
        <w:rPr>
          <w:rFonts w:ascii="Times New Roman" w:hAnsi="Times New Roman" w:cs="Times New Roman"/>
          <w:b/>
          <w:sz w:val="24"/>
          <w:szCs w:val="24"/>
        </w:rPr>
        <w:t>e</w:t>
      </w:r>
      <w:r w:rsidR="003B4338" w:rsidRPr="00CA5846">
        <w:rPr>
          <w:rFonts w:ascii="Times New Roman" w:hAnsi="Times New Roman" w:cs="Times New Roman"/>
          <w:b/>
          <w:sz w:val="24"/>
          <w:szCs w:val="24"/>
        </w:rPr>
        <w:t>a</w:t>
      </w:r>
    </w:p>
    <w:p w:rsidR="008865A5" w:rsidRDefault="008865A5" w:rsidP="008865A5">
      <w:pPr>
        <w:spacing w:line="240" w:lineRule="auto"/>
        <w:jc w:val="both"/>
        <w:rPr>
          <w:rFonts w:ascii="Times New Roman" w:hAnsi="Times New Roman" w:cs="Times New Roman"/>
          <w:color w:val="FF0000"/>
          <w:sz w:val="24"/>
          <w:szCs w:val="24"/>
        </w:rPr>
      </w:pPr>
      <w:r>
        <w:rPr>
          <w:noProof/>
          <w:lang w:eastAsia="es-ES"/>
        </w:rPr>
        <w:drawing>
          <wp:inline distT="0" distB="0" distL="0" distR="0" wp14:anchorId="1E2328B4" wp14:editId="45DD4101">
            <wp:extent cx="5731510" cy="3575050"/>
            <wp:effectExtent l="0" t="0" r="2540" b="6350"/>
            <wp:docPr id="15" name="Imagen 15" descr="Foto: Mario Draghi y Úrsula Von der Leyen. (EFE/Olivier Hos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Mario Draghi y Úrsula Von der Leyen. (EFE/Olivier Hosle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3575050"/>
                    </a:xfrm>
                    <a:prstGeom prst="rect">
                      <a:avLst/>
                    </a:prstGeom>
                    <a:noFill/>
                    <a:ln>
                      <a:noFill/>
                    </a:ln>
                  </pic:spPr>
                </pic:pic>
              </a:graphicData>
            </a:graphic>
          </wp:inline>
        </w:drawing>
      </w:r>
    </w:p>
    <w:p w:rsidR="003B4338" w:rsidRDefault="003B4338" w:rsidP="003B4338">
      <w:pPr>
        <w:pStyle w:val="NormalWeb"/>
        <w:spacing w:after="0"/>
        <w:jc w:val="both"/>
      </w:pPr>
      <w:r>
        <w:t xml:space="preserve">- </w:t>
      </w:r>
      <w:r w:rsidR="005D76BF">
        <w:rPr>
          <w:u w:val="single"/>
        </w:rPr>
        <w:t>La UE necesita una “transformación radical”</w:t>
      </w:r>
      <w:r w:rsidRPr="009F0F45">
        <w:rPr>
          <w:u w:val="single"/>
        </w:rPr>
        <w:t xml:space="preserve"> para competir con China y Estados Unidos</w:t>
      </w:r>
      <w:r>
        <w:t xml:space="preserve"> (Expansión - </w:t>
      </w:r>
      <w:r w:rsidRPr="009F0F45">
        <w:rPr>
          <w:b/>
        </w:rPr>
        <w:t>9/9/24</w:t>
      </w:r>
      <w:r>
        <w:t>)</w:t>
      </w:r>
    </w:p>
    <w:p w:rsidR="003B4338" w:rsidRPr="00F426EB" w:rsidRDefault="003B4338" w:rsidP="003B4338">
      <w:pPr>
        <w:pStyle w:val="NormalWeb"/>
        <w:spacing w:after="0"/>
        <w:jc w:val="both"/>
        <w:rPr>
          <w:color w:val="FF0000"/>
          <w:u w:val="single"/>
        </w:rPr>
      </w:pPr>
      <w:r w:rsidRPr="00F426EB">
        <w:rPr>
          <w:color w:val="FF0000"/>
          <w:u w:val="single"/>
        </w:rPr>
        <w:t>El ex primer ministro italiano Mario Draghi ha advertido hoy de que la Unión</w:t>
      </w:r>
      <w:r w:rsidR="005D76BF">
        <w:rPr>
          <w:color w:val="FF0000"/>
          <w:u w:val="single"/>
        </w:rPr>
        <w:t xml:space="preserve"> Europea necesitará un aumento “masivo”</w:t>
      </w:r>
      <w:r w:rsidRPr="00F426EB">
        <w:rPr>
          <w:color w:val="FF0000"/>
          <w:u w:val="single"/>
        </w:rPr>
        <w:t xml:space="preserve"> de las inversiones para poder ser productivos y necesita una triple transformación para mantener su competitividad con China y EEUU.</w:t>
      </w:r>
    </w:p>
    <w:p w:rsidR="003B4338" w:rsidRPr="00F426EB" w:rsidRDefault="003B4338" w:rsidP="003B4338">
      <w:pPr>
        <w:pStyle w:val="NormalWeb"/>
        <w:spacing w:after="0"/>
        <w:jc w:val="both"/>
        <w:rPr>
          <w:b/>
          <w:color w:val="FF0000"/>
          <w:u w:val="single"/>
        </w:rPr>
      </w:pPr>
      <w:r w:rsidRPr="00F426EB">
        <w:rPr>
          <w:b/>
          <w:color w:val="FF0000"/>
          <w:u w:val="single"/>
        </w:rPr>
        <w:t>El ex primer ministro italiano Mario Draghi ha advertido hoy de que la Unión</w:t>
      </w:r>
      <w:r w:rsidR="005D76BF">
        <w:rPr>
          <w:b/>
          <w:color w:val="FF0000"/>
          <w:u w:val="single"/>
        </w:rPr>
        <w:t xml:space="preserve"> Europea necesitará un aumento “masivo”</w:t>
      </w:r>
      <w:r w:rsidRPr="00F426EB">
        <w:rPr>
          <w:b/>
          <w:color w:val="FF0000"/>
          <w:u w:val="single"/>
        </w:rPr>
        <w:t xml:space="preserve"> de las inversiones para digitalizar y descarbonizar la economía y aumentar su capacidad de defensa, lo que supondrá un esfuerzo de unos 5 puntos porcentuales del PIB al año, hasta alcanzar niveles de los años 60 y 70 si quiere mantener su competitividad frente a países como China o Estados Unidos.</w:t>
      </w:r>
    </w:p>
    <w:p w:rsidR="003B4338" w:rsidRDefault="005D76BF" w:rsidP="003B4338">
      <w:pPr>
        <w:pStyle w:val="NormalWeb"/>
        <w:spacing w:after="0"/>
        <w:jc w:val="both"/>
      </w:pPr>
      <w:r>
        <w:rPr>
          <w:b/>
          <w:color w:val="FF0000"/>
          <w:u w:val="single"/>
        </w:rPr>
        <w:t>“</w:t>
      </w:r>
      <w:r w:rsidR="003B4338" w:rsidRPr="00F426EB">
        <w:rPr>
          <w:b/>
          <w:color w:val="FF0000"/>
          <w:u w:val="single"/>
        </w:rPr>
        <w:t>La única manera de ser más productivos es</w:t>
      </w:r>
      <w:r>
        <w:rPr>
          <w:b/>
          <w:color w:val="FF0000"/>
          <w:u w:val="single"/>
        </w:rPr>
        <w:t xml:space="preserve"> que Europa cambie radicalmente”</w:t>
      </w:r>
      <w:r w:rsidR="003B4338" w:rsidRPr="00F426EB">
        <w:rPr>
          <w:b/>
          <w:color w:val="FF0000"/>
          <w:u w:val="single"/>
        </w:rPr>
        <w:t>, ha dicho el expresidente del Banco Central Europeo (BCE) en el informe sobre competitividad de la UE</w:t>
      </w:r>
      <w:r w:rsidR="003B4338" w:rsidRPr="00F426EB">
        <w:rPr>
          <w:color w:val="FF0000"/>
        </w:rPr>
        <w:t xml:space="preserve"> </w:t>
      </w:r>
      <w:r w:rsidR="003B4338">
        <w:t>que le encargó la propia presidenta de la Comisión, Ursula von der Leyen, y que han presentado juntos hoy en rueda de prensa.</w:t>
      </w:r>
    </w:p>
    <w:p w:rsidR="003B4338" w:rsidRPr="00F426EB" w:rsidRDefault="003B4338" w:rsidP="003B4338">
      <w:pPr>
        <w:pStyle w:val="NormalWeb"/>
        <w:spacing w:after="0"/>
        <w:jc w:val="both"/>
        <w:rPr>
          <w:b/>
          <w:color w:val="FF0000"/>
          <w:u w:val="single"/>
        </w:rPr>
      </w:pPr>
      <w:r w:rsidRPr="00F426EB">
        <w:rPr>
          <w:b/>
          <w:color w:val="FF0000"/>
          <w:u w:val="single"/>
        </w:rPr>
        <w:t>Draghi ad</w:t>
      </w:r>
      <w:r w:rsidR="005D76BF">
        <w:rPr>
          <w:b/>
          <w:color w:val="FF0000"/>
          <w:u w:val="single"/>
        </w:rPr>
        <w:t>vierte de que la UE afronta el “reto existencial”</w:t>
      </w:r>
      <w:r w:rsidRPr="00F426EB">
        <w:rPr>
          <w:b/>
          <w:color w:val="FF0000"/>
          <w:u w:val="single"/>
        </w:rPr>
        <w:t xml:space="preserve"> de aumentar su productividad y su crecimiento económico. De lo contrario tendría que dar marcha atrás en algunas de sus ambiciones y objetivos, desde la lucha contra el cambio climático hasta la financiación de su</w:t>
      </w:r>
      <w:r w:rsidR="005D76BF">
        <w:rPr>
          <w:b/>
          <w:color w:val="FF0000"/>
          <w:u w:val="single"/>
        </w:rPr>
        <w:t xml:space="preserve"> modelo social, y defiende que “</w:t>
      </w:r>
      <w:r w:rsidRPr="00F426EB">
        <w:rPr>
          <w:b/>
          <w:color w:val="FF0000"/>
          <w:u w:val="single"/>
        </w:rPr>
        <w:t>el único modo de ser más productiva es</w:t>
      </w:r>
      <w:r w:rsidR="005D76BF">
        <w:rPr>
          <w:b/>
          <w:color w:val="FF0000"/>
          <w:u w:val="single"/>
        </w:rPr>
        <w:t xml:space="preserve"> que Europa cambie radicalmente”</w:t>
      </w:r>
      <w:r w:rsidRPr="00F426EB">
        <w:rPr>
          <w:b/>
          <w:color w:val="FF0000"/>
          <w:u w:val="single"/>
        </w:rPr>
        <w:t>.</w:t>
      </w:r>
    </w:p>
    <w:p w:rsidR="003B4338" w:rsidRPr="00F426EB" w:rsidRDefault="003B4338" w:rsidP="003B4338">
      <w:pPr>
        <w:pStyle w:val="NormalWeb"/>
        <w:spacing w:after="0"/>
        <w:jc w:val="both"/>
        <w:rPr>
          <w:b/>
          <w:color w:val="FF0000"/>
          <w:u w:val="single"/>
        </w:rPr>
      </w:pPr>
      <w:r w:rsidRPr="00F426EB">
        <w:rPr>
          <w:b/>
          <w:color w:val="FF0000"/>
          <w:u w:val="single"/>
        </w:rPr>
        <w:t xml:space="preserve">El exprimer ministro italiano ha señalado que el club del euro necesita acometer una triple transformación para poder ser competitiva: acelerar la innovación, abaratar la </w:t>
      </w:r>
      <w:r w:rsidRPr="00F426EB">
        <w:rPr>
          <w:b/>
          <w:color w:val="FF0000"/>
          <w:u w:val="single"/>
        </w:rPr>
        <w:lastRenderedPageBreak/>
        <w:t>energía sin renunciar a la descarbonización y reducir dependencias estratégicas, incluido el refuerzo de la defensa.</w:t>
      </w:r>
    </w:p>
    <w:p w:rsidR="003B4338" w:rsidRPr="00F426EB" w:rsidRDefault="003B4338" w:rsidP="003B4338">
      <w:pPr>
        <w:pStyle w:val="NormalWeb"/>
        <w:spacing w:after="0"/>
        <w:jc w:val="both"/>
        <w:rPr>
          <w:u w:val="single"/>
        </w:rPr>
      </w:pPr>
      <w:r w:rsidRPr="00F426EB">
        <w:rPr>
          <w:color w:val="FF0000"/>
          <w:u w:val="single"/>
        </w:rPr>
        <w:t>Para ejemplificar lo titánico del hueco que debe rellenar la UE, Draghi ha recordado que las inversiones suplementarias del Plan Marshall entre 1948 y 1951 representaron anualmente en torno al 1-2% del PIB</w:t>
      </w:r>
      <w:r>
        <w:t xml:space="preserve">. </w:t>
      </w:r>
      <w:r w:rsidRPr="00F426EB">
        <w:rPr>
          <w:u w:val="single"/>
        </w:rPr>
        <w:t>El informe incluye simulaciones de la Comisión Europea y el Fondo Monetario Internacional (FMI</w:t>
      </w:r>
      <w:r w:rsidR="005D76BF">
        <w:rPr>
          <w:u w:val="single"/>
        </w:rPr>
        <w:t>) que evalúan si un aumento “tan masivo”</w:t>
      </w:r>
      <w:r w:rsidRPr="00F426EB">
        <w:rPr>
          <w:u w:val="single"/>
        </w:rPr>
        <w:t xml:space="preserve"> de la inversión es macroeconómicamente sostenible y cómo puede Europa desbloquear una partida de esta envergadura.</w:t>
      </w:r>
    </w:p>
    <w:p w:rsidR="003B4338" w:rsidRDefault="003B4338" w:rsidP="003B4338">
      <w:pPr>
        <w:pStyle w:val="NormalWeb"/>
        <w:spacing w:after="0"/>
        <w:jc w:val="both"/>
      </w:pPr>
      <w:r w:rsidRPr="00F426EB">
        <w:rPr>
          <w:color w:val="FF0000"/>
          <w:u w:val="single"/>
        </w:rPr>
        <w:t>Los resultados de estos simulacros sugieren que el impulso inversor puede llevarse a cabo sin que la economía sufra restricciones de oferta, y que la movilización de la financiación privada será fundamental a este respecto, aunque deberá apoyarse también en un incremento de la inversión pública</w:t>
      </w:r>
      <w:r>
        <w:t>.</w:t>
      </w:r>
    </w:p>
    <w:p w:rsidR="003B4338" w:rsidRDefault="003B4338" w:rsidP="003B4338">
      <w:pPr>
        <w:pStyle w:val="NormalWeb"/>
        <w:spacing w:after="0"/>
        <w:jc w:val="both"/>
      </w:pPr>
      <w:r>
        <w:t>Nueva estrategia industrial</w:t>
      </w:r>
    </w:p>
    <w:p w:rsidR="003B4338" w:rsidRPr="00F426EB" w:rsidRDefault="00FE7EFD" w:rsidP="003B4338">
      <w:pPr>
        <w:pStyle w:val="NormalWeb"/>
        <w:spacing w:after="0"/>
        <w:jc w:val="both"/>
        <w:rPr>
          <w:b/>
          <w:color w:val="FF0000"/>
          <w:u w:val="single"/>
        </w:rPr>
      </w:pPr>
      <w:r>
        <w:rPr>
          <w:b/>
          <w:color w:val="FF0000"/>
          <w:u w:val="single"/>
        </w:rPr>
        <w:t>Dragh</w:t>
      </w:r>
      <w:r w:rsidR="0050717C">
        <w:rPr>
          <w:b/>
          <w:color w:val="FF0000"/>
          <w:u w:val="single"/>
        </w:rPr>
        <w:t>i propone adoptar una “</w:t>
      </w:r>
      <w:r w:rsidR="003B4338" w:rsidRPr="00F426EB">
        <w:rPr>
          <w:b/>
          <w:color w:val="FF0000"/>
          <w:u w:val="single"/>
        </w:rPr>
        <w:t>nuev</w:t>
      </w:r>
      <w:r w:rsidR="0050717C">
        <w:rPr>
          <w:b/>
          <w:color w:val="FF0000"/>
          <w:u w:val="single"/>
        </w:rPr>
        <w:t>a estrategia industrial europea”</w:t>
      </w:r>
      <w:r w:rsidR="003B4338" w:rsidRPr="00F426EB">
        <w:rPr>
          <w:b/>
          <w:color w:val="FF0000"/>
          <w:u w:val="single"/>
        </w:rPr>
        <w:t xml:space="preserve"> que pasa por invertir conjuntamente en bienes de interés público y mejorar la coordinación de las políticas industriales, comerciales y de competencia de los Veintisiete.</w:t>
      </w:r>
    </w:p>
    <w:p w:rsidR="003B4338" w:rsidRPr="00F426EB" w:rsidRDefault="003B4338" w:rsidP="003B4338">
      <w:pPr>
        <w:pStyle w:val="NormalWeb"/>
        <w:spacing w:after="0"/>
        <w:jc w:val="both"/>
        <w:rPr>
          <w:b/>
          <w:color w:val="FF0000"/>
          <w:u w:val="single"/>
        </w:rPr>
      </w:pPr>
      <w:r w:rsidRPr="00F426EB">
        <w:rPr>
          <w:b/>
          <w:color w:val="FF0000"/>
          <w:u w:val="single"/>
        </w:rPr>
        <w:t>El documento, que analiza los principales retos que afrontará la UE en los próximos años, también urge a culminar la Unión de los Mercados de Capitales; a alinear las políticas industrial, de competencia y comercial, a atender</w:t>
      </w:r>
      <w:r w:rsidR="0050717C">
        <w:rPr>
          <w:b/>
          <w:color w:val="FF0000"/>
          <w:u w:val="single"/>
        </w:rPr>
        <w:t xml:space="preserve"> unas necesidades de inversión “inéditas”</w:t>
      </w:r>
      <w:r w:rsidRPr="00F426EB">
        <w:rPr>
          <w:b/>
          <w:color w:val="FF0000"/>
          <w:u w:val="single"/>
        </w:rPr>
        <w:t xml:space="preserve"> en medio siglo y a ahondar en la coordinación de la regulación y la eliminación de las barreras administrativas.</w:t>
      </w:r>
    </w:p>
    <w:p w:rsidR="003B4338" w:rsidRPr="009A0B91" w:rsidRDefault="003B4338" w:rsidP="003B4338">
      <w:pPr>
        <w:pStyle w:val="NormalWeb"/>
        <w:spacing w:after="0"/>
        <w:jc w:val="both"/>
        <w:rPr>
          <w:color w:val="FF0000"/>
          <w:u w:val="single"/>
        </w:rPr>
      </w:pPr>
      <w:r w:rsidRPr="009A0B91">
        <w:rPr>
          <w:color w:val="FF0000"/>
          <w:u w:val="single"/>
        </w:rPr>
        <w:t>El crecimiento europeo se ha ralentizado hasta el punto de que en las últimas dos décadas, la brecha entre el PIB de la UE y Estados Unidos se ha ensanchado desde el 15% hasta el 30% y China va ganando terreno, mientras que factores que lo impulsaban, como el crecimiento demográfico, el auge del comercio internacional o la disponibilidad de energía rusa barata</w:t>
      </w:r>
      <w:r>
        <w:rPr>
          <w:color w:val="FF0000"/>
          <w:u w:val="single"/>
        </w:rPr>
        <w:t xml:space="preserve"> </w:t>
      </w:r>
      <w:r w:rsidRPr="009A0B91">
        <w:rPr>
          <w:color w:val="FF0000"/>
          <w:u w:val="single"/>
        </w:rPr>
        <w:t>van desapareciendo, recuerda el informe.</w:t>
      </w:r>
    </w:p>
    <w:p w:rsidR="003B4338" w:rsidRDefault="003B4338" w:rsidP="003B4338">
      <w:pPr>
        <w:pStyle w:val="NormalWeb"/>
        <w:spacing w:after="0"/>
        <w:jc w:val="both"/>
      </w:pPr>
      <w:r>
        <w:t xml:space="preserve">- </w:t>
      </w:r>
      <w:r w:rsidRPr="009F0F45">
        <w:rPr>
          <w:u w:val="single"/>
        </w:rPr>
        <w:t>Draghi pide aumentar la inversión anual al 5% del PIB de la UE y abre la puerta a una nueva emisión de deuda conjunta</w:t>
      </w:r>
      <w:r>
        <w:t xml:space="preserve"> (El Economista - </w:t>
      </w:r>
      <w:r w:rsidRPr="009F0F45">
        <w:rPr>
          <w:b/>
        </w:rPr>
        <w:t>9/9/24</w:t>
      </w:r>
      <w:r>
        <w:t>)</w:t>
      </w:r>
    </w:p>
    <w:p w:rsidR="003B4338" w:rsidRDefault="003B4338" w:rsidP="003B4338">
      <w:pPr>
        <w:pStyle w:val="NormalWeb"/>
        <w:spacing w:after="0"/>
        <w:jc w:val="both"/>
      </w:pPr>
      <w:r>
        <w:t>(Por Lidia Montes)</w:t>
      </w:r>
    </w:p>
    <w:p w:rsidR="003B4338" w:rsidRPr="009A0B91" w:rsidRDefault="003B4338" w:rsidP="003B4338">
      <w:pPr>
        <w:pStyle w:val="NormalWeb"/>
        <w:spacing w:after="0"/>
        <w:jc w:val="both"/>
        <w:rPr>
          <w:color w:val="FF0000"/>
          <w:u w:val="single"/>
        </w:rPr>
      </w:pPr>
      <w:r>
        <w:t xml:space="preserve">Expectación rodea la presentación del exprimer ministro italiano, Mario Draghi, de su informe sobre competitividad de la UE encargado por la presidenta de la Comisión Europea, Ursula von der Leyen. </w:t>
      </w:r>
      <w:r w:rsidRPr="009A0B91">
        <w:rPr>
          <w:u w:val="single"/>
        </w:rPr>
        <w:t>El documento pretende sentar las bases para un cambio en el bloque comunitario que permita impulsar su industria y no perder la carrera frente a Estados Unidos y China.</w:t>
      </w:r>
      <w:r>
        <w:t xml:space="preserve"> Una estrategia, a desarrollar en el ciclo legislativo que da comienzo tras las elecciones europeas, que </w:t>
      </w:r>
      <w:r w:rsidRPr="009A0B91">
        <w:rPr>
          <w:u w:val="single"/>
        </w:rPr>
        <w:t xml:space="preserve">requerirá una movilización de capital ingente en los próximos años. </w:t>
      </w:r>
      <w:r w:rsidRPr="009A0B91">
        <w:rPr>
          <w:color w:val="FF0000"/>
          <w:u w:val="single"/>
        </w:rPr>
        <w:t>El plan de Draghi para salvar la economía de la UE: elevar la inversión anual al 5% del PIB y abre la puerta a una nueva emisión de deuda conjunta.</w:t>
      </w:r>
    </w:p>
    <w:p w:rsidR="003B4338" w:rsidRPr="009A0B91" w:rsidRDefault="0050717C" w:rsidP="003B4338">
      <w:pPr>
        <w:pStyle w:val="NormalWeb"/>
        <w:spacing w:after="0"/>
        <w:jc w:val="both"/>
        <w:rPr>
          <w:b/>
          <w:color w:val="FF0000"/>
          <w:u w:val="single"/>
        </w:rPr>
      </w:pPr>
      <w:r>
        <w:rPr>
          <w:b/>
          <w:color w:val="FF0000"/>
          <w:u w:val="single"/>
        </w:rPr>
        <w:t>“</w:t>
      </w:r>
      <w:r w:rsidR="003B4338" w:rsidRPr="009A0B91">
        <w:rPr>
          <w:b/>
          <w:color w:val="FF0000"/>
          <w:u w:val="single"/>
        </w:rPr>
        <w:t>Para digitalizar y descarbonizar la economía y aumentar nuestra capacidad de defensa, la ratio de inversión en Europa tendrá que aumentar en torno a 5 puntos porcentuales del PIB hasta niveles que no se hab</w:t>
      </w:r>
      <w:r>
        <w:rPr>
          <w:b/>
          <w:color w:val="FF0000"/>
          <w:u w:val="single"/>
        </w:rPr>
        <w:t>ían visto desde 1960 y 1970”</w:t>
      </w:r>
      <w:r w:rsidR="003B4338" w:rsidRPr="009A0B91">
        <w:rPr>
          <w:b/>
          <w:color w:val="FF0000"/>
          <w:u w:val="single"/>
        </w:rPr>
        <w:t xml:space="preserve">, dijo en </w:t>
      </w:r>
      <w:r w:rsidR="003B4338" w:rsidRPr="009A0B91">
        <w:rPr>
          <w:b/>
          <w:color w:val="FF0000"/>
          <w:u w:val="single"/>
        </w:rPr>
        <w:lastRenderedPageBreak/>
        <w:t>rueda de prensa el expresidente del Banco Central Europeo en la presentación de su análisis. Para ponerlo en perspectiva, las inversiones del Plan Marshall entre 1948 y 1951 ascendieron a entre 1 y el 2% del PIB.</w:t>
      </w:r>
    </w:p>
    <w:p w:rsidR="003B4338" w:rsidRPr="009A0B91" w:rsidRDefault="0050717C" w:rsidP="003B4338">
      <w:pPr>
        <w:pStyle w:val="NormalWeb"/>
        <w:spacing w:after="0"/>
        <w:jc w:val="both"/>
        <w:rPr>
          <w:b/>
          <w:color w:val="FF0000"/>
          <w:u w:val="single"/>
        </w:rPr>
      </w:pPr>
      <w:r>
        <w:rPr>
          <w:b/>
          <w:color w:val="FF0000"/>
          <w:u w:val="single"/>
        </w:rPr>
        <w:t>“</w:t>
      </w:r>
      <w:r w:rsidR="003B4338" w:rsidRPr="009A0B91">
        <w:rPr>
          <w:b/>
          <w:color w:val="FF0000"/>
          <w:u w:val="single"/>
        </w:rPr>
        <w:t>Para alcanzar los objetivos fijados en este informe se necesita una inversión adicional anual mínima de entre 750.000 y 800.000 millones de euros, según las últimas estimaciones de la Comisión, lo que corresponde a entre el 4,4 % y el 4,7 % del PIB de la UE en</w:t>
      </w:r>
      <w:r>
        <w:rPr>
          <w:b/>
          <w:color w:val="FF0000"/>
          <w:u w:val="single"/>
        </w:rPr>
        <w:t xml:space="preserve"> 2023”</w:t>
      </w:r>
      <w:r w:rsidR="003B4338" w:rsidRPr="009A0B91">
        <w:rPr>
          <w:b/>
          <w:color w:val="FF0000"/>
          <w:u w:val="single"/>
        </w:rPr>
        <w:t>, apunta Draghi. Una cifra que supera los más de 600.000 millones de euros anuales que prevé necesarios el comisario de Economía, Paolo Gentiloni.</w:t>
      </w:r>
    </w:p>
    <w:p w:rsidR="003B4338" w:rsidRPr="009A0B91" w:rsidRDefault="003B4338" w:rsidP="003B4338">
      <w:pPr>
        <w:pStyle w:val="NormalWeb"/>
        <w:spacing w:after="0"/>
        <w:jc w:val="both"/>
        <w:rPr>
          <w:u w:val="single"/>
        </w:rPr>
      </w:pPr>
      <w:r w:rsidRPr="009A0B91">
        <w:rPr>
          <w:color w:val="FF0000"/>
          <w:u w:val="single"/>
        </w:rPr>
        <w:t>Sugiere una fórmula similar a la del comisario italiano, una nueva emisión de deuda conjunta siguiendo la fórmula del plan de Recuperación de salida de la pandemia.</w:t>
      </w:r>
      <w:r>
        <w:t xml:space="preserve"> </w:t>
      </w:r>
      <w:r w:rsidR="0050717C">
        <w:rPr>
          <w:u w:val="single"/>
        </w:rPr>
        <w:t>“</w:t>
      </w:r>
      <w:r w:rsidRPr="009A0B91">
        <w:rPr>
          <w:u w:val="single"/>
        </w:rPr>
        <w:t>Podría ser necesaria una mayor emisión de deuda pública para que la financiación de las transiciones</w:t>
      </w:r>
      <w:r w:rsidR="0050717C">
        <w:rPr>
          <w:u w:val="single"/>
        </w:rPr>
        <w:t xml:space="preserve"> sea una propuesta más realista”</w:t>
      </w:r>
      <w:r w:rsidRPr="009A0B91">
        <w:rPr>
          <w:u w:val="single"/>
        </w:rPr>
        <w:t>, apunta el expresidente del Banco Central Europeo en su info</w:t>
      </w:r>
      <w:r w:rsidR="0050717C">
        <w:rPr>
          <w:u w:val="single"/>
        </w:rPr>
        <w:t>rme. “</w:t>
      </w:r>
      <w:r w:rsidRPr="009A0B91">
        <w:rPr>
          <w:u w:val="single"/>
        </w:rPr>
        <w:t>Tendría que ir acompañada de todas las salvaguardias que implicaría un paso tan fundamental. El uso de un activo común seguro tiene un precedente bien establecido en la fina</w:t>
      </w:r>
      <w:r w:rsidR="0050717C">
        <w:rPr>
          <w:u w:val="single"/>
        </w:rPr>
        <w:t>nciación del Next Generation EU”</w:t>
      </w:r>
      <w:r w:rsidRPr="009A0B91">
        <w:rPr>
          <w:u w:val="single"/>
        </w:rPr>
        <w:t>.</w:t>
      </w:r>
    </w:p>
    <w:p w:rsidR="003B4338" w:rsidRDefault="003B4338" w:rsidP="003B4338">
      <w:pPr>
        <w:pStyle w:val="NormalWeb"/>
        <w:spacing w:after="0"/>
        <w:jc w:val="both"/>
      </w:pPr>
      <w:r w:rsidRPr="009A0B91">
        <w:rPr>
          <w:color w:val="FF0000"/>
          <w:u w:val="single"/>
        </w:rPr>
        <w:t>Se refiere, con esto, a una nueva emisión de eurobonos que permita financiar las inversiones requeridas para la próxima década, al estilo de la fórmula utilizada en el plan de Recuperación</w:t>
      </w:r>
      <w:r>
        <w:t xml:space="preserve">. </w:t>
      </w:r>
      <w:r w:rsidR="0050717C">
        <w:rPr>
          <w:b/>
          <w:color w:val="FF0000"/>
          <w:u w:val="single"/>
        </w:rPr>
        <w:t>“</w:t>
      </w:r>
      <w:r w:rsidRPr="009A0B91">
        <w:rPr>
          <w:b/>
          <w:color w:val="FF0000"/>
          <w:u w:val="single"/>
        </w:rPr>
        <w:t>La UE deben continuar emitiendo instrumentos de deuda conjunta para financiar inversiones conjuntas que mejoren la competi</w:t>
      </w:r>
      <w:r w:rsidR="0050717C">
        <w:rPr>
          <w:b/>
          <w:color w:val="FF0000"/>
          <w:u w:val="single"/>
        </w:rPr>
        <w:t>tividad y la seguridad de la UE”</w:t>
      </w:r>
      <w:r w:rsidRPr="009A0B91">
        <w:rPr>
          <w:b/>
          <w:color w:val="FF0000"/>
          <w:u w:val="single"/>
        </w:rPr>
        <w:t>. El análisis considera que una emisión de deuda conjunta podría generar mayor liquidez en el mercado de bonos de la UE, lo que a su vez permitiría una mayor integración de los mercados de capitales europeos.</w:t>
      </w:r>
    </w:p>
    <w:p w:rsidR="003B4338" w:rsidRPr="009A0B91" w:rsidRDefault="003B4338" w:rsidP="003B4338">
      <w:pPr>
        <w:pStyle w:val="NormalWeb"/>
        <w:spacing w:after="0"/>
        <w:jc w:val="both"/>
        <w:rPr>
          <w:b/>
          <w:color w:val="FF0000"/>
          <w:u w:val="single"/>
        </w:rPr>
      </w:pPr>
      <w:r w:rsidRPr="009A0B91">
        <w:rPr>
          <w:b/>
          <w:color w:val="FF0000"/>
          <w:u w:val="single"/>
        </w:rPr>
        <w:t>Consciente de que la emisión de deuda conjunta no es de gusto de todos los países, mucho menos de frugales como Alemania o Países Bajos, Draghi esboza una contrapartida con la que pers</w:t>
      </w:r>
      <w:r w:rsidR="0050717C">
        <w:rPr>
          <w:b/>
          <w:color w:val="FF0000"/>
          <w:u w:val="single"/>
        </w:rPr>
        <w:t>uadir a estos Estados miembro. “</w:t>
      </w:r>
      <w:r w:rsidRPr="009A0B91">
        <w:rPr>
          <w:b/>
          <w:color w:val="FF0000"/>
          <w:u w:val="single"/>
        </w:rPr>
        <w:t xml:space="preserve">Emitir tales activos de forma más sistemática requeriría unas reglas fiscales más sólidas que garanticen que el incremento de la deuda común se corresponda con una senda más </w:t>
      </w:r>
      <w:r w:rsidR="0050717C">
        <w:rPr>
          <w:b/>
          <w:color w:val="FF0000"/>
          <w:u w:val="single"/>
        </w:rPr>
        <w:t>sostenible de la deuda nacional”</w:t>
      </w:r>
      <w:r w:rsidRPr="009A0B91">
        <w:rPr>
          <w:b/>
          <w:color w:val="FF0000"/>
          <w:u w:val="single"/>
        </w:rPr>
        <w:t>, apunta. La idea es que los países de la UE puedan contribuir a este activo común para financiar proyectos de interés común sin poner en riesgo la sostenibilidad de la deuda y cada emisión de eurobonos tendría que ser específica para cada proyecto.</w:t>
      </w:r>
    </w:p>
    <w:p w:rsidR="003B4338" w:rsidRDefault="003B4338" w:rsidP="003B4338">
      <w:pPr>
        <w:pStyle w:val="NormalWeb"/>
        <w:spacing w:after="0"/>
        <w:jc w:val="both"/>
      </w:pPr>
      <w:r>
        <w:t>Tres áreas de mejora: innovación, descarbonización y suministro</w:t>
      </w:r>
    </w:p>
    <w:p w:rsidR="003B4338" w:rsidRPr="009A0B91" w:rsidRDefault="0050717C" w:rsidP="003B4338">
      <w:pPr>
        <w:pStyle w:val="NormalWeb"/>
        <w:spacing w:after="0"/>
        <w:jc w:val="both"/>
        <w:rPr>
          <w:b/>
          <w:color w:val="FF0000"/>
          <w:u w:val="single"/>
        </w:rPr>
      </w:pPr>
      <w:r>
        <w:rPr>
          <w:b/>
          <w:color w:val="FF0000"/>
          <w:u w:val="single"/>
        </w:rPr>
        <w:t>Draghi delinea un cambio “</w:t>
      </w:r>
      <w:r w:rsidR="003B4338" w:rsidRPr="009A0B91">
        <w:rPr>
          <w:b/>
          <w:color w:val="FF0000"/>
          <w:u w:val="single"/>
        </w:rPr>
        <w:t>radical</w:t>
      </w:r>
      <w:r>
        <w:rPr>
          <w:b/>
          <w:color w:val="FF0000"/>
          <w:u w:val="single"/>
        </w:rPr>
        <w:t>”, que es “urgente” y “concreto”</w:t>
      </w:r>
      <w:r w:rsidR="003B4338" w:rsidRPr="009A0B91">
        <w:rPr>
          <w:b/>
          <w:color w:val="FF0000"/>
          <w:u w:val="single"/>
        </w:rPr>
        <w:t>. El italiano identifica, en su análisis, tres áreas sobre las que actuar para impulsar el crecimiento económico: la innovación es una de ellas y la transferencia de conocimiento de la academia al mercado, la raíz de tal problema. La otra es la descarbonización y la competitividad y, por último, la seguridad de suministro, especialmente en materias primas críticas.</w:t>
      </w:r>
    </w:p>
    <w:p w:rsidR="003B4338" w:rsidRPr="009A0B91" w:rsidRDefault="0050717C" w:rsidP="003B4338">
      <w:pPr>
        <w:pStyle w:val="NormalWeb"/>
        <w:spacing w:after="0"/>
        <w:jc w:val="both"/>
        <w:rPr>
          <w:color w:val="FF0000"/>
          <w:u w:val="single"/>
        </w:rPr>
      </w:pPr>
      <w:r>
        <w:rPr>
          <w:b/>
          <w:color w:val="FF0000"/>
          <w:u w:val="single"/>
        </w:rPr>
        <w:t>“</w:t>
      </w:r>
      <w:r w:rsidR="003B4338" w:rsidRPr="009A0B91">
        <w:rPr>
          <w:b/>
          <w:color w:val="FF0000"/>
          <w:u w:val="single"/>
        </w:rPr>
        <w:t>Europa debe reorientar profundamente sus esfuerzos colectivos para cerrar la brecha de innovación con Estados Unidos y China, especia</w:t>
      </w:r>
      <w:r>
        <w:rPr>
          <w:b/>
          <w:color w:val="FF0000"/>
          <w:u w:val="single"/>
        </w:rPr>
        <w:t>lmente en tecnologías avanzadas”</w:t>
      </w:r>
      <w:r w:rsidR="003B4338" w:rsidRPr="009A0B91">
        <w:rPr>
          <w:b/>
          <w:color w:val="FF0000"/>
          <w:u w:val="single"/>
        </w:rPr>
        <w:t>, apunta Draghi.</w:t>
      </w:r>
      <w:r w:rsidR="003B4338" w:rsidRPr="009A0B91">
        <w:rPr>
          <w:color w:val="FF0000"/>
        </w:rPr>
        <w:t xml:space="preserve"> </w:t>
      </w:r>
      <w:r w:rsidR="003B4338" w:rsidRPr="009A0B91">
        <w:rPr>
          <w:color w:val="FF0000"/>
          <w:u w:val="single"/>
        </w:rPr>
        <w:t xml:space="preserve">No se trata solo de que, en los últimos cincuenta años no se haya creado ninguna empresa con una capitalización bursátil superior a los 100.000 millones de euros en </w:t>
      </w:r>
      <w:r w:rsidR="003B4338" w:rsidRPr="009A0B91">
        <w:rPr>
          <w:color w:val="FF0000"/>
          <w:u w:val="single"/>
        </w:rPr>
        <w:lastRenderedPageBreak/>
        <w:t>la UE, sino que la estructura industria es estática y pocas empresas disruptivas han cambiado el panorama empresarial.</w:t>
      </w:r>
    </w:p>
    <w:p w:rsidR="003B4338" w:rsidRDefault="003B4338" w:rsidP="003B4338">
      <w:pPr>
        <w:pStyle w:val="NormalWeb"/>
        <w:spacing w:after="0"/>
        <w:jc w:val="both"/>
      </w:pPr>
      <w:r w:rsidRPr="009A0B91">
        <w:rPr>
          <w:color w:val="FF0000"/>
          <w:u w:val="single"/>
        </w:rPr>
        <w:t>No es ningún secreto que la UE tiene un problema de productividad</w:t>
      </w:r>
      <w:r>
        <w:t>. Una dimensión en la que, por otro lado, España se sitúa a la cola entre los Veintisiete y es un mal endémico de nuestra economía, en palabras de la Comisión Europea.</w:t>
      </w:r>
    </w:p>
    <w:p w:rsidR="003B4338" w:rsidRPr="009A0B91" w:rsidRDefault="003B4338" w:rsidP="003B4338">
      <w:pPr>
        <w:pStyle w:val="NormalWeb"/>
        <w:spacing w:after="0"/>
        <w:jc w:val="both"/>
        <w:rPr>
          <w:color w:val="FF0000"/>
          <w:u w:val="single"/>
        </w:rPr>
      </w:pPr>
      <w:r w:rsidRPr="009A0B91">
        <w:rPr>
          <w:color w:val="FF0000"/>
          <w:u w:val="single"/>
        </w:rPr>
        <w:t>En lo que se refiere a la descarbonización el expresidente del BCE identifica la necesidad de coordinar las políticas a nivel de los Veintisiete para impulsar la competitividad y el crecimiento. Los altos precios de la energía se han convertido en un elemento que mina la productividad industrial europea, con picos de precios que duplican y triplican los de Estados Unidos.</w:t>
      </w:r>
    </w:p>
    <w:p w:rsidR="003B4338" w:rsidRDefault="003B4338" w:rsidP="003B4338">
      <w:pPr>
        <w:pStyle w:val="NormalWeb"/>
        <w:spacing w:after="0"/>
        <w:jc w:val="both"/>
      </w:pPr>
      <w:r>
        <w:t xml:space="preserve">- </w:t>
      </w:r>
      <w:r w:rsidRPr="009F0F45">
        <w:rPr>
          <w:u w:val="single"/>
        </w:rPr>
        <w:t>El informe Draghi propone favorecer las fusiones de telecos europeas para competir con EEUU y China</w:t>
      </w:r>
      <w:r>
        <w:t xml:space="preserve"> (El Economista - </w:t>
      </w:r>
      <w:r w:rsidRPr="009F0F45">
        <w:rPr>
          <w:b/>
        </w:rPr>
        <w:t>9/9/24</w:t>
      </w:r>
      <w:r>
        <w:t>)</w:t>
      </w:r>
    </w:p>
    <w:p w:rsidR="003B4338" w:rsidRDefault="003B4338" w:rsidP="003B4338">
      <w:pPr>
        <w:pStyle w:val="NormalWeb"/>
        <w:spacing w:after="0"/>
        <w:jc w:val="both"/>
      </w:pPr>
      <w:r>
        <w:t>(Por Antonio Lorenzo)</w:t>
      </w:r>
    </w:p>
    <w:p w:rsidR="003B4338" w:rsidRPr="009A0B91" w:rsidRDefault="003B4338" w:rsidP="003B4338">
      <w:pPr>
        <w:pStyle w:val="NormalWeb"/>
        <w:spacing w:after="0"/>
        <w:jc w:val="both"/>
        <w:rPr>
          <w:color w:val="FF0000"/>
          <w:u w:val="single"/>
        </w:rPr>
      </w:pPr>
      <w:r w:rsidRPr="009A0B91">
        <w:rPr>
          <w:color w:val="FF0000"/>
          <w:u w:val="single"/>
        </w:rPr>
        <w:t>El Informe para el futuro de la competitividad europea, encargado por la CE a Mario Draghi, economista y expresidente del BCE, propone incentivar las fusiones entre operadores europeos de telecomunicaciones, al tiempo que pone de relieve las dificultades de estas empresas para competir con sus grandes rivales de Estados Unidos y China. El mismo trabajo también pondera el valor de la inteligencia artificial, los microprocesadores y la digitalización de los sectores productivos entre las cuestiones que marcarán la guía política de Europa para los próximos años.</w:t>
      </w:r>
    </w:p>
    <w:p w:rsidR="003B4338" w:rsidRDefault="003B4338" w:rsidP="003B4338">
      <w:pPr>
        <w:pStyle w:val="NormalWeb"/>
        <w:spacing w:after="0"/>
        <w:jc w:val="both"/>
      </w:pPr>
      <w:r w:rsidRPr="009A0B91">
        <w:rPr>
          <w:b/>
          <w:color w:val="FF0000"/>
          <w:u w:val="single"/>
        </w:rPr>
        <w:t>Los desequilibrios entre la Unión Europea y el resto de las grandes potencias del mundo se ponen de manifiesto en los desequilibrios comparativos en cuanto a número de operadores, con decenas de proveedores en Europa frente a sólo un puñado en Estados Unidos y China. Por ese motivo, la</w:t>
      </w:r>
      <w:r w:rsidR="0050717C">
        <w:rPr>
          <w:b/>
          <w:color w:val="FF0000"/>
          <w:u w:val="single"/>
        </w:rPr>
        <w:t>s empresas europeas del sector “</w:t>
      </w:r>
      <w:r w:rsidRPr="009A0B91">
        <w:rPr>
          <w:b/>
          <w:color w:val="FF0000"/>
          <w:u w:val="single"/>
        </w:rPr>
        <w:t>carecen de la escala necesaria para proporcionar a los ciudadanos un acceso ubicuo a la fibra y a la banda ancha 5G y para dotar a las compañías de plataform</w:t>
      </w:r>
      <w:r w:rsidR="0050717C">
        <w:rPr>
          <w:b/>
          <w:color w:val="FF0000"/>
          <w:u w:val="single"/>
        </w:rPr>
        <w:t>as avanzadas para la innovación”</w:t>
      </w:r>
      <w:r w:rsidRPr="009A0B91">
        <w:rPr>
          <w:b/>
          <w:color w:val="FF0000"/>
          <w:u w:val="single"/>
        </w:rPr>
        <w:t>.</w:t>
      </w:r>
      <w:r>
        <w:t xml:space="preserve"> En este sentido, el presidente de Telefónica, José María Álvarez-Pallete, ha reclamado en diferentes ocasiones un mejor trato regulatorio para defender la competitividad de industria europea de las telecomunicaciones.</w:t>
      </w:r>
    </w:p>
    <w:p w:rsidR="003B4338" w:rsidRPr="00777A56" w:rsidRDefault="003B4338" w:rsidP="003B4338">
      <w:pPr>
        <w:pStyle w:val="NormalWeb"/>
        <w:spacing w:after="0"/>
        <w:jc w:val="both"/>
        <w:rPr>
          <w:color w:val="FF0000"/>
          <w:u w:val="single"/>
        </w:rPr>
      </w:pPr>
      <w:r w:rsidRPr="00777A56">
        <w:rPr>
          <w:color w:val="FF0000"/>
          <w:u w:val="single"/>
        </w:rPr>
        <w:t>De hecho, la UE cuenta con un total de 34 operadores de redes móviles (ORM) y 351 operadores virtuales no basados en inversiones (OMV), frente a tres ORM en EE.UU. (más 70 ORVM) y cuatro ORM en China (más 16 ORVM). Además, el mercado de banda ancha fija de la UE de banda ancha fija de la UE -donde los tres principales operadores tienen una cuota conjunta del 35% en toda Europa- también está menos concentrado</w:t>
      </w:r>
      <w:r w:rsidR="0050717C">
        <w:rPr>
          <w:color w:val="FF0000"/>
          <w:u w:val="single"/>
        </w:rPr>
        <w:t xml:space="preserve"> que el de EE</w:t>
      </w:r>
      <w:r w:rsidRPr="00777A56">
        <w:rPr>
          <w:color w:val="FF0000"/>
          <w:u w:val="single"/>
        </w:rPr>
        <w:t>UU (con una cuota conjunta del 66%) o China (95%).</w:t>
      </w:r>
    </w:p>
    <w:p w:rsidR="003B4338" w:rsidRDefault="003B4338" w:rsidP="003B4338">
      <w:pPr>
        <w:pStyle w:val="NormalWeb"/>
        <w:spacing w:after="0"/>
        <w:jc w:val="both"/>
      </w:pPr>
      <w:r>
        <w:t>El estudio señala que "la bajada de precios en Europa ha beneficiado sin duda a ciudadanos y empresas, pero con el tiempo también ha reducido la rentabilidad del sector y, como como consecuencia, los niveles de inversión en Europa, incluida la innovación de las empresas de la UE en nuevas tecnologías más allá de la conectividad básica.</w:t>
      </w:r>
    </w:p>
    <w:p w:rsidR="003B4338" w:rsidRPr="00777A56" w:rsidRDefault="003B4338" w:rsidP="003B4338">
      <w:pPr>
        <w:pStyle w:val="NormalWeb"/>
        <w:spacing w:after="0"/>
        <w:jc w:val="both"/>
        <w:rPr>
          <w:u w:val="single"/>
        </w:rPr>
      </w:pPr>
      <w:r>
        <w:t xml:space="preserve">Como resultado de todo lo anterior, tanto </w:t>
      </w:r>
      <w:r w:rsidRPr="00777A56">
        <w:rPr>
          <w:color w:val="FF0000"/>
          <w:u w:val="single"/>
        </w:rPr>
        <w:t>los ingresos por abonado como el gasto de capital per cápita en Europa represen</w:t>
      </w:r>
      <w:r w:rsidR="0050717C">
        <w:rPr>
          <w:color w:val="FF0000"/>
          <w:u w:val="single"/>
        </w:rPr>
        <w:t>tan menos de la mitad que en EEUU</w:t>
      </w:r>
      <w:r w:rsidRPr="00777A56">
        <w:rPr>
          <w:color w:val="FF0000"/>
          <w:u w:val="single"/>
        </w:rPr>
        <w:t xml:space="preserve"> y Japón</w:t>
      </w:r>
      <w:r>
        <w:t xml:space="preserve">. </w:t>
      </w:r>
      <w:r w:rsidRPr="00777A56">
        <w:rPr>
          <w:u w:val="single"/>
        </w:rPr>
        <w:t xml:space="preserve">A modo de </w:t>
      </w:r>
      <w:r w:rsidRPr="00777A56">
        <w:rPr>
          <w:u w:val="single"/>
        </w:rPr>
        <w:lastRenderedPageBreak/>
        <w:t>conclusión, el informe señala que la UE supera con creces el número óptimo de operadores en el sec</w:t>
      </w:r>
      <w:r w:rsidR="0050717C">
        <w:rPr>
          <w:u w:val="single"/>
        </w:rPr>
        <w:t>tor de las telecomunicaciones, “</w:t>
      </w:r>
      <w:r w:rsidRPr="00777A56">
        <w:rPr>
          <w:u w:val="single"/>
        </w:rPr>
        <w:t>debido a su intensidad de capital, y que las políticas industriales tienen el potencial para promover una mayor consolidación sin provocar necesariamente un aumento de lo</w:t>
      </w:r>
      <w:r w:rsidR="0050717C">
        <w:rPr>
          <w:u w:val="single"/>
        </w:rPr>
        <w:t>s precios para los consumidores”</w:t>
      </w:r>
      <w:r w:rsidRPr="00777A56">
        <w:rPr>
          <w:u w:val="single"/>
        </w:rPr>
        <w:t>.</w:t>
      </w:r>
    </w:p>
    <w:p w:rsidR="003B4338" w:rsidRPr="00777A56" w:rsidRDefault="003B4338" w:rsidP="003B4338">
      <w:pPr>
        <w:pStyle w:val="NormalWeb"/>
        <w:spacing w:after="0"/>
        <w:jc w:val="both"/>
        <w:rPr>
          <w:u w:val="single"/>
        </w:rPr>
      </w:pPr>
      <w:r w:rsidRPr="00777A56">
        <w:rPr>
          <w:u w:val="single"/>
        </w:rPr>
        <w:t>Por otra parte, el mismo trabajo indica que las restricciones en el comercio de tecnología con China han complicado aún más la posición europea, con unas reacciones de Europa que han sido dispares. Las subvenciones al exceso de capacidad de producción y la protección del mercado chino de equipos afectan tanto al acceso a ese mercado asiático como a los mercados mundiales. Ante e</w:t>
      </w:r>
      <w:r w:rsidR="0050717C">
        <w:rPr>
          <w:u w:val="single"/>
        </w:rPr>
        <w:t>sa situación, la UE adoptó una “</w:t>
      </w:r>
      <w:r w:rsidRPr="00777A56">
        <w:rPr>
          <w:u w:val="single"/>
        </w:rPr>
        <w:t>caja de he</w:t>
      </w:r>
      <w:r w:rsidR="0050717C">
        <w:rPr>
          <w:u w:val="single"/>
        </w:rPr>
        <w:t>rramientas para la seguridad 5G”</w:t>
      </w:r>
      <w:r w:rsidRPr="00777A56">
        <w:rPr>
          <w:u w:val="single"/>
        </w:rPr>
        <w:t xml:space="preserve"> donde reveló que 14 Estados miembros no aplican restricciones a los proveedores de alto riesgo ni otras medidas clave.</w:t>
      </w:r>
    </w:p>
    <w:p w:rsidR="003B4338" w:rsidRDefault="003B4338" w:rsidP="003B4338">
      <w:pPr>
        <w:pStyle w:val="NormalWeb"/>
        <w:spacing w:after="0"/>
        <w:jc w:val="both"/>
      </w:pPr>
      <w:r>
        <w:t>Propuestas principales</w:t>
      </w:r>
    </w:p>
    <w:p w:rsidR="003B4338" w:rsidRPr="00777A56" w:rsidRDefault="003B4338" w:rsidP="003B4338">
      <w:pPr>
        <w:pStyle w:val="NormalWeb"/>
        <w:spacing w:after="0"/>
        <w:jc w:val="both"/>
        <w:rPr>
          <w:b/>
          <w:color w:val="FF0000"/>
          <w:u w:val="single"/>
        </w:rPr>
      </w:pPr>
      <w:r w:rsidRPr="00777A56">
        <w:rPr>
          <w:b/>
          <w:color w:val="FF0000"/>
          <w:u w:val="single"/>
        </w:rPr>
        <w:t>A modo de conclusión, el informe propone las siguientes iniciativas: Reformar la regulación de la competencia en la UE para completar el Mercado Único Digital de las telecomunicaciones para incentivar las fusiones y operaciones transfronterizas; Armonizar la concesión de licencias de espectro en toda la UE, también para la conectividad por satélite, y diseñar subastas a escala de la UE de mayor duración y con menores restricciones; Simplificar la normativa sobre ciberseguridad e interceptación legal y mejorar la cooperación entre las agencias de seguridad de la UE; Incentivar el despliegue de nuevas infraestructuras, definiendo fechas límite pa</w:t>
      </w:r>
      <w:r w:rsidR="0050717C">
        <w:rPr>
          <w:b/>
          <w:color w:val="FF0000"/>
          <w:u w:val="single"/>
        </w:rPr>
        <w:t>ra las antiguas; Introducir el “pasaporte”</w:t>
      </w:r>
      <w:r w:rsidRPr="00777A56">
        <w:rPr>
          <w:b/>
          <w:color w:val="FF0000"/>
          <w:u w:val="single"/>
        </w:rPr>
        <w:t xml:space="preserve"> de los servicios B2B para que los operadores de un Estado miembro puedan ofrecer servicios en toda la UE; y reforzar la soberanía estratégica de los proveedores de equipos y programas informáticos de telecomunicaciones con sede en la UE para apuntalar la autonomía estratégica.</w:t>
      </w:r>
    </w:p>
    <w:p w:rsidR="003B4338" w:rsidRDefault="003B4338" w:rsidP="003B4338">
      <w:pPr>
        <w:pStyle w:val="NormalWeb"/>
        <w:spacing w:after="0"/>
        <w:jc w:val="both"/>
      </w:pPr>
      <w:r>
        <w:t xml:space="preserve">- </w:t>
      </w:r>
      <w:r w:rsidRPr="0019406E">
        <w:rPr>
          <w:u w:val="single"/>
        </w:rPr>
        <w:t>La fórmula Draghi: más financiación para startups, más tecnologías avanzadas e incentivar la formación</w:t>
      </w:r>
      <w:r>
        <w:t xml:space="preserve"> (El Economista - </w:t>
      </w:r>
      <w:r w:rsidRPr="0019406E">
        <w:rPr>
          <w:b/>
        </w:rPr>
        <w:t>9/9/24</w:t>
      </w:r>
      <w:r>
        <w:t>)</w:t>
      </w:r>
    </w:p>
    <w:p w:rsidR="003B4338" w:rsidRDefault="003B4338" w:rsidP="003B4338">
      <w:pPr>
        <w:pStyle w:val="NormalWeb"/>
        <w:spacing w:after="0"/>
        <w:jc w:val="both"/>
      </w:pPr>
      <w:r>
        <w:t>(Por Lidia Montes)</w:t>
      </w:r>
    </w:p>
    <w:p w:rsidR="003B4338" w:rsidRDefault="003B4338" w:rsidP="003B4338">
      <w:pPr>
        <w:pStyle w:val="NormalWeb"/>
        <w:spacing w:after="0"/>
        <w:jc w:val="both"/>
      </w:pPr>
      <w:r w:rsidRPr="00777A56">
        <w:rPr>
          <w:b/>
          <w:color w:val="FF0000"/>
          <w:u w:val="single"/>
        </w:rPr>
        <w:t>La UE delinea una estrategia con la que poder competir contra Estados Unidos y China. El bloque comunitario quiere reavivar su industria, impulsar su competitividad y dar alas a su autonomía estratégica para mantener el pulso económico</w:t>
      </w:r>
      <w:r>
        <w:t xml:space="preserve">. </w:t>
      </w:r>
      <w:r w:rsidRPr="00777A56">
        <w:rPr>
          <w:color w:val="FF0000"/>
          <w:u w:val="single"/>
        </w:rPr>
        <w:t>El exprimer ministro italiano, Mario Draghi, imprime en su informe sobre la competitividad del bloque un sentido de urgencia, de no actuar a</w:t>
      </w:r>
      <w:r w:rsidR="0050717C">
        <w:rPr>
          <w:color w:val="FF0000"/>
          <w:u w:val="single"/>
        </w:rPr>
        <w:t>hora la UE se enfrentará a una “larga agonía”</w:t>
      </w:r>
      <w:r w:rsidRPr="00777A56">
        <w:rPr>
          <w:color w:val="FF0000"/>
          <w:u w:val="single"/>
        </w:rPr>
        <w:t>, aseguró en rueda de prensa.</w:t>
      </w:r>
      <w:r>
        <w:t xml:space="preserve"> </w:t>
      </w:r>
      <w:r w:rsidRPr="00777A56">
        <w:rPr>
          <w:u w:val="single"/>
        </w:rPr>
        <w:t>Su receta plantea una lista de políticas entre las que se incluye mejorar el acceso a financiación de las empresas, bajar impuestos sobre los salarios más bajos, considerar la innovación en las decisiones de competencia,</w:t>
      </w:r>
    </w:p>
    <w:p w:rsidR="003B4338" w:rsidRPr="00777A56" w:rsidRDefault="003B4338" w:rsidP="003B4338">
      <w:pPr>
        <w:pStyle w:val="NormalWeb"/>
        <w:spacing w:after="0"/>
        <w:jc w:val="both"/>
        <w:rPr>
          <w:u w:val="single"/>
        </w:rPr>
      </w:pPr>
      <w:r w:rsidRPr="00777A56">
        <w:rPr>
          <w:u w:val="single"/>
        </w:rPr>
        <w:t>Como parte del informe</w:t>
      </w:r>
      <w:r>
        <w:t xml:space="preserve"> que la presidenta de la Comisión Europea, Ursula von der Leyen, ha encargado al expresidente del Banco Central Europeo </w:t>
      </w:r>
      <w:r w:rsidRPr="00777A56">
        <w:rPr>
          <w:u w:val="single"/>
        </w:rPr>
        <w:t>se evidencia la necesidad de que la UE mejore en innovación y, con ello, el desarrollo de la industria de tecnologías avanzadas. Uno de los sectores en los que más se pronuncia la brecha de competitividad con respecto a EEUU.</w:t>
      </w:r>
    </w:p>
    <w:p w:rsidR="003B4338" w:rsidRPr="00777A56" w:rsidRDefault="003B4338" w:rsidP="003B4338">
      <w:pPr>
        <w:pStyle w:val="NormalWeb"/>
        <w:spacing w:after="0"/>
        <w:jc w:val="both"/>
        <w:rPr>
          <w:color w:val="FF0000"/>
          <w:u w:val="single"/>
        </w:rPr>
      </w:pPr>
      <w:r>
        <w:t xml:space="preserve">El exprimer ministro italiano apunta a </w:t>
      </w:r>
      <w:r w:rsidRPr="00777A56">
        <w:rPr>
          <w:u w:val="single"/>
        </w:rPr>
        <w:t>otros deberes</w:t>
      </w:r>
      <w:r>
        <w:t xml:space="preserve"> para el bloque: </w:t>
      </w:r>
      <w:r w:rsidRPr="00777A56">
        <w:rPr>
          <w:color w:val="FF0000"/>
          <w:u w:val="single"/>
        </w:rPr>
        <w:t xml:space="preserve">la necesidad de actualizar la formación y de cubrir la falta de personal cualificado, impulsar la inversión, mejorar la </w:t>
      </w:r>
      <w:r w:rsidRPr="00777A56">
        <w:rPr>
          <w:color w:val="FF0000"/>
          <w:u w:val="single"/>
        </w:rPr>
        <w:lastRenderedPageBreak/>
        <w:t>competitividad y fortalecer la g</w:t>
      </w:r>
      <w:r w:rsidR="0050717C">
        <w:rPr>
          <w:color w:val="FF0000"/>
          <w:u w:val="single"/>
        </w:rPr>
        <w:t>obernanza a nivel comunitario. “</w:t>
      </w:r>
      <w:r w:rsidRPr="00777A56">
        <w:rPr>
          <w:color w:val="FF0000"/>
          <w:u w:val="single"/>
        </w:rPr>
        <w:t>Es natural que al hablar de competitividad la gente piense en menos costes laborales, menos salarios, más flexibilidad. Es normal que la gente piense en estos términos, pero no hay</w:t>
      </w:r>
      <w:r w:rsidR="0050717C">
        <w:rPr>
          <w:color w:val="FF0000"/>
          <w:u w:val="single"/>
        </w:rPr>
        <w:t xml:space="preserve"> nada semejante en este informe”</w:t>
      </w:r>
      <w:r w:rsidRPr="00777A56">
        <w:rPr>
          <w:color w:val="FF0000"/>
          <w:u w:val="single"/>
        </w:rPr>
        <w:t>, ha puntualizado Draghi.</w:t>
      </w:r>
    </w:p>
    <w:p w:rsidR="003B4338" w:rsidRPr="00777A56" w:rsidRDefault="0050717C" w:rsidP="003B4338">
      <w:pPr>
        <w:pStyle w:val="NormalWeb"/>
        <w:spacing w:after="0"/>
        <w:jc w:val="both"/>
        <w:rPr>
          <w:b/>
          <w:color w:val="FF0000"/>
          <w:u w:val="single"/>
        </w:rPr>
      </w:pPr>
      <w:r>
        <w:rPr>
          <w:b/>
          <w:color w:val="FF0000"/>
          <w:u w:val="single"/>
        </w:rPr>
        <w:t>“</w:t>
      </w:r>
      <w:r w:rsidR="003B4338" w:rsidRPr="00777A56">
        <w:rPr>
          <w:b/>
          <w:color w:val="FF0000"/>
          <w:u w:val="single"/>
        </w:rPr>
        <w:t xml:space="preserve">Proponemos la interrupción a la </w:t>
      </w:r>
      <w:r>
        <w:rPr>
          <w:b/>
          <w:color w:val="FF0000"/>
          <w:u w:val="single"/>
        </w:rPr>
        <w:t>exención a las ayudas de Estado”</w:t>
      </w:r>
      <w:r w:rsidR="003B4338" w:rsidRPr="00777A56">
        <w:rPr>
          <w:b/>
          <w:color w:val="FF0000"/>
          <w:u w:val="single"/>
        </w:rPr>
        <w:t>, ha indicado Draghi para apelar a la disciplina de gasto y pedir a los gobiernos que limiten las ayudas que han dispuesto tras la crisis energética. En su lugar pide utilizar esta financiación únicamente para proyectos de interés común a nivel europeo o para financiar iniciativas transfronterizas.</w:t>
      </w:r>
    </w:p>
    <w:p w:rsidR="003B4338" w:rsidRPr="00777A56" w:rsidRDefault="003B4338" w:rsidP="003B4338">
      <w:pPr>
        <w:pStyle w:val="NormalWeb"/>
        <w:spacing w:after="0"/>
        <w:jc w:val="both"/>
        <w:rPr>
          <w:b/>
          <w:color w:val="FF0000"/>
          <w:u w:val="single"/>
        </w:rPr>
      </w:pPr>
      <w:r w:rsidRPr="00777A56">
        <w:rPr>
          <w:b/>
          <w:color w:val="FF0000"/>
          <w:u w:val="single"/>
        </w:rPr>
        <w:t>Entre las políticas que plantea para impulsar el ecosistema innovador europeo, el informe habla de mejorar el acceso a la financiación de las startups y compañías disruptivas, reducir la carga impositiva sobre la renta sobre el trabajo a empleados con sueldos medios y bajos, incrementar la partida destinada a investigación y a infraestructuras tecnológicas, un sistema de patentes unitario para todos los Estados miembro o una regulación más favorable para las empresas innovadoras.</w:t>
      </w:r>
    </w:p>
    <w:p w:rsidR="003B4338" w:rsidRPr="00777A56" w:rsidRDefault="003B4338" w:rsidP="003B4338">
      <w:pPr>
        <w:pStyle w:val="NormalWeb"/>
        <w:spacing w:after="0"/>
        <w:jc w:val="both"/>
        <w:rPr>
          <w:b/>
          <w:color w:val="FF0000"/>
          <w:u w:val="single"/>
        </w:rPr>
      </w:pPr>
      <w:r w:rsidRPr="00777A56">
        <w:rPr>
          <w:b/>
          <w:color w:val="FF0000"/>
          <w:u w:val="single"/>
        </w:rPr>
        <w:t>Con la vista puesta en que la falta de profesionales cualificados será un problema endémico los próximos años, Draghi aboga por establecer colaboraciones entre Estados miembro, agentes sociales y empresas para identificar las cualificaciones que serán necesarias y establecer un plan a través de incentivos, y no en base a obligaciones.</w:t>
      </w:r>
    </w:p>
    <w:p w:rsidR="003B4338" w:rsidRPr="00777A56" w:rsidRDefault="003B4338" w:rsidP="003B4338">
      <w:pPr>
        <w:pStyle w:val="NormalWeb"/>
        <w:spacing w:after="0"/>
        <w:jc w:val="both"/>
        <w:rPr>
          <w:b/>
          <w:color w:val="FF0000"/>
          <w:u w:val="single"/>
        </w:rPr>
      </w:pPr>
      <w:r w:rsidRPr="00777A56">
        <w:rPr>
          <w:b/>
          <w:color w:val="FF0000"/>
          <w:u w:val="single"/>
        </w:rPr>
        <w:t>Armonizar las certificaciones de estudios a nivel europeo, rediseñar las políticas para promover la educación en etapas adultas, focalizarse en la falta de personal cualificado en la cadena de valor o atraer más trabajadores de fuera de la UE son algunos de los elementos que plantea Draghi en su informe.</w:t>
      </w:r>
    </w:p>
    <w:p w:rsidR="003B4338" w:rsidRPr="00777A56" w:rsidRDefault="003B4338" w:rsidP="003B4338">
      <w:pPr>
        <w:pStyle w:val="NormalWeb"/>
        <w:spacing w:after="0"/>
        <w:jc w:val="both"/>
        <w:rPr>
          <w:b/>
          <w:color w:val="FF0000"/>
          <w:u w:val="single"/>
        </w:rPr>
      </w:pPr>
      <w:r w:rsidRPr="00777A56">
        <w:rPr>
          <w:b/>
          <w:color w:val="FF0000"/>
          <w:u w:val="single"/>
        </w:rPr>
        <w:t>En lo que respecta a las políticas de inversión el principal instrumento al que se refiere el informe es una nueva emisión de deuda conjunta de manera similar al plan de Recuperación de salida de la pandemia.</w:t>
      </w:r>
    </w:p>
    <w:p w:rsidR="003B4338" w:rsidRPr="00777A56" w:rsidRDefault="003B4338" w:rsidP="003B4338">
      <w:pPr>
        <w:pStyle w:val="NormalWeb"/>
        <w:spacing w:after="0"/>
        <w:jc w:val="both"/>
        <w:rPr>
          <w:color w:val="FF0000"/>
          <w:u w:val="single"/>
        </w:rPr>
      </w:pPr>
      <w:r w:rsidRPr="00777A56">
        <w:rPr>
          <w:color w:val="FF0000"/>
          <w:u w:val="single"/>
        </w:rPr>
        <w:t>En la pata de competitividad, Draghi propone incentivar la adopción de estándares europeos a través de ayudas de Estado, dar más valor a la vertiente innovadora a la hora de adoptar decisiones de Competencia sobre fusiones y adquisiciones empresariales, reformar el concepto de proyectos de interés común a nivel europeo o acelerar los procesos de toma de decisiones para dar predictibilidad a los mercados.</w:t>
      </w:r>
    </w:p>
    <w:p w:rsidR="003B4338" w:rsidRDefault="0050717C" w:rsidP="003B4338">
      <w:pPr>
        <w:pStyle w:val="NormalWeb"/>
        <w:spacing w:after="0"/>
        <w:jc w:val="both"/>
        <w:rPr>
          <w:b/>
          <w:color w:val="FF0000"/>
          <w:u w:val="single"/>
        </w:rPr>
      </w:pPr>
      <w:r>
        <w:rPr>
          <w:b/>
          <w:color w:val="FF0000"/>
          <w:u w:val="single"/>
        </w:rPr>
        <w:t>“</w:t>
      </w:r>
      <w:r w:rsidR="003B4338" w:rsidRPr="00777A56">
        <w:rPr>
          <w:b/>
          <w:color w:val="FF0000"/>
          <w:u w:val="single"/>
        </w:rPr>
        <w:t xml:space="preserve">La ventaja competitiva de la que gozaba Europa hace 20 </w:t>
      </w:r>
      <w:r>
        <w:rPr>
          <w:b/>
          <w:color w:val="FF0000"/>
          <w:u w:val="single"/>
        </w:rPr>
        <w:t>años ha desaparecido. Se ha ido”</w:t>
      </w:r>
      <w:r w:rsidR="003B4338" w:rsidRPr="00777A56">
        <w:rPr>
          <w:b/>
          <w:color w:val="FF0000"/>
          <w:u w:val="single"/>
        </w:rPr>
        <w:t>,</w:t>
      </w:r>
      <w:r w:rsidR="003B4338" w:rsidRPr="00777A56">
        <w:rPr>
          <w:color w:val="FF0000"/>
        </w:rPr>
        <w:t xml:space="preserve"> </w:t>
      </w:r>
      <w:r w:rsidR="003B4338" w:rsidRPr="00777A56">
        <w:rPr>
          <w:color w:val="FF0000"/>
          <w:u w:val="single"/>
        </w:rPr>
        <w:t>ha sentenciado el italiano preguntado por la competencia con China</w:t>
      </w:r>
      <w:r w:rsidR="003B4338">
        <w:t xml:space="preserve">. </w:t>
      </w:r>
      <w:r w:rsidR="003B4338" w:rsidRPr="008E67DD">
        <w:rPr>
          <w:b/>
          <w:color w:val="FF0000"/>
          <w:u w:val="single"/>
        </w:rPr>
        <w:t>Sin embargo, los grandes paquetes de subsidios a costa de los contribuyentes no son una fórmula válida para la UE a diferencia de Pekín, por lo que asegurar el suministro de ciertos bienes y m</w:t>
      </w:r>
      <w:r w:rsidR="003B4338">
        <w:rPr>
          <w:b/>
          <w:color w:val="FF0000"/>
          <w:u w:val="single"/>
        </w:rPr>
        <w:t xml:space="preserve">aterias primas y garantizar </w:t>
      </w:r>
      <w:r w:rsidR="003B4338" w:rsidRPr="008E67DD">
        <w:rPr>
          <w:b/>
          <w:color w:val="FF0000"/>
          <w:u w:val="single"/>
        </w:rPr>
        <w:t>la producción en Europa es parte de la respuesta para impulsar la economía.</w:t>
      </w:r>
    </w:p>
    <w:p w:rsidR="00042BDD" w:rsidRPr="00042BDD" w:rsidRDefault="009360CF" w:rsidP="00042BDD">
      <w:pPr>
        <w:spacing w:line="240" w:lineRule="auto"/>
        <w:jc w:val="both"/>
        <w:rPr>
          <w:rFonts w:ascii="Times New Roman" w:hAnsi="Times New Roman" w:cs="Times New Roman"/>
          <w:b/>
          <w:sz w:val="24"/>
          <w:szCs w:val="24"/>
        </w:rPr>
      </w:pPr>
      <w:r w:rsidRPr="00042BDD">
        <w:rPr>
          <w:rFonts w:ascii="Times New Roman" w:hAnsi="Times New Roman" w:cs="Times New Roman"/>
          <w:b/>
          <w:sz w:val="24"/>
          <w:szCs w:val="24"/>
        </w:rPr>
        <w:t xml:space="preserve">Nota: </w:t>
      </w:r>
      <w:r w:rsidR="00042BDD" w:rsidRPr="00042BDD">
        <w:rPr>
          <w:rFonts w:ascii="Times New Roman" w:hAnsi="Times New Roman" w:cs="Times New Roman"/>
          <w:b/>
          <w:sz w:val="24"/>
          <w:szCs w:val="24"/>
        </w:rPr>
        <w:t>En los</w:t>
      </w:r>
      <w:r w:rsidRPr="00042BDD">
        <w:rPr>
          <w:rFonts w:ascii="Times New Roman" w:hAnsi="Times New Roman" w:cs="Times New Roman"/>
          <w:b/>
          <w:sz w:val="24"/>
          <w:szCs w:val="24"/>
        </w:rPr>
        <w:t xml:space="preserve"> Apartado</w:t>
      </w:r>
      <w:r w:rsidR="00042BDD" w:rsidRPr="00042BDD">
        <w:rPr>
          <w:rFonts w:ascii="Times New Roman" w:hAnsi="Times New Roman" w:cs="Times New Roman"/>
          <w:b/>
          <w:sz w:val="24"/>
          <w:szCs w:val="24"/>
        </w:rPr>
        <w:t>s que siguen se realiza un análisis crítico de los informes presentados por Peter Strohschneider</w:t>
      </w:r>
      <w:r w:rsidR="00042BDD">
        <w:rPr>
          <w:rFonts w:ascii="Times New Roman" w:hAnsi="Times New Roman" w:cs="Times New Roman"/>
          <w:b/>
          <w:sz w:val="24"/>
          <w:szCs w:val="24"/>
        </w:rPr>
        <w:t xml:space="preserve"> (agricultura)</w:t>
      </w:r>
      <w:r w:rsidR="00042BDD" w:rsidRPr="00042BDD">
        <w:rPr>
          <w:rFonts w:ascii="Times New Roman" w:hAnsi="Times New Roman" w:cs="Times New Roman"/>
          <w:b/>
          <w:sz w:val="24"/>
          <w:szCs w:val="24"/>
        </w:rPr>
        <w:t>, Enrico Letta (mercado), y Mario Draghi</w:t>
      </w:r>
      <w:r w:rsidR="00B65AE7">
        <w:rPr>
          <w:rFonts w:ascii="Times New Roman" w:hAnsi="Times New Roman" w:cs="Times New Roman"/>
          <w:b/>
          <w:sz w:val="24"/>
          <w:szCs w:val="24"/>
        </w:rPr>
        <w:t xml:space="preserve"> (competitividad</w:t>
      </w:r>
      <w:r w:rsidR="00042BDD" w:rsidRPr="00042BDD">
        <w:rPr>
          <w:rFonts w:ascii="Times New Roman" w:hAnsi="Times New Roman" w:cs="Times New Roman"/>
          <w:b/>
          <w:sz w:val="24"/>
          <w:szCs w:val="24"/>
        </w:rPr>
        <w:t>), bajo la óptica de los principios y enseñanzas, de Friedrich List “Sistema de econom</w:t>
      </w:r>
      <w:r w:rsidR="00042BDD">
        <w:rPr>
          <w:rFonts w:ascii="Times New Roman" w:hAnsi="Times New Roman" w:cs="Times New Roman"/>
          <w:b/>
          <w:sz w:val="24"/>
          <w:szCs w:val="24"/>
        </w:rPr>
        <w:t>ía política”, publicado en 1841, algunas veces de forma directa (citas</w:t>
      </w:r>
      <w:r w:rsidR="00597AB8">
        <w:rPr>
          <w:rFonts w:ascii="Times New Roman" w:hAnsi="Times New Roman" w:cs="Times New Roman"/>
          <w:b/>
          <w:sz w:val="24"/>
          <w:szCs w:val="24"/>
        </w:rPr>
        <w:t xml:space="preserve"> seleccionadas</w:t>
      </w:r>
      <w:r w:rsidR="00042BDD">
        <w:rPr>
          <w:rFonts w:ascii="Times New Roman" w:hAnsi="Times New Roman" w:cs="Times New Roman"/>
          <w:b/>
          <w:sz w:val="24"/>
          <w:szCs w:val="24"/>
        </w:rPr>
        <w:t>)</w:t>
      </w:r>
      <w:r w:rsidR="00597AB8">
        <w:rPr>
          <w:rFonts w:ascii="Times New Roman" w:hAnsi="Times New Roman" w:cs="Times New Roman"/>
          <w:b/>
          <w:sz w:val="24"/>
          <w:szCs w:val="24"/>
        </w:rPr>
        <w:t xml:space="preserve"> y otras indirecta (representación imaginaria). </w:t>
      </w:r>
    </w:p>
    <w:p w:rsidR="00841912" w:rsidRDefault="00841912" w:rsidP="00841912">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Así habló</w:t>
      </w:r>
      <w:r w:rsidRPr="00156864">
        <w:rPr>
          <w:rFonts w:ascii="Times New Roman" w:hAnsi="Times New Roman" w:cs="Times New Roman"/>
          <w:b/>
          <w:sz w:val="24"/>
          <w:szCs w:val="24"/>
        </w:rPr>
        <w:t xml:space="preserve"> List (para todos y para nadie): </w:t>
      </w:r>
      <w:r>
        <w:rPr>
          <w:rFonts w:ascii="Times New Roman" w:hAnsi="Times New Roman" w:cs="Times New Roman"/>
          <w:b/>
          <w:sz w:val="24"/>
          <w:szCs w:val="24"/>
        </w:rPr>
        <w:t xml:space="preserve">… </w:t>
      </w:r>
      <w:r w:rsidRPr="00156864">
        <w:rPr>
          <w:rFonts w:ascii="Times New Roman" w:hAnsi="Times New Roman" w:cs="Times New Roman"/>
          <w:b/>
          <w:sz w:val="24"/>
          <w:szCs w:val="24"/>
        </w:rPr>
        <w:t>y no contentó a ninguno</w:t>
      </w:r>
    </w:p>
    <w:p w:rsidR="00536692" w:rsidRPr="00156864" w:rsidRDefault="00536692" w:rsidP="00841912">
      <w:pPr>
        <w:spacing w:line="240" w:lineRule="auto"/>
        <w:jc w:val="both"/>
        <w:rPr>
          <w:rFonts w:ascii="Times New Roman" w:hAnsi="Times New Roman" w:cs="Times New Roman"/>
          <w:b/>
          <w:sz w:val="24"/>
          <w:szCs w:val="24"/>
        </w:rPr>
      </w:pPr>
      <w:r>
        <w:rPr>
          <w:noProof/>
          <w:lang w:eastAsia="es-ES"/>
        </w:rPr>
        <w:drawing>
          <wp:inline distT="0" distB="0" distL="0" distR="0" wp14:anchorId="7ECE7EB2" wp14:editId="52DF79E9">
            <wp:extent cx="5731510" cy="2946400"/>
            <wp:effectExtent l="0" t="0" r="2540" b="6350"/>
            <wp:docPr id="118" name="Imagen 118" descr="Foto: Vista de unas banderas de la Unión Europea.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to: Vista de unas banderas de la Unión Europea. (iStock)"/>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2946400"/>
                    </a:xfrm>
                    <a:prstGeom prst="rect">
                      <a:avLst/>
                    </a:prstGeom>
                    <a:noFill/>
                    <a:ln>
                      <a:noFill/>
                    </a:ln>
                  </pic:spPr>
                </pic:pic>
              </a:graphicData>
            </a:graphic>
          </wp:inline>
        </w:drawing>
      </w:r>
    </w:p>
    <w:p w:rsidR="00841912" w:rsidRPr="00536692" w:rsidRDefault="00841912" w:rsidP="00841912">
      <w:pPr>
        <w:spacing w:line="240" w:lineRule="auto"/>
        <w:jc w:val="both"/>
        <w:rPr>
          <w:rFonts w:ascii="Times New Roman" w:hAnsi="Times New Roman" w:cs="Times New Roman"/>
          <w:b/>
          <w:sz w:val="24"/>
          <w:szCs w:val="24"/>
        </w:rPr>
      </w:pPr>
      <w:r w:rsidRPr="00536692">
        <w:rPr>
          <w:rFonts w:ascii="Times New Roman" w:hAnsi="Times New Roman" w:cs="Times New Roman"/>
          <w:b/>
          <w:sz w:val="24"/>
          <w:szCs w:val="24"/>
        </w:rPr>
        <w:t>Mirando a la Unión Europea d</w:t>
      </w:r>
      <w:r w:rsidR="00C836FF">
        <w:rPr>
          <w:rFonts w:ascii="Times New Roman" w:hAnsi="Times New Roman" w:cs="Times New Roman"/>
          <w:b/>
          <w:sz w:val="24"/>
          <w:szCs w:val="24"/>
        </w:rPr>
        <w:t>esde el “lado del ciudadano”: ¿c</w:t>
      </w:r>
      <w:r w:rsidRPr="00536692">
        <w:rPr>
          <w:rFonts w:ascii="Times New Roman" w:hAnsi="Times New Roman" w:cs="Times New Roman"/>
          <w:b/>
          <w:sz w:val="24"/>
          <w:szCs w:val="24"/>
        </w:rPr>
        <w:t>ómo nos ha ido en los últimos 20 años?</w:t>
      </w:r>
    </w:p>
    <w:p w:rsidR="005F71D7" w:rsidRDefault="005F71D7" w:rsidP="005F71D7">
      <w:pPr>
        <w:spacing w:line="240" w:lineRule="auto"/>
        <w:jc w:val="both"/>
        <w:rPr>
          <w:rFonts w:ascii="Times New Roman" w:hAnsi="Times New Roman" w:cs="Times New Roman"/>
          <w:sz w:val="24"/>
          <w:szCs w:val="24"/>
        </w:rPr>
      </w:pPr>
      <w:r>
        <w:rPr>
          <w:rFonts w:ascii="Times New Roman" w:hAnsi="Times New Roman" w:cs="Times New Roman"/>
          <w:sz w:val="24"/>
          <w:szCs w:val="24"/>
        </w:rPr>
        <w:t>Difícilmente</w:t>
      </w:r>
      <w:r w:rsidRPr="005F71D7">
        <w:rPr>
          <w:rFonts w:ascii="Times New Roman" w:hAnsi="Times New Roman" w:cs="Times New Roman"/>
          <w:sz w:val="24"/>
          <w:szCs w:val="24"/>
        </w:rPr>
        <w:t xml:space="preserve"> podríamos encontrar nada más parecido al caos que la situación económica y financiera, también social y po</w:t>
      </w:r>
      <w:r>
        <w:rPr>
          <w:rFonts w:ascii="Times New Roman" w:hAnsi="Times New Roman" w:cs="Times New Roman"/>
          <w:sz w:val="24"/>
          <w:szCs w:val="24"/>
        </w:rPr>
        <w:t xml:space="preserve">lítica, que ha vivido Europa desde el año 2008 en adelante, aunque nos deberíamos retrotraer al </w:t>
      </w:r>
      <w:r w:rsidRPr="005F71D7">
        <w:rPr>
          <w:rFonts w:ascii="Times New Roman" w:hAnsi="Times New Roman" w:cs="Times New Roman"/>
          <w:sz w:val="24"/>
          <w:szCs w:val="24"/>
        </w:rPr>
        <w:t>9 de noviembre de 1989</w:t>
      </w:r>
      <w:r>
        <w:rPr>
          <w:rFonts w:ascii="Times New Roman" w:hAnsi="Times New Roman" w:cs="Times New Roman"/>
          <w:sz w:val="24"/>
          <w:szCs w:val="24"/>
        </w:rPr>
        <w:t xml:space="preserve"> (Caída del Muro de Berlín)</w:t>
      </w:r>
      <w:r w:rsidRPr="005F71D7">
        <w:rPr>
          <w:rFonts w:ascii="Times New Roman" w:hAnsi="Times New Roman" w:cs="Times New Roman"/>
          <w:sz w:val="24"/>
          <w:szCs w:val="24"/>
        </w:rPr>
        <w:t>,</w:t>
      </w:r>
      <w:r w:rsidR="00644820">
        <w:rPr>
          <w:rFonts w:ascii="Times New Roman" w:hAnsi="Times New Roman" w:cs="Times New Roman"/>
          <w:sz w:val="24"/>
          <w:szCs w:val="24"/>
        </w:rPr>
        <w:t xml:space="preserve"> como la fecha en que se puso el </w:t>
      </w:r>
      <w:r w:rsidR="00CA5846">
        <w:rPr>
          <w:rFonts w:ascii="Times New Roman" w:hAnsi="Times New Roman" w:cs="Times New Roman"/>
          <w:sz w:val="24"/>
          <w:szCs w:val="24"/>
        </w:rPr>
        <w:t>“</w:t>
      </w:r>
      <w:r w:rsidR="00644820">
        <w:rPr>
          <w:rFonts w:ascii="Times New Roman" w:hAnsi="Times New Roman" w:cs="Times New Roman"/>
          <w:sz w:val="24"/>
          <w:szCs w:val="24"/>
        </w:rPr>
        <w:t>huevo de la serpiente</w:t>
      </w:r>
      <w:r w:rsidR="00CA5846">
        <w:rPr>
          <w:rFonts w:ascii="Times New Roman" w:hAnsi="Times New Roman" w:cs="Times New Roman"/>
          <w:sz w:val="24"/>
          <w:szCs w:val="24"/>
        </w:rPr>
        <w:t>”</w:t>
      </w:r>
      <w:r w:rsidR="00644820">
        <w:rPr>
          <w:rFonts w:ascii="Times New Roman" w:hAnsi="Times New Roman" w:cs="Times New Roman"/>
          <w:sz w:val="24"/>
          <w:szCs w:val="24"/>
        </w:rPr>
        <w:t xml:space="preserve"> (Fin de la Historia - Fukuyama dixit), de la globalización, financierización, deslocalización, tercerización, desregulación, que han provocado el declinar (cuesta abajo) de la Unión Europea.</w:t>
      </w:r>
      <w:r>
        <w:rPr>
          <w:rFonts w:ascii="Times New Roman" w:hAnsi="Times New Roman" w:cs="Times New Roman"/>
          <w:sz w:val="24"/>
          <w:szCs w:val="24"/>
        </w:rPr>
        <w:t xml:space="preserve">   </w:t>
      </w:r>
    </w:p>
    <w:p w:rsidR="00841912" w:rsidRDefault="00841912" w:rsidP="008419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Me hubiera gustado que en los “informes” de </w:t>
      </w:r>
      <w:r w:rsidRPr="00156864">
        <w:rPr>
          <w:rFonts w:ascii="Times New Roman" w:hAnsi="Times New Roman" w:cs="Times New Roman"/>
          <w:b/>
          <w:sz w:val="24"/>
          <w:szCs w:val="24"/>
        </w:rPr>
        <w:t>Peter Strohschneider, Enrico Letta, y Mario Draghi</w:t>
      </w:r>
      <w:r w:rsidR="00644820">
        <w:rPr>
          <w:rFonts w:ascii="Times New Roman" w:hAnsi="Times New Roman" w:cs="Times New Roman"/>
          <w:sz w:val="24"/>
          <w:szCs w:val="24"/>
        </w:rPr>
        <w:t>, se hubiera incluido algún</w:t>
      </w:r>
      <w:r>
        <w:rPr>
          <w:rFonts w:ascii="Times New Roman" w:hAnsi="Times New Roman" w:cs="Times New Roman"/>
          <w:sz w:val="24"/>
          <w:szCs w:val="24"/>
        </w:rPr>
        <w:t xml:space="preserve"> capítulo sobre los “resultados sociales” alcanzados por la Unión Europea en los últimos 20 años. </w:t>
      </w:r>
    </w:p>
    <w:p w:rsidR="00841912" w:rsidRDefault="00841912" w:rsidP="00841912">
      <w:pPr>
        <w:spacing w:line="240" w:lineRule="auto"/>
        <w:jc w:val="both"/>
        <w:rPr>
          <w:rFonts w:ascii="Times New Roman" w:hAnsi="Times New Roman" w:cs="Times New Roman"/>
          <w:sz w:val="24"/>
          <w:szCs w:val="24"/>
        </w:rPr>
      </w:pPr>
      <w:r>
        <w:rPr>
          <w:rFonts w:ascii="Times New Roman" w:hAnsi="Times New Roman" w:cs="Times New Roman"/>
          <w:sz w:val="24"/>
          <w:szCs w:val="24"/>
        </w:rPr>
        <w:t>Una especie de “espejo económico”, donde los “datos” maten los “relatos”.</w:t>
      </w:r>
    </w:p>
    <w:p w:rsidR="00841912" w:rsidRDefault="00841912" w:rsidP="00841912">
      <w:pPr>
        <w:spacing w:line="240" w:lineRule="auto"/>
        <w:jc w:val="both"/>
        <w:rPr>
          <w:rFonts w:ascii="Times New Roman" w:hAnsi="Times New Roman" w:cs="Times New Roman"/>
          <w:sz w:val="24"/>
          <w:szCs w:val="24"/>
        </w:rPr>
      </w:pPr>
      <w:r>
        <w:rPr>
          <w:rFonts w:ascii="Times New Roman" w:hAnsi="Times New Roman" w:cs="Times New Roman"/>
          <w:sz w:val="24"/>
          <w:szCs w:val="24"/>
        </w:rPr>
        <w:t>Por ejemplo:</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Índice de miseria</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Tasa de pobreza infantil</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Tasa de riesgo de pobreza</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Aumento de la pobreza general severa</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Tasa de abandono escolar temprano</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Problemas de carencia material de las familias</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Problemas económicos para llegar a fin de mes</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Empresas destruidas</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Tasa de paro</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Parados ocultos</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Trabajo </w:t>
      </w:r>
      <w:r w:rsidRPr="00AB0C2D">
        <w:rPr>
          <w:rFonts w:ascii="Times New Roman" w:hAnsi="Times New Roman" w:cs="Times New Roman"/>
          <w:sz w:val="24"/>
          <w:szCs w:val="24"/>
        </w:rPr>
        <w:t>sin estar dado de alta en</w:t>
      </w:r>
      <w:r>
        <w:rPr>
          <w:rFonts w:ascii="Times New Roman" w:hAnsi="Times New Roman" w:cs="Times New Roman"/>
          <w:sz w:val="24"/>
          <w:szCs w:val="24"/>
        </w:rPr>
        <w:t xml:space="preserve"> la Seguridad Social</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Pérdida de poder adquisitivo</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Crecimiento de la desigualdad</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Aumento de impuestos</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Inflación acumulada</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Equilibrio del régimen de pensiones</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Pérdida de PIB per cápita</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Pérdida de inversiones privadas</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Pérdida de productividad</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Pérdida de competitividad</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Ausentismo laboral</w:t>
      </w:r>
    </w:p>
    <w:p w:rsidR="00CA5846" w:rsidRDefault="00CA5846"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Bajas por enfermedad (y sistema de control médico)</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Jornada media</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Coste para emplear</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Participación del gasto público</w:t>
      </w:r>
    </w:p>
    <w:p w:rsidR="00841912"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Déficit público</w:t>
      </w:r>
    </w:p>
    <w:p w:rsidR="00841912" w:rsidRPr="00156864" w:rsidRDefault="00841912" w:rsidP="00841912">
      <w:pPr>
        <w:pStyle w:val="Prrafodelista"/>
        <w:numPr>
          <w:ilvl w:val="0"/>
          <w:numId w:val="6"/>
        </w:numPr>
        <w:spacing w:line="240" w:lineRule="auto"/>
        <w:jc w:val="both"/>
        <w:rPr>
          <w:rFonts w:ascii="Times New Roman" w:hAnsi="Times New Roman" w:cs="Times New Roman"/>
          <w:sz w:val="24"/>
          <w:szCs w:val="24"/>
        </w:rPr>
      </w:pPr>
      <w:r>
        <w:rPr>
          <w:rFonts w:ascii="Times New Roman" w:hAnsi="Times New Roman" w:cs="Times New Roman"/>
          <w:sz w:val="24"/>
          <w:szCs w:val="24"/>
        </w:rPr>
        <w:t>Deuda pública</w:t>
      </w:r>
    </w:p>
    <w:p w:rsidR="00841912" w:rsidRDefault="00841912" w:rsidP="00841912">
      <w:pPr>
        <w:spacing w:line="240" w:lineRule="auto"/>
        <w:jc w:val="both"/>
        <w:rPr>
          <w:rFonts w:ascii="Times New Roman" w:hAnsi="Times New Roman" w:cs="Times New Roman"/>
          <w:sz w:val="24"/>
          <w:szCs w:val="24"/>
        </w:rPr>
      </w:pPr>
      <w:r>
        <w:rPr>
          <w:rFonts w:ascii="Times New Roman" w:hAnsi="Times New Roman" w:cs="Times New Roman"/>
          <w:sz w:val="24"/>
          <w:szCs w:val="24"/>
        </w:rPr>
        <w:t>Ustedes, respetables sabios económicos, parecen hablar de “la vida de los otros”. Eso mismo, les sucede a los burócratas de Bruselas. En mi caso, pretendo hablar de “la vida de nosotros”.</w:t>
      </w:r>
    </w:p>
    <w:p w:rsidR="00841912" w:rsidRDefault="00841912" w:rsidP="00841912">
      <w:pPr>
        <w:spacing w:line="240" w:lineRule="auto"/>
        <w:jc w:val="both"/>
        <w:rPr>
          <w:rFonts w:ascii="Times New Roman" w:hAnsi="Times New Roman" w:cs="Times New Roman"/>
          <w:sz w:val="24"/>
          <w:szCs w:val="24"/>
        </w:rPr>
      </w:pPr>
      <w:r>
        <w:rPr>
          <w:rFonts w:ascii="Times New Roman" w:hAnsi="Times New Roman" w:cs="Times New Roman"/>
          <w:sz w:val="24"/>
          <w:szCs w:val="24"/>
        </w:rPr>
        <w:t>Las cosas para verlas bien conviene mirarlas del revés, como observaba Baltasar Gracián.</w:t>
      </w:r>
    </w:p>
    <w:p w:rsidR="00536692" w:rsidRDefault="00536692" w:rsidP="0084191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09CF">
        <w:rPr>
          <w:rFonts w:ascii="Times New Roman" w:hAnsi="Times New Roman" w:cs="Times New Roman"/>
          <w:sz w:val="24"/>
          <w:szCs w:val="24"/>
        </w:rPr>
        <w:t>Es el presente el único</w:t>
      </w:r>
      <w:r>
        <w:rPr>
          <w:rFonts w:ascii="Times New Roman" w:hAnsi="Times New Roman" w:cs="Times New Roman"/>
          <w:sz w:val="24"/>
          <w:szCs w:val="24"/>
        </w:rPr>
        <w:t xml:space="preserve"> futuro?</w:t>
      </w:r>
      <w:r w:rsidRPr="000D09CF">
        <w:rPr>
          <w:rFonts w:ascii="Times New Roman" w:hAnsi="Times New Roman" w:cs="Times New Roman"/>
          <w:sz w:val="24"/>
          <w:szCs w:val="24"/>
        </w:rPr>
        <w:t xml:space="preserve"> </w:t>
      </w:r>
      <w:r>
        <w:rPr>
          <w:rFonts w:ascii="Times New Roman" w:hAnsi="Times New Roman" w:cs="Times New Roman"/>
          <w:sz w:val="24"/>
          <w:szCs w:val="24"/>
        </w:rPr>
        <w:t>¿</w:t>
      </w:r>
      <w:r w:rsidRPr="000D09CF">
        <w:rPr>
          <w:rFonts w:ascii="Times New Roman" w:hAnsi="Times New Roman" w:cs="Times New Roman"/>
          <w:sz w:val="24"/>
          <w:szCs w:val="24"/>
        </w:rPr>
        <w:t>Podremos volver a esperar la prosperidad general o deberemos resign</w:t>
      </w:r>
      <w:r>
        <w:rPr>
          <w:rFonts w:ascii="Times New Roman" w:hAnsi="Times New Roman" w:cs="Times New Roman"/>
          <w:sz w:val="24"/>
          <w:szCs w:val="24"/>
        </w:rPr>
        <w:t>arnos a la continua decadencia?</w:t>
      </w:r>
    </w:p>
    <w:p w:rsidR="00536692" w:rsidRPr="000D09CF" w:rsidRDefault="00536692" w:rsidP="00536692">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Desear, proponer, pedir que Europa vuelva a confiar en su propia experiencia, vuelva a confiar en su historia, no significa buscar otras formas de totalitarismo o el retorno a la servidumbre.</w:t>
      </w:r>
    </w:p>
    <w:p w:rsidR="00536692" w:rsidRPr="000D09CF" w:rsidRDefault="00536692" w:rsidP="00536692">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impersonal y anónimo mercado, no educa, no cura, y no da de comer.</w:t>
      </w:r>
    </w:p>
    <w:p w:rsidR="00536692" w:rsidRPr="000D09CF" w:rsidRDefault="00536692" w:rsidP="00536692">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impersonal y anónimo mercado pone al hombre -en soledad y angustia- ante la fuerza del destino -que hoy se le presenta hostil- y la incertidumbre de un futuro que lo condena.</w:t>
      </w:r>
    </w:p>
    <w:p w:rsidR="00536692" w:rsidRPr="000D09CF" w:rsidRDefault="00536692" w:rsidP="0053669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09CF">
        <w:rPr>
          <w:rFonts w:ascii="Times New Roman" w:hAnsi="Times New Roman" w:cs="Times New Roman"/>
          <w:sz w:val="24"/>
          <w:szCs w:val="24"/>
        </w:rPr>
        <w:t>Es esto lo único que podemos ofrecer a los jóvenes europeos de cara al siglo X</w:t>
      </w:r>
      <w:r>
        <w:rPr>
          <w:rFonts w:ascii="Times New Roman" w:hAnsi="Times New Roman" w:cs="Times New Roman"/>
          <w:sz w:val="24"/>
          <w:szCs w:val="24"/>
        </w:rPr>
        <w:t>XI?</w:t>
      </w:r>
    </w:p>
    <w:p w:rsidR="005B2C18" w:rsidRPr="000D09CF" w:rsidRDefault="005B2C18" w:rsidP="005B2C1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Para esa carga no hacían falta semejantes alforjas.</w:t>
      </w:r>
    </w:p>
    <w:p w:rsidR="005B2C18" w:rsidRPr="000D09CF" w:rsidRDefault="005B2C18" w:rsidP="005B2C1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La Europa del siglo XXI no puede significar para los jóvenes únicamente el mercado,</w:t>
      </w:r>
      <w:r>
        <w:rPr>
          <w:rFonts w:ascii="Times New Roman" w:hAnsi="Times New Roman" w:cs="Times New Roman"/>
          <w:sz w:val="24"/>
          <w:szCs w:val="24"/>
        </w:rPr>
        <w:t xml:space="preserve"> el móvil, las redes sociales, las plataformas, las apps, los gadgets,</w:t>
      </w:r>
      <w:r w:rsidRPr="000D09CF">
        <w:rPr>
          <w:rFonts w:ascii="Times New Roman" w:hAnsi="Times New Roman" w:cs="Times New Roman"/>
          <w:sz w:val="24"/>
          <w:szCs w:val="24"/>
        </w:rPr>
        <w:t xml:space="preserve"> la tarjeta de crédito, el consumismo, la especulación, la corrupción, el tráfico de influencias,</w:t>
      </w:r>
      <w:r>
        <w:rPr>
          <w:rFonts w:ascii="Times New Roman" w:hAnsi="Times New Roman" w:cs="Times New Roman"/>
          <w:sz w:val="24"/>
          <w:szCs w:val="24"/>
        </w:rPr>
        <w:t xml:space="preserve"> </w:t>
      </w:r>
      <w:r w:rsidRPr="000D09CF">
        <w:rPr>
          <w:rFonts w:ascii="Times New Roman" w:hAnsi="Times New Roman" w:cs="Times New Roman"/>
          <w:sz w:val="24"/>
          <w:szCs w:val="24"/>
        </w:rPr>
        <w:t>el futbol, la droga y el alcohol.</w:t>
      </w:r>
    </w:p>
    <w:p w:rsidR="005B2C18" w:rsidRPr="000D09CF" w:rsidRDefault="005B2C18" w:rsidP="005B2C1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No podemos ofrecerles una Europa de “avestruces” y “agujeros”.</w:t>
      </w:r>
    </w:p>
    <w:p w:rsidR="005B2C18" w:rsidRPr="000D09CF" w:rsidRDefault="005B2C18" w:rsidP="005B2C1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09CF">
        <w:rPr>
          <w:rFonts w:ascii="Times New Roman" w:hAnsi="Times New Roman" w:cs="Times New Roman"/>
          <w:sz w:val="24"/>
          <w:szCs w:val="24"/>
        </w:rPr>
        <w:t>Es posible q</w:t>
      </w:r>
      <w:r>
        <w:rPr>
          <w:rFonts w:ascii="Times New Roman" w:hAnsi="Times New Roman" w:cs="Times New Roman"/>
          <w:sz w:val="24"/>
          <w:szCs w:val="24"/>
        </w:rPr>
        <w:t>ue Europa no quiera “asumirse”?</w:t>
      </w:r>
    </w:p>
    <w:p w:rsidR="005B2C18" w:rsidRPr="000D09CF" w:rsidRDefault="005B2C18" w:rsidP="005B2C1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claudicar europeo, su resignación a ser “solo” mercado anula las posibilidades de crecer (como Estados Unidos</w:t>
      </w:r>
      <w:r>
        <w:rPr>
          <w:rFonts w:ascii="Times New Roman" w:hAnsi="Times New Roman" w:cs="Times New Roman"/>
          <w:sz w:val="24"/>
          <w:szCs w:val="24"/>
        </w:rPr>
        <w:t xml:space="preserve"> o China</w:t>
      </w:r>
      <w:r w:rsidRPr="000D09CF">
        <w:rPr>
          <w:rFonts w:ascii="Times New Roman" w:hAnsi="Times New Roman" w:cs="Times New Roman"/>
          <w:sz w:val="24"/>
          <w:szCs w:val="24"/>
        </w:rPr>
        <w:t>) y neutraliza las posibilidades de competir (como Estados Unidos</w:t>
      </w:r>
      <w:r>
        <w:rPr>
          <w:rFonts w:ascii="Times New Roman" w:hAnsi="Times New Roman" w:cs="Times New Roman"/>
          <w:sz w:val="24"/>
          <w:szCs w:val="24"/>
        </w:rPr>
        <w:t>, China,</w:t>
      </w:r>
      <w:r w:rsidRPr="000D09CF">
        <w:rPr>
          <w:rFonts w:ascii="Times New Roman" w:hAnsi="Times New Roman" w:cs="Times New Roman"/>
          <w:sz w:val="24"/>
          <w:szCs w:val="24"/>
        </w:rPr>
        <w:t xml:space="preserve"> o Japón). </w:t>
      </w:r>
    </w:p>
    <w:p w:rsidR="005B2C18" w:rsidRPr="000D09CF" w:rsidRDefault="005B2C18" w:rsidP="005B2C1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Ni corredore</w:t>
      </w:r>
      <w:r w:rsidR="00C836FF">
        <w:rPr>
          <w:rFonts w:ascii="Times New Roman" w:hAnsi="Times New Roman" w:cs="Times New Roman"/>
          <w:sz w:val="24"/>
          <w:szCs w:val="24"/>
        </w:rPr>
        <w:t xml:space="preserve">s de fondo, ni velocistas... </w:t>
      </w:r>
      <w:r w:rsidRPr="000D09CF">
        <w:rPr>
          <w:rFonts w:ascii="Times New Roman" w:hAnsi="Times New Roman" w:cs="Times New Roman"/>
          <w:sz w:val="24"/>
          <w:szCs w:val="24"/>
        </w:rPr>
        <w:t>solo avestruces y agujeros.</w:t>
      </w:r>
    </w:p>
    <w:p w:rsidR="00536692" w:rsidRDefault="005B2C18" w:rsidP="0084191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09CF">
        <w:rPr>
          <w:rFonts w:ascii="Times New Roman" w:hAnsi="Times New Roman" w:cs="Times New Roman"/>
          <w:sz w:val="24"/>
          <w:szCs w:val="24"/>
        </w:rPr>
        <w:t>Habrá llegado el momento de pasar de la “subvención” a la “subversión</w:t>
      </w:r>
      <w:r>
        <w:rPr>
          <w:rFonts w:ascii="Times New Roman" w:hAnsi="Times New Roman" w:cs="Times New Roman"/>
          <w:sz w:val="24"/>
          <w:szCs w:val="24"/>
        </w:rPr>
        <w:t>”?</w:t>
      </w:r>
    </w:p>
    <w:p w:rsidR="00841912" w:rsidRDefault="00841912" w:rsidP="00841912">
      <w:pPr>
        <w:spacing w:line="240" w:lineRule="auto"/>
        <w:jc w:val="both"/>
        <w:rPr>
          <w:rFonts w:ascii="Times New Roman" w:hAnsi="Times New Roman" w:cs="Times New Roman"/>
          <w:sz w:val="24"/>
          <w:szCs w:val="24"/>
        </w:rPr>
      </w:pPr>
      <w:r>
        <w:rPr>
          <w:rFonts w:ascii="Times New Roman" w:hAnsi="Times New Roman" w:cs="Times New Roman"/>
          <w:sz w:val="24"/>
          <w:szCs w:val="24"/>
        </w:rPr>
        <w:t>Europa tiene miedo… y con el miedo no se puede progresar. El miedo lo controla todo.</w:t>
      </w:r>
    </w:p>
    <w:p w:rsidR="00841912" w:rsidRDefault="00841912" w:rsidP="0084191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El “a</w:t>
      </w:r>
      <w:r w:rsidRPr="005628CC">
        <w:rPr>
          <w:rFonts w:ascii="Times New Roman" w:hAnsi="Times New Roman" w:cs="Times New Roman"/>
          <w:sz w:val="24"/>
          <w:szCs w:val="24"/>
        </w:rPr>
        <w:t>pparátchik</w:t>
      </w:r>
      <w:r>
        <w:rPr>
          <w:rFonts w:ascii="Times New Roman" w:hAnsi="Times New Roman" w:cs="Times New Roman"/>
          <w:sz w:val="24"/>
          <w:szCs w:val="24"/>
        </w:rPr>
        <w:t>” de Bruselas primero te rompe las piernas y luego te regala las muletas.</w:t>
      </w:r>
    </w:p>
    <w:p w:rsidR="00841912" w:rsidRDefault="00841912" w:rsidP="00841912">
      <w:pPr>
        <w:spacing w:line="240" w:lineRule="auto"/>
        <w:jc w:val="both"/>
        <w:rPr>
          <w:rFonts w:ascii="Times New Roman" w:hAnsi="Times New Roman" w:cs="Times New Roman"/>
          <w:sz w:val="24"/>
          <w:szCs w:val="24"/>
        </w:rPr>
      </w:pPr>
      <w:r>
        <w:rPr>
          <w:rFonts w:ascii="Times New Roman" w:hAnsi="Times New Roman" w:cs="Times New Roman"/>
          <w:sz w:val="24"/>
          <w:szCs w:val="24"/>
        </w:rPr>
        <w:t>No queremos las muletas de la Unión Europea. No queremos que nos rompan las piernas.</w:t>
      </w:r>
    </w:p>
    <w:p w:rsidR="00841912" w:rsidRDefault="00841912" w:rsidP="00841912">
      <w:pPr>
        <w:spacing w:line="240" w:lineRule="auto"/>
        <w:jc w:val="both"/>
        <w:rPr>
          <w:rFonts w:ascii="Times New Roman" w:hAnsi="Times New Roman" w:cs="Times New Roman"/>
          <w:sz w:val="24"/>
          <w:szCs w:val="24"/>
        </w:rPr>
      </w:pPr>
      <w:r>
        <w:rPr>
          <w:rFonts w:ascii="Times New Roman" w:hAnsi="Times New Roman" w:cs="Times New Roman"/>
          <w:sz w:val="24"/>
          <w:szCs w:val="24"/>
        </w:rPr>
        <w:t>Saquen vuestras (sospechosas) manos de encima de nosotros.</w:t>
      </w:r>
    </w:p>
    <w:p w:rsidR="00841912" w:rsidRDefault="00841912" w:rsidP="0084191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sé si con el nuevo QE (quantitative easing - </w:t>
      </w:r>
      <w:r w:rsidRPr="005628CC">
        <w:rPr>
          <w:rFonts w:ascii="Times New Roman" w:hAnsi="Times New Roman" w:cs="Times New Roman"/>
          <w:sz w:val="24"/>
          <w:szCs w:val="24"/>
        </w:rPr>
        <w:t>expansión cuantitativa</w:t>
      </w:r>
      <w:r>
        <w:rPr>
          <w:rFonts w:ascii="Times New Roman" w:hAnsi="Times New Roman" w:cs="Times New Roman"/>
          <w:sz w:val="24"/>
          <w:szCs w:val="24"/>
        </w:rPr>
        <w:t>) de Ursula</w:t>
      </w:r>
      <w:r w:rsidRPr="005628CC">
        <w:rPr>
          <w:rFonts w:ascii="Times New Roman" w:hAnsi="Times New Roman" w:cs="Times New Roman"/>
          <w:sz w:val="24"/>
          <w:szCs w:val="24"/>
        </w:rPr>
        <w:t xml:space="preserve"> von der Leyen</w:t>
      </w:r>
      <w:r w:rsidR="00597AB8">
        <w:rPr>
          <w:rFonts w:ascii="Times New Roman" w:hAnsi="Times New Roman" w:cs="Times New Roman"/>
          <w:sz w:val="24"/>
          <w:szCs w:val="24"/>
        </w:rPr>
        <w:t>, podrán</w:t>
      </w:r>
      <w:r>
        <w:rPr>
          <w:rFonts w:ascii="Times New Roman" w:hAnsi="Times New Roman" w:cs="Times New Roman"/>
          <w:sz w:val="24"/>
          <w:szCs w:val="24"/>
        </w:rPr>
        <w:t xml:space="preserve"> salvar el presente, pero sí estoy seguro que hipotecarán el futuro gastando sin responsabilidad en el presente.</w:t>
      </w:r>
    </w:p>
    <w:p w:rsidR="00841912" w:rsidRDefault="00841912" w:rsidP="00841912">
      <w:pPr>
        <w:spacing w:line="240" w:lineRule="auto"/>
        <w:jc w:val="both"/>
        <w:rPr>
          <w:rFonts w:ascii="Times New Roman" w:hAnsi="Times New Roman" w:cs="Times New Roman"/>
          <w:sz w:val="24"/>
          <w:szCs w:val="24"/>
        </w:rPr>
      </w:pPr>
      <w:r>
        <w:rPr>
          <w:rFonts w:ascii="Times New Roman" w:hAnsi="Times New Roman" w:cs="Times New Roman"/>
          <w:sz w:val="24"/>
          <w:szCs w:val="24"/>
        </w:rPr>
        <w:t>De seguir aplicando el Modelo Anglosajón (globalización, financierización, librecambio), la Unión Europea seguirá demostrando que solo tiene un gran pasado por delante.</w:t>
      </w:r>
    </w:p>
    <w:p w:rsidR="00B624B3" w:rsidRPr="000D09CF" w:rsidRDefault="00B624B3" w:rsidP="00B624B3">
      <w:pPr>
        <w:spacing w:line="240" w:lineRule="auto"/>
        <w:jc w:val="both"/>
        <w:rPr>
          <w:rFonts w:ascii="Times New Roman" w:hAnsi="Times New Roman" w:cs="Times New Roman"/>
          <w:b/>
          <w:sz w:val="24"/>
          <w:szCs w:val="24"/>
        </w:rPr>
      </w:pPr>
      <w:r w:rsidRPr="000D09CF">
        <w:rPr>
          <w:rFonts w:ascii="Times New Roman" w:hAnsi="Times New Roman" w:cs="Times New Roman"/>
          <w:b/>
          <w:sz w:val="24"/>
          <w:szCs w:val="24"/>
        </w:rPr>
        <w:t xml:space="preserve">Las “hipotecas” alemanas, que lastran a la Unión Europea </w:t>
      </w:r>
    </w:p>
    <w:p w:rsidR="00B624B3" w:rsidRPr="000D09CF" w:rsidRDefault="00B624B3" w:rsidP="00B624B3">
      <w:pPr>
        <w:spacing w:before="100" w:beforeAutospacing="1" w:after="100" w:afterAutospacing="1" w:line="240" w:lineRule="auto"/>
        <w:jc w:val="both"/>
        <w:outlineLvl w:val="1"/>
        <w:rPr>
          <w:rFonts w:ascii="Times New Roman" w:eastAsia="Times New Roman" w:hAnsi="Times New Roman" w:cs="Times New Roman"/>
          <w:b/>
          <w:bCs/>
          <w:color w:val="262B38"/>
          <w:sz w:val="24"/>
          <w:szCs w:val="24"/>
          <w:lang w:eastAsia="es-ES"/>
        </w:rPr>
      </w:pPr>
      <w:r w:rsidRPr="000D09CF">
        <w:rPr>
          <w:rFonts w:ascii="Times New Roman" w:eastAsia="Times New Roman" w:hAnsi="Times New Roman" w:cs="Times New Roman"/>
          <w:b/>
          <w:bCs/>
          <w:color w:val="262B38"/>
          <w:sz w:val="24"/>
          <w:szCs w:val="24"/>
          <w:lang w:eastAsia="es-ES"/>
        </w:rPr>
        <w:t>Cronología de la Unión Europea (creación y evolución)</w:t>
      </w:r>
    </w:p>
    <w:p w:rsidR="00B624B3" w:rsidRPr="00B624B3" w:rsidRDefault="00B624B3" w:rsidP="00B624B3">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1945-59</w:t>
      </w:r>
      <w:r>
        <w:rPr>
          <w:rFonts w:ascii="Times New Roman" w:eastAsia="Times New Roman" w:hAnsi="Times New Roman" w:cs="Times New Roman"/>
          <w:sz w:val="24"/>
          <w:szCs w:val="24"/>
          <w:lang w:eastAsia="es-ES"/>
        </w:rPr>
        <w:t xml:space="preserve">: </w:t>
      </w:r>
      <w:r w:rsidRPr="00B624B3">
        <w:rPr>
          <w:rFonts w:ascii="Times New Roman" w:eastAsia="Times New Roman" w:hAnsi="Times New Roman" w:cs="Times New Roman"/>
          <w:sz w:val="24"/>
          <w:szCs w:val="24"/>
          <w:lang w:eastAsia="es-ES"/>
        </w:rPr>
        <w:t>Paz en Europa y comienzos de la cooperación</w:t>
      </w:r>
    </w:p>
    <w:p w:rsidR="00B624B3" w:rsidRPr="00B624B3" w:rsidRDefault="00B624B3" w:rsidP="00B624B3">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1960-69</w:t>
      </w:r>
      <w:r>
        <w:rPr>
          <w:rFonts w:ascii="Times New Roman" w:eastAsia="Times New Roman" w:hAnsi="Times New Roman" w:cs="Times New Roman"/>
          <w:sz w:val="24"/>
          <w:szCs w:val="24"/>
          <w:lang w:eastAsia="es-ES"/>
        </w:rPr>
        <w:t xml:space="preserve">: </w:t>
      </w:r>
      <w:r w:rsidRPr="00B624B3">
        <w:rPr>
          <w:rFonts w:ascii="Times New Roman" w:eastAsia="Times New Roman" w:hAnsi="Times New Roman" w:cs="Times New Roman"/>
          <w:sz w:val="24"/>
          <w:szCs w:val="24"/>
          <w:lang w:eastAsia="es-ES"/>
        </w:rPr>
        <w:t>Los “vibrantes 60” - Una etapa de crecimiento económico</w:t>
      </w:r>
    </w:p>
    <w:p w:rsidR="00B624B3" w:rsidRPr="00B624B3" w:rsidRDefault="00B624B3" w:rsidP="00B624B3">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1970-79</w:t>
      </w:r>
      <w:r>
        <w:rPr>
          <w:rFonts w:ascii="Times New Roman" w:eastAsia="Times New Roman" w:hAnsi="Times New Roman" w:cs="Times New Roman"/>
          <w:sz w:val="24"/>
          <w:szCs w:val="24"/>
          <w:lang w:eastAsia="es-ES"/>
        </w:rPr>
        <w:t xml:space="preserve">: </w:t>
      </w:r>
      <w:r w:rsidRPr="00B624B3">
        <w:rPr>
          <w:rFonts w:ascii="Times New Roman" w:eastAsia="Times New Roman" w:hAnsi="Times New Roman" w:cs="Times New Roman"/>
          <w:sz w:val="24"/>
          <w:szCs w:val="24"/>
          <w:lang w:eastAsia="es-ES"/>
        </w:rPr>
        <w:t>Una Comunidad en crecimiento - Adhesión de los primeros nuevos miembros: Dinamarca, Irlanda y el Reino Unido</w:t>
      </w:r>
    </w:p>
    <w:p w:rsidR="00B624B3" w:rsidRPr="00B624B3" w:rsidRDefault="00B624B3" w:rsidP="00B624B3">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1980-89</w:t>
      </w:r>
      <w:r>
        <w:rPr>
          <w:rFonts w:ascii="Times New Roman" w:eastAsia="Times New Roman" w:hAnsi="Times New Roman" w:cs="Times New Roman"/>
          <w:sz w:val="24"/>
          <w:szCs w:val="24"/>
          <w:lang w:eastAsia="es-ES"/>
        </w:rPr>
        <w:t xml:space="preserve">: </w:t>
      </w:r>
      <w:r w:rsidRPr="00B624B3">
        <w:rPr>
          <w:rFonts w:ascii="Times New Roman" w:eastAsia="Times New Roman" w:hAnsi="Times New Roman" w:cs="Times New Roman"/>
          <w:sz w:val="24"/>
          <w:szCs w:val="24"/>
          <w:lang w:eastAsia="es-ES"/>
        </w:rPr>
        <w:t>El rostro cambiante de Europa - La caída del comunismo</w:t>
      </w:r>
    </w:p>
    <w:p w:rsidR="00B624B3" w:rsidRDefault="00B624B3" w:rsidP="00B624B3">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1990-99</w:t>
      </w:r>
      <w:r>
        <w:rPr>
          <w:rFonts w:ascii="Times New Roman" w:eastAsia="Times New Roman" w:hAnsi="Times New Roman" w:cs="Times New Roman"/>
          <w:sz w:val="24"/>
          <w:szCs w:val="24"/>
          <w:lang w:eastAsia="es-ES"/>
        </w:rPr>
        <w:t xml:space="preserve">: </w:t>
      </w:r>
      <w:r w:rsidRPr="00B624B3">
        <w:rPr>
          <w:rFonts w:ascii="Times New Roman" w:eastAsia="Times New Roman" w:hAnsi="Times New Roman" w:cs="Times New Roman"/>
          <w:sz w:val="24"/>
          <w:szCs w:val="24"/>
          <w:lang w:eastAsia="es-ES"/>
        </w:rPr>
        <w:t>Una Europa sin fronteras</w:t>
      </w:r>
    </w:p>
    <w:p w:rsidR="00B624B3" w:rsidRPr="00B624B3" w:rsidRDefault="00B624B3" w:rsidP="00B624B3">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B624B3">
        <w:rPr>
          <w:rFonts w:ascii="Times New Roman" w:eastAsia="Times New Roman" w:hAnsi="Times New Roman" w:cs="Times New Roman"/>
          <w:sz w:val="24"/>
          <w:szCs w:val="24"/>
          <w:lang w:eastAsia="es-ES"/>
        </w:rPr>
        <w:t>2000-09: Expansión - La Unión Europea de 2000 a 2009, incorporó 12 nuevos países, el euro como moneda de curso legal y la firma del Tratado de Lisboa.</w:t>
      </w:r>
    </w:p>
    <w:p w:rsidR="00D83D7B" w:rsidRDefault="00B624B3" w:rsidP="00D83D7B">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B624B3">
        <w:rPr>
          <w:rFonts w:ascii="Times New Roman" w:eastAsia="Times New Roman" w:hAnsi="Times New Roman" w:cs="Times New Roman"/>
          <w:sz w:val="24"/>
          <w:szCs w:val="24"/>
          <w:lang w:eastAsia="es-ES"/>
        </w:rPr>
        <w:t>2010-19</w:t>
      </w:r>
      <w:r>
        <w:rPr>
          <w:rFonts w:ascii="Times New Roman" w:eastAsia="Times New Roman" w:hAnsi="Times New Roman" w:cs="Times New Roman"/>
          <w:sz w:val="24"/>
          <w:szCs w:val="24"/>
          <w:lang w:eastAsia="es-ES"/>
        </w:rPr>
        <w:t xml:space="preserve">: </w:t>
      </w:r>
      <w:r w:rsidRPr="00B624B3">
        <w:rPr>
          <w:rFonts w:ascii="Times New Roman" w:eastAsia="Times New Roman" w:hAnsi="Times New Roman" w:cs="Times New Roman"/>
          <w:sz w:val="24"/>
          <w:szCs w:val="24"/>
          <w:lang w:eastAsia="es-ES"/>
        </w:rPr>
        <w:t>Una década delicada</w:t>
      </w:r>
      <w:r>
        <w:rPr>
          <w:rFonts w:ascii="Times New Roman" w:eastAsia="Times New Roman" w:hAnsi="Times New Roman" w:cs="Times New Roman"/>
          <w:sz w:val="24"/>
          <w:szCs w:val="24"/>
          <w:lang w:eastAsia="es-ES"/>
        </w:rPr>
        <w:t xml:space="preserve"> - </w:t>
      </w:r>
      <w:r w:rsidRPr="00B624B3">
        <w:rPr>
          <w:rFonts w:ascii="Times New Roman" w:eastAsia="Times New Roman" w:hAnsi="Times New Roman" w:cs="Times New Roman"/>
          <w:sz w:val="24"/>
          <w:szCs w:val="24"/>
          <w:lang w:eastAsia="es-ES"/>
        </w:rPr>
        <w:t>La Unión Europea de 2010 a 2019, se concentró en dar respuesta a la crisis financiera, la adhesión de Croacia a la UE y el voto del Reino Unido para abandonar la UE.</w:t>
      </w:r>
    </w:p>
    <w:p w:rsidR="00B624B3" w:rsidRPr="00D83D7B" w:rsidRDefault="00B624B3" w:rsidP="00D83D7B">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D83D7B">
        <w:rPr>
          <w:rFonts w:ascii="Times New Roman" w:eastAsia="Times New Roman" w:hAnsi="Times New Roman" w:cs="Times New Roman"/>
          <w:sz w:val="24"/>
          <w:szCs w:val="24"/>
          <w:lang w:eastAsia="es-ES"/>
        </w:rPr>
        <w:t>2020 - hoy</w:t>
      </w:r>
      <w:r w:rsidR="00D83D7B">
        <w:rPr>
          <w:rFonts w:ascii="Times New Roman" w:eastAsia="Times New Roman" w:hAnsi="Times New Roman" w:cs="Times New Roman"/>
          <w:sz w:val="24"/>
          <w:szCs w:val="24"/>
          <w:lang w:eastAsia="es-ES"/>
        </w:rPr>
        <w:t xml:space="preserve">: La COVID-19, </w:t>
      </w:r>
      <w:r w:rsidRPr="00D83D7B">
        <w:rPr>
          <w:rFonts w:ascii="Times New Roman" w:eastAsia="Times New Roman" w:hAnsi="Times New Roman" w:cs="Times New Roman"/>
          <w:sz w:val="24"/>
          <w:szCs w:val="24"/>
          <w:lang w:eastAsia="es-ES"/>
        </w:rPr>
        <w:t>camino hacia la recuperación</w:t>
      </w:r>
      <w:r w:rsidR="00D83D7B">
        <w:rPr>
          <w:rFonts w:ascii="Times New Roman" w:eastAsia="Times New Roman" w:hAnsi="Times New Roman" w:cs="Times New Roman"/>
          <w:sz w:val="24"/>
          <w:szCs w:val="24"/>
          <w:lang w:eastAsia="es-ES"/>
        </w:rPr>
        <w:t xml:space="preserve"> y se lucha</w:t>
      </w:r>
      <w:r w:rsidRPr="00D83D7B">
        <w:rPr>
          <w:rFonts w:ascii="Times New Roman" w:eastAsia="Times New Roman" w:hAnsi="Times New Roman" w:cs="Times New Roman"/>
          <w:sz w:val="24"/>
          <w:szCs w:val="24"/>
          <w:lang w:eastAsia="es-ES"/>
        </w:rPr>
        <w:t xml:space="preserve"> contra el cambio climático.</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“Deus Ex Machina”</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En algún momento de ese devenir cronológico de la Unión Europea, se produjo un cambio importante de “paradigma”, cuando los políticos y grandes empresarios alemanes optaron por abandonar el Modelo Renano (industrial y autónomo), y adoptar el Modelo Anglosajón (comercial y financiero).</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 xml:space="preserve">Los políticos y empresarios alemanes, </w:t>
      </w:r>
      <w:r w:rsidR="00FE7EFD">
        <w:rPr>
          <w:rFonts w:ascii="Times New Roman" w:eastAsia="Times New Roman" w:hAnsi="Times New Roman" w:cs="Times New Roman"/>
          <w:sz w:val="24"/>
          <w:szCs w:val="24"/>
          <w:lang w:eastAsia="es-ES"/>
        </w:rPr>
        <w:t>confundieron sus deseos (business are busines</w:t>
      </w:r>
      <w:r w:rsidRPr="000D09CF">
        <w:rPr>
          <w:rFonts w:ascii="Times New Roman" w:eastAsia="Times New Roman" w:hAnsi="Times New Roman" w:cs="Times New Roman"/>
          <w:sz w:val="24"/>
          <w:szCs w:val="24"/>
          <w:lang w:eastAsia="es-ES"/>
        </w:rPr>
        <w:t>s), con la realidad (EEUU, primero, y China, después). Con la vista encandilada (por la cuenta de resultados), con una confianza pueril (cuento de hadas) en el librecambio, el multilateralismo, la globalización, la deslocalización, la tercerización, y la financierización, fueron (y van) desprevenidos, creyendo que EEUU (antes) y China (ahora) son países amigos, leales y recíprocos, y no unos competidores agresivos, desprejuiciados y poco éticos.</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Creyendo que estaban jugando al monopoly con unos parvulitos, no se dieron cuenta que entraban a un garito, se sentaban a la mesa de póker con algunos jugadores ex convictos, con millones de muertos a sus espaldas, con una ambición que estaba dormida u oculta, pero que no había desaparecido del todo, y que solo estaba esperando el momento oportuno de renacer.</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lastRenderedPageBreak/>
        <w:t>El problema no era creer en el “fair play”, sino creer que se accedía a un “Gentlemen's club”, de clase alta, cuando en realidad, se ingresa en un casino repleto de tahúres taimados.</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 xml:space="preserve">El problema no era creer que “business are business”, sino en creer en la coexistencia pacífica entre los pastores y los lobos, soñar con alimentar a unos tigres mansos. </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Da pena ver una generación de políticos miopes y empresarios codiciosos, que víctima de una ambición desmedida, se transformaron en cortesanos advenedizos, cazasueldos y trincaempleos (con el agravante de valerse de los más desvalidos).</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 xml:space="preserve">¿Para qué sirven estos representantes, y estos empresarios, tan “políticamente correctos” y tan “multilaterales”? ¿Pueden defender algún tipo de interés que no sea el suyo propio? </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La gran Alemania se ha enloquecido, se ha venido abajo como un azucarillo derretido al ca</w:t>
      </w:r>
      <w:r w:rsidR="00D83D7B">
        <w:rPr>
          <w:rFonts w:ascii="Times New Roman" w:eastAsia="Times New Roman" w:hAnsi="Times New Roman" w:cs="Times New Roman"/>
          <w:sz w:val="24"/>
          <w:szCs w:val="24"/>
          <w:lang w:eastAsia="es-ES"/>
        </w:rPr>
        <w:t xml:space="preserve">lor de las crisis (financiera, </w:t>
      </w:r>
      <w:r w:rsidRPr="000D09CF">
        <w:rPr>
          <w:rFonts w:ascii="Times New Roman" w:eastAsia="Times New Roman" w:hAnsi="Times New Roman" w:cs="Times New Roman"/>
          <w:sz w:val="24"/>
          <w:szCs w:val="24"/>
          <w:lang w:eastAsia="es-ES"/>
        </w:rPr>
        <w:t>sanitaria</w:t>
      </w:r>
      <w:r w:rsidR="00D83D7B">
        <w:rPr>
          <w:rFonts w:ascii="Times New Roman" w:eastAsia="Times New Roman" w:hAnsi="Times New Roman" w:cs="Times New Roman"/>
          <w:sz w:val="24"/>
          <w:szCs w:val="24"/>
          <w:lang w:eastAsia="es-ES"/>
        </w:rPr>
        <w:t>, energética e industrial</w:t>
      </w:r>
      <w:r w:rsidRPr="000D09CF">
        <w:rPr>
          <w:rFonts w:ascii="Times New Roman" w:eastAsia="Times New Roman" w:hAnsi="Times New Roman" w:cs="Times New Roman"/>
          <w:sz w:val="24"/>
          <w:szCs w:val="24"/>
          <w:lang w:eastAsia="es-ES"/>
        </w:rPr>
        <w:t>). Ha perdido tamaño y pujanza. No tiene coraje político y empresarial, para cambiar las cosas.</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Pretendiendo ser glamurosa, cool (que diría un posmoderno), eco-friendly (que diría un ecolojeta), go-between (que diría un trader de Wall Street), activista del movimiento woke (ya saben, la homosexualidad, el feminismo, lo trans), circular, sostenible, renovable, conductista, ciber, digital, conectada, empoderada, cripto, disruptiva, on-line, net-working, participativa, transversal, animalista, welcome refugees… es justo reconocer, que todo lo que le podía salir mal, le ha salido.</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 xml:space="preserve">Por tanto hacer seguidismo de los Estados Unidos, y por dejar meterse a China, hasta en el dormitorio, sufre la ausencia de un gran proyecto industrial para sí misma, y para la UE. </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Los políticos y empresarios alemanes, desesperados por participar en la “ópera bufa” de los “global players” (especulación pura y dura), aceptaron el papel  de “cortesanos” de los Estados Unidos, o de “bufones” de China, y a veces, por exigencias del guion, los dos roles.</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Eso sin olvidar, que para “estar calentitos”, se manifestaron dispuestos a formar parte de los “coros y danzas” de Rusia (humillándose ante Putin y su camarilla de oligarcas).</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¿Dónde está el espíritu luterano? ¿Qué ha sido de la raza superior? ¿Queda al</w:t>
      </w:r>
      <w:r w:rsidR="00D83D7B">
        <w:rPr>
          <w:rFonts w:ascii="Times New Roman" w:eastAsia="Times New Roman" w:hAnsi="Times New Roman" w:cs="Times New Roman"/>
          <w:sz w:val="24"/>
          <w:szCs w:val="24"/>
          <w:lang w:eastAsia="es-ES"/>
        </w:rPr>
        <w:t>go del espíritu proteccionista</w:t>
      </w:r>
      <w:r w:rsidRPr="000D09CF">
        <w:rPr>
          <w:rFonts w:ascii="Times New Roman" w:eastAsia="Times New Roman" w:hAnsi="Times New Roman" w:cs="Times New Roman"/>
          <w:sz w:val="24"/>
          <w:szCs w:val="24"/>
          <w:lang w:eastAsia="es-ES"/>
        </w:rPr>
        <w:t>? ¿Existe alguna posibilidad de retornar al Modelo Renano?</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Mientras tanto, las grandes empresas alemanas han pasado a pertenecer a fondos extranjeros, fondos pasivos que levantan el vuelo si no les gusta lo que ven, pero que no entran a destituir a unos gestores que se comportan como auténticos dueños de las sociedades, cobrando sueldos estratosféricos, sin tener un euro invertido en ellas y con el apoyo de consejeros “independientes” elegidos por ellos mismos.</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Los grandes empresarios de entonces han sido sustituidos por una nueva generación que no estaba, y no está, madura, y nadie sabe si con ella se podrá elaborar algún gran proyecto industrial autónomo.</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 xml:space="preserve">El proyecto europeo se ha empobrecido con una Alemania empequeñecida, un país que ha perdido brillo, que se ha jibarizado. Un país, con un empresariado de miniatura, cuyas esperanzas están puestas en la llegada de unos negocios que no acaban de llegar y con los que </w:t>
      </w:r>
      <w:r w:rsidRPr="000D09CF">
        <w:rPr>
          <w:rFonts w:ascii="Times New Roman" w:eastAsia="Times New Roman" w:hAnsi="Times New Roman" w:cs="Times New Roman"/>
          <w:sz w:val="24"/>
          <w:szCs w:val="24"/>
          <w:lang w:eastAsia="es-ES"/>
        </w:rPr>
        <w:lastRenderedPageBreak/>
        <w:t xml:space="preserve">los sinvergüenzas de siempre esperan hacerse ricos a sotavento de las necesidades del país y de su modelo económico. El objetivo de casi todos es durar, la regla de oro, mantenerse apalancado al sillón, Una historia triste. Todos al servicio de EEUU y China, y no de Europa.  </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Esperando que una respuesta favorable de los gobiernos de Estados Unidos y de China le permita tener más demanda para sus exportaciones. Una “gran resignación”: entre la esperanza y el miedo. Una “claudicación mendicante”. Una “dependencia humillante”.</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Resulta triste decirlo, pero creo que Alemania está en el lado perdedor. No hay coraje político para afrontar los desafíos que tiene y garantizar una posición de fuerza dentro de 20 o 30 años. Una situación que puede terminar poniendo al proyecto europeo al borde del abismo.</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Puede ser entendible que Alemania después de la Segunda Guerra Mundial hubiera adoptado un “perfil bajo”, para hacerse perdonar los “pecados” cometidos, recibir las ayudas para la reconstrucción por parte de los EEUU, y poder mejorar la relación con alguno de los países que habían estado del otro lado de la trinchera (Reino Unido, Francia, Holanda, Bélgica).</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Posiblemente durante las décadas de los años 50 y 60, haya sido una buena estrategia, parecerse a Japón (laborioso, silencioso, sumiso, discreto, comedido, y por sobre todo, “confiable” para los países vencedores), pero que esa misma actitud se prolongará desde 1970, en adelante, resulta menos comprensible.</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Transformarse en un “gigante económico”, bajo el ropaje (maquillaje) de un “enano político”, no solo afectaría (y afecta) su devenir estratégico (peso relativo), sino que complicaría (y complica) el proyecto de construcción de la Comunidad Europea. Esa actitud solo podía llevar (y lleva), a Alemania a ser meramente un país de “mercaderes”, y la Unión Europea, a limitarse a ser un simple “espacio común” de negocios (y ahí</w:t>
      </w:r>
      <w:r w:rsidR="00C836FF">
        <w:rPr>
          <w:rFonts w:ascii="Times New Roman" w:eastAsia="Times New Roman" w:hAnsi="Times New Roman" w:cs="Times New Roman"/>
          <w:sz w:val="24"/>
          <w:szCs w:val="24"/>
          <w:lang w:eastAsia="es-ES"/>
        </w:rPr>
        <w:t>,</w:t>
      </w:r>
      <w:r w:rsidRPr="000D09CF">
        <w:rPr>
          <w:rFonts w:ascii="Times New Roman" w:eastAsia="Times New Roman" w:hAnsi="Times New Roman" w:cs="Times New Roman"/>
          <w:sz w:val="24"/>
          <w:szCs w:val="24"/>
          <w:lang w:eastAsia="es-ES"/>
        </w:rPr>
        <w:t xml:space="preserve"> continúa).</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Esa intención (deseo) de hacerse “perdonar” la vida, mientras vende automóviles y maquinaria, desapareciendo de la escena política internacional (estilo Japón) puede resultar provechoso para un estado “insular” (encapsulado, autista, lejano, exótico, singular), pero no sirve cuando se forma parte de una comunidad como la europea, con casi 500 millones de habitantes. No se puede ser un “portaaviones” (libre y soberano), en medio de la tierra. No se puede estar en la misa (Europa) y en la procesión (EEUU / China).</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 xml:space="preserve">Los líderes políticos y empresariales alemanes, actuando como “incubadores de letargo”, nunca pierden (ni perderán) una oportunidad, de perder una oportunidad. </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Así y todo, Alemania no solo es grande e importante (al menos en lo económico), sino que la Unión Europea lo reconoce y valora, mientras espera (desea) que dé el paso de abandonar su enanismo político (voluntario).</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¿Por qué tener miedo de ser (y parecer) un país grande?</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¿Por qué tener miedo de liderar la Unión Europea?</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Con Alemania de “perfil”, la Unión Europea no puede existir “políticamente”.</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 xml:space="preserve">Con Alemania resignada a ser un “protectorado” de los EEUU, la Unión Europea no puede ser “independiente”.  </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lastRenderedPageBreak/>
        <w:t>Con Alemania empecinada en ser el “socio preferente” de China, la Unión Europea no puede ser “autónoma”.</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Europa necesita ser económicamente fuerte para estar a salvo.</w:t>
      </w:r>
    </w:p>
    <w:p w:rsidR="00B624B3" w:rsidRPr="000D09CF" w:rsidRDefault="00B624B3" w:rsidP="00B624B3">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D09CF">
        <w:rPr>
          <w:rFonts w:ascii="Times New Roman" w:eastAsia="Times New Roman" w:hAnsi="Times New Roman" w:cs="Times New Roman"/>
          <w:sz w:val="24"/>
          <w:szCs w:val="24"/>
          <w:lang w:eastAsia="es-ES"/>
        </w:rPr>
        <w:t>Alemania debe dejar de “procrastinar”, Europa necesita una Alemania más “atrevida”.</w:t>
      </w:r>
    </w:p>
    <w:p w:rsidR="00B624B3" w:rsidRPr="000D09CF" w:rsidRDefault="00B624B3" w:rsidP="00B624B3">
      <w:pPr>
        <w:pStyle w:val="NormalWeb"/>
        <w:shd w:val="clear" w:color="auto" w:fill="FFFFFF"/>
        <w:spacing w:after="360"/>
        <w:jc w:val="both"/>
        <w:rPr>
          <w:color w:val="000000"/>
        </w:rPr>
      </w:pPr>
      <w:r w:rsidRPr="000D09CF">
        <w:rPr>
          <w:color w:val="000000"/>
        </w:rPr>
        <w:t>El juego del poder</w:t>
      </w:r>
    </w:p>
    <w:p w:rsidR="00B624B3" w:rsidRPr="000D09CF" w:rsidRDefault="00B624B3" w:rsidP="00B624B3">
      <w:pPr>
        <w:pStyle w:val="NormalWeb"/>
        <w:shd w:val="clear" w:color="auto" w:fill="FFFFFF"/>
        <w:spacing w:after="360"/>
        <w:jc w:val="both"/>
      </w:pPr>
      <w:r w:rsidRPr="000D09CF">
        <w:t>Por primera vez en mucho tiempo, la Unión Europea va a tener que poner entre paréntesis todas las ideas aprendidas. Se ha abierto una nueva época, detonada por la recomposición del orden internacional, que obligará a posicionase en muchos terrenos. Europa no parece un entorno especialmente agraciado por el nuevo reparto, pero sus dirigentes hacen gala de optimismo, como si esto fuera un paréntesis li</w:t>
      </w:r>
      <w:r w:rsidR="00C956E3">
        <w:t>gado a circunstancias coyunturales, como si pasada las mismas</w:t>
      </w:r>
      <w:r w:rsidRPr="000D09CF">
        <w:t xml:space="preserve"> y recuperado el vigor económico, fueran a regresar a la normalidad. Pero ya no hay normalidad a la que volver. El mundo en el que se ha entrado será diferente, por acción o por reacción. Hay numerosas preocupaciones que afectan al ámbito europ</w:t>
      </w:r>
      <w:r w:rsidR="00C956E3">
        <w:t>eo, que se están tensando.</w:t>
      </w:r>
    </w:p>
    <w:p w:rsidR="00B624B3" w:rsidRPr="000D09CF" w:rsidRDefault="00B624B3" w:rsidP="00B624B3">
      <w:pPr>
        <w:pStyle w:val="NormalWeb"/>
        <w:shd w:val="clear" w:color="auto" w:fill="FFFFFF"/>
        <w:spacing w:after="360"/>
        <w:jc w:val="both"/>
      </w:pPr>
      <w:r w:rsidRPr="000D09CF">
        <w:t>En Europa se tiene un problema grave con la forma en que se asigna el capital, y el trabajo. Se ha aceptado un modelo económico que, en lugar de generar pujanza y actividad, ha empujado en una dirección perniciosa, que ha provocado que muchos trabajadores tengan dificultades para llegar a fin de mes, que las clases medias caigan en su nivel de vida, que las clases empresariales nacionales estén menguando, convertidas ahora en simples mediadoras del capital internacional, que se carezca de una industria fuerte y autónoma, lo que ha redundado en un esquema productivo bastante pobre. Los problemas de los trabajadores, de las pymes y de las grandes empresas productivas parten de un mismo núcleo, que va poniendo palos en sus ruedas permanentemente.</w:t>
      </w:r>
    </w:p>
    <w:p w:rsidR="00B624B3" w:rsidRPr="000D09CF" w:rsidRDefault="00B624B3" w:rsidP="00B624B3">
      <w:pPr>
        <w:pStyle w:val="NormalWeb"/>
        <w:shd w:val="clear" w:color="auto" w:fill="FFFFFF"/>
        <w:spacing w:after="360"/>
        <w:jc w:val="both"/>
      </w:pPr>
      <w:r w:rsidRPr="000D09CF">
        <w:t>“Es hora de cambiar esa dinámica, y para ello, habría que pensar de otra manera, introducir otras medidas económicas, tener en mente otro rumbo. El problema es cómo actuar políticamente para conseguir ese objetivo que, por primera vez en años, está encima de la mesa. Vienen tiempos extraños, de avance sustancial o de reacción dura, y habría que aprovechar esta oportunidad para poner la economía del lado de la gran mayoría de las personas, y eso no se puede hacer sin fuerzas políticas que presionen en ese sentido. Pero, para comprender el momento en el que estamos y las opciones que se abren, tenemos que empezar</w:t>
      </w:r>
      <w:r w:rsidR="00C956E3">
        <w:t xml:space="preserve"> por la geopolítica”... sostenía</w:t>
      </w:r>
      <w:r w:rsidRPr="000D09CF">
        <w:t xml:space="preserve"> Esteban Hernández, en un artículo sobre “economía productiva”, publicado en El Confidencial</w:t>
      </w:r>
      <w:r w:rsidR="00C956E3">
        <w:t xml:space="preserve"> en diciembre de 2021</w:t>
      </w:r>
      <w:r w:rsidR="009C6679">
        <w:t>;</w:t>
      </w:r>
      <w:r w:rsidR="007D0EF0">
        <w:t xml:space="preserve"> y en 2024 el reloj sigue parado</w:t>
      </w:r>
      <w:r w:rsidR="00C956E3">
        <w:t xml:space="preserve">. </w:t>
      </w:r>
    </w:p>
    <w:p w:rsidR="00B624B3" w:rsidRPr="000D09CF" w:rsidRDefault="00B624B3" w:rsidP="00B624B3">
      <w:pPr>
        <w:pStyle w:val="NormalWeb"/>
        <w:shd w:val="clear" w:color="auto" w:fill="FFFFFF"/>
        <w:spacing w:after="360"/>
        <w:jc w:val="both"/>
      </w:pPr>
      <w:r w:rsidRPr="000D09CF">
        <w:t xml:space="preserve">Por más que la globalización no se haya desvanecido del todo, la arquitectura internacional en la que se apoyaba se ha debilitado sustancialmente, ya que se ha regresado a la geopolítica, es decir, a la importancia del poder. La guerra fría entre EEUU y China, con todas sus modulaciones, es una expresión de este viraje. Ambas potencias han entrado en una competición indisimulada, con tensiones crecientes que van en aumento, lo que está transformando de manera sustancial las relaciones internacionales. Ese giro es una mala noticia para la Unión Europea de “siempre”, que nunca ha sabido jugar bien el juego del poder. EEUU y China pelean por la hegemonía presente, pero sobre todo por la futura, y por eso la tecnología aparece como factor clave. Los pasos adelante que China ha dado en ese terreno, en el ámbito militar, en el de las comunicaciones, en la inteligencia artificial y en la </w:t>
      </w:r>
      <w:r w:rsidRPr="000D09CF">
        <w:lastRenderedPageBreak/>
        <w:t>energía han preocupado a EEUU lo suficiente como para virar el eje hacia el Pacífico de una manera decidida. Por supuesto, en esa pelea, lo económico juega y jugará un papel crucial. Sin embargo, en esa tensión entre las dos principales potencias, ha ocurrido algo significativo, ya que, por primera vez en mucho tiempo, ambas han vuelto los ojos hacia sí mismas.</w:t>
      </w:r>
    </w:p>
    <w:p w:rsidR="00B624B3" w:rsidRPr="000D09CF" w:rsidRDefault="00B624B3" w:rsidP="00B624B3">
      <w:pPr>
        <w:pStyle w:val="NormalWeb"/>
        <w:shd w:val="clear" w:color="auto" w:fill="FFFFFF"/>
        <w:spacing w:after="360"/>
        <w:jc w:val="both"/>
      </w:pPr>
      <w:r w:rsidRPr="000D09CF">
        <w:t>En el caso estadounidense parecía obligado, ya que se trata de una sociedad rota, cultural, social y económicamente, como se vio en el asalto al Capitolio, y eso implica una debilidad geopolítica de primera magnitud</w:t>
      </w:r>
      <w:r w:rsidR="00C956E3">
        <w:t>. C</w:t>
      </w:r>
      <w:r w:rsidRPr="000D09CF">
        <w:t>on la intención de taponar esas brechas y come</w:t>
      </w:r>
      <w:r w:rsidR="00C956E3">
        <w:t>nzar una recomposición nacional, cuando el</w:t>
      </w:r>
      <w:r w:rsidR="009C6679">
        <w:t xml:space="preserve"> </w:t>
      </w:r>
      <w:r w:rsidRPr="000D09CF">
        <w:t>presidente</w:t>
      </w:r>
      <w:r w:rsidR="00C956E3">
        <w:t xml:space="preserve"> Biden asumió la presidencia</w:t>
      </w:r>
      <w:r w:rsidRPr="000D09CF">
        <w:t xml:space="preserve"> anunció algo muy inesperado, dadas las circunstancias en las que se había desenvuelto la economía estadounidense en los últimos 50 años: aseguró que la acción del gobierno iba a impulsar decididamente la creación de empleo; que la economía del goteo se había terminado; que las empresas tenían que pagar más a los trabajadores; que la clase media había construido EEUU, que los sindicatos habían construido la clase media y que así debía volver a ser; que Wall Street no forjó EEUU y que había llegado el momento de que los financieros pagasen la parte que les correspondía; que los buenos empleos, en especial en sectores como el de la energía, debían dejar de deslocalizarse; que habría acciones de protección del mercado estadounidense; y que EEUU debía convertirse en el mayor exportador del mundo en lugar de ceder ese lugar a China. Fueron unas declaraciones asombrosas, porque implicaban el regreso a la presencia directora del Estado, al proteccionismo en áreas estratégicas, al énfasis en los salarios, en el antitrust, en el control del mercado y en los impuestos para los más ricos. </w:t>
      </w:r>
    </w:p>
    <w:p w:rsidR="00B624B3" w:rsidRPr="000D09CF" w:rsidRDefault="00B624B3" w:rsidP="00B624B3">
      <w:pPr>
        <w:pStyle w:val="NormalWeb"/>
        <w:shd w:val="clear" w:color="auto" w:fill="FFFFFF"/>
        <w:spacing w:after="360"/>
        <w:jc w:val="both"/>
      </w:pPr>
      <w:r w:rsidRPr="000D09CF">
        <w:t>La reacción de China en esta época de desglobalización ha sido muy parecida en términos discursivos. Y si se quiere, un poco más ambiciosa en la práctica. La consigna dada por Xi Jinping ha sido impulsar la “prosperidad común”, un término que engloba acciones en varios sentidos: mitigar la desigualdad en el país, de modo que sus ciudadanos tengan más recursos disponibles, asegurar que las grandes empresas contribuyan de manera clara al bienestar chino y potenciar el mercado interior. Tiene mucho sentido cuando se cuenta con tantos millones de habitantes, y cuando el desarrollo exterior puede frenarse como efecto de la competencia con EEUU.</w:t>
      </w:r>
    </w:p>
    <w:p w:rsidR="00B624B3" w:rsidRPr="000D09CF" w:rsidRDefault="00B624B3" w:rsidP="00B624B3">
      <w:pPr>
        <w:pStyle w:val="NormalWeb"/>
        <w:shd w:val="clear" w:color="auto" w:fill="FFFFFF"/>
        <w:spacing w:after="360"/>
        <w:jc w:val="both"/>
      </w:pPr>
      <w:r w:rsidRPr="000D09CF">
        <w:t xml:space="preserve">Ya se verá hasta qué punto esas intenciones de unos y otros acaban por trasladarse a la realidad. Quizá EEUU lo tenga más complicado, </w:t>
      </w:r>
      <w:r w:rsidR="009C6679">
        <w:t>y seguramente los pasos de la administración</w:t>
      </w:r>
      <w:r w:rsidRPr="000D09CF">
        <w:t xml:space="preserve"> sean insuficientes, pero lo cierto es que ambas naciones han empezado ya a recorrer ese camino. En otras palabras, los gobiernos de los dos países más importantes del mundo, los más beneficiados, en unos u otros términos, por la globalización liberal, son conscientes de que, para librar la guerra fría, deben dar un giro en sus políticas económicas y apostar por la cohesión interna y por el bienestar material de sus nacionales. Las resistencias que encuentran en sus países a este cambio, en especial en EEUU, no borran el hecho de que la conciencia esté ya presente.</w:t>
      </w:r>
    </w:p>
    <w:p w:rsidR="00B624B3" w:rsidRPr="00D703A4" w:rsidRDefault="00B624B3" w:rsidP="00B624B3">
      <w:pPr>
        <w:pStyle w:val="NormalWeb"/>
        <w:shd w:val="clear" w:color="auto" w:fill="FFFFFF"/>
        <w:spacing w:after="360"/>
        <w:jc w:val="both"/>
      </w:pPr>
      <w:r w:rsidRPr="000D09CF">
        <w:t xml:space="preserve">“En estos cambios tectónicos, a Europa le está costando mucho resituarse. En gran medida porque sus élites permanecen en el pasado, y sobre todo porque jugar en el terreno del poder es complicado, en especial cuando no se está acostumbrado. En lugar de encarar el presente de una manera decidida, ha surgido una nostalgia continental por los tiempos de la globalización feliz. En un escenario internacional en el que toda clase de países, desde Rusia hasta Turquía, pasando por el Reino Unido o India, están intentando ganar músculo para reubicarse en términos más provechosos, Europa mira por la ventana los acontecimientos y piensa que quizá debería hacer algo. Europa está asaltada por las dudas, porque hay quienes </w:t>
      </w:r>
      <w:r w:rsidRPr="000D09CF">
        <w:lastRenderedPageBreak/>
        <w:t>afirman que quizá un ejército europeo sería buena idea y otros dicen que ya existe, que se llama OTAN y que hay que vincularse más estrechamente con ella. Hay quienes abogan por cambios fiscales, pero otros se resisten; se es consciente de las deficiencias en tecnología y se aboga por desarrollar las empresas europeas en ese ámbito, pero otros dicen que ya es tarde, que esa partida está perdida. Hay consenso en el desarrollo de la economía verde, pero otros dicen que cuesta mucho dinero y que no se puede descarbonizar ahora, que supondría volverse más débiles todavía. El cambio en el exterior ha obligado a repensar las certezas con las que la UE se construyó, pero lleva tiempo digerir las nuevas verdades</w:t>
      </w:r>
      <w:r w:rsidR="009C6679">
        <w:t>.</w:t>
      </w:r>
      <w:r w:rsidRPr="000D09CF">
        <w:t xml:space="preserve"> De todos esos titubeos, el peor es no haber entendido en absoluto el momento económico y su ligazón con la cohesión interna, ese que EEUU y China están señalando, ese que dirige hacia la economía productiva. La postura dominante apuesta por las reformas estructurales, por adecuar el mercado de trabajo a las nuevas exigencias e insistir en la mejora de la productividad, pero con el complemento de realizar inversiones públicas para modernizar el tejido económico de los países, de manera que se dirijan hacia la era digital y verde. Y, como elemento de necesidad, se comienza a hablar de relocalización de elementos estratégicos en áreas como la de los materiales y tecnologías críticos, los alimentos o la seguridad. Esta postura no supone una apuesta por el desarrollo, sino una tímida reacción a los hechos consumados. El cambio en el exterior está obligando a repensar muchas de las certezas en las que la Unión se construyó y lleva tiempo digerir las nuevas verdades. Una de ellas es que permanecer en los viejos anclajes económicos, en esa mezcla de reformas y adelgazamiento, no solo hará más profundos los males de su población, sino que constituirá el declive definitivo de la UE. Y conviene ser contundentes a este respecto”, agrega</w:t>
      </w:r>
      <w:r w:rsidR="009C6679">
        <w:t>ba Esteban Hernández en su artículo de El Confidencial de diciembre de 2021; y</w:t>
      </w:r>
      <w:r w:rsidR="007D0EF0">
        <w:t xml:space="preserve"> en 2024 en </w:t>
      </w:r>
      <w:r w:rsidR="009C6679">
        <w:t>Bruselas</w:t>
      </w:r>
      <w:r w:rsidR="007D0EF0">
        <w:t xml:space="preserve"> se sigue negando la evidencia, mientras se intenta salvar el planeta en solitario</w:t>
      </w:r>
      <w:r w:rsidR="006348BB">
        <w:t xml:space="preserve"> </w:t>
      </w:r>
      <w:r w:rsidR="006348BB" w:rsidRPr="00D703A4">
        <w:t>(unos Quijotes 5.0, sin cuento ni dividendo).</w:t>
      </w:r>
    </w:p>
    <w:p w:rsidR="00B624B3" w:rsidRPr="00D703A4" w:rsidRDefault="00B624B3" w:rsidP="00B624B3">
      <w:pPr>
        <w:pStyle w:val="NormalWeb"/>
        <w:shd w:val="clear" w:color="auto" w:fill="FFFFFF"/>
        <w:spacing w:after="360"/>
        <w:jc w:val="both"/>
        <w:rPr>
          <w:b/>
        </w:rPr>
      </w:pPr>
      <w:r w:rsidRPr="00D703A4">
        <w:rPr>
          <w:b/>
        </w:rPr>
        <w:t>Europa tiene un gran mercado, muchísimos consumidores con un elevado nivel adquisitivo, como ningún otro en el mundo (de momento), y lo está entregando a los productos chinos, a la economía financiera anglosajona y a la tecnología estadounidense. Tiene sociedades cada vez más crispadas y políticamente divididas, y países en los que la desigualdad está dejando sentir sus efectos de una manera peligrosa. Sus poblaciones cada vez obtienen menos del trabajo y quienes prosperan es gracias a las rentas. Los países están cada vez más polarizados entre diferentes opciones políticas, pero también sobre los vínculos que deben mantener con la UE. No se puede librar la batalla geopolítica en esas condiciones; la Historia enseña que tal debilidad interna solo se puede manejar si compensa con la expansión exterior, ya sea con el comercio o con la guerra: la primera posibilidad es difícil, puesto que China y EEUU llevan la delantera, y la segunda no es una buena idea. Y con un peligro añadido: cuando un país o una región que no ocupan una posición principal en el juego del poder se enfrentan a quiebras sociales, convierten su territorio en el escenario en el que las potencias dominantes libran sus guerras. Europa lleva el camino de convertirse en el terreno de juego en el que China y EEUU escenifican su pelea por el poder y los recursos.</w:t>
      </w:r>
    </w:p>
    <w:p w:rsidR="00B624B3" w:rsidRPr="00D703A4" w:rsidRDefault="00B624B3" w:rsidP="00B624B3">
      <w:pPr>
        <w:pStyle w:val="NormalWeb"/>
        <w:shd w:val="clear" w:color="auto" w:fill="FFFFFF"/>
        <w:spacing w:after="360"/>
        <w:jc w:val="both"/>
        <w:rPr>
          <w:b/>
        </w:rPr>
      </w:pPr>
      <w:r w:rsidRPr="00D703A4">
        <w:rPr>
          <w:b/>
        </w:rPr>
        <w:t>¿Sabrá Alemania interpretar el nuevo juego del poder? ¿Estará dispuesta a  liderar dentro de la UE el impulso en la nueva dirección? ¿Asumirá la gran necesidad que tiene la UE de cohesionarse, para poder competir con alguna posibilidad de éxito, en el nuevo juego de poder? ¿Podrá la UE ponerse a la altura de los tiempos, o seguirá por el camino del declive?</w:t>
      </w:r>
      <w:r w:rsidR="0083233C">
        <w:rPr>
          <w:b/>
        </w:rPr>
        <w:t xml:space="preserve"> </w:t>
      </w:r>
      <w:r w:rsidRPr="00D703A4">
        <w:rPr>
          <w:b/>
        </w:rPr>
        <w:t xml:space="preserve">La única fortaleza que tiene Alemania para seguir siendo importante es la Unión Europea; e insistir en las mismas fórmulas que años anteriores conducirá a la UE a resquebrajarse más, y a Alemania a jugar un papel internacional más limitado. </w:t>
      </w:r>
    </w:p>
    <w:p w:rsidR="00841912" w:rsidRDefault="00841912" w:rsidP="00841912">
      <w:pPr>
        <w:spacing w:line="240" w:lineRule="auto"/>
        <w:jc w:val="both"/>
        <w:rPr>
          <w:rFonts w:ascii="Times New Roman" w:hAnsi="Times New Roman" w:cs="Times New Roman"/>
          <w:b/>
          <w:sz w:val="24"/>
          <w:szCs w:val="24"/>
        </w:rPr>
      </w:pPr>
      <w:r w:rsidRPr="00AE26F6">
        <w:rPr>
          <w:rFonts w:ascii="Times New Roman" w:hAnsi="Times New Roman" w:cs="Times New Roman"/>
          <w:b/>
          <w:sz w:val="24"/>
          <w:szCs w:val="24"/>
        </w:rPr>
        <w:lastRenderedPageBreak/>
        <w:t>- La caja de herramientas de Friedrich List</w:t>
      </w:r>
    </w:p>
    <w:p w:rsidR="00924B79" w:rsidRPr="00924B79" w:rsidRDefault="00326C93" w:rsidP="00924B79">
      <w:pPr>
        <w:spacing w:line="240" w:lineRule="auto"/>
        <w:jc w:val="both"/>
        <w:rPr>
          <w:rFonts w:ascii="Times New Roman" w:hAnsi="Times New Roman" w:cs="Times New Roman"/>
          <w:b/>
          <w:sz w:val="24"/>
          <w:szCs w:val="24"/>
        </w:rPr>
      </w:pPr>
      <w:r w:rsidRPr="00326C93">
        <w:rPr>
          <w:rFonts w:ascii="Times New Roman" w:hAnsi="Times New Roman" w:cs="Times New Roman"/>
          <w:sz w:val="24"/>
          <w:szCs w:val="24"/>
        </w:rPr>
        <w:t xml:space="preserve">Para la elaboración este Apartado se utiliza un </w:t>
      </w:r>
      <w:r w:rsidR="00924B79" w:rsidRPr="00326C93">
        <w:rPr>
          <w:rFonts w:ascii="Times New Roman" w:hAnsi="Times New Roman" w:cs="Times New Roman"/>
          <w:sz w:val="24"/>
          <w:szCs w:val="24"/>
        </w:rPr>
        <w:t>Ensayo</w:t>
      </w:r>
      <w:r w:rsidRPr="00326C93">
        <w:rPr>
          <w:rFonts w:ascii="Times New Roman" w:hAnsi="Times New Roman" w:cs="Times New Roman"/>
          <w:sz w:val="24"/>
          <w:szCs w:val="24"/>
        </w:rPr>
        <w:t xml:space="preserve"> anterior</w:t>
      </w:r>
      <w:r w:rsidR="00924B79" w:rsidRPr="00924B79">
        <w:rPr>
          <w:rFonts w:ascii="Times New Roman" w:hAnsi="Times New Roman" w:cs="Times New Roman"/>
          <w:b/>
          <w:sz w:val="24"/>
          <w:szCs w:val="24"/>
        </w:rPr>
        <w:t>: “Contestando a la teología de mercado - ¿Es el presente el único futuro? - El vacilar europeo (entre la “infancia” y el “vasallaje”) (Friedrich List y Friedrich Hayek dialogan sobre viejas y queridas causas perdidas o la amargura</w:t>
      </w:r>
      <w:r>
        <w:rPr>
          <w:rFonts w:ascii="Times New Roman" w:hAnsi="Times New Roman" w:cs="Times New Roman"/>
          <w:b/>
          <w:sz w:val="24"/>
          <w:szCs w:val="24"/>
        </w:rPr>
        <w:t xml:space="preserve"> de la victoria), </w:t>
      </w:r>
      <w:r w:rsidRPr="00326C93">
        <w:rPr>
          <w:rFonts w:ascii="Times New Roman" w:hAnsi="Times New Roman" w:cs="Times New Roman"/>
          <w:sz w:val="24"/>
          <w:szCs w:val="24"/>
        </w:rPr>
        <w:t xml:space="preserve">publicado en </w:t>
      </w:r>
      <w:r w:rsidR="00924B79" w:rsidRPr="00326C93">
        <w:rPr>
          <w:rFonts w:ascii="Times New Roman" w:hAnsi="Times New Roman" w:cs="Times New Roman"/>
          <w:sz w:val="24"/>
          <w:szCs w:val="24"/>
        </w:rPr>
        <w:t>Enero del 2000</w:t>
      </w:r>
    </w:p>
    <w:p w:rsidR="00E4562C" w:rsidRPr="0083233C" w:rsidRDefault="00E4562C" w:rsidP="00E4562C">
      <w:pPr>
        <w:spacing w:line="240" w:lineRule="auto"/>
        <w:jc w:val="both"/>
        <w:rPr>
          <w:rFonts w:ascii="Times New Roman" w:hAnsi="Times New Roman" w:cs="Times New Roman"/>
          <w:sz w:val="24"/>
          <w:szCs w:val="24"/>
        </w:rPr>
      </w:pPr>
      <w:r w:rsidRPr="0083233C">
        <w:rPr>
          <w:rFonts w:ascii="Times New Roman" w:hAnsi="Times New Roman" w:cs="Times New Roman"/>
          <w:b/>
          <w:sz w:val="24"/>
          <w:szCs w:val="24"/>
        </w:rPr>
        <w:t>Nota</w:t>
      </w:r>
      <w:r w:rsidR="00326C93" w:rsidRPr="0083233C">
        <w:rPr>
          <w:rFonts w:ascii="Times New Roman" w:hAnsi="Times New Roman" w:cs="Times New Roman"/>
          <w:b/>
          <w:sz w:val="24"/>
          <w:szCs w:val="24"/>
        </w:rPr>
        <w:t xml:space="preserve"> I</w:t>
      </w:r>
      <w:r w:rsidRPr="0083233C">
        <w:rPr>
          <w:rFonts w:ascii="Times New Roman" w:hAnsi="Times New Roman" w:cs="Times New Roman"/>
          <w:sz w:val="24"/>
          <w:szCs w:val="24"/>
        </w:rPr>
        <w:t xml:space="preserve">: </w:t>
      </w:r>
      <w:r w:rsidR="00D703A4" w:rsidRPr="0083233C">
        <w:rPr>
          <w:rFonts w:ascii="Times New Roman" w:hAnsi="Times New Roman" w:cs="Times New Roman"/>
          <w:sz w:val="24"/>
          <w:szCs w:val="24"/>
        </w:rPr>
        <w:t>En el</w:t>
      </w:r>
      <w:r w:rsidR="00326C93" w:rsidRPr="0083233C">
        <w:rPr>
          <w:rFonts w:ascii="Times New Roman" w:hAnsi="Times New Roman" w:cs="Times New Roman"/>
          <w:sz w:val="24"/>
          <w:szCs w:val="24"/>
        </w:rPr>
        <w:t xml:space="preserve"> Ensayo</w:t>
      </w:r>
      <w:r w:rsidRPr="0083233C">
        <w:rPr>
          <w:rFonts w:ascii="Times New Roman" w:hAnsi="Times New Roman" w:cs="Times New Roman"/>
          <w:sz w:val="24"/>
          <w:szCs w:val="24"/>
        </w:rPr>
        <w:t xml:space="preserve"> se ha utilizado, el libro de Friedrich List “Sistema de economía política”, publicado en 1841.</w:t>
      </w:r>
    </w:p>
    <w:p w:rsidR="00326C93" w:rsidRPr="0083233C" w:rsidRDefault="00326C93" w:rsidP="00E4562C">
      <w:pPr>
        <w:spacing w:line="240" w:lineRule="auto"/>
        <w:jc w:val="both"/>
        <w:rPr>
          <w:rFonts w:ascii="Times New Roman" w:hAnsi="Times New Roman" w:cs="Times New Roman"/>
          <w:sz w:val="24"/>
          <w:szCs w:val="24"/>
        </w:rPr>
      </w:pPr>
      <w:r w:rsidRPr="0083233C">
        <w:rPr>
          <w:rFonts w:ascii="Times New Roman" w:hAnsi="Times New Roman" w:cs="Times New Roman"/>
          <w:b/>
          <w:sz w:val="24"/>
          <w:szCs w:val="24"/>
        </w:rPr>
        <w:t>Nota II</w:t>
      </w:r>
      <w:r w:rsidR="00D703A4" w:rsidRPr="0083233C">
        <w:rPr>
          <w:rFonts w:ascii="Times New Roman" w:hAnsi="Times New Roman" w:cs="Times New Roman"/>
          <w:sz w:val="24"/>
          <w:szCs w:val="24"/>
        </w:rPr>
        <w:t xml:space="preserve">: En este </w:t>
      </w:r>
      <w:r w:rsidRPr="0083233C">
        <w:rPr>
          <w:rFonts w:ascii="Times New Roman" w:hAnsi="Times New Roman" w:cs="Times New Roman"/>
          <w:sz w:val="24"/>
          <w:szCs w:val="24"/>
        </w:rPr>
        <w:t>Apartado solo se transcriben los párrafos en los que se cita a Friedrich List.</w:t>
      </w:r>
    </w:p>
    <w:p w:rsidR="00E4562C" w:rsidRPr="000D09CF" w:rsidRDefault="00E4562C" w:rsidP="00E4562C">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Una de sus principales aportaciones al pensamiento económico es su planteamiento de una estrategia alternativa e integral para el desarrollo económico, basado en una concepción diferente de la política de comercio exterior.</w:t>
      </w:r>
    </w:p>
    <w:p w:rsidR="00E4562C" w:rsidRPr="000D09CF" w:rsidRDefault="00E4562C" w:rsidP="00E4562C">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(List) “La teoría dominante propugna el princip</w:t>
      </w:r>
      <w:r>
        <w:rPr>
          <w:rFonts w:ascii="Times New Roman" w:hAnsi="Times New Roman" w:cs="Times New Roman"/>
          <w:sz w:val="24"/>
          <w:szCs w:val="24"/>
        </w:rPr>
        <w:t xml:space="preserve">io de la libertad mercantil”... </w:t>
      </w:r>
      <w:r w:rsidRPr="000D09CF">
        <w:rPr>
          <w:rFonts w:ascii="Times New Roman" w:hAnsi="Times New Roman" w:cs="Times New Roman"/>
          <w:sz w:val="24"/>
          <w:szCs w:val="24"/>
        </w:rPr>
        <w:t>(entonces) llegue a concebir la siguiente idea: “esa teoría solo es exacta en el caso de que todas las naciones observen recíprocamente el principio de la libertad mercantil, tal como había sido seguida por las citadas provincias (francesas y reinos insulares británicos). Semejantes ideas me llevaron a considerar la naturaleza de la nacionalidad y advertir que la teoría, preocupada por la humanidad o por los individuos, se había olvidado de las naciones; fue entonces, evidente para mí, que entre dos naciones muy adelantadas, la libre competencia solo puede influir de modo benéfico para ambas cuando las dos se encuentran aproximadamente en el mismo nivel de progreso industrial, y que una nación rezagada por algún infortunio en orden a su industria, a su comercio y a su navegación, cuando por lo demás posee los recursos intelectuales y materiales necesarios para su desarrollo, debe en primer término poner en tensión todas sus fuerzas para llegar a competir después con las naciones más</w:t>
      </w:r>
      <w:r>
        <w:rPr>
          <w:rFonts w:ascii="Times New Roman" w:hAnsi="Times New Roman" w:cs="Times New Roman"/>
          <w:sz w:val="24"/>
          <w:szCs w:val="24"/>
        </w:rPr>
        <w:t xml:space="preserve"> adelantadas”…</w:t>
      </w:r>
    </w:p>
    <w:p w:rsidR="00E4562C" w:rsidRPr="000D09CF" w:rsidRDefault="00E4562C" w:rsidP="00E4562C">
      <w:pPr>
        <w:spacing w:line="240" w:lineRule="auto"/>
        <w:jc w:val="both"/>
        <w:rPr>
          <w:rFonts w:ascii="Times New Roman" w:hAnsi="Times New Roman" w:cs="Times New Roman"/>
          <w:sz w:val="24"/>
          <w:szCs w:val="24"/>
        </w:rPr>
      </w:pPr>
      <w:r>
        <w:rPr>
          <w:rFonts w:ascii="Times New Roman" w:hAnsi="Times New Roman" w:cs="Times New Roman"/>
          <w:sz w:val="24"/>
          <w:szCs w:val="24"/>
        </w:rPr>
        <w:t>V</w:t>
      </w:r>
      <w:r w:rsidRPr="000D09CF">
        <w:rPr>
          <w:rFonts w:ascii="Times New Roman" w:hAnsi="Times New Roman" w:cs="Times New Roman"/>
          <w:sz w:val="24"/>
          <w:szCs w:val="24"/>
        </w:rPr>
        <w:t>eamos, antes de continuar, algunas ideas sustentadas en l84l, sobre la “teoría dominante”:</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“Es innegable, que sin una sólida teoría resulta imposible llegar a una práctica consecuente. Ciertamente podría decirse que los estadistas ingleses han desarrollado, por espacio de siglos enteros, una excelente practica sin recurrir a la teoría; a ello puede objetarse, sin embargo, lo siguiente: la máxima de vender artículos manufacturados y comprar materias primas ha constituido, para los ingleses, por espacio de siglos enteros, una verdadera teoría; sin embargo, esto es solo verdad a medias, puesto que, como es sabido, la conocida máxima no ha impedido que Inglaterra prohibiera en distintas épocas la importación de cereales y otros productos agrícolas.</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 xml:space="preserve">(en respuesta a Smith) El mundo de los bienes no existe. El concepto de mundo implica una sustancia espiritual y vivida, aunque solo sea la vida animal o el espíritu de los animales. </w:t>
      </w:r>
      <w:r>
        <w:rPr>
          <w:rFonts w:ascii="Times New Roman" w:hAnsi="Times New Roman" w:cs="Times New Roman"/>
          <w:i/>
          <w:sz w:val="24"/>
          <w:szCs w:val="24"/>
        </w:rPr>
        <w:t>¿</w:t>
      </w:r>
      <w:r w:rsidRPr="000D09CF">
        <w:rPr>
          <w:rFonts w:ascii="Times New Roman" w:hAnsi="Times New Roman" w:cs="Times New Roman"/>
          <w:i/>
          <w:sz w:val="24"/>
          <w:szCs w:val="24"/>
        </w:rPr>
        <w:t>Quién podría hablar, p</w:t>
      </w:r>
      <w:r>
        <w:rPr>
          <w:rFonts w:ascii="Times New Roman" w:hAnsi="Times New Roman" w:cs="Times New Roman"/>
          <w:i/>
          <w:sz w:val="24"/>
          <w:szCs w:val="24"/>
        </w:rPr>
        <w:t>or ejemplo de un mundo mineral?</w:t>
      </w:r>
      <w:r w:rsidRPr="000D09CF">
        <w:rPr>
          <w:rFonts w:ascii="Times New Roman" w:hAnsi="Times New Roman" w:cs="Times New Roman"/>
          <w:i/>
          <w:sz w:val="24"/>
          <w:szCs w:val="24"/>
        </w:rPr>
        <w:t xml:space="preserve"> Suprima el espíritu, y todo cuanto se llama un bien se convertirá en materia inerte.</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Nuestra crítica se limita a la teoría del comercio internacional y de la política comercial.</w:t>
      </w:r>
    </w:p>
    <w:p w:rsidR="00E4562C" w:rsidRPr="000D09CF" w:rsidRDefault="00E4562C" w:rsidP="00E4562C">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0D09CF">
        <w:rPr>
          <w:rFonts w:ascii="Times New Roman" w:hAnsi="Times New Roman" w:cs="Times New Roman"/>
          <w:i/>
          <w:sz w:val="24"/>
          <w:szCs w:val="24"/>
        </w:rPr>
        <w:t>Cómo es posible, pensaba yo, que en una ciencia experimental como la economía política pueda producir algo útil un hombre que de tal modo rechaza el testimonio de la experiencia? (se refiere a Lotz).</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lastRenderedPageBreak/>
        <w:t>Si los autores se han limitado a copiar o a comentar sus antecesores, y han sacado toda su experiencia de los libros, es natural que se sorprendan e inquieten cuando se les ofrecen experiencias vivas e ideas nuevas que contradicen su sabiduría escolar.</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Derivan toda su sabiduría de Adam Smith, un hombre limitado, pero sagaz en su limitada esfera, cuyos principios son proclamados por ellos, con cualquier motivo, en tono prolijo y doctrinal. Su ciencia es sumamente fácil, pues con independencia de todas las ideas y separándose de las demás direcciones del pensamiento humano, construye un “estado mercantil general adecuado a todas las naciones y circunstancias; cuyo arte consiste en dejar que las gentes hagan lo que quieran”. Su punto de vista es el de interés privado: no se da cuenta de que para el estado debe existir algo más excelso, en virtud de lo cual todas las actividades adquisitivas deben seguir otra dirección distinta de la que anhela quien solo trata de gozar de una manera vulgar. Es natural que semejante sabiduría, expuesta con una sagacidad difícil de soslayar, consciente y docta, ilustre a un siglo que tiene ese mismo punto de vista.</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(sobre Gran Bretaña) En ningún otro tiempo ha visto el mundo tampoco una supremacía manufacturera y mercantil que dotada con energías inmensas como la de nuestros días, aplicase un sistema tan consecuente y poderoso, con tendencia a monopolizar todas las industrias manufactureras, todos los grandes negocios mercantiles, toda la navegación, todas las colonias importantes, todo el dominio de los mares, y a hacer vasallos suyos a todas las naciones, como los indios, en el orden manufacturero y comercial.</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 xml:space="preserve">Instigado por las promesas de la teoría, América del Norte se dejó seducir, y abrió sus puertas a las mercancías inglesas. </w:t>
      </w:r>
      <w:r>
        <w:rPr>
          <w:rFonts w:ascii="Times New Roman" w:hAnsi="Times New Roman" w:cs="Times New Roman"/>
          <w:i/>
          <w:sz w:val="24"/>
          <w:szCs w:val="24"/>
        </w:rPr>
        <w:t>¿</w:t>
      </w:r>
      <w:r w:rsidRPr="000D09CF">
        <w:rPr>
          <w:rFonts w:ascii="Times New Roman" w:hAnsi="Times New Roman" w:cs="Times New Roman"/>
          <w:i/>
          <w:sz w:val="24"/>
          <w:szCs w:val="24"/>
        </w:rPr>
        <w:t>Qué frutos reporto allí</w:t>
      </w:r>
      <w:r>
        <w:rPr>
          <w:rFonts w:ascii="Times New Roman" w:hAnsi="Times New Roman" w:cs="Times New Roman"/>
          <w:i/>
          <w:sz w:val="24"/>
          <w:szCs w:val="24"/>
        </w:rPr>
        <w:t xml:space="preserve"> la libre concurrencia?</w:t>
      </w:r>
      <w:r w:rsidRPr="000D09CF">
        <w:rPr>
          <w:rFonts w:ascii="Times New Roman" w:hAnsi="Times New Roman" w:cs="Times New Roman"/>
          <w:i/>
          <w:sz w:val="24"/>
          <w:szCs w:val="24"/>
        </w:rPr>
        <w:t xml:space="preserve"> Convulsión y ruina.</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Experiencias de esta especie suscitan con razón la duda de si la teoría es tan infalible como ella misma supone, o la practica tan insensata como pretende la teoría; despiertan también el temor de que nuestra nacionalidad corra en definitiva peligro de fenecer por un error mental de la teoría; como aquel paciente que por observar una receta sucumbe a un error; crean en nosotros la sospecha de que esta teoría tan estimada se muestra tan henchida y solemne para ocultar hombres y armas como otro nuevo caballo de Troya, y que hace que nuestros propios muros de protección sean derribados con nuestras propias manos.</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El abismo que existe desde Quesnay y Smith entre la teoría y la práctica no se ha cerrado sino que cada año está más abierto.</w:t>
      </w:r>
    </w:p>
    <w:p w:rsidR="00E4562C" w:rsidRPr="000D09CF" w:rsidRDefault="00E4562C" w:rsidP="00E4562C">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0D09CF">
        <w:rPr>
          <w:rFonts w:ascii="Times New Roman" w:hAnsi="Times New Roman" w:cs="Times New Roman"/>
          <w:i/>
          <w:sz w:val="24"/>
          <w:szCs w:val="24"/>
        </w:rPr>
        <w:t>Qué valor puede tener para nosotros una ciencia cuando no ilumina el camino q</w:t>
      </w:r>
      <w:r>
        <w:rPr>
          <w:rFonts w:ascii="Times New Roman" w:hAnsi="Times New Roman" w:cs="Times New Roman"/>
          <w:i/>
          <w:sz w:val="24"/>
          <w:szCs w:val="24"/>
        </w:rPr>
        <w:t>ue la práctica ha de reconocer?</w:t>
      </w:r>
      <w:r w:rsidRPr="000D09CF">
        <w:rPr>
          <w:rFonts w:ascii="Times New Roman" w:hAnsi="Times New Roman" w:cs="Times New Roman"/>
          <w:i/>
          <w:sz w:val="24"/>
          <w:szCs w:val="24"/>
        </w:rPr>
        <w:t xml:space="preserve"> </w:t>
      </w:r>
      <w:r>
        <w:rPr>
          <w:rFonts w:ascii="Times New Roman" w:hAnsi="Times New Roman" w:cs="Times New Roman"/>
          <w:i/>
          <w:sz w:val="24"/>
          <w:szCs w:val="24"/>
        </w:rPr>
        <w:t>¿</w:t>
      </w:r>
      <w:r w:rsidRPr="000D09CF">
        <w:rPr>
          <w:rFonts w:ascii="Times New Roman" w:hAnsi="Times New Roman" w:cs="Times New Roman"/>
          <w:i/>
          <w:sz w:val="24"/>
          <w:szCs w:val="24"/>
        </w:rPr>
        <w:t>Sería razonable admitir que la razón de uno es tan infinitamente grande que puede reconocer la naturaleza de todas las cosas, y, en cambio,  la razón de otro tan infinitamente pequeña que, incapaz de comprender las verdades descubiertas y esclarecidas por aquel, puede considerar como verdades errores manifiestos, a través de generaciones entera</w:t>
      </w:r>
      <w:r>
        <w:rPr>
          <w:rFonts w:ascii="Times New Roman" w:hAnsi="Times New Roman" w:cs="Times New Roman"/>
          <w:i/>
          <w:sz w:val="24"/>
          <w:szCs w:val="24"/>
        </w:rPr>
        <w:t>s?</w:t>
      </w:r>
      <w:r w:rsidRPr="000D09CF">
        <w:rPr>
          <w:rFonts w:ascii="Times New Roman" w:hAnsi="Times New Roman" w:cs="Times New Roman"/>
          <w:i/>
          <w:sz w:val="24"/>
          <w:szCs w:val="24"/>
        </w:rPr>
        <w:t xml:space="preserve"> </w:t>
      </w:r>
      <w:r>
        <w:rPr>
          <w:rFonts w:ascii="Times New Roman" w:hAnsi="Times New Roman" w:cs="Times New Roman"/>
          <w:i/>
          <w:sz w:val="24"/>
          <w:szCs w:val="24"/>
        </w:rPr>
        <w:t>¿</w:t>
      </w:r>
      <w:r w:rsidRPr="000D09CF">
        <w:rPr>
          <w:rFonts w:ascii="Times New Roman" w:hAnsi="Times New Roman" w:cs="Times New Roman"/>
          <w:i/>
          <w:sz w:val="24"/>
          <w:szCs w:val="24"/>
        </w:rPr>
        <w:t>No sería más prudente admitir que los hombres prácticos, aunque por regla general propenden a mantenerse en el terreno de los datos, no se opondrían tan larga y tenazmente a la teoría, si esta no contradij</w:t>
      </w:r>
      <w:r>
        <w:rPr>
          <w:rFonts w:ascii="Times New Roman" w:hAnsi="Times New Roman" w:cs="Times New Roman"/>
          <w:i/>
          <w:sz w:val="24"/>
          <w:szCs w:val="24"/>
        </w:rPr>
        <w:t>era la naturaleza de las cosas?</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El sistema industrial (falsamente denominado, por la escuela, sistema mercantil).</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Las experiencias del sistema industrial frente a los sistemas ulteriores, son las siguientes:</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lastRenderedPageBreak/>
        <w:t>1) que reconoce el valor de las manufacturas del país y su influencia sobre la agricultura nacional, sobre el comercio y la navegación, sobre la civilización</w:t>
      </w:r>
      <w:r>
        <w:rPr>
          <w:rFonts w:ascii="Times New Roman" w:hAnsi="Times New Roman" w:cs="Times New Roman"/>
          <w:i/>
          <w:sz w:val="24"/>
          <w:szCs w:val="24"/>
        </w:rPr>
        <w:t xml:space="preserve"> y la potencialidad nacional…</w:t>
      </w:r>
      <w:r w:rsidRPr="000D09CF">
        <w:rPr>
          <w:rFonts w:ascii="Times New Roman" w:hAnsi="Times New Roman" w:cs="Times New Roman"/>
          <w:i/>
          <w:sz w:val="24"/>
          <w:szCs w:val="24"/>
        </w:rPr>
        <w:t>;</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2) que, en términos generales, elige los medios justos en virtud de los cuales una nación, madura ya para instruir una industria manufacturera, puede llegar a crear una industria nacional;</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3) que parte del concepto de nación, y, considerando las naciones como unidades, tiene en cuenta, en todos los casos, los intereses y las circunstancias nacionales.</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En cambio, este sistema adolece de los siguientes defectos capitales:</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1) que no reconoce claramente, en general, el fundamento de la educación industrial de la nación y los requisitos para lograrla;</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2) que, a consecuencia de ello, los pueblos que viven bajo un cielo desfavorable para las manufacturas, o los estados y naciones pequeños o incultos</w:t>
      </w:r>
      <w:r>
        <w:rPr>
          <w:rFonts w:ascii="Times New Roman" w:hAnsi="Times New Roman" w:cs="Times New Roman"/>
          <w:i/>
          <w:sz w:val="24"/>
          <w:szCs w:val="24"/>
        </w:rPr>
        <w:t>,</w:t>
      </w:r>
      <w:r w:rsidRPr="000D09CF">
        <w:rPr>
          <w:rFonts w:ascii="Times New Roman" w:hAnsi="Times New Roman" w:cs="Times New Roman"/>
          <w:i/>
          <w:sz w:val="24"/>
          <w:szCs w:val="24"/>
        </w:rPr>
        <w:t xml:space="preserve"> se sienten estimulados a imitar el sistema proteccionista;</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3) que quiere extender la protección en evidente perjuicio de la agricultura, sobre esta y sobre las materias primas en general, a pesar de que la agricultura se halla, en substancia, suficientemente protegida contra la competencia exterior;</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4) que, en perjuicio de la agricultura y antijurídicamente, pretende favorecer las manufacturas dificultando la exportación de materias primas;</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5) que no enseña a la nación que alcanzo la supremacía manufacturera y comercial a proteger sus industrias y comerciantes contra la indolencia, permitiendo la competencia libre en sus propios mercados;</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6) que, persiguiendo de modo exclusivo la finalidad política, ignora las relaciones cosmopolitas que existen entre todas las naciones, la finalidad de la humanidad entera, e induce, en consecuencia, a los gobiernos, a poner en práctica el sistema prohibitivo cuando sería suficiente el sistema protector, o establece aranceles que equivalen a una prohibición cuando corresponderían mejor al objeto perseguido unos moderados aranceles protectores;</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7) que, a consecuencia del desconocimiento integral del principio cosmopolita, no considera como fin la unión futura de todas las naciones, el aseguramiento de la paz perpetua y de la libertad mercantil general, al cual han de tender y aproximarse cada vez más</w:t>
      </w:r>
      <w:r>
        <w:rPr>
          <w:rFonts w:ascii="Times New Roman" w:hAnsi="Times New Roman" w:cs="Times New Roman"/>
          <w:i/>
          <w:sz w:val="24"/>
          <w:szCs w:val="24"/>
        </w:rPr>
        <w:t xml:space="preserve"> todas las naciones.</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 xml:space="preserve">El sistema agrícola </w:t>
      </w:r>
      <w:r w:rsidR="00D703A4" w:rsidRPr="000D09CF">
        <w:rPr>
          <w:rFonts w:ascii="Times New Roman" w:hAnsi="Times New Roman" w:cs="Times New Roman"/>
          <w:i/>
          <w:sz w:val="24"/>
          <w:szCs w:val="24"/>
        </w:rPr>
        <w:t>fisiográfico</w:t>
      </w:r>
      <w:r w:rsidRPr="000D09CF">
        <w:rPr>
          <w:rFonts w:ascii="Times New Roman" w:hAnsi="Times New Roman" w:cs="Times New Roman"/>
          <w:i/>
          <w:sz w:val="24"/>
          <w:szCs w:val="24"/>
        </w:rPr>
        <w:t>:</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 xml:space="preserve">Los </w:t>
      </w:r>
      <w:r w:rsidR="00D703A4" w:rsidRPr="000D09CF">
        <w:rPr>
          <w:rFonts w:ascii="Times New Roman" w:hAnsi="Times New Roman" w:cs="Times New Roman"/>
          <w:i/>
          <w:sz w:val="24"/>
          <w:szCs w:val="24"/>
        </w:rPr>
        <w:t>fisiócratas</w:t>
      </w:r>
      <w:r w:rsidRPr="000D09CF">
        <w:rPr>
          <w:rFonts w:ascii="Times New Roman" w:hAnsi="Times New Roman" w:cs="Times New Roman"/>
          <w:i/>
          <w:sz w:val="24"/>
          <w:szCs w:val="24"/>
        </w:rPr>
        <w:t xml:space="preserve"> recurrieron al principio cosmopolita de la libertad mercantil, como si fuese una panacea mediante la cual </w:t>
      </w:r>
      <w:r w:rsidR="00D703A4" w:rsidRPr="000D09CF">
        <w:rPr>
          <w:rFonts w:ascii="Times New Roman" w:hAnsi="Times New Roman" w:cs="Times New Roman"/>
          <w:i/>
          <w:sz w:val="24"/>
          <w:szCs w:val="24"/>
        </w:rPr>
        <w:t>podían</w:t>
      </w:r>
      <w:r w:rsidRPr="000D09CF">
        <w:rPr>
          <w:rFonts w:ascii="Times New Roman" w:hAnsi="Times New Roman" w:cs="Times New Roman"/>
          <w:i/>
          <w:sz w:val="24"/>
          <w:szCs w:val="24"/>
        </w:rPr>
        <w:t xml:space="preserve"> curarse todos los males existentes.</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 xml:space="preserve">“El bienestar del individuo </w:t>
      </w:r>
      <w:r w:rsidR="00D703A4" w:rsidRPr="000D09CF">
        <w:rPr>
          <w:rFonts w:ascii="Times New Roman" w:hAnsi="Times New Roman" w:cs="Times New Roman"/>
          <w:i/>
          <w:sz w:val="24"/>
          <w:szCs w:val="24"/>
        </w:rPr>
        <w:t>está</w:t>
      </w:r>
      <w:r w:rsidRPr="000D09CF">
        <w:rPr>
          <w:rFonts w:ascii="Times New Roman" w:hAnsi="Times New Roman" w:cs="Times New Roman"/>
          <w:i/>
          <w:sz w:val="24"/>
          <w:szCs w:val="24"/>
        </w:rPr>
        <w:t xml:space="preserve"> condicionado por el bienestar de la humanidad”. En este sistema no existe ninguna nación, ninguna guerra, ninguna medida para el comercio exterior; la historia y la experiencia</w:t>
      </w:r>
      <w:r>
        <w:rPr>
          <w:rFonts w:ascii="Times New Roman" w:hAnsi="Times New Roman" w:cs="Times New Roman"/>
          <w:i/>
          <w:sz w:val="24"/>
          <w:szCs w:val="24"/>
        </w:rPr>
        <w:t xml:space="preserve"> son ignoradas o tergiversadas.</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El sistema del valor de cambio (falsamente denominado, por la escuela, sistema industrial):</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lastRenderedPageBreak/>
        <w:t>En relación con las circunstancias nacionales e internacionales, la teoría de Adam Smith es una continuación del sistema fisiográfico. Lo mismo que este ignora la naturaleza de las nacionalidades; excluye casi por completo la política y el poder político; presupone como existente la paz eterna y la unión universal; ignora el valor de una energía manufacturera nacional y los medios de llegar a ella, y exige una libertad mercantil absoluta.</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Para exaltar un estado desde el nivel más bajo hasta la más elevada etapa de riqueza, solo hace falta la paz, gastos moderados y una buena tutela jurídica; todo lo demás viene por añadidura, siguiendo el curso natural de las cosas. Los gobiernos que se oponen a este natural desarrollo, que derivan los capitales hacia otros canales o quieren poner trabas al progreso de la sociedad, obran contra la naturaleza y necesitan ser opre</w:t>
      </w:r>
      <w:r>
        <w:rPr>
          <w:rFonts w:ascii="Times New Roman" w:hAnsi="Times New Roman" w:cs="Times New Roman"/>
          <w:i/>
          <w:sz w:val="24"/>
          <w:szCs w:val="24"/>
        </w:rPr>
        <w:t>sores y tiranos para sostenerse.</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El poder político no puede, ni debe, hacer otra cosa que declarar el derecho y recaudar los menos impuestos posibles. Los estadistas que tratan de establecer una energía manufacturera, de exaltar la navegación, de fomentar el comercio exterior, de protegerlo mediante una potencia naval, y de fundar o adquirir colonias, son, para él, arbitristas que no hacen otra cosa que poner trabas al progreso de la sociedad. Para el no existe ninguna nación sino solo una sociedad; es decir, individuos que viven en común.</w:t>
      </w:r>
    </w:p>
    <w:p w:rsidR="00E4562C" w:rsidRPr="000D09CF" w:rsidRDefault="00E4562C" w:rsidP="00E4562C">
      <w:pPr>
        <w:spacing w:line="240" w:lineRule="auto"/>
        <w:jc w:val="both"/>
        <w:rPr>
          <w:rFonts w:ascii="Times New Roman" w:hAnsi="Times New Roman" w:cs="Times New Roman"/>
          <w:i/>
          <w:sz w:val="24"/>
          <w:szCs w:val="24"/>
        </w:rPr>
      </w:pPr>
      <w:r>
        <w:rPr>
          <w:rFonts w:ascii="Times New Roman" w:hAnsi="Times New Roman" w:cs="Times New Roman"/>
          <w:i/>
          <w:sz w:val="24"/>
          <w:szCs w:val="24"/>
        </w:rPr>
        <w:t>Esta nulificació</w:t>
      </w:r>
      <w:r w:rsidRPr="000D09CF">
        <w:rPr>
          <w:rFonts w:ascii="Times New Roman" w:hAnsi="Times New Roman" w:cs="Times New Roman"/>
          <w:i/>
          <w:sz w:val="24"/>
          <w:szCs w:val="24"/>
        </w:rPr>
        <w:t>n plena de la nacionalidad y del poder político, esta exaltación de la individualidad como generatriz de toda fuerza creadora, solo podía resultar plausible cuando se erigía en objeto principal de las investigaciones, no ya la energía creadora, sino lo creado, la riqueza material, o más bien solo el valor que lo creado tiene en cambio. Junto al individualismo era preciso colocar el materialismo, para encubrir las inmensas sumas de energías que los individuos extraen de la nacionalidad, de la unidad nacional, y de la cooperación nacional de todas las energías productivas. Era preciso hacer valer, como economía nacional, una simple teoría de los valores, porque solo los individuos crean valores y porque el estado, incapaz para crearlos, debe limitar su eficiencia a suscitar, proteger y estimular las energías productivas del individuo. En esta combinación, la quinta esencia de la economía política se resume así: la riqueza consiste en la posesión de valores en cambio. Los valores en cambio resultan creados por el trabajo individual, unido con la energía de la naturaleza y con los capitales. Por medio de la división del trabajo se incrementa la productividad de este. Los capitales se forman mediante el ahorro -porque la producción supera al consumo-. Cuanto mayor es la suma de capitales, tanto mayor es la división del trabajo; es decir, la capacidad de producción. El interés privado es el mejor acicate para el trabajo y el ahorro. La máxima sabiduría de los poderes públicos consiste, por consiguiente, en no poner obstáculo alguno a la actividad privada, y preocuparse solamente por la seguridad jurídica. Es pues insensato obligar a los ciudadanos de un estado mediante reglas políticas a producir lo que pueden adquirir más barato en el extranjero.</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El único defecto fue que el sistema, en resumen, no era otra cosa que un sistema de las economías privadas de todos los individuos de un país o del conjunto del género humano, tal como se formaría y estructuraría si no existieran estados, naciones e intereses nacionales especiales, constituciones y manifestaciones de cultura peculiares, guerras y pasiones nacionales; que no era otra cosa sino una teoría de los valores, una teoría comercial o mercachifle, no una doctrina en la cual se explicara cómo pueden ser suscitadas, aumentadas y mantenidas las energías productivas de toda una nación en beneficio especial de su cultura, de su bienestar, de su potencia y de su autonomía.</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lastRenderedPageBreak/>
        <w:t>Este sistema lo considera todo desde el punto de vista del comerciante. En una palabra, este sistema es el sistema mercantil más rígido y consecuente, y resulta incomprensible como pudo aplicarse tal denominación al sistema de Colbert, que, a juzgar por su tendencia principal, es un sistema industrialista, esto es: un sistema que sin tener en consideración el beneficio o la perdida actual de valores en cambio, solo persigue la instauración de una industria nacional, de un comercio nacional.</w:t>
      </w:r>
    </w:p>
    <w:p w:rsidR="00E4562C" w:rsidRPr="000D09CF" w:rsidRDefault="00E4562C" w:rsidP="00E4562C">
      <w:pPr>
        <w:spacing w:line="240" w:lineRule="auto"/>
        <w:jc w:val="both"/>
        <w:rPr>
          <w:rFonts w:ascii="Times New Roman" w:hAnsi="Times New Roman" w:cs="Times New Roman"/>
          <w:i/>
          <w:sz w:val="24"/>
          <w:szCs w:val="24"/>
        </w:rPr>
      </w:pPr>
      <w:r>
        <w:rPr>
          <w:rFonts w:ascii="Times New Roman" w:hAnsi="Times New Roman" w:cs="Times New Roman"/>
          <w:i/>
          <w:sz w:val="24"/>
          <w:szCs w:val="24"/>
        </w:rPr>
        <w:t xml:space="preserve">... </w:t>
      </w:r>
      <w:r w:rsidRPr="000D09CF">
        <w:rPr>
          <w:rFonts w:ascii="Times New Roman" w:hAnsi="Times New Roman" w:cs="Times New Roman"/>
          <w:i/>
          <w:sz w:val="24"/>
          <w:szCs w:val="24"/>
        </w:rPr>
        <w:t>Digamos por de pronto, al señor Juan Bauti</w:t>
      </w:r>
      <w:r>
        <w:rPr>
          <w:rFonts w:ascii="Times New Roman" w:hAnsi="Times New Roman" w:cs="Times New Roman"/>
          <w:i/>
          <w:sz w:val="24"/>
          <w:szCs w:val="24"/>
        </w:rPr>
        <w:t>s</w:t>
      </w:r>
      <w:r w:rsidRPr="000D09CF">
        <w:rPr>
          <w:rFonts w:ascii="Times New Roman" w:hAnsi="Times New Roman" w:cs="Times New Roman"/>
          <w:i/>
          <w:sz w:val="24"/>
          <w:szCs w:val="24"/>
        </w:rPr>
        <w:t>ta Say, que la política no es para nosotros, aquella ciencia que explica única y exclusivamente como se producen valores en cambio por los individuos; digámosle lo que el estadista quiere y debe saber, además de esto: como pueden suscitarse, aumentar y ser protegidas las energías productivas de toda la nación, y que circunstancias pueden debilitarlas, aletargarlas o exterminarlas, y como por medio de las energías productivas de la nación, pueden explotarse del mejor modo las fuentes nacionales auxiliares para producir la existencia nacional, la independencia, la prosperidad, la robustez, la cultura y el porvenir de la nación.</w:t>
      </w:r>
    </w:p>
    <w:p w:rsidR="00E4562C" w:rsidRPr="000D09CF"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Aunque algunos grandes talentos han podido presentir ciertos progresos de los tiempos futuros, como Cristo presintió la abolición de la esclavitud, cada época tiene asignada su especial misión. La del siglo que vivimos no puede ser la de desintegrar la humanidad con ánimo de equiparar, en lo posible, los individuos en sus placeres espirituales y corporales, sino la de perfeccionar la energía productiva, la cultura espiritual, la situación política y la potencia de nacionalidades enteras, preparándolas, mediante la equiparación más perfecta posible, para la unión universal.</w:t>
      </w:r>
    </w:p>
    <w:p w:rsidR="00E4562C" w:rsidRPr="000D09CF" w:rsidRDefault="00E4562C" w:rsidP="00E4562C">
      <w:pPr>
        <w:spacing w:line="240" w:lineRule="auto"/>
        <w:jc w:val="both"/>
        <w:rPr>
          <w:rFonts w:ascii="Times New Roman" w:hAnsi="Times New Roman" w:cs="Times New Roman"/>
          <w:i/>
          <w:sz w:val="24"/>
          <w:szCs w:val="24"/>
        </w:rPr>
      </w:pPr>
      <w:r>
        <w:rPr>
          <w:rFonts w:ascii="Times New Roman" w:hAnsi="Times New Roman" w:cs="Times New Roman"/>
          <w:i/>
          <w:sz w:val="24"/>
          <w:szCs w:val="24"/>
        </w:rPr>
        <w:t xml:space="preserve">... </w:t>
      </w:r>
      <w:r w:rsidRPr="000D09CF">
        <w:rPr>
          <w:rFonts w:ascii="Times New Roman" w:hAnsi="Times New Roman" w:cs="Times New Roman"/>
          <w:i/>
          <w:sz w:val="24"/>
          <w:szCs w:val="24"/>
        </w:rPr>
        <w:t>Yo considero necesario declarar que, durante muchos años, no solo fui un fidelísimo discípulo de Smith y Say, sino un muy celoso maestro de la doctrina infalible....La contemplación de estos (ciertos) fenómenos me llevo a dudar por vez primera de la infalibilidad de la antigua teoría. Como mis ojos no son lo bastante agudos  para descubrir de una sola mirada los errores de un sistema tan ingeniosamente edificado y apoyado por  tantas verdades valiosas, juzgue el árbol</w:t>
      </w:r>
      <w:r>
        <w:rPr>
          <w:rFonts w:ascii="Times New Roman" w:hAnsi="Times New Roman" w:cs="Times New Roman"/>
          <w:i/>
          <w:sz w:val="24"/>
          <w:szCs w:val="24"/>
        </w:rPr>
        <w:t xml:space="preserve"> por su fruto... </w:t>
      </w:r>
      <w:r w:rsidRPr="000D09CF">
        <w:rPr>
          <w:rFonts w:ascii="Times New Roman" w:hAnsi="Times New Roman" w:cs="Times New Roman"/>
          <w:i/>
          <w:sz w:val="24"/>
          <w:szCs w:val="24"/>
        </w:rPr>
        <w:t>Un sistema de economía política debe ser erróneo si efectúa precisamente lo contrario de lo que debe suponerse que cualquier hombre con sentido común espera de ella.</w:t>
      </w:r>
    </w:p>
    <w:p w:rsidR="00E4562C" w:rsidRPr="000D09CF" w:rsidRDefault="00E4562C" w:rsidP="00E4562C">
      <w:pPr>
        <w:spacing w:line="240" w:lineRule="auto"/>
        <w:jc w:val="both"/>
        <w:rPr>
          <w:rFonts w:ascii="Times New Roman" w:hAnsi="Times New Roman" w:cs="Times New Roman"/>
          <w:i/>
          <w:sz w:val="24"/>
          <w:szCs w:val="24"/>
        </w:rPr>
      </w:pPr>
      <w:r>
        <w:rPr>
          <w:rFonts w:ascii="Times New Roman" w:hAnsi="Times New Roman" w:cs="Times New Roman"/>
          <w:i/>
          <w:sz w:val="24"/>
          <w:szCs w:val="24"/>
        </w:rPr>
        <w:t xml:space="preserve">... </w:t>
      </w:r>
      <w:r w:rsidRPr="000D09CF">
        <w:rPr>
          <w:rFonts w:ascii="Times New Roman" w:hAnsi="Times New Roman" w:cs="Times New Roman"/>
          <w:i/>
          <w:sz w:val="24"/>
          <w:szCs w:val="24"/>
        </w:rPr>
        <w:t>La aparente adherencia de los señores Canning y Huskisson a la teoría de los señores Say y Smith es una de las maniobras políticas más extraordinarias, de primera clase, que se hayan efectuado aprovechando la credulidad del mundo. Estos caballeros, llenos sus labios de principios cosmopolitas, se dignan persuadir a todas las demás potencias de que cedan su poder político con objeto de hacer omnipotente el poder productivo y político inglés.</w:t>
      </w:r>
    </w:p>
    <w:p w:rsidR="00E4562C" w:rsidRPr="000D09CF" w:rsidRDefault="00E4562C" w:rsidP="00E4562C">
      <w:pPr>
        <w:spacing w:line="240" w:lineRule="auto"/>
        <w:jc w:val="both"/>
        <w:rPr>
          <w:rFonts w:ascii="Times New Roman" w:hAnsi="Times New Roman" w:cs="Times New Roman"/>
          <w:i/>
          <w:sz w:val="24"/>
          <w:szCs w:val="24"/>
        </w:rPr>
      </w:pPr>
      <w:r>
        <w:rPr>
          <w:rFonts w:ascii="Times New Roman" w:hAnsi="Times New Roman" w:cs="Times New Roman"/>
          <w:i/>
          <w:sz w:val="24"/>
          <w:szCs w:val="24"/>
        </w:rPr>
        <w:t xml:space="preserve">... </w:t>
      </w:r>
      <w:r w:rsidRPr="000D09CF">
        <w:rPr>
          <w:rFonts w:ascii="Times New Roman" w:hAnsi="Times New Roman" w:cs="Times New Roman"/>
          <w:i/>
          <w:sz w:val="24"/>
          <w:szCs w:val="24"/>
        </w:rPr>
        <w:t>Y si en nuestros días los grandes hombres de Inglaterra simulan abrazar el sistema de Adam Smith (en sus discursos parlamentarios, no en sus hechos), no hacen nada que Napoleón no hubiese hecho sí, rodeado de su gloria y de su poder, hubiese propuesto a las naciones de la tierra que desbandaran sus ejércitos  y desmantelaran sus flotas para vivir en paz general, unidos como hermanos y amigos; que no podían tener interés en matarse y asesinarse unos a otros, y en menoscabar el bienestar general manteniendo, con grandes gastos, los medios de guerra.</w:t>
      </w:r>
    </w:p>
    <w:p w:rsidR="00E4562C" w:rsidRDefault="00E4562C" w:rsidP="00E4562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Pero el mundo ha avanzado maravillosamente en materia de experiencia y de inteligencia desde los tiempos de Ada</w:t>
      </w:r>
      <w:r w:rsidR="00BD7D1C">
        <w:rPr>
          <w:rFonts w:ascii="Times New Roman" w:hAnsi="Times New Roman" w:cs="Times New Roman"/>
          <w:i/>
          <w:sz w:val="24"/>
          <w:szCs w:val="24"/>
        </w:rPr>
        <w:t xml:space="preserve">m Smith... </w:t>
      </w:r>
      <w:r w:rsidRPr="000D09CF">
        <w:rPr>
          <w:rFonts w:ascii="Times New Roman" w:hAnsi="Times New Roman" w:cs="Times New Roman"/>
          <w:i/>
          <w:sz w:val="24"/>
          <w:szCs w:val="24"/>
        </w:rPr>
        <w:t xml:space="preserve">Parece que las instituciones cosmopolitas, como las del libre comercio, </w:t>
      </w:r>
      <w:r w:rsidR="00D703A4" w:rsidRPr="000D09CF">
        <w:rPr>
          <w:rFonts w:ascii="Times New Roman" w:hAnsi="Times New Roman" w:cs="Times New Roman"/>
          <w:i/>
          <w:sz w:val="24"/>
          <w:szCs w:val="24"/>
        </w:rPr>
        <w:t>aún</w:t>
      </w:r>
      <w:r w:rsidRPr="000D09CF">
        <w:rPr>
          <w:rFonts w:ascii="Times New Roman" w:hAnsi="Times New Roman" w:cs="Times New Roman"/>
          <w:i/>
          <w:sz w:val="24"/>
          <w:szCs w:val="24"/>
        </w:rPr>
        <w:t xml:space="preserve"> no están maduras para introducirlas en la práctica. En primer lugar, se debe decidir si el sistema social de Napoleón, o el de Inglaterra, o el de los Estados Unidos, es el que prevalecerá en la tierra. Podrán transcurrir varios años antes de que se tome esta </w:t>
      </w:r>
      <w:r w:rsidRPr="000D09CF">
        <w:rPr>
          <w:rFonts w:ascii="Times New Roman" w:hAnsi="Times New Roman" w:cs="Times New Roman"/>
          <w:i/>
          <w:sz w:val="24"/>
          <w:szCs w:val="24"/>
        </w:rPr>
        <w:lastRenderedPageBreak/>
        <w:t>decisión, y aquellos que actúan seriamente como si ya se hubiese tomado pueden ser personas muy honradas y de muy altos ideales, pero son políticos miopes. Deseando servir a la humanidad, arruinan a su patria. La historia los censurara por haber separado las opiniones económicas nacionales de las opiniones políticas</w:t>
      </w:r>
      <w:r>
        <w:rPr>
          <w:rFonts w:ascii="Times New Roman" w:hAnsi="Times New Roman" w:cs="Times New Roman"/>
          <w:i/>
          <w:sz w:val="24"/>
          <w:szCs w:val="24"/>
        </w:rPr>
        <w:t xml:space="preserve"> nacionales”...</w:t>
      </w:r>
    </w:p>
    <w:p w:rsidR="00841912" w:rsidRDefault="00D703A4" w:rsidP="00841912">
      <w:pPr>
        <w:spacing w:line="240" w:lineRule="auto"/>
        <w:jc w:val="both"/>
        <w:rPr>
          <w:rFonts w:ascii="Times New Roman" w:hAnsi="Times New Roman" w:cs="Times New Roman"/>
          <w:b/>
          <w:sz w:val="24"/>
          <w:szCs w:val="24"/>
        </w:rPr>
      </w:pPr>
      <w:r>
        <w:rPr>
          <w:rFonts w:ascii="Times New Roman" w:hAnsi="Times New Roman" w:cs="Times New Roman"/>
          <w:b/>
          <w:sz w:val="24"/>
          <w:szCs w:val="24"/>
        </w:rPr>
        <w:t>“Ya</w:t>
      </w:r>
      <w:r w:rsidR="00841912" w:rsidRPr="00006A68">
        <w:rPr>
          <w:rFonts w:ascii="Times New Roman" w:hAnsi="Times New Roman" w:cs="Times New Roman"/>
          <w:b/>
          <w:sz w:val="24"/>
          <w:szCs w:val="24"/>
        </w:rPr>
        <w:t xml:space="preserve"> sé que no se estila</w:t>
      </w:r>
      <w:r w:rsidR="0083233C">
        <w:rPr>
          <w:rFonts w:ascii="Times New Roman" w:hAnsi="Times New Roman" w:cs="Times New Roman"/>
          <w:b/>
          <w:sz w:val="24"/>
          <w:szCs w:val="24"/>
        </w:rPr>
        <w:t>”…</w:t>
      </w:r>
      <w:r w:rsidR="00841912" w:rsidRPr="00006A68">
        <w:rPr>
          <w:rFonts w:ascii="Times New Roman" w:hAnsi="Times New Roman" w:cs="Times New Roman"/>
          <w:b/>
          <w:sz w:val="24"/>
          <w:szCs w:val="24"/>
        </w:rPr>
        <w:t xml:space="preserve"> hablar de “proteccionismo”</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Anteriormente decía</w:t>
      </w:r>
      <w:r>
        <w:rPr>
          <w:rFonts w:ascii="Times New Roman" w:hAnsi="Times New Roman" w:cs="Times New Roman"/>
          <w:sz w:val="24"/>
          <w:szCs w:val="24"/>
        </w:rPr>
        <w:t xml:space="preserve"> List</w:t>
      </w:r>
      <w:r w:rsidRPr="000D09CF">
        <w:rPr>
          <w:rFonts w:ascii="Times New Roman" w:hAnsi="Times New Roman" w:cs="Times New Roman"/>
          <w:sz w:val="24"/>
          <w:szCs w:val="24"/>
        </w:rPr>
        <w:t xml:space="preserve"> que América se dejó seducir (instigado por las promesas de la teoría) y abrió sus puertas a las mercaderías inglesas. Y preguntaba: </w:t>
      </w:r>
      <w:r>
        <w:rPr>
          <w:rFonts w:ascii="Times New Roman" w:hAnsi="Times New Roman" w:cs="Times New Roman"/>
          <w:sz w:val="24"/>
          <w:szCs w:val="24"/>
        </w:rPr>
        <w:t>¿</w:t>
      </w:r>
      <w:r w:rsidRPr="000D09CF">
        <w:rPr>
          <w:rFonts w:ascii="Times New Roman" w:hAnsi="Times New Roman" w:cs="Times New Roman"/>
          <w:sz w:val="24"/>
          <w:szCs w:val="24"/>
        </w:rPr>
        <w:t>qué frutos reporto allí la</w:t>
      </w:r>
      <w:r>
        <w:rPr>
          <w:rFonts w:ascii="Times New Roman" w:hAnsi="Times New Roman" w:cs="Times New Roman"/>
          <w:sz w:val="24"/>
          <w:szCs w:val="24"/>
        </w:rPr>
        <w:t xml:space="preserve"> libre concurrencia?</w:t>
      </w:r>
      <w:r w:rsidRPr="000D09CF">
        <w:rPr>
          <w:rFonts w:ascii="Times New Roman" w:hAnsi="Times New Roman" w:cs="Times New Roman"/>
          <w:sz w:val="24"/>
          <w:szCs w:val="24"/>
        </w:rPr>
        <w:t xml:space="preserve"> Respuesta: convulsión y ruina.</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Hoy, Europa que se deja seducir por las promesas de la teoría del libre cambio y abre sus puertas a las mercancías, servicios y capitales</w:t>
      </w:r>
      <w:r>
        <w:rPr>
          <w:rFonts w:ascii="Times New Roman" w:hAnsi="Times New Roman" w:cs="Times New Roman"/>
          <w:sz w:val="24"/>
          <w:szCs w:val="24"/>
        </w:rPr>
        <w:t>,</w:t>
      </w:r>
      <w:r w:rsidRPr="000D09CF">
        <w:rPr>
          <w:rFonts w:ascii="Times New Roman" w:hAnsi="Times New Roman" w:cs="Times New Roman"/>
          <w:sz w:val="24"/>
          <w:szCs w:val="24"/>
        </w:rPr>
        <w:t xml:space="preserve"> americanos</w:t>
      </w:r>
      <w:r>
        <w:rPr>
          <w:rFonts w:ascii="Times New Roman" w:hAnsi="Times New Roman" w:cs="Times New Roman"/>
          <w:sz w:val="24"/>
          <w:szCs w:val="24"/>
        </w:rPr>
        <w:t xml:space="preserve"> (o chinos)</w:t>
      </w:r>
      <w:r w:rsidRPr="000D09CF">
        <w:rPr>
          <w:rFonts w:ascii="Times New Roman" w:hAnsi="Times New Roman" w:cs="Times New Roman"/>
          <w:sz w:val="24"/>
          <w:szCs w:val="24"/>
        </w:rPr>
        <w:t xml:space="preserve">, </w:t>
      </w:r>
      <w:r>
        <w:rPr>
          <w:rFonts w:ascii="Times New Roman" w:hAnsi="Times New Roman" w:cs="Times New Roman"/>
          <w:sz w:val="24"/>
          <w:szCs w:val="24"/>
        </w:rPr>
        <w:t>¿qué frutos obtiene?</w:t>
      </w:r>
      <w:r w:rsidRPr="000D09CF">
        <w:rPr>
          <w:rFonts w:ascii="Times New Roman" w:hAnsi="Times New Roman" w:cs="Times New Roman"/>
          <w:sz w:val="24"/>
          <w:szCs w:val="24"/>
        </w:rPr>
        <w:t xml:space="preserve"> Respuesta: menor crecimiento económico y paro.</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mismo dogma, la misma teoría, las mismas preguntas, y -lamentablemente- las mismas respuestas. Solo han cambiado los interlocutores. Ahora América</w:t>
      </w:r>
      <w:r>
        <w:rPr>
          <w:rFonts w:ascii="Times New Roman" w:hAnsi="Times New Roman" w:cs="Times New Roman"/>
          <w:sz w:val="24"/>
          <w:szCs w:val="24"/>
        </w:rPr>
        <w:t xml:space="preserve"> inventa, China fabrica</w:t>
      </w:r>
      <w:r w:rsidR="003443FB">
        <w:rPr>
          <w:rFonts w:ascii="Times New Roman" w:hAnsi="Times New Roman" w:cs="Times New Roman"/>
          <w:sz w:val="24"/>
          <w:szCs w:val="24"/>
        </w:rPr>
        <w:t>,</w:t>
      </w:r>
      <w:r>
        <w:rPr>
          <w:rFonts w:ascii="Times New Roman" w:hAnsi="Times New Roman" w:cs="Times New Roman"/>
          <w:sz w:val="24"/>
          <w:szCs w:val="24"/>
        </w:rPr>
        <w:t xml:space="preserve"> y Europa regula (y cede</w:t>
      </w:r>
      <w:r w:rsidR="003443FB">
        <w:rPr>
          <w:rFonts w:ascii="Times New Roman" w:hAnsi="Times New Roman" w:cs="Times New Roman"/>
          <w:sz w:val="24"/>
          <w:szCs w:val="24"/>
        </w:rPr>
        <w:t xml:space="preserve"> su mercado</w:t>
      </w:r>
      <w:r>
        <w:rPr>
          <w:rFonts w:ascii="Times New Roman" w:hAnsi="Times New Roman" w:cs="Times New Roman"/>
          <w:sz w:val="24"/>
          <w:szCs w:val="24"/>
        </w:rPr>
        <w:t>)</w:t>
      </w:r>
      <w:r w:rsidRPr="000D09CF">
        <w:rPr>
          <w:rFonts w:ascii="Times New Roman" w:hAnsi="Times New Roman" w:cs="Times New Roman"/>
          <w:sz w:val="24"/>
          <w:szCs w:val="24"/>
        </w:rPr>
        <w:t>.</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xml:space="preserve">Nadie ha resuelto el abismo entre la teoría y la práctica. Se aplica la misma medicina a todos los pacientes. Da lo mismo el grado de desarrollo alcanzado, las fuerzas productivas, educación, cultura, y evolución social, en su caso. </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Si el enfermo no reacciona: “más mercado”. Si se pierde competitividad: “más mercado”. Si aumenta el paro: “más mercado”.</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poder político no debe, ni puede intervenir. De otro modo será acusado de “arbitrista”, de poner trabas al progreso de la sociedad.</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La globalización, el librecambio, la competitividad, solo exaltan la individualidad, la inequidad, y la insolidaridad. Para lograrlo deben aniquilar la nacionalidad.</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La aldea global salva a los ricos (incluso los libera de toda responsabilidad social) y condena a los pobres (consolidando su decadencia).</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Un sistema de economías privadas por sobre las fronteras nacionales o regionales imposibilita el progreso de la sociedad. Solo mejora las oportunidades de los elegidos, haciendo de esos “ciudadanos del mundo” un magma amoral, anacional, inimputable e ingobernable.</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Un “supra” mundo sin límites, ni condicionamientos, unidos solo por la “doctrina de los negocios”, integrado por una minoría de “cientos”, con la “suma” del poder económico; frente a los gobiernos regionales o nacionales vacíos de contenido, con dirigentes serviles, lacayos y genuflexos; y ante un coro de “miles de millones” de marginados, frustrados, negados y miserables “sopistas”, temporeros, pobres irrecuperables, ejercito de reserva, útiles solo como consumidores, espectadores, drogadictos o alcohólicos.</w:t>
      </w:r>
    </w:p>
    <w:p w:rsidR="00006A68" w:rsidRDefault="00006A68" w:rsidP="00006A6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09CF">
        <w:rPr>
          <w:rFonts w:ascii="Times New Roman" w:hAnsi="Times New Roman" w:cs="Times New Roman"/>
          <w:sz w:val="24"/>
          <w:szCs w:val="24"/>
        </w:rPr>
        <w:t>Es esto lo que nos ofrece la teoría</w:t>
      </w:r>
      <w:r>
        <w:rPr>
          <w:rFonts w:ascii="Times New Roman" w:hAnsi="Times New Roman" w:cs="Times New Roman"/>
          <w:sz w:val="24"/>
          <w:szCs w:val="24"/>
        </w:rPr>
        <w:t xml:space="preserve"> dominante?</w:t>
      </w:r>
      <w:r w:rsidRPr="000D09CF">
        <w:rPr>
          <w:rFonts w:ascii="Times New Roman" w:hAnsi="Times New Roman" w:cs="Times New Roman"/>
          <w:sz w:val="24"/>
          <w:szCs w:val="24"/>
        </w:rPr>
        <w:t xml:space="preserve"> </w:t>
      </w:r>
      <w:r>
        <w:rPr>
          <w:rFonts w:ascii="Times New Roman" w:hAnsi="Times New Roman" w:cs="Times New Roman"/>
          <w:sz w:val="24"/>
          <w:szCs w:val="24"/>
        </w:rPr>
        <w:t>¿</w:t>
      </w:r>
      <w:r w:rsidRPr="000D09CF">
        <w:rPr>
          <w:rFonts w:ascii="Times New Roman" w:hAnsi="Times New Roman" w:cs="Times New Roman"/>
          <w:sz w:val="24"/>
          <w:szCs w:val="24"/>
        </w:rPr>
        <w:t>Este es e</w:t>
      </w:r>
      <w:r>
        <w:rPr>
          <w:rFonts w:ascii="Times New Roman" w:hAnsi="Times New Roman" w:cs="Times New Roman"/>
          <w:sz w:val="24"/>
          <w:szCs w:val="24"/>
        </w:rPr>
        <w:t>l camino que se teme abandonar?</w:t>
      </w:r>
    </w:p>
    <w:p w:rsidR="00006A68" w:rsidRPr="000D09CF" w:rsidRDefault="003443FB" w:rsidP="00006A6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Vuelvo (imaginariamente) a </w:t>
      </w:r>
      <w:r w:rsidR="00006A68" w:rsidRPr="000D09CF">
        <w:rPr>
          <w:rFonts w:ascii="Times New Roman" w:hAnsi="Times New Roman" w:cs="Times New Roman"/>
          <w:sz w:val="24"/>
          <w:szCs w:val="24"/>
        </w:rPr>
        <w:t xml:space="preserve">Friedrich List: </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No me gustan las enumeraciones exhaustivas; siempre resultan incompletas; pronto quedan obsoletas. Hablemos -con humilde animo de contribución- de algunas de las -principales, a mi juicio- dificultades que</w:t>
      </w:r>
      <w:r w:rsidR="003443FB">
        <w:rPr>
          <w:rFonts w:ascii="Times New Roman" w:hAnsi="Times New Roman" w:cs="Times New Roman"/>
          <w:sz w:val="24"/>
          <w:szCs w:val="24"/>
        </w:rPr>
        <w:t xml:space="preserve"> plantean -</w:t>
      </w:r>
      <w:r w:rsidRPr="000D09CF">
        <w:rPr>
          <w:rFonts w:ascii="Times New Roman" w:hAnsi="Times New Roman" w:cs="Times New Roman"/>
          <w:sz w:val="24"/>
          <w:szCs w:val="24"/>
        </w:rPr>
        <w:t>evidencian- la globalización de los mercados.</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lastRenderedPageBreak/>
        <w:t xml:space="preserve">Tomemos algunos ejemplos deportivos -para comenzar-: </w:t>
      </w:r>
      <w:r>
        <w:rPr>
          <w:rFonts w:ascii="Times New Roman" w:hAnsi="Times New Roman" w:cs="Times New Roman"/>
          <w:sz w:val="24"/>
          <w:szCs w:val="24"/>
        </w:rPr>
        <w:t>¿</w:t>
      </w:r>
      <w:r w:rsidRPr="000D09CF">
        <w:rPr>
          <w:rFonts w:ascii="Times New Roman" w:hAnsi="Times New Roman" w:cs="Times New Roman"/>
          <w:sz w:val="24"/>
          <w:szCs w:val="24"/>
        </w:rPr>
        <w:t>Por qué existen diferentes categorías</w:t>
      </w:r>
      <w:r>
        <w:rPr>
          <w:rFonts w:ascii="Times New Roman" w:hAnsi="Times New Roman" w:cs="Times New Roman"/>
          <w:sz w:val="24"/>
          <w:szCs w:val="24"/>
        </w:rPr>
        <w:t xml:space="preserve"> en el boxeo?</w:t>
      </w:r>
      <w:r w:rsidRPr="000D09CF">
        <w:rPr>
          <w:rFonts w:ascii="Times New Roman" w:hAnsi="Times New Roman" w:cs="Times New Roman"/>
          <w:sz w:val="24"/>
          <w:szCs w:val="24"/>
        </w:rPr>
        <w:t xml:space="preserve"> </w:t>
      </w:r>
      <w:r>
        <w:rPr>
          <w:rFonts w:ascii="Times New Roman" w:hAnsi="Times New Roman" w:cs="Times New Roman"/>
          <w:sz w:val="24"/>
          <w:szCs w:val="24"/>
        </w:rPr>
        <w:t>¿Por qué</w:t>
      </w:r>
      <w:r w:rsidRPr="000D09CF">
        <w:rPr>
          <w:rFonts w:ascii="Times New Roman" w:hAnsi="Times New Roman" w:cs="Times New Roman"/>
          <w:sz w:val="24"/>
          <w:szCs w:val="24"/>
        </w:rPr>
        <w:t xml:space="preserve"> existe el handicap en el golf o en</w:t>
      </w:r>
      <w:r>
        <w:rPr>
          <w:rFonts w:ascii="Times New Roman" w:hAnsi="Times New Roman" w:cs="Times New Roman"/>
          <w:sz w:val="24"/>
          <w:szCs w:val="24"/>
        </w:rPr>
        <w:t xml:space="preserve"> el polo?</w:t>
      </w:r>
      <w:r w:rsidRPr="000D09CF">
        <w:rPr>
          <w:rFonts w:ascii="Times New Roman" w:hAnsi="Times New Roman" w:cs="Times New Roman"/>
          <w:sz w:val="24"/>
          <w:szCs w:val="24"/>
        </w:rPr>
        <w:t xml:space="preserve"> </w:t>
      </w:r>
      <w:r>
        <w:rPr>
          <w:rFonts w:ascii="Times New Roman" w:hAnsi="Times New Roman" w:cs="Times New Roman"/>
          <w:sz w:val="24"/>
          <w:szCs w:val="24"/>
        </w:rPr>
        <w:t>¿Por qué</w:t>
      </w:r>
      <w:r w:rsidRPr="000D09CF">
        <w:rPr>
          <w:rFonts w:ascii="Times New Roman" w:hAnsi="Times New Roman" w:cs="Times New Roman"/>
          <w:sz w:val="24"/>
          <w:szCs w:val="24"/>
        </w:rPr>
        <w:t xml:space="preserve"> en el turf a los jockeys se les agregan contrapesos</w:t>
      </w:r>
      <w:r>
        <w:rPr>
          <w:rFonts w:ascii="Times New Roman" w:hAnsi="Times New Roman" w:cs="Times New Roman"/>
          <w:sz w:val="24"/>
          <w:szCs w:val="24"/>
        </w:rPr>
        <w:t xml:space="preserve"> en la montura de sus caballos?</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La respuesta es: para igualar las chances.</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En la lucha entre un boxeador de 100 kilogramos y otro de 60  kilogramos probablemente, a igualdad de cualidades deportivas y estado físico, tenga ventajas el de mayor peso, envergadura y largo de brazos. Lo mismo, el jugador de golf con menos golpes bajo la par o el  polista mejor calificado o el jockey con menos peso.</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Estos sencillos ejemplos, me permiten iniciar el comentario sobre una de las desventajas o dificultades de la globalización económica. Poner en igualdad competitiva a países que no tienen el mismo grado de competitividad. A algunos -los ganadores- les sobra peso, estado físico, estructura muscular, hándicap, y a otros -los perdedores- les falta todo para competir en igualdad de oportunidades.</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xml:space="preserve">En esas condiciones siempre habrá un seguro ganador. Y si hay uno y solo uno como seguro ganador estamos más cerca de una situación de monopolio que de una de libre competencia. </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No hay competencia, se termina el juego (económico).</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ganador se lleva todo. Y el perdedor acelera su ruina.</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Los defensores del libre cambio -la “escuela” o “teoría dominante” dirán que la globalización beneficia al consumidor poniendo a su disposición mayor cantidad de bienes y mejores precios.</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Los pocos, que seguimos cometiendo “delitos de opinión económica” sostenemos que el consumidor beneficiado -salvo casos muy puntuales- será un trabajador, pequeño empresario o profesional, que, cuando pierda el empleo u ocupación -por causa del cierre de las empresas por falta de competitividad- dejara de ser consumidor y dejara de beneficiarse de la diversidad de oferta y de los mejores precios.</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xml:space="preserve">Resumiendo, esta primera critica estaría fundamentada en la heterogeneidad de los competidores, y en el tiempo que cada uno de ellos necesita para estar en igualdad de condiciones. </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De no establecerse ese tiempo de resguardo o medidas compensatorias equilibrantes</w:t>
      </w:r>
      <w:r w:rsidR="003443FB">
        <w:rPr>
          <w:rFonts w:ascii="Times New Roman" w:hAnsi="Times New Roman" w:cs="Times New Roman"/>
          <w:sz w:val="24"/>
          <w:szCs w:val="24"/>
        </w:rPr>
        <w:t>,</w:t>
      </w:r>
      <w:r w:rsidRPr="000D09CF">
        <w:rPr>
          <w:rFonts w:ascii="Times New Roman" w:hAnsi="Times New Roman" w:cs="Times New Roman"/>
          <w:sz w:val="24"/>
          <w:szCs w:val="24"/>
        </w:rPr>
        <w:t xml:space="preserve"> la brecha entre ganadores y perdedores se amplia y perpetua.</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Pasemos -ahora- a otro de los aspectos preocupantes. La globalización lleva -irremisiblemente- a la pérdida de poder por parte de los estados nacionales como rectores y promotores del desarrollo económico.</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libre movimiento de mercancías, servicios y capitales -más que todo estos últimos- dejan a los gobiernos sin capacidad para regular la economía.</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Los flujos financieros se movilizan con un volumen y a una velocidad que superan la capacidad de reacción de todos y cada uno de los bancos centrales. Solo la Reserva Federal de los Estados Unidos conserva algo de predicamento y margen de maniobra. Y eso porque sus dictados coinciden con los intereses del poder financiero; habría que ver qué ocurre en el caso contrario.</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lastRenderedPageBreak/>
        <w:t>Además de imparables e ingobernables, los movimientos de valores financieros son altamente especulativos y volátiles; aspecto que tampoco favorece la evolución de la economía real.</w:t>
      </w:r>
    </w:p>
    <w:p w:rsidR="00006A68" w:rsidRPr="000D09CF" w:rsidRDefault="003443FB" w:rsidP="00006A6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Finalmente, </w:t>
      </w:r>
      <w:r w:rsidR="00006A68" w:rsidRPr="000D09CF">
        <w:rPr>
          <w:rFonts w:ascii="Times New Roman" w:hAnsi="Times New Roman" w:cs="Times New Roman"/>
          <w:sz w:val="24"/>
          <w:szCs w:val="24"/>
        </w:rPr>
        <w:t>otra situación que se torna impredecible e inmanejable ante la globalización son las posibilidades de ejercer algún tipo de control sanitario y ambiental a las grandes corporaciones multinacionales.</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Su poder es tan grande, su capacidad de “gestión” y disponibilidad de fondos tan amplios que los poderes legislativo, ejecutivo</w:t>
      </w:r>
      <w:r w:rsidR="003443FB">
        <w:rPr>
          <w:rFonts w:ascii="Times New Roman" w:hAnsi="Times New Roman" w:cs="Times New Roman"/>
          <w:sz w:val="24"/>
          <w:szCs w:val="24"/>
        </w:rPr>
        <w:t>,</w:t>
      </w:r>
      <w:r w:rsidRPr="000D09CF">
        <w:rPr>
          <w:rFonts w:ascii="Times New Roman" w:hAnsi="Times New Roman" w:cs="Times New Roman"/>
          <w:sz w:val="24"/>
          <w:szCs w:val="24"/>
        </w:rPr>
        <w:t xml:space="preserve"> y judicial</w:t>
      </w:r>
      <w:r w:rsidR="003443FB">
        <w:rPr>
          <w:rFonts w:ascii="Times New Roman" w:hAnsi="Times New Roman" w:cs="Times New Roman"/>
          <w:sz w:val="24"/>
          <w:szCs w:val="24"/>
        </w:rPr>
        <w:t>,</w:t>
      </w:r>
      <w:r w:rsidRPr="000D09CF">
        <w:rPr>
          <w:rFonts w:ascii="Times New Roman" w:hAnsi="Times New Roman" w:cs="Times New Roman"/>
          <w:sz w:val="24"/>
          <w:szCs w:val="24"/>
        </w:rPr>
        <w:t xml:space="preserve"> son apenas “marionetas” en el gran “vodevil”.</w:t>
      </w:r>
    </w:p>
    <w:p w:rsidR="00006A68" w:rsidRPr="000D09CF"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Los grandes negocios y capitales por no tener “barreras” no tienen ni las legales, ni las financieras, ni las sanitarias, ni las ambientales.</w:t>
      </w:r>
    </w:p>
    <w:p w:rsidR="00006A68" w:rsidRDefault="00006A68" w:rsidP="00006A6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Repasando, tendríamos entre los males de la “teoría dominante”, la eternización de las desventajas competitivas, la perdida de tejido industrial nacional, la desocupación y precarización laboral, la imposibilidad de regular los flujos de fondos financieros, la pérdida del poder gubernamental de regulación económica y la neutralización del control judicial, sanitario y ecológico a nivel nacional, regional y mundial.</w:t>
      </w:r>
    </w:p>
    <w:p w:rsidR="00C74822" w:rsidRPr="000D09CF" w:rsidRDefault="00C74822" w:rsidP="00C74822">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Recordemos -por un momento- lo dicho en 1841:</w:t>
      </w:r>
    </w:p>
    <w:p w:rsidR="00BD7D1C" w:rsidRDefault="00BD7D1C" w:rsidP="00BD7D1C">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0D09CF">
        <w:rPr>
          <w:rFonts w:ascii="Times New Roman" w:hAnsi="Times New Roman" w:cs="Times New Roman"/>
          <w:i/>
          <w:sz w:val="24"/>
          <w:szCs w:val="24"/>
        </w:rPr>
        <w:t>El sistema proteccionista, en cuanto es el único medio de equiparar naciones más civilizadas con la nación predominante, a la que la naturaleza no ha otorgado para sus manufacturas ningún monopolio eterno, sino solo una ventaja temporal respecto de las otras. El sistema proteccionista, decimos, considerado desde este punto, resulta el más importante propulsor de la unión definitiva entre los pueblos, y, como consecuencia, de la verdadera libertad comercial. La economía nacional aparece, así, como una ciencia que reconociendo los intereses subsistentes y la situación particular de las naciones, enseña de qué modo cada nación en particular puede elevarse a aquel grado de formación económica en el cual resultara posible y útil la unión con otras naciones igualmente formadas, y como consecuencia, la libertad de comercio</w:t>
      </w:r>
      <w:r>
        <w:rPr>
          <w:rFonts w:ascii="Times New Roman" w:hAnsi="Times New Roman" w:cs="Times New Roman"/>
          <w:i/>
          <w:sz w:val="24"/>
          <w:szCs w:val="24"/>
        </w:rPr>
        <w:t>..</w:t>
      </w:r>
      <w:r w:rsidRPr="000D09CF">
        <w:rPr>
          <w:rFonts w:ascii="Times New Roman" w:hAnsi="Times New Roman" w:cs="Times New Roman"/>
          <w:i/>
          <w:sz w:val="24"/>
          <w:szCs w:val="24"/>
        </w:rPr>
        <w:t>.</w:t>
      </w:r>
    </w:p>
    <w:p w:rsidR="00BD7D1C" w:rsidRPr="000D09CF" w:rsidRDefault="00BD7D1C" w:rsidP="00BD7D1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Los británicos, como una nación independiente y hermética, toman los intereses nacionales como exclusiva</w:t>
      </w:r>
      <w:r w:rsidR="003F4219">
        <w:rPr>
          <w:rFonts w:ascii="Times New Roman" w:hAnsi="Times New Roman" w:cs="Times New Roman"/>
          <w:i/>
          <w:sz w:val="24"/>
          <w:szCs w:val="24"/>
        </w:rPr>
        <w:t xml:space="preserve"> orientación de su política...</w:t>
      </w:r>
      <w:r w:rsidRPr="000D09CF">
        <w:rPr>
          <w:rFonts w:ascii="Times New Roman" w:hAnsi="Times New Roman" w:cs="Times New Roman"/>
          <w:i/>
          <w:sz w:val="24"/>
          <w:szCs w:val="24"/>
        </w:rPr>
        <w:t xml:space="preserve"> Asia, África</w:t>
      </w:r>
      <w:r>
        <w:rPr>
          <w:rFonts w:ascii="Times New Roman" w:hAnsi="Times New Roman" w:cs="Times New Roman"/>
          <w:i/>
          <w:sz w:val="24"/>
          <w:szCs w:val="24"/>
        </w:rPr>
        <w:t xml:space="preserve"> y Australia fueron civilizadas por Inglaterra y sembrada</w:t>
      </w:r>
      <w:r w:rsidRPr="000D09CF">
        <w:rPr>
          <w:rFonts w:ascii="Times New Roman" w:hAnsi="Times New Roman" w:cs="Times New Roman"/>
          <w:i/>
          <w:sz w:val="24"/>
          <w:szCs w:val="24"/>
        </w:rPr>
        <w:t>s en estados nuevos conforme al modelo inglés. Así surgió con el tiempo un mundo de estados ingleses bajo la dirección de la metrópoli; al margen de ellos las naciones continentales europeas se perdieron como grupos étnicos insignificantes e infecundos. Francia se puso de acuerdo con España y Portugal, para suministrar a este mundo ingles los mejores vinos y beber ellos mismos los peores; a los franceses les quedaba, a lo sumo, la fabricación de algunos artículos de modas. Alemania apenas podía suministrar a este mundo ingles otra cosa que juguetes para niños, relojes murales de madera, libros filológicos y a veces un cuerpo auxiliar para luchar en los desiertos de Asia o de África por la expansión de la hegemonía manufacturera y mercantil de Inglaterra, de la lengua y de la literatura inglesas. No harían falta muchos siglos para que en ese mundo ingles se hablase de alemanes y franceses con el mismo respeto con que ahora se habla de las naciones asiáticas.</w:t>
      </w:r>
    </w:p>
    <w:p w:rsidR="00BD7D1C" w:rsidRPr="000D09CF" w:rsidRDefault="00BD7D1C" w:rsidP="00BD7D1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 política, en cambio, reconoce que esta evolución determinada por la libertad mercantil generalizada</w:t>
      </w:r>
      <w:r>
        <w:rPr>
          <w:rFonts w:ascii="Times New Roman" w:hAnsi="Times New Roman" w:cs="Times New Roman"/>
          <w:i/>
          <w:sz w:val="24"/>
          <w:szCs w:val="24"/>
        </w:rPr>
        <w:t xml:space="preserve"> es antinatural por completo...</w:t>
      </w:r>
      <w:r w:rsidRPr="000D09CF">
        <w:rPr>
          <w:rFonts w:ascii="Times New Roman" w:hAnsi="Times New Roman" w:cs="Times New Roman"/>
          <w:i/>
          <w:sz w:val="24"/>
          <w:szCs w:val="24"/>
        </w:rPr>
        <w:t xml:space="preserve"> Para que la libertad mercantil pueda producir sus naturales efectos, las naciones menos adelantadas, deben ser exaltadas, por medio de normas artificiales, a aquella etapa de desarrollo que la nación inglesa alcanzo por los mismos procedimientos.</w:t>
      </w:r>
    </w:p>
    <w:p w:rsidR="00BD7D1C" w:rsidRDefault="00BD7D1C" w:rsidP="00BD7D1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lastRenderedPageBreak/>
        <w:t>Para que en virtud de esa tendencia cosmopolita de las energías productivas, a que antes nos hemos referido, no fecunde antes otras zonas del mundo que los cercanos países europeos, aquellas naciones que se sienten capacitadas para el desarrollo de una energía industrial, por razón de sus condiciones morales, intelectuales, sociales y políticas, deben utilizar el sistema proteccionista como el medio más idóneo para lograr ese fin”</w:t>
      </w:r>
      <w:r w:rsidR="003D796B">
        <w:rPr>
          <w:rFonts w:ascii="Times New Roman" w:hAnsi="Times New Roman" w:cs="Times New Roman"/>
          <w:i/>
          <w:sz w:val="24"/>
          <w:szCs w:val="24"/>
        </w:rPr>
        <w:t>…</w:t>
      </w:r>
    </w:p>
    <w:p w:rsidR="003D796B" w:rsidRPr="000D09CF" w:rsidRDefault="003D796B" w:rsidP="003D796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Vuelvo (imaginariamente) a </w:t>
      </w:r>
      <w:r w:rsidRPr="000D09CF">
        <w:rPr>
          <w:rFonts w:ascii="Times New Roman" w:hAnsi="Times New Roman" w:cs="Times New Roman"/>
          <w:sz w:val="24"/>
          <w:szCs w:val="24"/>
        </w:rPr>
        <w:t xml:space="preserve">Friedrich List: </w:t>
      </w:r>
    </w:p>
    <w:p w:rsidR="003D796B" w:rsidRPr="000D09CF" w:rsidRDefault="003D796B" w:rsidP="003D796B">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La republ</w:t>
      </w:r>
      <w:r w:rsidR="003F4219">
        <w:rPr>
          <w:rFonts w:ascii="Times New Roman" w:hAnsi="Times New Roman" w:cs="Times New Roman"/>
          <w:sz w:val="24"/>
          <w:szCs w:val="24"/>
        </w:rPr>
        <w:t>ica universal, la paz eterna... Respuestas sin preguntas... En 1841 y hoy… Utopías...</w:t>
      </w:r>
      <w:r w:rsidRPr="000D09CF">
        <w:rPr>
          <w:rFonts w:ascii="Times New Roman" w:hAnsi="Times New Roman" w:cs="Times New Roman"/>
          <w:sz w:val="24"/>
          <w:szCs w:val="24"/>
        </w:rPr>
        <w:t xml:space="preserve"> Sueños de una noche de verano. No es el modo de dar respuesta a lo que tienen que hacer las naciones, en particular, para progresar en su situación económica.</w:t>
      </w:r>
    </w:p>
    <w:p w:rsidR="003D796B" w:rsidRPr="000D09CF" w:rsidRDefault="003D796B" w:rsidP="003D796B">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La “teoría dominante” solo acepta unos impuestos moderados, una buena tutela jurídica y la paz. También enfatiza la inutilidad de las normas políticas para fomentar el bienestar público, llevando al extremo (uno de sus calificados voceros históricos) a negar la existencia de la nación.</w:t>
      </w:r>
    </w:p>
    <w:p w:rsidR="003D796B" w:rsidRPr="000D09CF" w:rsidRDefault="003D796B" w:rsidP="003D796B">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Los librecambistas (hoy, globalizadores) vuelan tan alto que ni nos ven. Aun</w:t>
      </w:r>
      <w:r>
        <w:rPr>
          <w:rFonts w:ascii="Times New Roman" w:hAnsi="Times New Roman" w:cs="Times New Roman"/>
          <w:sz w:val="24"/>
          <w:szCs w:val="24"/>
        </w:rPr>
        <w:t>que, seguramente, lo que desean</w:t>
      </w:r>
      <w:r w:rsidRPr="000D09CF">
        <w:rPr>
          <w:rFonts w:ascii="Times New Roman" w:hAnsi="Times New Roman" w:cs="Times New Roman"/>
          <w:sz w:val="24"/>
          <w:szCs w:val="24"/>
        </w:rPr>
        <w:t>, es no vernos. Están tan envalentonados, que ambicionan eternizar lo temporal.</w:t>
      </w:r>
    </w:p>
    <w:p w:rsidR="003D796B" w:rsidRPr="000D09CF" w:rsidRDefault="003D796B" w:rsidP="003D796B">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 riesgo de “calentar la polémica”, sostengo, que de la libertad de comercio no deriva una república universal, sino la dependencia de las naciones menos adelantadas bajo la supremacía de la potencia manufacturera, comercial y financiera que aparece como dominante.</w:t>
      </w:r>
    </w:p>
    <w:p w:rsidR="003D796B" w:rsidRPr="000D09CF" w:rsidRDefault="003D796B" w:rsidP="003D796B">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Además estos “artistas” que vuelan “más alto” y “más lejos” intentan engañarnos como niños. Piden libertad de mercado y luego no la aplican en sus países. Piden mínimos impuestos, pero solicitan subvenciones, créditos preferenciales, exenciones, y contratos de obras y servicios públicos; cuando no reclaman del estado apoyo como prestamista de última instancia. La buena tutela jurídica significa protección a la propiedad, seguridad contractual y judicatura “sensible” a los ricos y poder</w:t>
      </w:r>
      <w:r>
        <w:rPr>
          <w:rFonts w:ascii="Times New Roman" w:hAnsi="Times New Roman" w:cs="Times New Roman"/>
          <w:sz w:val="24"/>
          <w:szCs w:val="24"/>
        </w:rPr>
        <w:t xml:space="preserve">osos. La paz necesaria alcanza </w:t>
      </w:r>
      <w:r w:rsidRPr="000D09CF">
        <w:rPr>
          <w:rFonts w:ascii="Times New Roman" w:hAnsi="Times New Roman" w:cs="Times New Roman"/>
          <w:sz w:val="24"/>
          <w:szCs w:val="24"/>
        </w:rPr>
        <w:t>pura y exclusivamente a la protección de sus intereses.</w:t>
      </w:r>
    </w:p>
    <w:p w:rsidR="003D796B" w:rsidRPr="000D09CF" w:rsidRDefault="003D796B" w:rsidP="003D796B">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xml:space="preserve">La economía cosmopolita amplia tanto el “objetivo” que las naciones no aparecen en la foto. </w:t>
      </w:r>
    </w:p>
    <w:p w:rsidR="003D796B" w:rsidRPr="000D09CF" w:rsidRDefault="003D796B" w:rsidP="003D796B">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Con el fantasma del colectivismo asustan al ciudadano y le ofrecen como panacea universal el individualismo, la libertad y los derechos particulares.</w:t>
      </w:r>
    </w:p>
    <w:p w:rsidR="003D796B" w:rsidRPr="000D09CF" w:rsidRDefault="003D796B" w:rsidP="003D796B">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individualismo -luego- se estrella contra el paro, el trabajador descartable, la falta de oportunidades, el analfabetismo funcional o total, la pobreza, la marginación, la desprotección sanitaria; para terminar en los embarazos no deseados, la mortalidad infantil, la criminalidad, el alcohol y la droga.</w:t>
      </w:r>
    </w:p>
    <w:p w:rsidR="003D796B" w:rsidRPr="000D09CF" w:rsidRDefault="003D796B" w:rsidP="003D796B">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xml:space="preserve">La libertad -luego- termina en que solo sirve -a lo mejor- para “consumir” o -a lo peor- para “morirse de hambre”. </w:t>
      </w:r>
      <w:r>
        <w:rPr>
          <w:rFonts w:ascii="Times New Roman" w:hAnsi="Times New Roman" w:cs="Times New Roman"/>
          <w:sz w:val="24"/>
          <w:szCs w:val="24"/>
        </w:rPr>
        <w:t>¿De qué libertad hablamos?</w:t>
      </w:r>
      <w:r w:rsidRPr="000D09CF">
        <w:rPr>
          <w:rFonts w:ascii="Times New Roman" w:hAnsi="Times New Roman" w:cs="Times New Roman"/>
          <w:sz w:val="24"/>
          <w:szCs w:val="24"/>
        </w:rPr>
        <w:t xml:space="preserve"> </w:t>
      </w:r>
      <w:r>
        <w:rPr>
          <w:rFonts w:ascii="Times New Roman" w:hAnsi="Times New Roman" w:cs="Times New Roman"/>
          <w:sz w:val="24"/>
          <w:szCs w:val="24"/>
        </w:rPr>
        <w:t>¿De la de utilizar el telemando?</w:t>
      </w:r>
    </w:p>
    <w:p w:rsidR="003D796B" w:rsidRPr="000D09CF" w:rsidRDefault="003D796B" w:rsidP="003D796B">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Los derechos particulares -siempre- sirven para proteger a los “ganadores”, nunca a los “perdedores”. Una justicia para ricos y otra para pobres. Unos son “presuntos inocentes” hasta que se demuestre lo contrario y otros son “sospechosos habituales” hasta que no se demuestre lo contrario.</w:t>
      </w:r>
    </w:p>
    <w:p w:rsidR="003D796B" w:rsidRPr="000D09CF" w:rsidRDefault="003D796B" w:rsidP="003D796B">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Si un pobre lleva droga (hoy muy común, lamentablemente), es para vender (hecho punible).</w:t>
      </w:r>
    </w:p>
    <w:p w:rsidR="003D796B" w:rsidRPr="000D09CF" w:rsidRDefault="003D796B" w:rsidP="003D796B">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lastRenderedPageBreak/>
        <w:t>Si un rico lleva droga (también muy común, actualmente) es para consumo personal (hecho no punible).</w:t>
      </w:r>
    </w:p>
    <w:p w:rsidR="00C74822" w:rsidRDefault="003D796B" w:rsidP="00C74822">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Y así podría</w:t>
      </w:r>
      <w:r w:rsidR="003F4219">
        <w:rPr>
          <w:rFonts w:ascii="Times New Roman" w:hAnsi="Times New Roman" w:cs="Times New Roman"/>
          <w:sz w:val="24"/>
          <w:szCs w:val="24"/>
        </w:rPr>
        <w:t xml:space="preserve"> seguir...</w:t>
      </w:r>
    </w:p>
    <w:p w:rsidR="00C74822" w:rsidRPr="000D09CF" w:rsidRDefault="00C74822" w:rsidP="00C74822">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Recordemos -por un momento- lo dicho en 1841:</w:t>
      </w:r>
    </w:p>
    <w:p w:rsidR="003D796B" w:rsidRPr="000D09CF" w:rsidRDefault="003D796B" w:rsidP="003D796B">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0D09CF">
        <w:rPr>
          <w:rFonts w:ascii="Times New Roman" w:hAnsi="Times New Roman" w:cs="Times New Roman"/>
          <w:i/>
          <w:sz w:val="24"/>
          <w:szCs w:val="24"/>
        </w:rPr>
        <w:t xml:space="preserve">El poder público no solo está autorizado sino obligado a limitar y regular, en beneficio de la nación, un tráfico cualquiera, aunque sustancialmente sea inocuo. Al establecer prohibiciones y aranceles protectores no indica a los individuos en que forma deben emplear sus energías y capitales productivos, tal como pretende </w:t>
      </w:r>
      <w:r>
        <w:rPr>
          <w:rFonts w:ascii="Times New Roman" w:hAnsi="Times New Roman" w:cs="Times New Roman"/>
          <w:i/>
          <w:sz w:val="24"/>
          <w:szCs w:val="24"/>
        </w:rPr>
        <w:t>sofisticadamente la escuela...</w:t>
      </w:r>
      <w:r w:rsidRPr="000D09CF">
        <w:rPr>
          <w:rFonts w:ascii="Times New Roman" w:hAnsi="Times New Roman" w:cs="Times New Roman"/>
          <w:i/>
          <w:sz w:val="24"/>
          <w:szCs w:val="24"/>
        </w:rPr>
        <w:t xml:space="preserve"> La nación no limita la industria privada. Por el contrario, procura a las energías personales, a las fuerzas naturales y al capital de la nación un campo de actividad mayor</w:t>
      </w:r>
      <w:r w:rsidR="003F4219">
        <w:rPr>
          <w:rFonts w:ascii="Times New Roman" w:hAnsi="Times New Roman" w:cs="Times New Roman"/>
          <w:i/>
          <w:sz w:val="24"/>
          <w:szCs w:val="24"/>
        </w:rPr>
        <w:t>,</w:t>
      </w:r>
      <w:r w:rsidRPr="000D09CF">
        <w:rPr>
          <w:rFonts w:ascii="Times New Roman" w:hAnsi="Times New Roman" w:cs="Times New Roman"/>
          <w:i/>
          <w:sz w:val="24"/>
          <w:szCs w:val="24"/>
        </w:rPr>
        <w:t xml:space="preserve"> y más amplio. Para ello ni realiza lo que los individuos sabían mejor y podían hacer mejor que ella misma; por el contrario, hace algo que los individuos no podrían hacer por sí mismos, aunque quisieran.</w:t>
      </w:r>
    </w:p>
    <w:p w:rsidR="003D796B" w:rsidRPr="000D09CF" w:rsidRDefault="003D796B" w:rsidP="003D796B">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 afirmación de la escuela según la cual el sistema proteccionista fomenta intervenciones antijurídicas y antieconómicas del poder del estado en el incremento de capital y en la industria de los particulares, aparece a una luz menos ventajosa si consideramos que las regulaciones mercantiles extranjeras son las causantes de semejantes intervenciones en nuestra industria privada, y que solo mediante el sistema proteccionista podemos evitar los efectos nocivos de la política mercantil extranjera.</w:t>
      </w:r>
    </w:p>
    <w:p w:rsidR="003D796B" w:rsidRPr="000D09CF" w:rsidRDefault="003D796B" w:rsidP="003D796B">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 xml:space="preserve">Si quisiéramos renunciar a dar, mediante nuestra legislación propia, a nuestra industria nacional, una dirección adecuada a las conveniencias de nuestra nación, no podríamos impedir que las naciones extranjeras regularan nuestra industria nacional de una forma adecuada a su propia ventaja efectiva o presunta, y que en todo caso influyera perjudicialmente sobre el desarrollo de nuestras energías productivas. </w:t>
      </w:r>
      <w:r>
        <w:rPr>
          <w:rFonts w:ascii="Times New Roman" w:hAnsi="Times New Roman" w:cs="Times New Roman"/>
          <w:i/>
          <w:sz w:val="24"/>
          <w:szCs w:val="24"/>
        </w:rPr>
        <w:t>¿</w:t>
      </w:r>
      <w:r w:rsidRPr="000D09CF">
        <w:rPr>
          <w:rFonts w:ascii="Times New Roman" w:hAnsi="Times New Roman" w:cs="Times New Roman"/>
          <w:i/>
          <w:sz w:val="24"/>
          <w:szCs w:val="24"/>
        </w:rPr>
        <w:t xml:space="preserve">Es, sin embargo, más razonable y adecuado al beneficio de nuestros connacionales que hagamos regular nuestra industria privada por una legislación nacional extranjerizada, según los intereses nacionales de otros países, que si la regulamos conforme a la propia legislación y de </w:t>
      </w:r>
      <w:r>
        <w:rPr>
          <w:rFonts w:ascii="Times New Roman" w:hAnsi="Times New Roman" w:cs="Times New Roman"/>
          <w:i/>
          <w:sz w:val="24"/>
          <w:szCs w:val="24"/>
        </w:rPr>
        <w:t>acuerdo con nuestros intereses?</w:t>
      </w:r>
    </w:p>
    <w:p w:rsidR="003D796B" w:rsidRDefault="003D796B" w:rsidP="003D796B">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Cuando la escuela pretende que el arancel protector asegura a los fabricantes nacionales un monopolio en perjuicio de los consumidores del país, pone en juego una esgrima equivocada. En efecto cada individuo en la nación es libre de participar en las ventajas del mercado nacional asegurado a la industria del país, en todo caso, no es ningún monopolio privado, sino un privilegio que se otorga a todos los súbditos de nuestra nación, frente a los ciudadanos de naciones extranjeras, siendo tanto más justo porque los súbditos de naciones extrañas poseen para sí mismos el mismo monopolio, y así quedan equiparados a ellos nuestros nacionales</w:t>
      </w:r>
      <w:r>
        <w:rPr>
          <w:rFonts w:ascii="Times New Roman" w:hAnsi="Times New Roman" w:cs="Times New Roman"/>
          <w:i/>
          <w:sz w:val="24"/>
          <w:szCs w:val="24"/>
        </w:rPr>
        <w:t>..</w:t>
      </w:r>
      <w:r w:rsidRPr="000D09CF">
        <w:rPr>
          <w:rFonts w:ascii="Times New Roman" w:hAnsi="Times New Roman" w:cs="Times New Roman"/>
          <w:i/>
          <w:sz w:val="24"/>
          <w:szCs w:val="24"/>
        </w:rPr>
        <w:t>.</w:t>
      </w:r>
    </w:p>
    <w:p w:rsidR="003D796B" w:rsidRPr="000D09CF" w:rsidRDefault="003D796B" w:rsidP="003D796B">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 escuela, apartando de si todo género de política, ignora la situación especial de cada nación, y solo se preocupa del bienestar del género humano en su conjunto.</w:t>
      </w:r>
    </w:p>
    <w:p w:rsidR="003D796B" w:rsidRPr="000D09CF" w:rsidRDefault="003D796B" w:rsidP="003D796B">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 xml:space="preserve">Cuando, por ejemplo, nos horrorizamos de las crisis mercantiles que son en Norteamérica una plaga nacional, y consultamos la teoría para averiguar los medios de evitarlas o mitigarlas, la escuela nos deja sin consuelo ni enseñanza; incluso resulta para nosotros imposible examinar científicamente ese fenómeno, porque so pena de ser tenidos por oscurantistas o ignorantes, ni una sola vez podemos pronunciar la palabra balanza </w:t>
      </w:r>
      <w:r w:rsidRPr="000D09CF">
        <w:rPr>
          <w:rFonts w:ascii="Times New Roman" w:hAnsi="Times New Roman" w:cs="Times New Roman"/>
          <w:i/>
          <w:sz w:val="24"/>
          <w:szCs w:val="24"/>
        </w:rPr>
        <w:lastRenderedPageBreak/>
        <w:t>mercantil, a pesar de que este término resuena en todas las asambleas legislativas, en todas las oficinas de administración y en todas las bolsas.</w:t>
      </w:r>
    </w:p>
    <w:p w:rsidR="003D796B" w:rsidRPr="000D09CF" w:rsidRDefault="003D796B" w:rsidP="003D796B">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En bien de la humanidad se nos obliga a admitir que la exportación y la importación se equilibran aut</w:t>
      </w:r>
      <w:r w:rsidR="003F4219">
        <w:rPr>
          <w:rFonts w:ascii="Times New Roman" w:hAnsi="Times New Roman" w:cs="Times New Roman"/>
          <w:i/>
          <w:sz w:val="24"/>
          <w:szCs w:val="24"/>
        </w:rPr>
        <w:t>omáticamente en todo momento...</w:t>
      </w:r>
    </w:p>
    <w:p w:rsidR="003D796B" w:rsidRPr="000D09CF" w:rsidRDefault="003D796B" w:rsidP="003D796B">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 escuela no distingue entre las naciones que han alcanzado un alto grado de cultura económica y aquellas otras que se encuentran en un grado más bajo.</w:t>
      </w:r>
    </w:p>
    <w:p w:rsidR="003D796B" w:rsidRPr="000D09CF" w:rsidRDefault="003D796B" w:rsidP="003D796B">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Cuando la escuela presenta la libre competencia entre los productores como el medio más seguro para fomentar el bienestar del género humano, está perfectamente justificada, desde su punto de vista. Presuponiendo una unión universal toda limitación al tráfico honorable de mercancías entre distintos países resulta irracional y perniciosa. Pero en cuanto otras naciones subordinan los intereses generales de la humanidad a sus intereses nacionales, es insensato hablar de libre competencia entre los individuos de las distintas naciones.</w:t>
      </w:r>
    </w:p>
    <w:p w:rsidR="003D796B" w:rsidRDefault="003D796B" w:rsidP="003D796B">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Los argumentos de la escuela en favor de la competencia libre solo son aplicables al tráfico entre los ciudadanos de una misma nación</w:t>
      </w:r>
      <w:r>
        <w:rPr>
          <w:rFonts w:ascii="Times New Roman" w:hAnsi="Times New Roman" w:cs="Times New Roman"/>
          <w:i/>
          <w:sz w:val="24"/>
          <w:szCs w:val="24"/>
        </w:rPr>
        <w:t xml:space="preserve">. Por consiguiente, </w:t>
      </w:r>
      <w:r w:rsidRPr="000D09CF">
        <w:rPr>
          <w:rFonts w:ascii="Times New Roman" w:hAnsi="Times New Roman" w:cs="Times New Roman"/>
          <w:i/>
          <w:sz w:val="24"/>
          <w:szCs w:val="24"/>
        </w:rPr>
        <w:t>toda gran nación debe constituir en sí misma un conjunto que solo pueda traficar con otras entidades de la misma especie en aquello que sea compatible con sus especiales intereses sociales. Estos intereses son, sin embargo, sumamente distintos de los intereses privados de todos los individuos aislados de la nación, cuando cada individuo se considera como cosa sustantiva y no en su condición de m</w:t>
      </w:r>
      <w:r>
        <w:rPr>
          <w:rFonts w:ascii="Times New Roman" w:hAnsi="Times New Roman" w:cs="Times New Roman"/>
          <w:i/>
          <w:sz w:val="24"/>
          <w:szCs w:val="24"/>
        </w:rPr>
        <w:t>iembro de la sociedad nacional...</w:t>
      </w:r>
    </w:p>
    <w:p w:rsidR="00953566" w:rsidRPr="000D09CF" w:rsidRDefault="00953566" w:rsidP="00953566">
      <w:pPr>
        <w:spacing w:line="240" w:lineRule="auto"/>
        <w:jc w:val="both"/>
        <w:rPr>
          <w:rFonts w:ascii="Times New Roman" w:hAnsi="Times New Roman" w:cs="Times New Roman"/>
          <w:i/>
          <w:sz w:val="24"/>
          <w:szCs w:val="24"/>
        </w:rPr>
      </w:pPr>
      <w:r>
        <w:rPr>
          <w:rFonts w:ascii="Times New Roman" w:hAnsi="Times New Roman" w:cs="Times New Roman"/>
          <w:i/>
          <w:sz w:val="24"/>
          <w:szCs w:val="24"/>
        </w:rPr>
        <w:t xml:space="preserve">... </w:t>
      </w:r>
      <w:r w:rsidRPr="000D09CF">
        <w:rPr>
          <w:rFonts w:ascii="Times New Roman" w:hAnsi="Times New Roman" w:cs="Times New Roman"/>
          <w:i/>
          <w:sz w:val="24"/>
          <w:szCs w:val="24"/>
        </w:rPr>
        <w:t>Según l</w:t>
      </w:r>
      <w:r w:rsidR="003F4219">
        <w:rPr>
          <w:rFonts w:ascii="Times New Roman" w:hAnsi="Times New Roman" w:cs="Times New Roman"/>
          <w:i/>
          <w:sz w:val="24"/>
          <w:szCs w:val="24"/>
        </w:rPr>
        <w:t xml:space="preserve">a última obra del Dr. Cooper... </w:t>
      </w:r>
      <w:r w:rsidRPr="000D09CF">
        <w:rPr>
          <w:rFonts w:ascii="Times New Roman" w:hAnsi="Times New Roman" w:cs="Times New Roman"/>
          <w:i/>
          <w:sz w:val="24"/>
          <w:szCs w:val="24"/>
        </w:rPr>
        <w:t>los parti</w:t>
      </w:r>
      <w:r w:rsidR="003F4219">
        <w:rPr>
          <w:rFonts w:ascii="Times New Roman" w:hAnsi="Times New Roman" w:cs="Times New Roman"/>
          <w:i/>
          <w:sz w:val="24"/>
          <w:szCs w:val="24"/>
        </w:rPr>
        <w:t xml:space="preserve">darios del sistema americano... </w:t>
      </w:r>
      <w:r w:rsidRPr="000D09CF">
        <w:rPr>
          <w:rFonts w:ascii="Times New Roman" w:hAnsi="Times New Roman" w:cs="Times New Roman"/>
          <w:i/>
          <w:sz w:val="24"/>
          <w:szCs w:val="24"/>
        </w:rPr>
        <w:t xml:space="preserve">no somos otra cosa que idiotas; pues es “ignorancia apoyar una industria con aranceles </w:t>
      </w:r>
      <w:r>
        <w:rPr>
          <w:rFonts w:ascii="Times New Roman" w:hAnsi="Times New Roman" w:cs="Times New Roman"/>
          <w:i/>
          <w:sz w:val="24"/>
          <w:szCs w:val="24"/>
        </w:rPr>
        <w:t>cuando se pueden obtener bienes</w:t>
      </w:r>
      <w:r w:rsidRPr="000D09CF">
        <w:rPr>
          <w:rFonts w:ascii="Times New Roman" w:hAnsi="Times New Roman" w:cs="Times New Roman"/>
          <w:i/>
          <w:sz w:val="24"/>
          <w:szCs w:val="24"/>
        </w:rPr>
        <w:t>, más baratos, mediante el comercio exterior”, “ignorancia, si un gobierno guarda y protege la industria de individuos”.</w:t>
      </w:r>
    </w:p>
    <w:p w:rsidR="00953566" w:rsidRDefault="00953566" w:rsidP="0095356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w:t>
      </w:r>
      <w:r>
        <w:rPr>
          <w:rFonts w:ascii="Times New Roman" w:hAnsi="Times New Roman" w:cs="Times New Roman"/>
          <w:i/>
          <w:sz w:val="24"/>
          <w:szCs w:val="24"/>
        </w:rPr>
        <w:t xml:space="preserve"> </w:t>
      </w:r>
      <w:r w:rsidRPr="000D09CF">
        <w:rPr>
          <w:rFonts w:ascii="Times New Roman" w:hAnsi="Times New Roman" w:cs="Times New Roman"/>
          <w:i/>
          <w:sz w:val="24"/>
          <w:szCs w:val="24"/>
        </w:rPr>
        <w:t>Recuerdo la anécdota de un médico que, habiendo encontrado a su paciente consultando una obra de medicina acerca de su enfermedad, le advirtió que tuviese cuidado de no morir por un error de imprenta. Así, yo advertiría al pueblo de los Estados Unidos que confía en el célebre sistema de Adam Smith, que tenga cuidado de no morir por un bello ideal. En realidad, casi sonaría como un sarcasmo si en épocas ulteriores un historiador conmemorara la decadencia de este país en los siguientes términos: “Fue un gran pueblo; iban camino de convertirse, en todos los aspectos, como la primera nación de la tierra, pero se debilitaron y murieron, confiando en la infalibilidad de dos libros importados, uno de Escocia y el otro de Francia; libros cuyo fracaso general fue reconocido poco después por todos”</w:t>
      </w:r>
      <w:r>
        <w:rPr>
          <w:rFonts w:ascii="Times New Roman" w:hAnsi="Times New Roman" w:cs="Times New Roman"/>
          <w:i/>
          <w:sz w:val="24"/>
          <w:szCs w:val="24"/>
        </w:rPr>
        <w:t>”..</w:t>
      </w:r>
      <w:r w:rsidRPr="000D09CF">
        <w:rPr>
          <w:rFonts w:ascii="Times New Roman" w:hAnsi="Times New Roman" w:cs="Times New Roman"/>
          <w:i/>
          <w:sz w:val="24"/>
          <w:szCs w:val="24"/>
        </w:rPr>
        <w:t>.</w:t>
      </w:r>
    </w:p>
    <w:p w:rsidR="00953566" w:rsidRPr="000D09CF" w:rsidRDefault="00953566" w:rsidP="0095356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Vuelvo (imaginariamente) a </w:t>
      </w:r>
      <w:r w:rsidRPr="000D09CF">
        <w:rPr>
          <w:rFonts w:ascii="Times New Roman" w:hAnsi="Times New Roman" w:cs="Times New Roman"/>
          <w:sz w:val="24"/>
          <w:szCs w:val="24"/>
        </w:rPr>
        <w:t xml:space="preserve">Friedrich List: </w:t>
      </w:r>
    </w:p>
    <w:p w:rsidR="00953566" w:rsidRPr="000D09CF" w:rsidRDefault="00953566" w:rsidP="0095356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La economía privada llevada a sus límites, como es el caso de la globalización, capitalismo salvaje</w:t>
      </w:r>
      <w:r>
        <w:rPr>
          <w:rFonts w:ascii="Times New Roman" w:hAnsi="Times New Roman" w:cs="Times New Roman"/>
          <w:sz w:val="24"/>
          <w:szCs w:val="24"/>
        </w:rPr>
        <w:t>,</w:t>
      </w:r>
      <w:r w:rsidRPr="000D09CF">
        <w:rPr>
          <w:rFonts w:ascii="Times New Roman" w:hAnsi="Times New Roman" w:cs="Times New Roman"/>
          <w:sz w:val="24"/>
          <w:szCs w:val="24"/>
        </w:rPr>
        <w:t xml:space="preserve"> o sociedad de mercado -aunque lo de sociedad suena a sarcasmo- produce -entre otros- los siguientes daños económicos colaterales:</w:t>
      </w:r>
    </w:p>
    <w:p w:rsidR="00953566" w:rsidRPr="000D09CF" w:rsidRDefault="00953566" w:rsidP="0095356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aumenta el paro, la precariedad laboral y reduce los salarios</w:t>
      </w:r>
    </w:p>
    <w:p w:rsidR="00953566" w:rsidRPr="000D09CF" w:rsidRDefault="00953566" w:rsidP="0095356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 xml:space="preserve">transforma al trabajador en un temporero, sin protección social; en un paria </w:t>
      </w:r>
      <w:r w:rsidRPr="000D09CF">
        <w:rPr>
          <w:rFonts w:ascii="Times New Roman" w:hAnsi="Times New Roman" w:cs="Times New Roman"/>
          <w:sz w:val="24"/>
          <w:szCs w:val="24"/>
        </w:rPr>
        <w:tab/>
        <w:t>laboral</w:t>
      </w:r>
    </w:p>
    <w:p w:rsidR="00953566" w:rsidRPr="000D09CF" w:rsidRDefault="00953566" w:rsidP="0095356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anula cualquier intento de proteger el medio ambiente</w:t>
      </w:r>
    </w:p>
    <w:p w:rsidR="00953566" w:rsidRPr="000D09CF" w:rsidRDefault="00953566" w:rsidP="0095356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lastRenderedPageBreak/>
        <w:tab/>
        <w:t>limita los resguardos sanitarios sobre productos</w:t>
      </w:r>
    </w:p>
    <w:p w:rsidR="00953566" w:rsidRPr="000D09CF" w:rsidRDefault="00953566" w:rsidP="0095356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aumenta la desigualdad y la insolidaridad social</w:t>
      </w:r>
    </w:p>
    <w:p w:rsidR="00953566" w:rsidRPr="000D09CF" w:rsidRDefault="00953566" w:rsidP="0095356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genera un vasto movimiento de despolitización y privatización</w:t>
      </w:r>
    </w:p>
    <w:p w:rsidR="00953566" w:rsidRPr="000D09CF" w:rsidRDefault="00953566" w:rsidP="0095356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provoca la deflación competitiva</w:t>
      </w:r>
    </w:p>
    <w:p w:rsidR="00953566" w:rsidRPr="000D09CF" w:rsidRDefault="00953566" w:rsidP="0095356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destruye los sistemas de control social de la economía</w:t>
      </w:r>
    </w:p>
    <w:p w:rsidR="00953566" w:rsidRPr="000D09CF" w:rsidRDefault="00953566" w:rsidP="0095356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el corto plazo y la especulación deterioran la industria y el largo plazo</w:t>
      </w:r>
    </w:p>
    <w:p w:rsidR="00953566" w:rsidRPr="000D09CF" w:rsidRDefault="00953566" w:rsidP="0095356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las economías nacionales desaparecen</w:t>
      </w:r>
    </w:p>
    <w:p w:rsidR="00953566" w:rsidRPr="000D09CF" w:rsidRDefault="00953566" w:rsidP="0095356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el miedo y la pobreza ponen en peligro la democracia</w:t>
      </w:r>
    </w:p>
    <w:p w:rsidR="00953566" w:rsidRPr="000D09CF" w:rsidRDefault="00953566" w:rsidP="0095356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 xml:space="preserve">reducción del gasto social, con las -previsibles- consecuencias de: pobreza, </w:t>
      </w:r>
      <w:r w:rsidRPr="000D09CF">
        <w:rPr>
          <w:rFonts w:ascii="Times New Roman" w:hAnsi="Times New Roman" w:cs="Times New Roman"/>
          <w:sz w:val="24"/>
          <w:szCs w:val="24"/>
        </w:rPr>
        <w:tab/>
        <w:t xml:space="preserve">analfabetismo, deterioro de la salud, escasez de vivienda, educación elitista, </w:t>
      </w:r>
      <w:r w:rsidRPr="000D09CF">
        <w:rPr>
          <w:rFonts w:ascii="Times New Roman" w:hAnsi="Times New Roman" w:cs="Times New Roman"/>
          <w:sz w:val="24"/>
          <w:szCs w:val="24"/>
        </w:rPr>
        <w:tab/>
        <w:t xml:space="preserve">criminalidad, marginalidad, madres solteras y precoces, drogadicción, </w:t>
      </w:r>
      <w:r w:rsidRPr="000D09CF">
        <w:rPr>
          <w:rFonts w:ascii="Times New Roman" w:hAnsi="Times New Roman" w:cs="Times New Roman"/>
          <w:sz w:val="24"/>
          <w:szCs w:val="24"/>
        </w:rPr>
        <w:tab/>
        <w:t>alcoholismo...</w:t>
      </w:r>
      <w:r w:rsidRPr="000D09CF">
        <w:rPr>
          <w:rFonts w:ascii="Times New Roman" w:hAnsi="Times New Roman" w:cs="Times New Roman"/>
          <w:sz w:val="24"/>
          <w:szCs w:val="24"/>
        </w:rPr>
        <w:tab/>
      </w:r>
    </w:p>
    <w:p w:rsidR="00953566" w:rsidRPr="000D09CF" w:rsidRDefault="00953566" w:rsidP="0095356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 xml:space="preserve">al internacionalizarse los mercados, comienza una batalla de “todos contra </w:t>
      </w:r>
      <w:r w:rsidRPr="000D09CF">
        <w:rPr>
          <w:rFonts w:ascii="Times New Roman" w:hAnsi="Times New Roman" w:cs="Times New Roman"/>
          <w:sz w:val="24"/>
          <w:szCs w:val="24"/>
        </w:rPr>
        <w:tab/>
        <w:t>todos”, un “comercio sin normas” y una “competencia despiadada y sin final”</w:t>
      </w:r>
    </w:p>
    <w:p w:rsidR="00953566" w:rsidRPr="000D09CF" w:rsidRDefault="00953566" w:rsidP="0095356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09CF">
        <w:rPr>
          <w:rFonts w:ascii="Times New Roman" w:hAnsi="Times New Roman" w:cs="Times New Roman"/>
          <w:sz w:val="24"/>
          <w:szCs w:val="24"/>
        </w:rPr>
        <w:t>A</w:t>
      </w:r>
      <w:r>
        <w:rPr>
          <w:rFonts w:ascii="Times New Roman" w:hAnsi="Times New Roman" w:cs="Times New Roman"/>
          <w:sz w:val="24"/>
          <w:szCs w:val="24"/>
        </w:rPr>
        <w:t xml:space="preserve"> quién debemos tener confianza?</w:t>
      </w:r>
      <w:r w:rsidRPr="000D09CF">
        <w:rPr>
          <w:rFonts w:ascii="Times New Roman" w:hAnsi="Times New Roman" w:cs="Times New Roman"/>
          <w:sz w:val="24"/>
          <w:szCs w:val="24"/>
        </w:rPr>
        <w:t xml:space="preserve"> </w:t>
      </w:r>
      <w:r>
        <w:rPr>
          <w:rFonts w:ascii="Times New Roman" w:hAnsi="Times New Roman" w:cs="Times New Roman"/>
          <w:sz w:val="24"/>
          <w:szCs w:val="24"/>
        </w:rPr>
        <w:t>¿</w:t>
      </w:r>
      <w:r w:rsidRPr="000D09CF">
        <w:rPr>
          <w:rFonts w:ascii="Times New Roman" w:hAnsi="Times New Roman" w:cs="Times New Roman"/>
          <w:sz w:val="24"/>
          <w:szCs w:val="24"/>
        </w:rPr>
        <w:t>A los golden boys (por aq</w:t>
      </w:r>
      <w:r>
        <w:rPr>
          <w:rFonts w:ascii="Times New Roman" w:hAnsi="Times New Roman" w:cs="Times New Roman"/>
          <w:sz w:val="24"/>
          <w:szCs w:val="24"/>
        </w:rPr>
        <w:t>uello de que “algo caerá”)?</w:t>
      </w:r>
      <w:r w:rsidRPr="000D09CF">
        <w:rPr>
          <w:rFonts w:ascii="Times New Roman" w:hAnsi="Times New Roman" w:cs="Times New Roman"/>
          <w:sz w:val="24"/>
          <w:szCs w:val="24"/>
        </w:rPr>
        <w:t xml:space="preserve"> </w:t>
      </w:r>
      <w:r>
        <w:rPr>
          <w:rFonts w:ascii="Times New Roman" w:hAnsi="Times New Roman" w:cs="Times New Roman"/>
          <w:sz w:val="24"/>
          <w:szCs w:val="24"/>
        </w:rPr>
        <w:t>¿</w:t>
      </w:r>
      <w:r w:rsidRPr="000D09CF">
        <w:rPr>
          <w:rFonts w:ascii="Times New Roman" w:hAnsi="Times New Roman" w:cs="Times New Roman"/>
          <w:sz w:val="24"/>
          <w:szCs w:val="24"/>
        </w:rPr>
        <w:t>Al capit</w:t>
      </w:r>
      <w:r>
        <w:rPr>
          <w:rFonts w:ascii="Times New Roman" w:hAnsi="Times New Roman" w:cs="Times New Roman"/>
          <w:sz w:val="24"/>
          <w:szCs w:val="24"/>
        </w:rPr>
        <w:t>alismo que sustituye al estado?</w:t>
      </w:r>
      <w:r w:rsidRPr="000D09CF">
        <w:rPr>
          <w:rFonts w:ascii="Times New Roman" w:hAnsi="Times New Roman" w:cs="Times New Roman"/>
          <w:sz w:val="24"/>
          <w:szCs w:val="24"/>
        </w:rPr>
        <w:t xml:space="preserve"> </w:t>
      </w:r>
      <w:r>
        <w:rPr>
          <w:rFonts w:ascii="Times New Roman" w:hAnsi="Times New Roman" w:cs="Times New Roman"/>
          <w:sz w:val="24"/>
          <w:szCs w:val="24"/>
        </w:rPr>
        <w:t>¿</w:t>
      </w:r>
      <w:r w:rsidRPr="000D09CF">
        <w:rPr>
          <w:rFonts w:ascii="Times New Roman" w:hAnsi="Times New Roman" w:cs="Times New Roman"/>
          <w:sz w:val="24"/>
          <w:szCs w:val="24"/>
        </w:rPr>
        <w:t>A la economía</w:t>
      </w:r>
      <w:r>
        <w:rPr>
          <w:rFonts w:ascii="Times New Roman" w:hAnsi="Times New Roman" w:cs="Times New Roman"/>
          <w:sz w:val="24"/>
          <w:szCs w:val="24"/>
        </w:rPr>
        <w:t xml:space="preserve"> social? ¿O al abismo?</w:t>
      </w:r>
    </w:p>
    <w:p w:rsidR="00953566" w:rsidRPr="000D09CF" w:rsidRDefault="00953566" w:rsidP="00953566">
      <w:pPr>
        <w:spacing w:line="240" w:lineRule="auto"/>
        <w:jc w:val="both"/>
        <w:rPr>
          <w:rFonts w:ascii="Times New Roman" w:hAnsi="Times New Roman" w:cs="Times New Roman"/>
          <w:sz w:val="24"/>
          <w:szCs w:val="24"/>
        </w:rPr>
      </w:pPr>
      <w:r>
        <w:rPr>
          <w:rFonts w:ascii="Times New Roman" w:hAnsi="Times New Roman" w:cs="Times New Roman"/>
          <w:sz w:val="24"/>
          <w:szCs w:val="24"/>
        </w:rPr>
        <w:t>¿Cuá</w:t>
      </w:r>
      <w:r w:rsidRPr="000D09CF">
        <w:rPr>
          <w:rFonts w:ascii="Times New Roman" w:hAnsi="Times New Roman" w:cs="Times New Roman"/>
          <w:sz w:val="24"/>
          <w:szCs w:val="24"/>
        </w:rPr>
        <w:t xml:space="preserve">nto tiempo puede mantenerse el sistema ante el continuo aumento del número de desocupados y ante el estancamiento -o deterioro- del nivel de vida </w:t>
      </w:r>
      <w:r>
        <w:rPr>
          <w:rFonts w:ascii="Times New Roman" w:hAnsi="Times New Roman" w:cs="Times New Roman"/>
          <w:sz w:val="24"/>
          <w:szCs w:val="24"/>
        </w:rPr>
        <w:t>de los que trabajan?</w:t>
      </w:r>
    </w:p>
    <w:p w:rsidR="00953566" w:rsidRDefault="00953566" w:rsidP="0095356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09CF">
        <w:rPr>
          <w:rFonts w:ascii="Times New Roman" w:hAnsi="Times New Roman" w:cs="Times New Roman"/>
          <w:sz w:val="24"/>
          <w:szCs w:val="24"/>
        </w:rPr>
        <w:t>Puede la c</w:t>
      </w:r>
      <w:r>
        <w:rPr>
          <w:rFonts w:ascii="Times New Roman" w:hAnsi="Times New Roman" w:cs="Times New Roman"/>
          <w:sz w:val="24"/>
          <w:szCs w:val="24"/>
        </w:rPr>
        <w:t>ompetencia gobernar el planeta?</w:t>
      </w:r>
    </w:p>
    <w:p w:rsidR="00953566" w:rsidRPr="000D09CF" w:rsidRDefault="00953566" w:rsidP="0095356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Cada nación debe seguir su propio curso para desarrollar sus fuerzas productivas, por tanto, cada economía debe seguir sus propias políticas.</w:t>
      </w:r>
    </w:p>
    <w:p w:rsidR="00953566" w:rsidRPr="000D09CF" w:rsidRDefault="003F4219" w:rsidP="00953566">
      <w:pPr>
        <w:spacing w:line="240" w:lineRule="auto"/>
        <w:jc w:val="both"/>
        <w:rPr>
          <w:rFonts w:ascii="Times New Roman" w:hAnsi="Times New Roman" w:cs="Times New Roman"/>
          <w:sz w:val="24"/>
          <w:szCs w:val="24"/>
        </w:rPr>
      </w:pPr>
      <w:r>
        <w:rPr>
          <w:rFonts w:ascii="Times New Roman" w:hAnsi="Times New Roman" w:cs="Times New Roman"/>
          <w:sz w:val="24"/>
          <w:szCs w:val="24"/>
        </w:rPr>
        <w:t>A la tesis del libre</w:t>
      </w:r>
      <w:r w:rsidR="00953566" w:rsidRPr="000D09CF">
        <w:rPr>
          <w:rFonts w:ascii="Times New Roman" w:hAnsi="Times New Roman" w:cs="Times New Roman"/>
          <w:sz w:val="24"/>
          <w:szCs w:val="24"/>
        </w:rPr>
        <w:t>cambio mercantil -antes y ahora- opongo la tesis de las fuerzas, poderes o capacidades productivas de la nación. El valor de cambio o valor comercial, el comercio, no es suficiente para sustentar el desarrollo de un país (como sostenía</w:t>
      </w:r>
      <w:r w:rsidR="001C13E9">
        <w:rPr>
          <w:rFonts w:ascii="Times New Roman" w:hAnsi="Times New Roman" w:cs="Times New Roman"/>
          <w:sz w:val="24"/>
          <w:szCs w:val="24"/>
        </w:rPr>
        <w:t xml:space="preserve"> Smith</w:t>
      </w:r>
      <w:r w:rsidR="00953566" w:rsidRPr="000D09CF">
        <w:rPr>
          <w:rFonts w:ascii="Times New Roman" w:hAnsi="Times New Roman" w:cs="Times New Roman"/>
          <w:sz w:val="24"/>
          <w:szCs w:val="24"/>
        </w:rPr>
        <w:t>). Los conceptos de capital y trabajo no son suficientes como fuente de la riqueza de las naciones.</w:t>
      </w:r>
    </w:p>
    <w:p w:rsidR="00953566" w:rsidRDefault="00953566" w:rsidP="0095356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La prosperidad nacional es función de la capacidad que se tiene para desarrollar las fuerzas productivas.</w:t>
      </w:r>
    </w:p>
    <w:p w:rsidR="00C74822" w:rsidRPr="000D09CF" w:rsidRDefault="00C74822" w:rsidP="00C74822">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Recordemos -por un momento- lo dicho en 1841:</w:t>
      </w:r>
    </w:p>
    <w:p w:rsidR="00953566" w:rsidRPr="000D09CF" w:rsidRDefault="00953566" w:rsidP="0095356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w:t>
      </w:r>
      <w:r>
        <w:rPr>
          <w:rFonts w:ascii="Times New Roman" w:hAnsi="Times New Roman" w:cs="Times New Roman"/>
          <w:i/>
          <w:sz w:val="24"/>
          <w:szCs w:val="24"/>
        </w:rPr>
        <w:t>¿</w:t>
      </w:r>
      <w:r w:rsidRPr="000D09CF">
        <w:rPr>
          <w:rFonts w:ascii="Times New Roman" w:hAnsi="Times New Roman" w:cs="Times New Roman"/>
          <w:i/>
          <w:sz w:val="24"/>
          <w:szCs w:val="24"/>
        </w:rPr>
        <w:t xml:space="preserve">Si uno tiene un agujero en el bolsillo, y advierte que por el sale del bolsillo todo su dinero; será justo y </w:t>
      </w:r>
      <w:r>
        <w:rPr>
          <w:rFonts w:ascii="Times New Roman" w:hAnsi="Times New Roman" w:cs="Times New Roman"/>
          <w:i/>
          <w:sz w:val="24"/>
          <w:szCs w:val="24"/>
        </w:rPr>
        <w:t>razonable remendar ese agujero?</w:t>
      </w:r>
    </w:p>
    <w:p w:rsidR="00953566" w:rsidRPr="000D09CF" w:rsidRDefault="00953566" w:rsidP="0095356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 xml:space="preserve">La implantación de manufacturas en el país, al aumentar la riqueza, incrementa también la capacidad de la nación para adquirir productos extranjeros; que, en consecuencia, crece el comercio exterior; y que la verdadera política del país consiste en aumentar el precio de aquellas producciones agrícolas que sirven de alimento a los hombres, no es desperdiciarlas de acuerdo con las políticas del comité; así resultara que nuestra renta nacional, en lugar de disminuir por el establecimiento de manufacturas, tiene que incrementarse por razón de su constante auge, y que, por consiguiente, no interesa examinar en particular la cuantía de los </w:t>
      </w:r>
      <w:r w:rsidRPr="000D09CF">
        <w:rPr>
          <w:rFonts w:ascii="Times New Roman" w:hAnsi="Times New Roman" w:cs="Times New Roman"/>
          <w:i/>
          <w:sz w:val="24"/>
          <w:szCs w:val="24"/>
        </w:rPr>
        <w:lastRenderedPageBreak/>
        <w:t>aranceles que gravan las importaciones de aquellos artículos particulares susceptibles de ser sustituidos por productos nacionales.</w:t>
      </w:r>
    </w:p>
    <w:p w:rsidR="00953566" w:rsidRPr="000D09CF" w:rsidRDefault="00953566" w:rsidP="0095356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Cuanto más rápidamente progresa el afán inventivo de la industria y el espíritu de perfeccionamiento, el anhelo de integración social y política, tanto mayor es la distancia que existe entre las naciones estancadas y las progresistas, y es tanto más peligroso quedarse atrás.</w:t>
      </w:r>
    </w:p>
    <w:p w:rsidR="00953566" w:rsidRDefault="00953566" w:rsidP="0095356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 civilización, la formación política y el poderío de las naciones háyanse principalmente condicionadas por su situación económica, y a la inversa. Cuanto más desarrollada y perfecta es una economía, tanto más civilizada y robusta es la nación; cuanto más crece su civilización y poderío, tanto más elevado puede ser el nivel de su cultura económica.</w:t>
      </w:r>
    </w:p>
    <w:p w:rsidR="001C13E9" w:rsidRPr="000D09CF" w:rsidRDefault="001C13E9" w:rsidP="001C13E9">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(Ahora bien), las manufacturas son la base del comercio interior y exterior, de la navegación y de la agricultura perfeccionada, y, en consecuencia, de la civilización y del predominio político; una nación que lograra monopolizar el total de la energía manufacturera del globo terráqueo y oprimir de tal modo a las demás naciones en su desarrollo económico que en ella sola pudieran producirse artículos agrícolas y materias primas, e instaurarse las industrias locales más indispensables, necesariamente lograra el dominio universal.</w:t>
      </w:r>
    </w:p>
    <w:p w:rsidR="001C13E9" w:rsidRPr="000D09CF" w:rsidRDefault="001C13E9" w:rsidP="001C13E9">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Cualquier nación que conceda algún valor a la autonomía y a la supervivencia, debe esforzarse por superar cuanto antes pueda el estado cultural inferior, escalando otro más elevado, asociando tan pronto como le sea posible la agricultura, las manufacturas, la navegación y el comercio, dentro de su propio territorio.</w:t>
      </w:r>
    </w:p>
    <w:p w:rsidR="001C13E9" w:rsidRPr="000D09CF" w:rsidRDefault="001C13E9" w:rsidP="001C13E9">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En el caso de una nación puramente agrícola, aunque trafique libremente con naciones manufactureras y comerciales, una gran parte de las fuerzas productivas y de las fuentes auxiliares de carácter natural tienen que permanecer ociosas y sin utilización. Su desarrollo intelectual y político, sus fuerzas defensivas son limitadas. No pueden poseer una flota importante ni un comercio ampliamente desarrollado. Todo este bienestar que deriva del comercio internacional, puede ser interrumpido, perturbado y destruido por completo, a consecuencia de las normas extranjeras y de las guerras.</w:t>
      </w:r>
    </w:p>
    <w:p w:rsidR="001C13E9" w:rsidRPr="000D09CF" w:rsidRDefault="001C13E9" w:rsidP="001C13E9">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 energía manufacturera, en cambio, fomenta la ciencia, el arte y el perfeccionamiento político, aumenta el bienestar nacional, la población, los ingresos públicos y la potencialidad de la nación; le procura los medios para organizar conexiones mercantiles con todas las partes de la tierra, y para fundar colonias; estimula las pesquerías, así como la flota y la marina de guerra. Solamente ella puede elevar la agricultura nacional hasta un alto grado de desarrollo.</w:t>
      </w:r>
    </w:p>
    <w:p w:rsidR="001C13E9" w:rsidRPr="000D09CF" w:rsidRDefault="001C13E9" w:rsidP="001C13E9">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 energía agrícola y la manufacturera, reunidas en una misma nación, bajo el mismo poder político, viven en eterna paz, no pueden ser perturbadas por las guerras, las leyes extranjeras en materia mercantil, y así garantizan, como consecuencia a la nación, el progreso incesante en su bienestar, civilización y poderío.</w:t>
      </w:r>
    </w:p>
    <w:p w:rsidR="001C13E9" w:rsidRPr="000D09CF" w:rsidRDefault="001C13E9" w:rsidP="001C13E9">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 xml:space="preserve">La energía industrial comprende tantas ramas de la ciencia y del saber, presupone tantas experiencias, prácticas y costumbres, que la formación industrial de la nación solo puede operarse paulatinamente a base de ellas. Toda protección exagerada o prematura se condena a sí misma, puesto que determina la disminución del bienestar propio de la nación. Lo más pernicioso y reprobable es el aislamiento repentino y absoluto de la nación, mediante prohibiciones. Estas son justificadas cuando, separada la nación de otra causa de una prolongada guerra, se halla en un estado de prohibición involuntaria de los productos </w:t>
      </w:r>
      <w:r w:rsidRPr="000D09CF">
        <w:rPr>
          <w:rFonts w:ascii="Times New Roman" w:hAnsi="Times New Roman" w:cs="Times New Roman"/>
          <w:i/>
          <w:sz w:val="24"/>
          <w:szCs w:val="24"/>
        </w:rPr>
        <w:lastRenderedPageBreak/>
        <w:t>manufactureros de otras naciones, y en la absoluta necesidad de abastecerse a sí misma. En este caso, debe llevarse a cabo una paulatina transición del sistema productivo al sistema proteccionista, aplicando aranceles largamente meditados y paulatinamente decrecientes. En cambio, una nación que quiere pasar del estado de no protección al de protección, debe partir de aranceles bajos, aumentándolos poco a poco, según una escala gradual.</w:t>
      </w:r>
    </w:p>
    <w:p w:rsidR="001C13E9" w:rsidRPr="000D09CF" w:rsidRDefault="001C13E9" w:rsidP="001C13E9">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Los aranceles de este modo establecidos tienen que ser observados de modo inquebrantable por los poderes públicos. Nunca deberán ser rebajados prematuramente; acaso se procederá a elevarlos cuando resulten insuficientes.</w:t>
      </w:r>
    </w:p>
    <w:p w:rsidR="001C13E9" w:rsidRPr="000D09CF" w:rsidRDefault="001C13E9" w:rsidP="001C13E9">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Cuando los aranceles a la importación, con los cuales trata de eliminarse la competencia extranjera, son demasiado altos, perjudican a la nación que los establece, ya que desaparece el afán de competencia de los industriales nacionales del exterior, y se fomenta la indolencia.</w:t>
      </w:r>
    </w:p>
    <w:p w:rsidR="001C13E9" w:rsidRPr="000D09CF" w:rsidRDefault="001C13E9" w:rsidP="001C13E9">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Cuando las industrias nacionales no prosperan, aun existiendo aranceles razonables y paulatinamente crecientes, ello no es prueba de que la nación no posee todavía los recursos necesarios para afinar sus propias energías industriales.</w:t>
      </w:r>
    </w:p>
    <w:p w:rsidR="001C13E9" w:rsidRPr="000D09CF" w:rsidRDefault="001C13E9" w:rsidP="001C13E9">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Una vez establecido para determinado ramo industrial un arancel protector, nunca debe reducirse de tal forma que esta industria quede en peligro de muerte a causa de la competencia extranjera. La norma inquebrantable debe ser la conservación de lo existente, la protección de las raíces y del tronco de la industria nacional.</w:t>
      </w:r>
    </w:p>
    <w:p w:rsidR="001C13E9" w:rsidRPr="000D09CF" w:rsidRDefault="001C13E9" w:rsidP="001C13E9">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Por consiguiente, la competencia extranjera solo puede ser admitida a participar en el incremento anual del consumo. Los aranceles habrán de elevarse en cuanto la competencia extranjera obtenga la mayor parte o la totalidad de ese incremento anual.</w:t>
      </w:r>
    </w:p>
    <w:p w:rsidR="001C13E9" w:rsidRPr="000D09CF" w:rsidRDefault="001C13E9" w:rsidP="001C13E9">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Las manufacturas y las fabricas son la madre y los hijos de la libertad civil, de las luces, de las artes y las ciencias, del comercio interior y exterior, de la navegación y de los perfeccionamientos del transporte, de la civilización y del poder político; son un medio eminente de liberar de sus cadenas a la agricultura, elevándola a la categoría de industria, de arte y de ciencia; de aumentar las rentas de la tierra, los rendimientos de la agricultura y los salarios del trabajo, y de dar valor a la tierra. La escuela ha asignado esta fuerza civilizadora al comercio exterior, confundiendo con ello al intermediario con el creador.</w:t>
      </w:r>
    </w:p>
    <w:p w:rsidR="000E47DF" w:rsidRDefault="000E47DF" w:rsidP="000E47DF">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 xml:space="preserve">La nación debe sacrificar a los bienes materiales y renunciar a ellos para adquirir energías espirituales y sociales; debe sacrificar ventajas actuales para asegurarse las futuras. Si una energía manufacturera desarrollada en todos los sectores es condición de un elevado auge de la civilización, de la prosperidad material y del poderío político de la nación, como creemos haber demostrado históricamente; si es cierto, como igualmente demostraremos que en las actuales circunstancias del mundo una energía manufacturera no protegida es incapaz de progresar, en régimen de libre concurrencia con otra robustecida desde hace tiempo y protegida en su propio territorio; </w:t>
      </w:r>
      <w:r>
        <w:rPr>
          <w:rFonts w:ascii="Times New Roman" w:hAnsi="Times New Roman" w:cs="Times New Roman"/>
          <w:i/>
          <w:sz w:val="24"/>
          <w:szCs w:val="24"/>
        </w:rPr>
        <w:t>¿</w:t>
      </w:r>
      <w:r w:rsidRPr="000D09CF">
        <w:rPr>
          <w:rFonts w:ascii="Times New Roman" w:hAnsi="Times New Roman" w:cs="Times New Roman"/>
          <w:i/>
          <w:sz w:val="24"/>
          <w:szCs w:val="24"/>
        </w:rPr>
        <w:t>cómo es posible demostrar con argumentos tomados solo de la teoría de los valores, que lo mismo una nación que un comerciante individual deben comprar sus mercaderías allí donde las encuentran más baratas; que se considere necio fabricar algo que se puede obtener más barato en el extranjero; que se debe confiar la industria de la nación al cuidado de los individuos; que los aranceles protectores son monopolios otorgados a los industriales, a expensas de la nación</w:t>
      </w:r>
      <w:r>
        <w:rPr>
          <w:rFonts w:ascii="Times New Roman" w:hAnsi="Times New Roman" w:cs="Times New Roman"/>
          <w:i/>
          <w:sz w:val="24"/>
          <w:szCs w:val="24"/>
        </w:rPr>
        <w:t>?</w:t>
      </w:r>
    </w:p>
    <w:p w:rsidR="000E47DF" w:rsidRPr="000D09CF" w:rsidRDefault="000E47DF" w:rsidP="000E47DF">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 xml:space="preserve">Es cierto  que, inicialmente, los aranceles encarecen los artículos manufacturados; pero igualmente cierto es, y hasta ha sido reconocido por la escuela, que con el transcurso del </w:t>
      </w:r>
      <w:r w:rsidRPr="000D09CF">
        <w:rPr>
          <w:rFonts w:ascii="Times New Roman" w:hAnsi="Times New Roman" w:cs="Times New Roman"/>
          <w:i/>
          <w:sz w:val="24"/>
          <w:szCs w:val="24"/>
        </w:rPr>
        <w:lastRenderedPageBreak/>
        <w:t xml:space="preserve">tiempo, una nación capacitada para instruir una perfecta energía manufacturera puede fabricar, en la propia nación, más baratos los </w:t>
      </w:r>
      <w:r w:rsidR="003F4219">
        <w:rPr>
          <w:rFonts w:ascii="Times New Roman" w:hAnsi="Times New Roman" w:cs="Times New Roman"/>
          <w:i/>
          <w:sz w:val="24"/>
          <w:szCs w:val="24"/>
        </w:rPr>
        <w:t>productos que importa de fuera.</w:t>
      </w:r>
    </w:p>
    <w:p w:rsidR="000E47DF" w:rsidRDefault="000E47DF" w:rsidP="000E47DF">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 xml:space="preserve">Así, pues, si con aranceles protectores se exige un sacrificio de valores, </w:t>
      </w:r>
      <w:r>
        <w:rPr>
          <w:rFonts w:ascii="Times New Roman" w:hAnsi="Times New Roman" w:cs="Times New Roman"/>
          <w:i/>
          <w:sz w:val="24"/>
          <w:szCs w:val="24"/>
        </w:rPr>
        <w:t>esta pé</w:t>
      </w:r>
      <w:r w:rsidRPr="000D09CF">
        <w:rPr>
          <w:rFonts w:ascii="Times New Roman" w:hAnsi="Times New Roman" w:cs="Times New Roman"/>
          <w:i/>
          <w:sz w:val="24"/>
          <w:szCs w:val="24"/>
        </w:rPr>
        <w:t>rdida que</w:t>
      </w:r>
      <w:r>
        <w:rPr>
          <w:rFonts w:ascii="Times New Roman" w:hAnsi="Times New Roman" w:cs="Times New Roman"/>
          <w:i/>
          <w:sz w:val="24"/>
          <w:szCs w:val="24"/>
        </w:rPr>
        <w:t>da compensada por la adquisición</w:t>
      </w:r>
      <w:r w:rsidRPr="000D09CF">
        <w:rPr>
          <w:rFonts w:ascii="Times New Roman" w:hAnsi="Times New Roman" w:cs="Times New Roman"/>
          <w:i/>
          <w:sz w:val="24"/>
          <w:szCs w:val="24"/>
        </w:rPr>
        <w:t xml:space="preserve"> de una energía productiva mediante la cual se asegura a la nación para el porvenir no solo una suma infinitamente mayor de bienes materiales, sino también la independencia industrial para el caso de guerra. Mediante la independencia industrial y la prosperidad interior que de ello resulta, extrae la nación los medios para el comercio exterior, para ensanchar su flota; incrementa su civilización, perfecciona en el interior sus instituciones y robustece su potencialidad hacia el exterior</w:t>
      </w:r>
      <w:r>
        <w:rPr>
          <w:rFonts w:ascii="Times New Roman" w:hAnsi="Times New Roman" w:cs="Times New Roman"/>
          <w:i/>
          <w:sz w:val="24"/>
          <w:szCs w:val="24"/>
        </w:rPr>
        <w:t>..</w:t>
      </w:r>
      <w:r w:rsidRPr="000D09CF">
        <w:rPr>
          <w:rFonts w:ascii="Times New Roman" w:hAnsi="Times New Roman" w:cs="Times New Roman"/>
          <w:i/>
          <w:sz w:val="24"/>
          <w:szCs w:val="24"/>
        </w:rPr>
        <w:t>.</w:t>
      </w:r>
    </w:p>
    <w:p w:rsidR="00A97FDC" w:rsidRPr="000D09CF" w:rsidRDefault="00A97FDC" w:rsidP="00A97FD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 energía manufacturera y las fuerzas productivas de la nación)</w:t>
      </w:r>
    </w:p>
    <w:p w:rsidR="00A97FDC" w:rsidRPr="000D09CF" w:rsidRDefault="00A97FDC" w:rsidP="00A97FD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Laboriosidad, economía, orden y previsión, nacen, en primer término, como obra de la necesidad; después, el hábito y la educación los imponen como una nueva naturaleza. Paralelamente a ese despegue  de energías y a ese ahorro, surge la moralidad y la inmoralidad, en cambio, es consecuencia de la holganza y la dilapidación, siendo a su vez, ambos factores, fuentes copiosas de energía y de debilidad respectivamente.</w:t>
      </w:r>
    </w:p>
    <w:p w:rsidR="00A97FDC" w:rsidRPr="000D09CF" w:rsidRDefault="00A97FDC" w:rsidP="00A97FD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 historia y la estadística prueban la exactitud de la norma expresada por los ministros de Jorge 1: que las naciones son tanto más ricas y poderosas cuanto más cantidad de artículos industriales exportan, y cuanto mayor es su importación de artículos de subsistencia. Puede comprobarse, incluso, que naciones enteras han sucumbido simplemente porque exportaban artículos alimenticios y primeras materias e importaban tan solo artículos industriales.</w:t>
      </w:r>
    </w:p>
    <w:p w:rsidR="00A97FDC" w:rsidRPr="00A97FDC" w:rsidRDefault="00A97FDC" w:rsidP="00A97FDC">
      <w:pPr>
        <w:spacing w:line="240" w:lineRule="auto"/>
        <w:jc w:val="both"/>
        <w:rPr>
          <w:rFonts w:ascii="Times New Roman" w:hAnsi="Times New Roman" w:cs="Times New Roman"/>
          <w:sz w:val="24"/>
          <w:szCs w:val="24"/>
        </w:rPr>
      </w:pPr>
      <w:r w:rsidRPr="00A97FDC">
        <w:rPr>
          <w:rFonts w:ascii="Times New Roman" w:hAnsi="Times New Roman" w:cs="Times New Roman"/>
          <w:sz w:val="24"/>
          <w:szCs w:val="24"/>
        </w:rPr>
        <w:t>(La energía manufacturera y las energías instrumentales - capital materia</w:t>
      </w:r>
      <w:r>
        <w:rPr>
          <w:rFonts w:ascii="Times New Roman" w:hAnsi="Times New Roman" w:cs="Times New Roman"/>
          <w:sz w:val="24"/>
          <w:szCs w:val="24"/>
        </w:rPr>
        <w:t>l</w:t>
      </w:r>
      <w:r w:rsidRPr="00A97FDC">
        <w:rPr>
          <w:rFonts w:ascii="Times New Roman" w:hAnsi="Times New Roman" w:cs="Times New Roman"/>
          <w:sz w:val="24"/>
          <w:szCs w:val="24"/>
        </w:rPr>
        <w:t xml:space="preserve"> de la nación)</w:t>
      </w:r>
    </w:p>
    <w:p w:rsidR="00A97FDC" w:rsidRPr="000D09CF" w:rsidRDefault="00A97FDC" w:rsidP="00A97FD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 nación deriva su capacidad productiva de las energías físicas y espirituales de los individuos, o de las reservas naturales que se hallan a su alcance, o de los instrumentos que en su posesión se encuentran; esto es, de los productos materiales de esfuerzos anteriores, de orden espiritual y corporal (capital material agrícola, manufacturero y comercial).</w:t>
      </w:r>
    </w:p>
    <w:p w:rsidR="00A97FDC" w:rsidRPr="000D09CF" w:rsidRDefault="00A97FDC" w:rsidP="00A97FD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 xml:space="preserve">Lo que nosotros conocemos bajo la expresión de energías instrumentales, es lo que la escuela denomina capital. </w:t>
      </w:r>
    </w:p>
    <w:p w:rsidR="00A97FDC" w:rsidRPr="000D09CF" w:rsidRDefault="00A97FDC" w:rsidP="00A97FD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Basándose en la expresión capital, en sentido amplio, Adam Smith expone el siguiente argumento, hasta la fecha defendido por sus continuadores, contra la política mercantil proteccionista: “Por medio de semejantes medidas (protectoras) un país puede hacer surgir una modalidad especial de manufacturas antes que sin ellas, y este género de manufacturas podrá acaso enviar al extranjero, después de algún tiempo, productos tan baratos o acaso más. Aunque de este modo la industria nacional se encauza tempranamente hacia aquellos canales  por los cuales hubiera fluido con posterioridad y de modo espontaneo, no se deduce de ello, en modo alguno, que la suma total de la industria o de los ingresos sociales pueda incrementarse a base de tales medidas. La industria de la sociedad solo puede aumentar en cuanto su capital aumenta y el capital de la sociedad solo puede incrementarse proporcionalmente al ahorro que poco a poco se hace en los siglos. Ahora bien, el efecto inmediato de dichas medidas consiste en disminuir los ingresos sociales; en consecuencia, lo que disminuye con toda seguridad estos ingresos no puede incrementar más rápidamente el capital de lo que por sí mismo hubiera aumentado si se hubiera dejado libre curso al mismo y a la industria”</w:t>
      </w:r>
      <w:r w:rsidR="003F4219">
        <w:rPr>
          <w:rFonts w:ascii="Times New Roman" w:hAnsi="Times New Roman" w:cs="Times New Roman"/>
          <w:i/>
          <w:sz w:val="24"/>
          <w:szCs w:val="24"/>
        </w:rPr>
        <w:t>.</w:t>
      </w:r>
    </w:p>
    <w:p w:rsidR="00A97FDC" w:rsidRPr="000D09CF" w:rsidRDefault="00A97FDC" w:rsidP="00A97FD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 xml:space="preserve">Adam Smith tomo el concepto de capital en aquella acepción en que suele ser tomada por los rentistas o comerciantes en su contabilidad y en sus balances; esto es, como suma total de </w:t>
      </w:r>
      <w:r w:rsidRPr="000D09CF">
        <w:rPr>
          <w:rFonts w:ascii="Times New Roman" w:hAnsi="Times New Roman" w:cs="Times New Roman"/>
          <w:i/>
          <w:sz w:val="24"/>
          <w:szCs w:val="24"/>
        </w:rPr>
        <w:lastRenderedPageBreak/>
        <w:t>los valores en cambio, en oposición a los ingresos que de ello resultan. Ha olvidado que al definir el capital comprende bajo ese término las aptitudes corporales y espirituales de los productores.</w:t>
      </w:r>
    </w:p>
    <w:p w:rsidR="00A97FDC" w:rsidRPr="000D09CF" w:rsidRDefault="00A97FDC" w:rsidP="00A97FD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Ha olvidado que la aptitud de la nación entera para incrementar la suma de sus capitales materiales, consiste principalmente en la capacidad de transformar las energías naturales no utilizadas en capital material, en instrumentos valiosos y susceptibles de producir ingresos, y que en la nación agrícola hay una masa de energías naturales que permanecen ociosas e inertes, que solo pueden ser reanimadas por las manufacturas. No ha tenido en cuenta la influencia de las manufacturas sobre el comercio interior y exterior, sobre la civilización y el poderío nacionales y sobre la defensa de su autonomía e independencia, así como la aptitud para adquirir bienes materiales, que de ello deriva.</w:t>
      </w:r>
    </w:p>
    <w:p w:rsidR="00A97FDC" w:rsidRDefault="00A97FDC" w:rsidP="00A97FDC">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 formación de los capitales de la nación se lleva a cabo por caminos completamente distintos de los del simple ahorro del rentista; concretamente, por los de las energías productivas, mediante la acción recíproca entre el capital espiritual y material de la nación, y entre el capital agrícola, manufacturero y comercial. La producción hace posible el consumo, y el deseo de consumir estimula la producción. Ahora bien, en aquella nación donde, en un mismo territorio, se asocian las industrias y la agricultura, existe el estímulo reciproco de modo continuado, y, como consecuencia, un constante aumento de la producción y un incremento de los capitales por ambos lados</w:t>
      </w:r>
      <w:r>
        <w:rPr>
          <w:rFonts w:ascii="Times New Roman" w:hAnsi="Times New Roman" w:cs="Times New Roman"/>
          <w:i/>
          <w:sz w:val="24"/>
          <w:szCs w:val="24"/>
        </w:rPr>
        <w:t>”..</w:t>
      </w:r>
      <w:r w:rsidRPr="000D09CF">
        <w:rPr>
          <w:rFonts w:ascii="Times New Roman" w:hAnsi="Times New Roman" w:cs="Times New Roman"/>
          <w:i/>
          <w:sz w:val="24"/>
          <w:szCs w:val="24"/>
        </w:rPr>
        <w:t>.</w:t>
      </w:r>
    </w:p>
    <w:p w:rsidR="00A97FDC" w:rsidRPr="000D09CF" w:rsidRDefault="00A97FDC" w:rsidP="00A97FD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Vuelvo (imaginariamente) a </w:t>
      </w:r>
      <w:r w:rsidRPr="000D09CF">
        <w:rPr>
          <w:rFonts w:ascii="Times New Roman" w:hAnsi="Times New Roman" w:cs="Times New Roman"/>
          <w:sz w:val="24"/>
          <w:szCs w:val="24"/>
        </w:rPr>
        <w:t xml:space="preserve">Friedrich List: </w:t>
      </w:r>
    </w:p>
    <w:p w:rsidR="00A97FDC" w:rsidRPr="000D09CF" w:rsidRDefault="00A97FDC" w:rsidP="00A97FDC">
      <w:pPr>
        <w:spacing w:line="240" w:lineRule="auto"/>
        <w:jc w:val="both"/>
        <w:rPr>
          <w:rFonts w:ascii="Times New Roman" w:hAnsi="Times New Roman" w:cs="Times New Roman"/>
          <w:sz w:val="24"/>
          <w:szCs w:val="24"/>
        </w:rPr>
      </w:pPr>
      <w:r>
        <w:rPr>
          <w:rFonts w:ascii="Times New Roman" w:hAnsi="Times New Roman" w:cs="Times New Roman"/>
          <w:sz w:val="24"/>
          <w:szCs w:val="24"/>
        </w:rPr>
        <w:t>Si utilizá</w:t>
      </w:r>
      <w:r w:rsidRPr="000D09CF">
        <w:rPr>
          <w:rFonts w:ascii="Times New Roman" w:hAnsi="Times New Roman" w:cs="Times New Roman"/>
          <w:sz w:val="24"/>
          <w:szCs w:val="24"/>
        </w:rPr>
        <w:t>ramos un “espejo económico</w:t>
      </w:r>
      <w:r>
        <w:rPr>
          <w:rFonts w:ascii="Times New Roman" w:hAnsi="Times New Roman" w:cs="Times New Roman"/>
          <w:sz w:val="24"/>
          <w:szCs w:val="24"/>
        </w:rPr>
        <w:t>” verí</w:t>
      </w:r>
      <w:r w:rsidRPr="000D09CF">
        <w:rPr>
          <w:rFonts w:ascii="Times New Roman" w:hAnsi="Times New Roman" w:cs="Times New Roman"/>
          <w:sz w:val="24"/>
          <w:szCs w:val="24"/>
        </w:rPr>
        <w:t>amos que, de los países con mayor desarrollo</w:t>
      </w:r>
      <w:r>
        <w:rPr>
          <w:rFonts w:ascii="Times New Roman" w:hAnsi="Times New Roman" w:cs="Times New Roman"/>
          <w:sz w:val="24"/>
          <w:szCs w:val="24"/>
        </w:rPr>
        <w:t>,</w:t>
      </w:r>
      <w:r w:rsidRPr="000D09CF">
        <w:rPr>
          <w:rFonts w:ascii="Times New Roman" w:hAnsi="Times New Roman" w:cs="Times New Roman"/>
          <w:sz w:val="24"/>
          <w:szCs w:val="24"/>
        </w:rPr>
        <w:t xml:space="preserve"> corresponde a Eu</w:t>
      </w:r>
      <w:r>
        <w:rPr>
          <w:rFonts w:ascii="Times New Roman" w:hAnsi="Times New Roman" w:cs="Times New Roman"/>
          <w:sz w:val="24"/>
          <w:szCs w:val="24"/>
        </w:rPr>
        <w:t>ropa</w:t>
      </w:r>
      <w:r w:rsidRPr="000D09CF">
        <w:rPr>
          <w:rFonts w:ascii="Times New Roman" w:hAnsi="Times New Roman" w:cs="Times New Roman"/>
          <w:sz w:val="24"/>
          <w:szCs w:val="24"/>
        </w:rPr>
        <w:t xml:space="preserve"> la menor fuerza o poder productivo. </w:t>
      </w:r>
    </w:p>
    <w:p w:rsidR="00A97FDC" w:rsidRPr="000D09CF" w:rsidRDefault="00A97FDC" w:rsidP="00A97FDC">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Una economía que crece poco, y aunque lo haga, no crea empleo. Una industria -ni hablar de la agricultura y los servicios- poco competitiva. Paro. Amplios sectores subsidiados. Una participación del gasto público en el orden del cincuenta por cient</w:t>
      </w:r>
      <w:r>
        <w:rPr>
          <w:rFonts w:ascii="Times New Roman" w:hAnsi="Times New Roman" w:cs="Times New Roman"/>
          <w:sz w:val="24"/>
          <w:szCs w:val="24"/>
        </w:rPr>
        <w:t>o del producto bruto. Una presió</w:t>
      </w:r>
      <w:r w:rsidRPr="000D09CF">
        <w:rPr>
          <w:rFonts w:ascii="Times New Roman" w:hAnsi="Times New Roman" w:cs="Times New Roman"/>
          <w:sz w:val="24"/>
          <w:szCs w:val="24"/>
        </w:rPr>
        <w:t>n fiscal equivalente. Casi un veinticinco por ciento del producto bruto se gasta en seguridad social. “Sin consuelo ni enseñanza”, me pregunto y les pre</w:t>
      </w:r>
      <w:r>
        <w:rPr>
          <w:rFonts w:ascii="Times New Roman" w:hAnsi="Times New Roman" w:cs="Times New Roman"/>
          <w:sz w:val="24"/>
          <w:szCs w:val="24"/>
        </w:rPr>
        <w:t>gunto: ¿en que nos equivocamos?</w:t>
      </w:r>
    </w:p>
    <w:p w:rsidR="00A97FDC" w:rsidRPr="000D09CF" w:rsidRDefault="00A97FDC" w:rsidP="00A97FDC">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xml:space="preserve">La cultura europea está sometida a un proceso de supresión y aniquilamiento por la americanización. Frente a la incertidumbre, hay una tendencia al </w:t>
      </w:r>
      <w:r w:rsidR="00DA78DC" w:rsidRPr="000D09CF">
        <w:rPr>
          <w:rFonts w:ascii="Times New Roman" w:hAnsi="Times New Roman" w:cs="Times New Roman"/>
          <w:sz w:val="24"/>
          <w:szCs w:val="24"/>
        </w:rPr>
        <w:t>repliegue</w:t>
      </w:r>
      <w:r w:rsidRPr="000D09CF">
        <w:rPr>
          <w:rFonts w:ascii="Times New Roman" w:hAnsi="Times New Roman" w:cs="Times New Roman"/>
          <w:sz w:val="24"/>
          <w:szCs w:val="24"/>
        </w:rPr>
        <w:t>, especialmente en las empresas. La larga tradición de perfeccionamiento (calidad) está siendo sustituida por la cantidad. El largo plazo por el corto plazo. La producción</w:t>
      </w:r>
      <w:r>
        <w:rPr>
          <w:rFonts w:ascii="Times New Roman" w:hAnsi="Times New Roman" w:cs="Times New Roman"/>
          <w:sz w:val="24"/>
          <w:szCs w:val="24"/>
        </w:rPr>
        <w:t xml:space="preserve">  por la financierizació</w:t>
      </w:r>
      <w:r w:rsidRPr="000D09CF">
        <w:rPr>
          <w:rFonts w:ascii="Times New Roman" w:hAnsi="Times New Roman" w:cs="Times New Roman"/>
          <w:sz w:val="24"/>
          <w:szCs w:val="24"/>
        </w:rPr>
        <w:t>n.</w:t>
      </w:r>
    </w:p>
    <w:p w:rsidR="00A97FDC" w:rsidRDefault="00A97FDC" w:rsidP="00A97FDC">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Europa no pudo -aun- explotar las enormes oportunidades de la unificación económica y ha</w:t>
      </w:r>
      <w:r>
        <w:rPr>
          <w:rFonts w:ascii="Times New Roman" w:hAnsi="Times New Roman" w:cs="Times New Roman"/>
          <w:sz w:val="24"/>
          <w:szCs w:val="24"/>
        </w:rPr>
        <w:t xml:space="preserve"> quedado rezagada en los índices</w:t>
      </w:r>
      <w:r w:rsidRPr="000D09CF">
        <w:rPr>
          <w:rFonts w:ascii="Times New Roman" w:hAnsi="Times New Roman" w:cs="Times New Roman"/>
          <w:sz w:val="24"/>
          <w:szCs w:val="24"/>
        </w:rPr>
        <w:t xml:space="preserve"> de eficiencia manufacturera en todas las áreas de alta tecnología y en el nivel de empleo.</w:t>
      </w:r>
    </w:p>
    <w:p w:rsidR="00A97FDC" w:rsidRPr="000D09CF" w:rsidRDefault="00A97FDC" w:rsidP="00A97FD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09CF">
        <w:rPr>
          <w:rFonts w:ascii="Times New Roman" w:hAnsi="Times New Roman" w:cs="Times New Roman"/>
          <w:sz w:val="24"/>
          <w:szCs w:val="24"/>
        </w:rPr>
        <w:t>E</w:t>
      </w:r>
      <w:r>
        <w:rPr>
          <w:rFonts w:ascii="Times New Roman" w:hAnsi="Times New Roman" w:cs="Times New Roman"/>
          <w:sz w:val="24"/>
          <w:szCs w:val="24"/>
        </w:rPr>
        <w:t>s conveniente el tráfico libre?</w:t>
      </w:r>
      <w:r w:rsidRPr="000D09CF">
        <w:rPr>
          <w:rFonts w:ascii="Times New Roman" w:hAnsi="Times New Roman" w:cs="Times New Roman"/>
          <w:sz w:val="24"/>
          <w:szCs w:val="24"/>
        </w:rPr>
        <w:t xml:space="preserve"> </w:t>
      </w:r>
      <w:r>
        <w:rPr>
          <w:rFonts w:ascii="Times New Roman" w:hAnsi="Times New Roman" w:cs="Times New Roman"/>
          <w:sz w:val="24"/>
          <w:szCs w:val="24"/>
        </w:rPr>
        <w:t>¿</w:t>
      </w:r>
      <w:r w:rsidRPr="000D09CF">
        <w:rPr>
          <w:rFonts w:ascii="Times New Roman" w:hAnsi="Times New Roman" w:cs="Times New Roman"/>
          <w:sz w:val="24"/>
          <w:szCs w:val="24"/>
        </w:rPr>
        <w:t>Si fuera conveniente, puede ser oportuno para ciertos países</w:t>
      </w:r>
      <w:r>
        <w:rPr>
          <w:rFonts w:ascii="Times New Roman" w:hAnsi="Times New Roman" w:cs="Times New Roman"/>
          <w:sz w:val="24"/>
          <w:szCs w:val="24"/>
        </w:rPr>
        <w:t>?</w:t>
      </w:r>
      <w:r w:rsidRPr="000D09CF">
        <w:rPr>
          <w:rFonts w:ascii="Times New Roman" w:hAnsi="Times New Roman" w:cs="Times New Roman"/>
          <w:sz w:val="24"/>
          <w:szCs w:val="24"/>
        </w:rPr>
        <w:t xml:space="preserve"> </w:t>
      </w:r>
      <w:r>
        <w:rPr>
          <w:rFonts w:ascii="Times New Roman" w:hAnsi="Times New Roman" w:cs="Times New Roman"/>
          <w:sz w:val="24"/>
          <w:szCs w:val="24"/>
        </w:rPr>
        <w:t>¿</w:t>
      </w:r>
      <w:r w:rsidRPr="000D09CF">
        <w:rPr>
          <w:rFonts w:ascii="Times New Roman" w:hAnsi="Times New Roman" w:cs="Times New Roman"/>
          <w:sz w:val="24"/>
          <w:szCs w:val="24"/>
        </w:rPr>
        <w:t>Puede hablarse, ante el heterogéneo grado de desarrollo económico de muchos países, de unión</w:t>
      </w:r>
      <w:r>
        <w:rPr>
          <w:rFonts w:ascii="Times New Roman" w:hAnsi="Times New Roman" w:cs="Times New Roman"/>
          <w:sz w:val="24"/>
          <w:szCs w:val="24"/>
        </w:rPr>
        <w:t xml:space="preserve"> mercantil?</w:t>
      </w:r>
      <w:r w:rsidRPr="000D09CF">
        <w:rPr>
          <w:rFonts w:ascii="Times New Roman" w:hAnsi="Times New Roman" w:cs="Times New Roman"/>
          <w:sz w:val="24"/>
          <w:szCs w:val="24"/>
        </w:rPr>
        <w:t xml:space="preserve"> </w:t>
      </w:r>
      <w:r>
        <w:rPr>
          <w:rFonts w:ascii="Times New Roman" w:hAnsi="Times New Roman" w:cs="Times New Roman"/>
          <w:sz w:val="24"/>
          <w:szCs w:val="24"/>
        </w:rPr>
        <w:t>¿</w:t>
      </w:r>
      <w:r w:rsidRPr="000D09CF">
        <w:rPr>
          <w:rFonts w:ascii="Times New Roman" w:hAnsi="Times New Roman" w:cs="Times New Roman"/>
          <w:sz w:val="24"/>
          <w:szCs w:val="24"/>
        </w:rPr>
        <w:t xml:space="preserve">No se parecerá </w:t>
      </w:r>
      <w:r w:rsidR="00DA78DC" w:rsidRPr="000D09CF">
        <w:rPr>
          <w:rFonts w:ascii="Times New Roman" w:hAnsi="Times New Roman" w:cs="Times New Roman"/>
          <w:sz w:val="24"/>
          <w:szCs w:val="24"/>
        </w:rPr>
        <w:t>más</w:t>
      </w:r>
      <w:r w:rsidRPr="000D09CF">
        <w:rPr>
          <w:rFonts w:ascii="Times New Roman" w:hAnsi="Times New Roman" w:cs="Times New Roman"/>
          <w:sz w:val="24"/>
          <w:szCs w:val="24"/>
        </w:rPr>
        <w:t xml:space="preserve"> a una manta confeccionada con “retazos económicos</w:t>
      </w:r>
      <w:r>
        <w:rPr>
          <w:rFonts w:ascii="Times New Roman" w:hAnsi="Times New Roman" w:cs="Times New Roman"/>
          <w:sz w:val="24"/>
          <w:szCs w:val="24"/>
        </w:rPr>
        <w:t>”?</w:t>
      </w:r>
      <w:r w:rsidRPr="000D09CF">
        <w:rPr>
          <w:rFonts w:ascii="Times New Roman" w:hAnsi="Times New Roman" w:cs="Times New Roman"/>
          <w:sz w:val="24"/>
          <w:szCs w:val="24"/>
        </w:rPr>
        <w:t xml:space="preserve"> </w:t>
      </w:r>
      <w:r>
        <w:rPr>
          <w:rFonts w:ascii="Times New Roman" w:hAnsi="Times New Roman" w:cs="Times New Roman"/>
          <w:sz w:val="24"/>
          <w:szCs w:val="24"/>
        </w:rPr>
        <w:t>¿</w:t>
      </w:r>
      <w:r w:rsidRPr="000D09CF">
        <w:rPr>
          <w:rFonts w:ascii="Times New Roman" w:hAnsi="Times New Roman" w:cs="Times New Roman"/>
          <w:sz w:val="24"/>
          <w:szCs w:val="24"/>
        </w:rPr>
        <w:t>La indivisible republica de comerciantes, no será un “timo” de los tenderos (sic. Smith), para especu</w:t>
      </w:r>
      <w:r>
        <w:rPr>
          <w:rFonts w:ascii="Times New Roman" w:hAnsi="Times New Roman" w:cs="Times New Roman"/>
          <w:sz w:val="24"/>
          <w:szCs w:val="24"/>
        </w:rPr>
        <w:t>lar y “pescar” en rio revuelto?</w:t>
      </w:r>
    </w:p>
    <w:p w:rsidR="00A97FDC" w:rsidRPr="000D09CF" w:rsidRDefault="00A97FDC" w:rsidP="00A97FD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09CF">
        <w:rPr>
          <w:rFonts w:ascii="Times New Roman" w:hAnsi="Times New Roman" w:cs="Times New Roman"/>
          <w:sz w:val="24"/>
          <w:szCs w:val="24"/>
        </w:rPr>
        <w:t>Un mercado libre debe sign</w:t>
      </w:r>
      <w:r>
        <w:rPr>
          <w:rFonts w:ascii="Times New Roman" w:hAnsi="Times New Roman" w:cs="Times New Roman"/>
          <w:sz w:val="24"/>
          <w:szCs w:val="24"/>
        </w:rPr>
        <w:t>ificar, un comercio sin normas?</w:t>
      </w:r>
      <w:r w:rsidRPr="000D09CF">
        <w:rPr>
          <w:rFonts w:ascii="Times New Roman" w:hAnsi="Times New Roman" w:cs="Times New Roman"/>
          <w:sz w:val="24"/>
          <w:szCs w:val="24"/>
        </w:rPr>
        <w:t xml:space="preserve"> </w:t>
      </w:r>
      <w:r w:rsidR="0083233C">
        <w:rPr>
          <w:rFonts w:ascii="Times New Roman" w:hAnsi="Times New Roman" w:cs="Times New Roman"/>
          <w:sz w:val="24"/>
          <w:szCs w:val="24"/>
        </w:rPr>
        <w:t>¿</w:t>
      </w:r>
      <w:r w:rsidRPr="000D09CF">
        <w:rPr>
          <w:rFonts w:ascii="Times New Roman" w:hAnsi="Times New Roman" w:cs="Times New Roman"/>
          <w:sz w:val="24"/>
          <w:szCs w:val="24"/>
        </w:rPr>
        <w:t>La mundialización nos lleva a la privatización y despolitización, a la deflación competitiva, o al capitalismo salvaje, con la consiguiente -eventual- declinación de</w:t>
      </w:r>
      <w:r w:rsidR="00DA78DC">
        <w:rPr>
          <w:rFonts w:ascii="Times New Roman" w:hAnsi="Times New Roman" w:cs="Times New Roman"/>
          <w:sz w:val="24"/>
          <w:szCs w:val="24"/>
        </w:rPr>
        <w:t xml:space="preserve"> la confianza en la democracia?</w:t>
      </w:r>
    </w:p>
    <w:p w:rsidR="00A97FDC" w:rsidRPr="000D09CF" w:rsidRDefault="00A97FDC" w:rsidP="00A97FD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0D09CF">
        <w:rPr>
          <w:rFonts w:ascii="Times New Roman" w:hAnsi="Times New Roman" w:cs="Times New Roman"/>
          <w:sz w:val="24"/>
          <w:szCs w:val="24"/>
        </w:rPr>
        <w:t>Puede la c</w:t>
      </w:r>
      <w:r w:rsidR="007E19DD">
        <w:rPr>
          <w:rFonts w:ascii="Times New Roman" w:hAnsi="Times New Roman" w:cs="Times New Roman"/>
          <w:sz w:val="24"/>
          <w:szCs w:val="24"/>
        </w:rPr>
        <w:t>ompetencia gobernar el planeta?</w:t>
      </w:r>
      <w:r w:rsidRPr="000D09CF">
        <w:rPr>
          <w:rFonts w:ascii="Times New Roman" w:hAnsi="Times New Roman" w:cs="Times New Roman"/>
          <w:sz w:val="24"/>
          <w:szCs w:val="24"/>
        </w:rPr>
        <w:t xml:space="preserve"> </w:t>
      </w:r>
      <w:r w:rsidR="007E19DD">
        <w:rPr>
          <w:rFonts w:ascii="Times New Roman" w:hAnsi="Times New Roman" w:cs="Times New Roman"/>
          <w:sz w:val="24"/>
          <w:szCs w:val="24"/>
        </w:rPr>
        <w:t>¿</w:t>
      </w:r>
      <w:r w:rsidRPr="000D09CF">
        <w:rPr>
          <w:rFonts w:ascii="Times New Roman" w:hAnsi="Times New Roman" w:cs="Times New Roman"/>
          <w:sz w:val="24"/>
          <w:szCs w:val="24"/>
        </w:rPr>
        <w:t>Es la competencia el mejor instrumento para enfrentarse a escala mundial a los cada vez más grandes problemas ecológicos, demog</w:t>
      </w:r>
      <w:r w:rsidR="00DA78DC">
        <w:rPr>
          <w:rFonts w:ascii="Times New Roman" w:hAnsi="Times New Roman" w:cs="Times New Roman"/>
          <w:sz w:val="24"/>
          <w:szCs w:val="24"/>
        </w:rPr>
        <w:t>ráficos, económicos y sociales?</w:t>
      </w:r>
    </w:p>
    <w:p w:rsidR="00A97FDC" w:rsidRPr="000D09CF" w:rsidRDefault="007E19DD" w:rsidP="00A97FD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A97FDC" w:rsidRPr="000D09CF">
        <w:rPr>
          <w:rFonts w:ascii="Times New Roman" w:hAnsi="Times New Roman" w:cs="Times New Roman"/>
          <w:sz w:val="24"/>
          <w:szCs w:val="24"/>
        </w:rPr>
        <w:t>En el caso que se practicara el juego del “trafico libre”, los miembros aventajados de la indivisible republica de los comerciantes, actuaria limpiament</w:t>
      </w:r>
      <w:r>
        <w:rPr>
          <w:rFonts w:ascii="Times New Roman" w:hAnsi="Times New Roman" w:cs="Times New Roman"/>
          <w:sz w:val="24"/>
          <w:szCs w:val="24"/>
        </w:rPr>
        <w:t>e,  o con las “cartas marcadas”?</w:t>
      </w:r>
    </w:p>
    <w:p w:rsidR="00A97FDC" w:rsidRPr="000D09CF" w:rsidRDefault="007E19DD" w:rsidP="00A97FD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A97FDC" w:rsidRPr="000D09CF">
        <w:rPr>
          <w:rFonts w:ascii="Times New Roman" w:hAnsi="Times New Roman" w:cs="Times New Roman"/>
          <w:sz w:val="24"/>
          <w:szCs w:val="24"/>
        </w:rPr>
        <w:t>Los “retazos económicos”, que quedan fuera del bienestar, tendrán alguna otra alternativ</w:t>
      </w:r>
      <w:r>
        <w:rPr>
          <w:rFonts w:ascii="Times New Roman" w:hAnsi="Times New Roman" w:cs="Times New Roman"/>
          <w:sz w:val="24"/>
          <w:szCs w:val="24"/>
        </w:rPr>
        <w:t>a que no sea la violencia?</w:t>
      </w:r>
    </w:p>
    <w:p w:rsidR="00A97FDC" w:rsidRPr="000D09CF" w:rsidRDefault="00A97FDC" w:rsidP="00A97FDC">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comercio internacional es una de las más poderosas palancas de la civilización y del bienestar nacional, ya que haciendo surgir nuevas necesidades estimula a la actividad y tensión de energías, trasladando de una nación a otra</w:t>
      </w:r>
      <w:r w:rsidR="007E19DD">
        <w:rPr>
          <w:rFonts w:ascii="Times New Roman" w:hAnsi="Times New Roman" w:cs="Times New Roman"/>
          <w:sz w:val="24"/>
          <w:szCs w:val="24"/>
        </w:rPr>
        <w:t>,</w:t>
      </w:r>
      <w:r w:rsidRPr="000D09CF">
        <w:rPr>
          <w:rFonts w:ascii="Times New Roman" w:hAnsi="Times New Roman" w:cs="Times New Roman"/>
          <w:sz w:val="24"/>
          <w:szCs w:val="24"/>
        </w:rPr>
        <w:t xml:space="preserve"> nuevas ideas, inventos y aptitudes.</w:t>
      </w:r>
    </w:p>
    <w:p w:rsidR="00A97FDC" w:rsidRDefault="00A97FDC" w:rsidP="00A97FDC">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Aunque se me acusa de proteccionista -y de muchas cosas más- descarto la dogmática restricción comercial de la “escuela del mercantilismo”. Para mí, la limitación es solo un medio, pero el fin es la libertad. El libre cambio puede ser la meta a la cual la humanidad puede aspirar en un futuro ideal (lo dije en 1841 y también hoy).</w:t>
      </w:r>
    </w:p>
    <w:p w:rsidR="00C74822" w:rsidRDefault="00C74822" w:rsidP="00A97FDC">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Recordemos -po</w:t>
      </w:r>
      <w:r>
        <w:rPr>
          <w:rFonts w:ascii="Times New Roman" w:hAnsi="Times New Roman" w:cs="Times New Roman"/>
          <w:sz w:val="24"/>
          <w:szCs w:val="24"/>
        </w:rPr>
        <w:t>r un momento- lo dicho:</w:t>
      </w:r>
    </w:p>
    <w:p w:rsidR="007E19DD" w:rsidRPr="000D09CF" w:rsidRDefault="007E19DD" w:rsidP="007E19DD">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0D09CF">
        <w:rPr>
          <w:rFonts w:ascii="Times New Roman" w:hAnsi="Times New Roman" w:cs="Times New Roman"/>
          <w:i/>
          <w:sz w:val="24"/>
          <w:szCs w:val="24"/>
        </w:rPr>
        <w:t>.</w:t>
      </w:r>
      <w:r>
        <w:rPr>
          <w:rFonts w:ascii="Times New Roman" w:hAnsi="Times New Roman" w:cs="Times New Roman"/>
          <w:i/>
          <w:sz w:val="24"/>
          <w:szCs w:val="24"/>
        </w:rPr>
        <w:t xml:space="preserve"> “</w:t>
      </w:r>
      <w:r w:rsidRPr="000D09CF">
        <w:rPr>
          <w:rFonts w:ascii="Times New Roman" w:hAnsi="Times New Roman" w:cs="Times New Roman"/>
          <w:i/>
          <w:sz w:val="24"/>
          <w:szCs w:val="24"/>
        </w:rPr>
        <w:t>Las uniones mercantiles y los tratados de comercio constituyen el medio más eficaz para facilitar el tr</w:t>
      </w:r>
      <w:r w:rsidR="00CB2F54">
        <w:rPr>
          <w:rFonts w:ascii="Times New Roman" w:hAnsi="Times New Roman" w:cs="Times New Roman"/>
          <w:i/>
          <w:sz w:val="24"/>
          <w:szCs w:val="24"/>
        </w:rPr>
        <w:t xml:space="preserve">áfico entre distintas naciones… </w:t>
      </w:r>
      <w:r w:rsidRPr="000D09CF">
        <w:rPr>
          <w:rFonts w:ascii="Times New Roman" w:hAnsi="Times New Roman" w:cs="Times New Roman"/>
          <w:i/>
          <w:sz w:val="24"/>
          <w:szCs w:val="24"/>
        </w:rPr>
        <w:t>Los tratados comerciales solo son legítimos y útiles cuando procuran reciprocas ventajas.</w:t>
      </w:r>
    </w:p>
    <w:p w:rsidR="007E19DD" w:rsidRPr="000D09CF" w:rsidRDefault="007E19DD" w:rsidP="007E19DD">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(Como hemos manifestado anteriormente)</w:t>
      </w:r>
      <w:r>
        <w:rPr>
          <w:rFonts w:ascii="Times New Roman" w:hAnsi="Times New Roman" w:cs="Times New Roman"/>
          <w:i/>
          <w:sz w:val="24"/>
          <w:szCs w:val="24"/>
        </w:rPr>
        <w:t xml:space="preserve"> </w:t>
      </w:r>
      <w:r w:rsidRPr="000D09CF">
        <w:rPr>
          <w:rFonts w:ascii="Times New Roman" w:hAnsi="Times New Roman" w:cs="Times New Roman"/>
          <w:i/>
          <w:sz w:val="24"/>
          <w:szCs w:val="24"/>
        </w:rPr>
        <w:t>el más excelso fin de la política racional es la asociación de las naciones bajo la ley jurídica, una finalidad que solamente puede alcanzarse mediante la equiparación más perfecta posible de las naciones más importantes de la tierra, en orden a su cultura, bienestar, industria y poderío, por transformación de las antipatías y conflictos que entre ellas existen en simpatía y armonía. La solución de este problema es, sin embargo, una tarea infinitamente lenta.</w:t>
      </w:r>
    </w:p>
    <w:p w:rsidR="007E19DD" w:rsidRDefault="007E19DD" w:rsidP="007E19DD">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 política ha dado cuenta, desde hace mucho tiempo, de que la equiparación de las naciones es su misión definitiva</w:t>
      </w:r>
      <w:r w:rsidR="00CB2F54">
        <w:rPr>
          <w:rFonts w:ascii="Times New Roman" w:hAnsi="Times New Roman" w:cs="Times New Roman"/>
          <w:i/>
          <w:sz w:val="24"/>
          <w:szCs w:val="24"/>
        </w:rPr>
        <w:t xml:space="preserve">… </w:t>
      </w:r>
      <w:r w:rsidRPr="000D09CF">
        <w:rPr>
          <w:rFonts w:ascii="Times New Roman" w:hAnsi="Times New Roman" w:cs="Times New Roman"/>
          <w:i/>
          <w:sz w:val="24"/>
          <w:szCs w:val="24"/>
        </w:rPr>
        <w:t>La misión inmediata de la política consiste, en todo momento, en reconocer claramente en cuál de los distintos intereses son precisamente más perentorias la alianza y la equiparación, procurando que mientras esa equiparación no se alcance queden en suspenso y relegadas a segundo término todas las demás cuestiones</w:t>
      </w:r>
      <w:r w:rsidR="00DA78DC">
        <w:rPr>
          <w:rFonts w:ascii="Times New Roman" w:hAnsi="Times New Roman" w:cs="Times New Roman"/>
          <w:i/>
          <w:sz w:val="24"/>
          <w:szCs w:val="24"/>
        </w:rPr>
        <w:t>”..</w:t>
      </w:r>
      <w:r w:rsidRPr="000D09CF">
        <w:rPr>
          <w:rFonts w:ascii="Times New Roman" w:hAnsi="Times New Roman" w:cs="Times New Roman"/>
          <w:i/>
          <w:sz w:val="24"/>
          <w:szCs w:val="24"/>
        </w:rPr>
        <w:t>.</w:t>
      </w:r>
    </w:p>
    <w:p w:rsidR="00B77B35" w:rsidRPr="000D09CF" w:rsidRDefault="00B77B35" w:rsidP="00B77B3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Vuelvo (imaginariamente) a </w:t>
      </w:r>
      <w:r w:rsidRPr="000D09CF">
        <w:rPr>
          <w:rFonts w:ascii="Times New Roman" w:hAnsi="Times New Roman" w:cs="Times New Roman"/>
          <w:sz w:val="24"/>
          <w:szCs w:val="24"/>
        </w:rPr>
        <w:t xml:space="preserve">Friedrich List: </w:t>
      </w:r>
    </w:p>
    <w:p w:rsidR="007E19DD" w:rsidRPr="000D09CF" w:rsidRDefault="007E19DD" w:rsidP="007E19DD">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Más allá de ciertos fallos -y algunos aciertos- de prospectiva, casi podría volver a escribir lo mismo. Ha pasado</w:t>
      </w:r>
      <w:r w:rsidR="00DA78DC">
        <w:rPr>
          <w:rFonts w:ascii="Times New Roman" w:hAnsi="Times New Roman" w:cs="Times New Roman"/>
          <w:sz w:val="24"/>
          <w:szCs w:val="24"/>
        </w:rPr>
        <w:t xml:space="preserve"> más de</w:t>
      </w:r>
      <w:r w:rsidRPr="000D09CF">
        <w:rPr>
          <w:rFonts w:ascii="Times New Roman" w:hAnsi="Times New Roman" w:cs="Times New Roman"/>
          <w:sz w:val="24"/>
          <w:szCs w:val="24"/>
        </w:rPr>
        <w:t xml:space="preserve"> un siglo y medio, y aún está pendiente el desarrollo “igualador” que abonaría la unión universal. Aun </w:t>
      </w:r>
      <w:r>
        <w:rPr>
          <w:rFonts w:ascii="Times New Roman" w:hAnsi="Times New Roman" w:cs="Times New Roman"/>
          <w:sz w:val="24"/>
          <w:szCs w:val="24"/>
        </w:rPr>
        <w:t>el camino sigue siendo destino.</w:t>
      </w:r>
      <w:r w:rsidRPr="000D09CF">
        <w:rPr>
          <w:rFonts w:ascii="Times New Roman" w:hAnsi="Times New Roman" w:cs="Times New Roman"/>
          <w:sz w:val="24"/>
          <w:szCs w:val="24"/>
        </w:rPr>
        <w:t xml:space="preserve"> Estamos -todavía- pendientes de llegar. Entonces no puede haber “libre tráfico” para todo y para todos. No es -lamentablemente- posible todavía.</w:t>
      </w:r>
    </w:p>
    <w:p w:rsidR="007E19DD" w:rsidRPr="000D09CF" w:rsidRDefault="007E19DD" w:rsidP="007E19DD">
      <w:pPr>
        <w:spacing w:line="240" w:lineRule="auto"/>
        <w:jc w:val="both"/>
        <w:rPr>
          <w:rFonts w:ascii="Times New Roman" w:hAnsi="Times New Roman" w:cs="Times New Roman"/>
          <w:sz w:val="24"/>
          <w:szCs w:val="24"/>
        </w:rPr>
      </w:pPr>
      <w:r>
        <w:rPr>
          <w:rFonts w:ascii="Times New Roman" w:hAnsi="Times New Roman" w:cs="Times New Roman"/>
          <w:sz w:val="24"/>
          <w:szCs w:val="24"/>
        </w:rPr>
        <w:t>¿Có</w:t>
      </w:r>
      <w:r w:rsidRPr="000D09CF">
        <w:rPr>
          <w:rFonts w:ascii="Times New Roman" w:hAnsi="Times New Roman" w:cs="Times New Roman"/>
          <w:sz w:val="24"/>
          <w:szCs w:val="24"/>
        </w:rPr>
        <w:t>mo se puede competir libremente con países que “subvencionan” su producción</w:t>
      </w:r>
      <w:r>
        <w:rPr>
          <w:rFonts w:ascii="Times New Roman" w:hAnsi="Times New Roman" w:cs="Times New Roman"/>
          <w:sz w:val="24"/>
          <w:szCs w:val="24"/>
        </w:rPr>
        <w:t xml:space="preserve"> interior comercializable?</w:t>
      </w:r>
      <w:r w:rsidRPr="000D09CF">
        <w:rPr>
          <w:rFonts w:ascii="Times New Roman" w:hAnsi="Times New Roman" w:cs="Times New Roman"/>
          <w:sz w:val="24"/>
          <w:szCs w:val="24"/>
        </w:rPr>
        <w:t xml:space="preserve"> </w:t>
      </w:r>
      <w:r>
        <w:rPr>
          <w:rFonts w:ascii="Times New Roman" w:hAnsi="Times New Roman" w:cs="Times New Roman"/>
          <w:sz w:val="24"/>
          <w:szCs w:val="24"/>
        </w:rPr>
        <w:t>¿</w:t>
      </w:r>
      <w:r w:rsidRPr="000D09CF">
        <w:rPr>
          <w:rFonts w:ascii="Times New Roman" w:hAnsi="Times New Roman" w:cs="Times New Roman"/>
          <w:sz w:val="24"/>
          <w:szCs w:val="24"/>
        </w:rPr>
        <w:t>O con países cuyo costo de mano de obra anual e</w:t>
      </w:r>
      <w:r w:rsidR="00DA78DC">
        <w:rPr>
          <w:rFonts w:ascii="Times New Roman" w:hAnsi="Times New Roman" w:cs="Times New Roman"/>
          <w:sz w:val="24"/>
          <w:szCs w:val="24"/>
        </w:rPr>
        <w:t>s inferior al mensual de otros?</w:t>
      </w:r>
      <w:r w:rsidRPr="000D09CF">
        <w:rPr>
          <w:rFonts w:ascii="Times New Roman" w:hAnsi="Times New Roman" w:cs="Times New Roman"/>
          <w:sz w:val="24"/>
          <w:szCs w:val="24"/>
        </w:rPr>
        <w:t xml:space="preserve"> O con aquellos que no tienen ningún -o muy poco-</w:t>
      </w:r>
      <w:r>
        <w:rPr>
          <w:rFonts w:ascii="Times New Roman" w:hAnsi="Times New Roman" w:cs="Times New Roman"/>
          <w:sz w:val="24"/>
          <w:szCs w:val="24"/>
        </w:rPr>
        <w:t xml:space="preserve"> control ambiental y sanitario?</w:t>
      </w:r>
      <w:r w:rsidRPr="000D09CF">
        <w:rPr>
          <w:rFonts w:ascii="Times New Roman" w:hAnsi="Times New Roman" w:cs="Times New Roman"/>
          <w:sz w:val="24"/>
          <w:szCs w:val="24"/>
        </w:rPr>
        <w:t xml:space="preserve"> Menos aún, en casos donde los costos sociales (seguro de desempleo, jubilación, sanidad, </w:t>
      </w:r>
      <w:r w:rsidR="00DA78DC">
        <w:rPr>
          <w:rFonts w:ascii="Times New Roman" w:hAnsi="Times New Roman" w:cs="Times New Roman"/>
          <w:sz w:val="24"/>
          <w:szCs w:val="24"/>
        </w:rPr>
        <w:t>educación, vivienda...</w:t>
      </w:r>
      <w:r w:rsidRPr="000D09CF">
        <w:rPr>
          <w:rFonts w:ascii="Times New Roman" w:hAnsi="Times New Roman" w:cs="Times New Roman"/>
          <w:sz w:val="24"/>
          <w:szCs w:val="24"/>
        </w:rPr>
        <w:t>), pueden equivaler al 25 % del PIB. O donde el costo fiscal de las empresas es casi un 35% mayor al de sus competidores más importantes.</w:t>
      </w:r>
    </w:p>
    <w:p w:rsidR="007E19DD" w:rsidRPr="000D09CF" w:rsidRDefault="007E19DD" w:rsidP="007E19DD">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lastRenderedPageBreak/>
        <w:t>Plantear el libre comercio en estas condiciones es facilitar -y avalar-  que el ganador se lleve todo.</w:t>
      </w:r>
      <w:r w:rsidR="00992EA8">
        <w:rPr>
          <w:rFonts w:ascii="Times New Roman" w:hAnsi="Times New Roman" w:cs="Times New Roman"/>
          <w:sz w:val="24"/>
          <w:szCs w:val="24"/>
        </w:rPr>
        <w:t xml:space="preserve"> </w:t>
      </w:r>
      <w:r w:rsidRPr="000D09CF">
        <w:rPr>
          <w:rFonts w:ascii="Times New Roman" w:hAnsi="Times New Roman" w:cs="Times New Roman"/>
          <w:sz w:val="24"/>
          <w:szCs w:val="24"/>
        </w:rPr>
        <w:t>Las subvenciones -que utilizan los países desarrollados (todos)- anulan las ventajas -que podrían tener los países subdesarrollados- en los “términos del intercambio” y por</w:t>
      </w:r>
      <w:r w:rsidRPr="000D09CF">
        <w:rPr>
          <w:rFonts w:ascii="Times New Roman" w:hAnsi="Times New Roman" w:cs="Times New Roman"/>
          <w:i/>
          <w:sz w:val="24"/>
          <w:szCs w:val="24"/>
        </w:rPr>
        <w:t xml:space="preserve"> </w:t>
      </w:r>
      <w:r w:rsidRPr="000D09CF">
        <w:rPr>
          <w:rFonts w:ascii="Times New Roman" w:hAnsi="Times New Roman" w:cs="Times New Roman"/>
          <w:sz w:val="24"/>
          <w:szCs w:val="24"/>
        </w:rPr>
        <w:t>supuesto alteran toda posibilidad de u</w:t>
      </w:r>
      <w:r w:rsidR="0038171B">
        <w:rPr>
          <w:rFonts w:ascii="Times New Roman" w:hAnsi="Times New Roman" w:cs="Times New Roman"/>
          <w:sz w:val="24"/>
          <w:szCs w:val="24"/>
        </w:rPr>
        <w:t xml:space="preserve">na eficiente, </w:t>
      </w:r>
      <w:r w:rsidRPr="000D09CF">
        <w:rPr>
          <w:rFonts w:ascii="Times New Roman" w:hAnsi="Times New Roman" w:cs="Times New Roman"/>
          <w:sz w:val="24"/>
          <w:szCs w:val="24"/>
        </w:rPr>
        <w:t>“distribución internacional del trabajo”.</w:t>
      </w:r>
    </w:p>
    <w:p w:rsidR="007E19DD" w:rsidRPr="000D09CF" w:rsidRDefault="007E19DD" w:rsidP="007E19DD">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En los países desarrollados -USA, Japón, pero principalmente</w:t>
      </w:r>
      <w:r w:rsidR="0038171B">
        <w:rPr>
          <w:rFonts w:ascii="Times New Roman" w:hAnsi="Times New Roman" w:cs="Times New Roman"/>
          <w:sz w:val="24"/>
          <w:szCs w:val="24"/>
        </w:rPr>
        <w:t xml:space="preserve"> la</w:t>
      </w:r>
      <w:r w:rsidRPr="000D09CF">
        <w:rPr>
          <w:rFonts w:ascii="Times New Roman" w:hAnsi="Times New Roman" w:cs="Times New Roman"/>
          <w:sz w:val="24"/>
          <w:szCs w:val="24"/>
        </w:rPr>
        <w:t xml:space="preserve"> U.E.- la “armonización” se está cumpliendo creando bolsas de elevado desempleo local, precarización laboral, y reducciones de salarios, a pesar del estímulo global al crecimiento.</w:t>
      </w:r>
    </w:p>
    <w:p w:rsidR="007E19DD" w:rsidRPr="000D09CF" w:rsidRDefault="007E19DD" w:rsidP="007E19DD">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En los países subdesarrollados, estos efectos (</w:t>
      </w:r>
      <w:r w:rsidR="0038171B">
        <w:rPr>
          <w:rFonts w:ascii="Times New Roman" w:hAnsi="Times New Roman" w:cs="Times New Roman"/>
          <w:sz w:val="24"/>
          <w:szCs w:val="24"/>
        </w:rPr>
        <w:t>¿</w:t>
      </w:r>
      <w:r w:rsidRPr="000D09CF">
        <w:rPr>
          <w:rFonts w:ascii="Times New Roman" w:hAnsi="Times New Roman" w:cs="Times New Roman"/>
          <w:sz w:val="24"/>
          <w:szCs w:val="24"/>
        </w:rPr>
        <w:t>no deseados?) se agudizan; además de déficit en la balanza comercial, e</w:t>
      </w:r>
      <w:r>
        <w:rPr>
          <w:rFonts w:ascii="Times New Roman" w:hAnsi="Times New Roman" w:cs="Times New Roman"/>
          <w:sz w:val="24"/>
          <w:szCs w:val="24"/>
        </w:rPr>
        <w:t>ndeudamiento externo, dualizació</w:t>
      </w:r>
      <w:r w:rsidRPr="000D09CF">
        <w:rPr>
          <w:rFonts w:ascii="Times New Roman" w:hAnsi="Times New Roman" w:cs="Times New Roman"/>
          <w:sz w:val="24"/>
          <w:szCs w:val="24"/>
        </w:rPr>
        <w:t>n economía, recesión, ajuste “salvaje” y dependencia.</w:t>
      </w:r>
    </w:p>
    <w:p w:rsidR="007E19DD" w:rsidRPr="000D09CF" w:rsidRDefault="007E19DD" w:rsidP="007E19DD">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 medida que el coeficiente comercio/PNB aumenta, los ingresos reales de los</w:t>
      </w:r>
      <w:r w:rsidRPr="000D09CF">
        <w:rPr>
          <w:rFonts w:ascii="Times New Roman" w:hAnsi="Times New Roman" w:cs="Times New Roman"/>
          <w:i/>
          <w:sz w:val="24"/>
          <w:szCs w:val="24"/>
        </w:rPr>
        <w:t xml:space="preserve"> </w:t>
      </w:r>
      <w:r w:rsidRPr="000D09CF">
        <w:rPr>
          <w:rFonts w:ascii="Times New Roman" w:hAnsi="Times New Roman" w:cs="Times New Roman"/>
          <w:sz w:val="24"/>
          <w:szCs w:val="24"/>
        </w:rPr>
        <w:t>trabajadores disminuyen. La productividad no es el único factor determinante de los ingresos. Los salarios también dependen de la forma en que el aumento de la producción afecta al precio del producto. Los ingresos están determinados no solo por la productividad, sino también por los precios.</w:t>
      </w:r>
    </w:p>
    <w:p w:rsidR="007E19DD" w:rsidRPr="000D09CF" w:rsidRDefault="007E19DD" w:rsidP="007E19DD">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La obsesión por la competencia condiciona las políticas nacionales y amenaza el sistema económico internacional. Pensar en términos de competitividad conduce directa o indirectamente a malas políticas económicas en un amplio rango de metas, interiores y exteriores, ya sea en sanidad, ya sea en comercio exterior.</w:t>
      </w:r>
    </w:p>
    <w:p w:rsidR="007E19DD" w:rsidRPr="000D09CF" w:rsidRDefault="007E19DD" w:rsidP="007E19DD">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Actualmente la competitividad está promoviendo derroches del gasto de algunos gobiernos (subvenciones) y políticas erróneas en todo un espectro de asuntos importantes (sanidad, educación, vivienda, trabajo, jubilación</w:t>
      </w:r>
      <w:r w:rsidR="00DA78DC">
        <w:rPr>
          <w:rFonts w:ascii="Times New Roman" w:hAnsi="Times New Roman" w:cs="Times New Roman"/>
          <w:sz w:val="24"/>
          <w:szCs w:val="24"/>
        </w:rPr>
        <w:t>…</w:t>
      </w:r>
      <w:r w:rsidRPr="000D09CF">
        <w:rPr>
          <w:rFonts w:ascii="Times New Roman" w:hAnsi="Times New Roman" w:cs="Times New Roman"/>
          <w:sz w:val="24"/>
          <w:szCs w:val="24"/>
        </w:rPr>
        <w:t>); falta aún ver el rebote -efecto contrario- en cuanto a proteccionismo y barreras comerciales.</w:t>
      </w:r>
    </w:p>
    <w:p w:rsidR="007E19DD" w:rsidRDefault="007E19DD" w:rsidP="007E19DD">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xml:space="preserve">La reducción, el desplazamiento y la reorganización son las </w:t>
      </w:r>
      <w:r w:rsidR="0038171B">
        <w:rPr>
          <w:rFonts w:ascii="Times New Roman" w:hAnsi="Times New Roman" w:cs="Times New Roman"/>
          <w:sz w:val="24"/>
          <w:szCs w:val="24"/>
        </w:rPr>
        <w:t>pesadillas del pueblo europeo</w:t>
      </w:r>
      <w:r w:rsidRPr="000D09CF">
        <w:rPr>
          <w:rFonts w:ascii="Times New Roman" w:hAnsi="Times New Roman" w:cs="Times New Roman"/>
          <w:sz w:val="24"/>
          <w:szCs w:val="24"/>
        </w:rPr>
        <w:t xml:space="preserve">: el descenso sin fin. </w:t>
      </w:r>
    </w:p>
    <w:p w:rsidR="0038171B" w:rsidRPr="000D09CF" w:rsidRDefault="0038171B" w:rsidP="0038171B">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trafico libre, con su secuela moderna de la unión mercantil (globalización), es un “invento” del capitalismo multinacional -cuyo sede principal está en los Estados Unidos, aunque no solo- para maximizar su rentabilidad sin controles, ni condicionamientos, de los gobiernos nacionales.</w:t>
      </w:r>
    </w:p>
    <w:p w:rsidR="0038171B" w:rsidRPr="000D09CF" w:rsidRDefault="0038171B" w:rsidP="0038171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09CF">
        <w:rPr>
          <w:rFonts w:ascii="Times New Roman" w:hAnsi="Times New Roman" w:cs="Times New Roman"/>
          <w:sz w:val="24"/>
          <w:szCs w:val="24"/>
        </w:rPr>
        <w:t>Quién</w:t>
      </w:r>
      <w:r>
        <w:rPr>
          <w:rFonts w:ascii="Times New Roman" w:hAnsi="Times New Roman" w:cs="Times New Roman"/>
          <w:sz w:val="24"/>
          <w:szCs w:val="24"/>
        </w:rPr>
        <w:t xml:space="preserve"> maneja el sistema?</w:t>
      </w:r>
      <w:r w:rsidRPr="000D09CF">
        <w:rPr>
          <w:rFonts w:ascii="Times New Roman" w:hAnsi="Times New Roman" w:cs="Times New Roman"/>
          <w:sz w:val="24"/>
          <w:szCs w:val="24"/>
        </w:rPr>
        <w:t xml:space="preserve"> El poder financiero. La economía de especulación.</w:t>
      </w:r>
    </w:p>
    <w:p w:rsidR="0038171B" w:rsidRPr="000D09CF" w:rsidRDefault="0038171B" w:rsidP="0038171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09CF">
        <w:rPr>
          <w:rFonts w:ascii="Times New Roman" w:hAnsi="Times New Roman" w:cs="Times New Roman"/>
          <w:sz w:val="24"/>
          <w:szCs w:val="24"/>
        </w:rPr>
        <w:t>Quién es el prestamista de último</w:t>
      </w:r>
      <w:r>
        <w:rPr>
          <w:rFonts w:ascii="Times New Roman" w:hAnsi="Times New Roman" w:cs="Times New Roman"/>
          <w:sz w:val="24"/>
          <w:szCs w:val="24"/>
        </w:rPr>
        <w:t xml:space="preserve"> recurso?</w:t>
      </w:r>
      <w:r w:rsidRPr="000D09CF">
        <w:rPr>
          <w:rFonts w:ascii="Times New Roman" w:hAnsi="Times New Roman" w:cs="Times New Roman"/>
          <w:sz w:val="24"/>
          <w:szCs w:val="24"/>
        </w:rPr>
        <w:t xml:space="preserve"> Primero la Reserva Federal, para ciertos países el FMI, y si no alcanza el uno y el otro, los demás bancos centrales de los países de</w:t>
      </w:r>
      <w:r>
        <w:rPr>
          <w:rFonts w:ascii="Times New Roman" w:hAnsi="Times New Roman" w:cs="Times New Roman"/>
          <w:sz w:val="24"/>
          <w:szCs w:val="24"/>
        </w:rPr>
        <w:t>sarrollados. Y si no alcanza… ¡</w:t>
      </w:r>
      <w:r w:rsidRPr="000D09CF">
        <w:rPr>
          <w:rFonts w:ascii="Times New Roman" w:hAnsi="Times New Roman" w:cs="Times New Roman"/>
          <w:sz w:val="24"/>
          <w:szCs w:val="24"/>
        </w:rPr>
        <w:t>q</w:t>
      </w:r>
      <w:r>
        <w:rPr>
          <w:rFonts w:ascii="Times New Roman" w:hAnsi="Times New Roman" w:cs="Times New Roman"/>
          <w:sz w:val="24"/>
          <w:szCs w:val="24"/>
        </w:rPr>
        <w:t>ue Dios nos pille confesados!</w:t>
      </w:r>
    </w:p>
    <w:p w:rsidR="0038171B" w:rsidRDefault="0038171B" w:rsidP="0038171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09CF">
        <w:rPr>
          <w:rFonts w:ascii="Times New Roman" w:hAnsi="Times New Roman" w:cs="Times New Roman"/>
          <w:sz w:val="24"/>
          <w:szCs w:val="24"/>
        </w:rPr>
        <w:t>Quién</w:t>
      </w:r>
      <w:r>
        <w:rPr>
          <w:rFonts w:ascii="Times New Roman" w:hAnsi="Times New Roman" w:cs="Times New Roman"/>
          <w:sz w:val="24"/>
          <w:szCs w:val="24"/>
        </w:rPr>
        <w:t xml:space="preserve"> provee los mercados abiertos?</w:t>
      </w:r>
      <w:r w:rsidRPr="000D09CF">
        <w:rPr>
          <w:rFonts w:ascii="Times New Roman" w:hAnsi="Times New Roman" w:cs="Times New Roman"/>
          <w:sz w:val="24"/>
          <w:szCs w:val="24"/>
        </w:rPr>
        <w:t xml:space="preserve"> Las multinacionales que se instalaran donde sea conveniente para continuar compitiendo.</w:t>
      </w:r>
    </w:p>
    <w:p w:rsidR="0038171B" w:rsidRDefault="0038171B" w:rsidP="0038171B">
      <w:pPr>
        <w:spacing w:line="240" w:lineRule="auto"/>
        <w:jc w:val="both"/>
        <w:rPr>
          <w:rFonts w:ascii="Times New Roman" w:hAnsi="Times New Roman" w:cs="Times New Roman"/>
          <w:sz w:val="24"/>
          <w:szCs w:val="24"/>
        </w:rPr>
      </w:pPr>
      <w:r>
        <w:rPr>
          <w:rFonts w:ascii="Times New Roman" w:hAnsi="Times New Roman" w:cs="Times New Roman"/>
          <w:sz w:val="24"/>
          <w:szCs w:val="24"/>
        </w:rPr>
        <w:t>En esta especie de turbo-</w:t>
      </w:r>
      <w:r w:rsidRPr="000D09CF">
        <w:rPr>
          <w:rFonts w:ascii="Times New Roman" w:hAnsi="Times New Roman" w:cs="Times New Roman"/>
          <w:sz w:val="24"/>
          <w:szCs w:val="24"/>
        </w:rPr>
        <w:t>capitalismo</w:t>
      </w:r>
      <w:r>
        <w:rPr>
          <w:rFonts w:ascii="Times New Roman" w:hAnsi="Times New Roman" w:cs="Times New Roman"/>
          <w:sz w:val="24"/>
          <w:szCs w:val="24"/>
        </w:rPr>
        <w:t xml:space="preserve"> (financiero)</w:t>
      </w:r>
      <w:r w:rsidRPr="000D09CF">
        <w:rPr>
          <w:rFonts w:ascii="Times New Roman" w:hAnsi="Times New Roman" w:cs="Times New Roman"/>
          <w:sz w:val="24"/>
          <w:szCs w:val="24"/>
        </w:rPr>
        <w:t xml:space="preserve"> no</w:t>
      </w:r>
      <w:r w:rsidR="00CB2F54">
        <w:rPr>
          <w:rFonts w:ascii="Times New Roman" w:hAnsi="Times New Roman" w:cs="Times New Roman"/>
          <w:sz w:val="24"/>
          <w:szCs w:val="24"/>
        </w:rPr>
        <w:t xml:space="preserve"> hay ningún análisis de futuro. </w:t>
      </w:r>
      <w:r w:rsidRPr="000D09CF">
        <w:rPr>
          <w:rFonts w:ascii="Times New Roman" w:hAnsi="Times New Roman" w:cs="Times New Roman"/>
          <w:sz w:val="24"/>
          <w:szCs w:val="24"/>
        </w:rPr>
        <w:t>Los grandes mercados globales, electrónicamente conectados, no cambian las probabilidades de generar burbujas financieras, si no que las hacen potencialmente más grandes y vinculan a los mercados nacionales a una red, de modo que los mercados son más</w:t>
      </w:r>
      <w:r>
        <w:rPr>
          <w:rFonts w:ascii="Times New Roman" w:hAnsi="Times New Roman" w:cs="Times New Roman"/>
          <w:sz w:val="24"/>
          <w:szCs w:val="24"/>
        </w:rPr>
        <w:t xml:space="preserve"> propensos a ir juntos… ¡a la quiebra!</w:t>
      </w:r>
    </w:p>
    <w:p w:rsidR="00B77B35" w:rsidRPr="000D09CF" w:rsidRDefault="00B77B35" w:rsidP="00B77B35">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Según el modelo anglosajón el capitalismo tiene intrínsecamente un horizonte a corto plazo.</w:t>
      </w:r>
    </w:p>
    <w:p w:rsidR="00B77B35" w:rsidRPr="000D09CF" w:rsidRDefault="00B77B35" w:rsidP="00B77B35">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lastRenderedPageBreak/>
        <w:t>Según el modelo renano o japonés el capitalismo contempla y se compromete con el largo plazo.</w:t>
      </w:r>
    </w:p>
    <w:p w:rsidR="00B77B35" w:rsidRPr="000D09CF" w:rsidRDefault="00B77B35" w:rsidP="00B77B35">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No es un problema del capitalismo, sino del modelo elegido para desarrollarlo. Economía especulativa o economía productiva.</w:t>
      </w:r>
    </w:p>
    <w:p w:rsidR="00B77B35" w:rsidRDefault="00B77B35" w:rsidP="00B77B35">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mercado global hace globales todos los problemas, los agiganta y los interconecta. Las posibilidades de ir juntos a la quiebra son reales, y el verdugo está en “Wall Street”.</w:t>
      </w:r>
    </w:p>
    <w:p w:rsidR="00C74822" w:rsidRPr="000D09CF" w:rsidRDefault="00C74822" w:rsidP="00C74822">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Recordemos -por un momento- lo dicho en 1841:</w:t>
      </w:r>
    </w:p>
    <w:p w:rsidR="00B77B35" w:rsidRPr="000D09CF" w:rsidRDefault="00B77B35" w:rsidP="00B77B35">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“En todos los tiempos y lugares, las épocas más felices de las naciones han sido aquellas en que la nobleza y la burguesía, unidas, aspiraron a la grandeza nacional; las más tristes, en cambio, aquellas en que se aventuraron en una lucha de mutua destrucción.</w:t>
      </w:r>
    </w:p>
    <w:p w:rsidR="00B77B35" w:rsidRPr="000D09CF" w:rsidRDefault="00B77B35" w:rsidP="00B77B35">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Ha sido repetidas veces confirmado por la historia: que la libertad y la industria son compañeras inseparables, aunque no es raro que una nazca antes que la otra. Donde quiera que broten el comercio y la industria, es seguro que la libertad está cercana; cuando en algún sitio la libertad presenta sus ofrendas, ello es signo claro de que más pronto o más tarde la industria acudirá a su encuentro…</w:t>
      </w:r>
    </w:p>
    <w:p w:rsidR="00B77B35" w:rsidRDefault="00B77B35" w:rsidP="00B77B35">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 xml:space="preserve"> “Una nación que ha caído en la esclavitud -dice Montesquieu- trata más bien de conservar lo adquirido que de adquirir cosas nuevas; una libre, en cambio, más anhela adquirir que conservar”. A esta justísima observación hubiera podido añadirse: y porque se preocupa más de conservar que de adquirir, sucumbe; en efecto, una nación no progresa, se hunde, cada vez más profundamente, y, por último</w:t>
      </w:r>
      <w:r>
        <w:rPr>
          <w:rFonts w:ascii="Times New Roman" w:hAnsi="Times New Roman" w:cs="Times New Roman"/>
          <w:i/>
          <w:sz w:val="24"/>
          <w:szCs w:val="24"/>
        </w:rPr>
        <w:t>, desaparece.</w:t>
      </w:r>
    </w:p>
    <w:p w:rsidR="00B77B35" w:rsidRPr="000D09CF" w:rsidRDefault="00B77B35" w:rsidP="00B77B35">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Por laboriosos, económicos, inventivos e inteligentes que sean los individuos, no pueden suplir la falta de instituciones liberales.</w:t>
      </w:r>
    </w:p>
    <w:p w:rsidR="00B77B35" w:rsidRPr="000D09CF" w:rsidRDefault="00B77B35" w:rsidP="00B77B35">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 historia enseña, también, que los individuos extraen la mayor parte de su energía productiva de las instituciones y circunstancias sociales.</w:t>
      </w:r>
    </w:p>
    <w:p w:rsidR="00B77B35" w:rsidRPr="000D09CF" w:rsidRDefault="00B77B35" w:rsidP="00B77B35">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En todo lugar y en toda época vemos que la navegación, el comercio exterior e interior, la agricultura misma, solo florecen allí donde las manufacturas han alcanzado un magnifico desarrollo.</w:t>
      </w:r>
    </w:p>
    <w:p w:rsidR="00B77B35" w:rsidRDefault="00B77B35" w:rsidP="00B77B35">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En todas partes se han desarrollado con las manufacturas los perfeccionamientos del comercio interior, la navegación, los canales y carreteras, la navegación a vapor y los ferrocarriles, las condiciones fundamentales de la agricultura perfeccionada y de la civilización</w:t>
      </w:r>
      <w:r w:rsidR="00CB2F54">
        <w:rPr>
          <w:rFonts w:ascii="Times New Roman" w:hAnsi="Times New Roman" w:cs="Times New Roman"/>
          <w:i/>
          <w:sz w:val="24"/>
          <w:szCs w:val="24"/>
        </w:rPr>
        <w:t xml:space="preserve">… </w:t>
      </w:r>
      <w:r w:rsidRPr="000D09CF">
        <w:rPr>
          <w:rFonts w:ascii="Times New Roman" w:hAnsi="Times New Roman" w:cs="Times New Roman"/>
          <w:i/>
          <w:sz w:val="24"/>
          <w:szCs w:val="24"/>
        </w:rPr>
        <w:t>Cada gran nación debe garantizar su prosperidad e independencia continuadas y duraderas, basándolas ante todo, en el desarrollo sustantivo y equilibrado de sus propias energías</w:t>
      </w:r>
      <w:r>
        <w:rPr>
          <w:rFonts w:ascii="Times New Roman" w:hAnsi="Times New Roman" w:cs="Times New Roman"/>
          <w:i/>
          <w:sz w:val="24"/>
          <w:szCs w:val="24"/>
        </w:rPr>
        <w:t>”..</w:t>
      </w:r>
      <w:r w:rsidRPr="000D09CF">
        <w:rPr>
          <w:rFonts w:ascii="Times New Roman" w:hAnsi="Times New Roman" w:cs="Times New Roman"/>
          <w:i/>
          <w:sz w:val="24"/>
          <w:szCs w:val="24"/>
        </w:rPr>
        <w:t>.</w:t>
      </w:r>
    </w:p>
    <w:p w:rsidR="00B77B35" w:rsidRPr="000D09CF" w:rsidRDefault="00B77B35" w:rsidP="00B77B3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Vuelvo (imaginariamente) a </w:t>
      </w:r>
      <w:r w:rsidRPr="000D09CF">
        <w:rPr>
          <w:rFonts w:ascii="Times New Roman" w:hAnsi="Times New Roman" w:cs="Times New Roman"/>
          <w:sz w:val="24"/>
          <w:szCs w:val="24"/>
        </w:rPr>
        <w:t xml:space="preserve">Friedrich List: </w:t>
      </w:r>
    </w:p>
    <w:p w:rsidR="00B77B35" w:rsidRPr="000D09CF" w:rsidRDefault="00B77B35" w:rsidP="00B77B3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09CF">
        <w:rPr>
          <w:rFonts w:ascii="Times New Roman" w:hAnsi="Times New Roman" w:cs="Times New Roman"/>
          <w:sz w:val="24"/>
          <w:szCs w:val="24"/>
        </w:rPr>
        <w:t>Puede servir “el beneficio de la nación” para subordinar el consumo a la producción</w:t>
      </w:r>
      <w:r>
        <w:rPr>
          <w:rFonts w:ascii="Times New Roman" w:hAnsi="Times New Roman" w:cs="Times New Roman"/>
          <w:sz w:val="24"/>
          <w:szCs w:val="24"/>
        </w:rPr>
        <w:t>?</w:t>
      </w:r>
    </w:p>
    <w:p w:rsidR="00B77B35" w:rsidRPr="000D09CF" w:rsidRDefault="00B77B35" w:rsidP="00B77B35">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No escapara a nadie que soy un “nacionalista”. Para mí las fuerzas productivas y el proteccionismo son instrumentos para salvaguardar la independencia de la nación. El sistema nacional de la economía, la independencia y el poder están indisolublemente vinculados.</w:t>
      </w:r>
    </w:p>
    <w:p w:rsidR="00B77B35" w:rsidRDefault="00B77B35" w:rsidP="00B77B35">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xml:space="preserve">Como dije antes, el sistema de la escuela (de Smith y sus seguidores) adolece de tres defectos principales: en primer lugar, de un cosmopolitismo incongruente, que ni reconoce la </w:t>
      </w:r>
      <w:r w:rsidRPr="000D09CF">
        <w:rPr>
          <w:rFonts w:ascii="Times New Roman" w:hAnsi="Times New Roman" w:cs="Times New Roman"/>
          <w:sz w:val="24"/>
          <w:szCs w:val="24"/>
        </w:rPr>
        <w:lastRenderedPageBreak/>
        <w:t>naturaleza de la nacionalidad, ni tiene en cuenta la satisfacción de sus intereses; en segundo lugar, de un materialismo inerte que advierte de modo principal el valor de cambio de las cosas, sin tener en cuenta los intereses espirituales y políticos, presentes y futuros, y las fuerzas productivas de la nación; en tercer término, de un particularismo y un individualismo desorganizadores, que ignorando la naturaleza del trabajo social y la eficacia de la agrupación de energías</w:t>
      </w:r>
      <w:r w:rsidR="00992EA8">
        <w:rPr>
          <w:rFonts w:ascii="Times New Roman" w:hAnsi="Times New Roman" w:cs="Times New Roman"/>
          <w:sz w:val="24"/>
          <w:szCs w:val="24"/>
        </w:rPr>
        <w:t xml:space="preserve">... </w:t>
      </w:r>
      <w:r w:rsidRPr="000D09CF">
        <w:rPr>
          <w:rFonts w:ascii="Times New Roman" w:hAnsi="Times New Roman" w:cs="Times New Roman"/>
          <w:sz w:val="24"/>
          <w:szCs w:val="24"/>
        </w:rPr>
        <w:t>solo presenta la industria privada tal como se desarrollaría en libre tráfico con la sociedad; es decir, con la humanidad entera, si esta no estuviese diversificada en varias sociedades nacionales.</w:t>
      </w:r>
    </w:p>
    <w:p w:rsidR="00B77B35" w:rsidRPr="000D09CF" w:rsidRDefault="00992EA8" w:rsidP="00B77B35">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Recordemos -po</w:t>
      </w:r>
      <w:r>
        <w:rPr>
          <w:rFonts w:ascii="Times New Roman" w:hAnsi="Times New Roman" w:cs="Times New Roman"/>
          <w:sz w:val="24"/>
          <w:szCs w:val="24"/>
        </w:rPr>
        <w:t>r un momento- lo dicho en 1841:</w:t>
      </w:r>
    </w:p>
    <w:p w:rsidR="00B77B35" w:rsidRDefault="00B77B35" w:rsidP="00B77B35">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“Entre el individuo y la humanidad se halla, sin embargo, la nación</w:t>
      </w:r>
      <w:r>
        <w:rPr>
          <w:rFonts w:ascii="Times New Roman" w:hAnsi="Times New Roman" w:cs="Times New Roman"/>
          <w:i/>
          <w:sz w:val="24"/>
          <w:szCs w:val="24"/>
        </w:rPr>
        <w:t>, con su idioma... literatura..</w:t>
      </w:r>
      <w:r w:rsidRPr="000D09CF">
        <w:rPr>
          <w:rFonts w:ascii="Times New Roman" w:hAnsi="Times New Roman" w:cs="Times New Roman"/>
          <w:i/>
          <w:sz w:val="24"/>
          <w:szCs w:val="24"/>
        </w:rPr>
        <w:t>.</w:t>
      </w:r>
      <w:r>
        <w:rPr>
          <w:rFonts w:ascii="Times New Roman" w:hAnsi="Times New Roman" w:cs="Times New Roman"/>
          <w:i/>
          <w:sz w:val="24"/>
          <w:szCs w:val="24"/>
        </w:rPr>
        <w:t xml:space="preserve"> linaje e historia..</w:t>
      </w:r>
      <w:r w:rsidRPr="000D09CF">
        <w:rPr>
          <w:rFonts w:ascii="Times New Roman" w:hAnsi="Times New Roman" w:cs="Times New Roman"/>
          <w:i/>
          <w:sz w:val="24"/>
          <w:szCs w:val="24"/>
        </w:rPr>
        <w:t>.</w:t>
      </w:r>
      <w:r>
        <w:rPr>
          <w:rFonts w:ascii="Times New Roman" w:hAnsi="Times New Roman" w:cs="Times New Roman"/>
          <w:i/>
          <w:sz w:val="24"/>
          <w:szCs w:val="24"/>
        </w:rPr>
        <w:t xml:space="preserve"> </w:t>
      </w:r>
      <w:r w:rsidRPr="000D09CF">
        <w:rPr>
          <w:rFonts w:ascii="Times New Roman" w:hAnsi="Times New Roman" w:cs="Times New Roman"/>
          <w:i/>
          <w:sz w:val="24"/>
          <w:szCs w:val="24"/>
        </w:rPr>
        <w:t>hábitos</w:t>
      </w:r>
      <w:r>
        <w:rPr>
          <w:rFonts w:ascii="Times New Roman" w:hAnsi="Times New Roman" w:cs="Times New Roman"/>
          <w:i/>
          <w:sz w:val="24"/>
          <w:szCs w:val="24"/>
        </w:rPr>
        <w:t xml:space="preserve"> y costumbres... leyes e instituciones... </w:t>
      </w:r>
      <w:r w:rsidRPr="000D09CF">
        <w:rPr>
          <w:rFonts w:ascii="Times New Roman" w:hAnsi="Times New Roman" w:cs="Times New Roman"/>
          <w:i/>
          <w:sz w:val="24"/>
          <w:szCs w:val="24"/>
        </w:rPr>
        <w:t>con su derecho a la existencia, a la independencia, a la perfección y a la vida perdurable, y con un territorio delimitado; una sociedad unida por mil nexos del espíritu y de los intereses, en un todo que existe por sí mismo que reconoce la ley jurídica entre sus elementos, afirma su libertad natural y que frente a otras sociedades de análoga naturaleza, y en las circunstancias actuales del mundo solo puede mantener su autonomía e independencia cuando dispone de medios y energías propias.</w:t>
      </w:r>
    </w:p>
    <w:p w:rsidR="00DF4323" w:rsidRPr="000D09CF" w:rsidRDefault="00DF4323" w:rsidP="00DF4323">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 escuela patentiza un desconocimiento completo de la naturaleza de las condiciones económicas cuando cree que, mediante el cambio de productos agrícolas por artículos manufacturados, puede propulsar la civilización, el bienestar y, en términos generales, el progreso de las naciones, lo mismo que mediante el establecimiento de una energía manufacturera propia.</w:t>
      </w:r>
    </w:p>
    <w:p w:rsidR="00DF4323" w:rsidRDefault="00DF4323" w:rsidP="00DF4323">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 xml:space="preserve">Es un error fundamental de la escuela exponer el sistema proteccionista como un producto antinatural arbitrado por políticos especulativos. La historia </w:t>
      </w:r>
      <w:r w:rsidR="00CB2F54" w:rsidRPr="000D09CF">
        <w:rPr>
          <w:rFonts w:ascii="Times New Roman" w:hAnsi="Times New Roman" w:cs="Times New Roman"/>
          <w:i/>
          <w:sz w:val="24"/>
          <w:szCs w:val="24"/>
        </w:rPr>
        <w:t>está</w:t>
      </w:r>
      <w:r w:rsidRPr="000D09CF">
        <w:rPr>
          <w:rFonts w:ascii="Times New Roman" w:hAnsi="Times New Roman" w:cs="Times New Roman"/>
          <w:i/>
          <w:sz w:val="24"/>
          <w:szCs w:val="24"/>
        </w:rPr>
        <w:t xml:space="preserve"> ahí para probar que las medidas protectoras surgen o bien de la tendencia natural de las naciones al bienestar, independencia  y poderío, o bien son debidas a las guerras y a las medidas mercantiles de carácter hostil aplicadas por naciones preferentemente manufactureras</w:t>
      </w:r>
      <w:r>
        <w:rPr>
          <w:rFonts w:ascii="Times New Roman" w:hAnsi="Times New Roman" w:cs="Times New Roman"/>
          <w:i/>
          <w:sz w:val="24"/>
          <w:szCs w:val="24"/>
        </w:rPr>
        <w:t>.</w:t>
      </w:r>
    </w:p>
    <w:p w:rsidR="00DF4323" w:rsidRPr="000D09CF" w:rsidRDefault="00DF4323" w:rsidP="00DF4323">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Por racional que sea la Confederación Universal (idea de la escuela), procedería irracionalmente una nación determinada si, en espera de los grandes beneficios que había de reportar esa unión  y la paz eterna, regulase las normas de su política nacional como si la confederación universal estuviese realizada. Sin duda alguna cualquier persona prudente tendría por insensato a un gobierno que, invocando los beneficios y la racionalidad de la paz eterna, desarmara sus ejércitos, destrozara sus buques de guerra y desmantelara sus fortificaciones. Semejante gobierno haría lo que la escuela exige a los gobiernos si, invocando las ventajas del libre cambio, renunciase a los beneficios del sistema protector.</w:t>
      </w:r>
    </w:p>
    <w:p w:rsidR="004C7251" w:rsidRDefault="00DF4323" w:rsidP="000E47DF">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 escuela no puede negar que el mercado interno de una nación es diez veces más importante que el exterior, aun cuando este último se encuentre en su ápice; sin embargo, no ha sacado de este hecho la inmediata consecuencia de que es diez veces más importante cultivar y asegurar el mercado interior que buscar las riquezas en el extranjero, y que el comercio exterior solo puede adquirir importancia en aquellas naciones que han elevado la industria del país</w:t>
      </w:r>
      <w:r w:rsidR="004C7251">
        <w:rPr>
          <w:rFonts w:ascii="Times New Roman" w:hAnsi="Times New Roman" w:cs="Times New Roman"/>
          <w:i/>
          <w:sz w:val="24"/>
          <w:szCs w:val="24"/>
        </w:rPr>
        <w:t xml:space="preserve"> a un alto grado de desarrollo… </w:t>
      </w:r>
      <w:r w:rsidRPr="000D09CF">
        <w:rPr>
          <w:rFonts w:ascii="Times New Roman" w:hAnsi="Times New Roman" w:cs="Times New Roman"/>
          <w:i/>
          <w:sz w:val="24"/>
          <w:szCs w:val="24"/>
        </w:rPr>
        <w:t>La escuela ha justipreciado la esencia del mercado en el aspecto cosmopolita, pero no en el político.</w:t>
      </w:r>
      <w:r w:rsidR="00992EA8">
        <w:rPr>
          <w:rFonts w:ascii="Times New Roman" w:hAnsi="Times New Roman" w:cs="Times New Roman"/>
          <w:i/>
          <w:sz w:val="24"/>
          <w:szCs w:val="24"/>
        </w:rPr>
        <w:t xml:space="preserve"> </w:t>
      </w:r>
      <w:r w:rsidRPr="000D09CF">
        <w:rPr>
          <w:rFonts w:ascii="Times New Roman" w:hAnsi="Times New Roman" w:cs="Times New Roman"/>
          <w:i/>
          <w:sz w:val="24"/>
          <w:szCs w:val="24"/>
        </w:rPr>
        <w:t>La ciencia no puede poner en duda la naturaleza de las peculiaridades nacionales, o ignorarlas o falsearlas, con el objeto de fomentar sus fines cosmopolitas. Estas finalidades solo pueden alcanzarse cuando se tiene en cuenta la naturaleza y, de acuerdo con ella, se procura orientar las distintas naciones a una meta más alta</w:t>
      </w:r>
      <w:r>
        <w:rPr>
          <w:rFonts w:ascii="Times New Roman" w:hAnsi="Times New Roman" w:cs="Times New Roman"/>
          <w:i/>
          <w:sz w:val="24"/>
          <w:szCs w:val="24"/>
        </w:rPr>
        <w:t>”..</w:t>
      </w:r>
      <w:r w:rsidRPr="000D09CF">
        <w:rPr>
          <w:rFonts w:ascii="Times New Roman" w:hAnsi="Times New Roman" w:cs="Times New Roman"/>
          <w:i/>
          <w:sz w:val="24"/>
          <w:szCs w:val="24"/>
        </w:rPr>
        <w:t>.</w:t>
      </w:r>
    </w:p>
    <w:p w:rsidR="000E47DF" w:rsidRPr="0083233C" w:rsidRDefault="00C74822" w:rsidP="000E47DF">
      <w:pPr>
        <w:spacing w:line="240" w:lineRule="auto"/>
        <w:jc w:val="both"/>
        <w:rPr>
          <w:rFonts w:ascii="Times New Roman" w:hAnsi="Times New Roman" w:cs="Times New Roman"/>
          <w:i/>
          <w:sz w:val="24"/>
          <w:szCs w:val="24"/>
        </w:rPr>
      </w:pPr>
      <w:r w:rsidRPr="0083233C">
        <w:rPr>
          <w:rFonts w:ascii="Times New Roman" w:hAnsi="Times New Roman" w:cs="Times New Roman"/>
          <w:b/>
          <w:sz w:val="24"/>
          <w:szCs w:val="24"/>
        </w:rPr>
        <w:lastRenderedPageBreak/>
        <w:t xml:space="preserve">- </w:t>
      </w:r>
      <w:r w:rsidR="00AF63CE" w:rsidRPr="0083233C">
        <w:rPr>
          <w:rFonts w:ascii="Times New Roman" w:hAnsi="Times New Roman" w:cs="Times New Roman"/>
          <w:b/>
          <w:sz w:val="24"/>
          <w:szCs w:val="24"/>
        </w:rPr>
        <w:t xml:space="preserve">Es </w:t>
      </w:r>
      <w:r w:rsidR="00AE6CFC" w:rsidRPr="0083233C">
        <w:rPr>
          <w:rFonts w:ascii="Times New Roman" w:hAnsi="Times New Roman" w:cs="Times New Roman"/>
          <w:b/>
          <w:sz w:val="24"/>
          <w:szCs w:val="24"/>
        </w:rPr>
        <w:t>difícil decir qué bala de plata</w:t>
      </w:r>
      <w:r w:rsidR="00AF63CE" w:rsidRPr="0083233C">
        <w:rPr>
          <w:rFonts w:ascii="Times New Roman" w:hAnsi="Times New Roman" w:cs="Times New Roman"/>
          <w:b/>
          <w:sz w:val="24"/>
          <w:szCs w:val="24"/>
        </w:rPr>
        <w:t xml:space="preserve"> puede resolver todo esto…</w:t>
      </w:r>
    </w:p>
    <w:p w:rsidR="00992EA8" w:rsidRPr="00992EA8" w:rsidRDefault="00992EA8" w:rsidP="000E47DF">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Recordemos -po</w:t>
      </w:r>
      <w:r>
        <w:rPr>
          <w:rFonts w:ascii="Times New Roman" w:hAnsi="Times New Roman" w:cs="Times New Roman"/>
          <w:sz w:val="24"/>
          <w:szCs w:val="24"/>
        </w:rPr>
        <w:t>r un momento- lo dicho en 1841:</w:t>
      </w:r>
    </w:p>
    <w:p w:rsidR="00B606A1" w:rsidRPr="000D09CF" w:rsidRDefault="00B606A1" w:rsidP="00B606A1">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0D09CF">
        <w:rPr>
          <w:rFonts w:ascii="Times New Roman" w:hAnsi="Times New Roman" w:cs="Times New Roman"/>
          <w:i/>
          <w:sz w:val="24"/>
          <w:szCs w:val="24"/>
        </w:rPr>
        <w:t>El sistema crediticio del estado es una de las más bellas creaciones del nuevo arte político, y una bendición para las naciones, cuando sirve de medio para distribuir entre varias generaciones el costo de aquellas obras y de los esfuerzos realizados por la generación actual, que benefician a la nacionalidad para los tiempos futuros, y garantizan su existencia, crecimiento, grandeza y potencialidad, y el incremento de la energía productiva; solo es una institución reprobable cuando sirve a un consumo nacional inútil, con lo que no solo no fomenta el progreso de  las generaciones futuras, sino que los priva por adelantado de los medios necesarios para crear grandiosas obras nacionales, o también cuando la carga de intereses de la deuda nacional recae sobre el consumo de las clases trabajadoras en lugar de hacerlo sobre el capital.</w:t>
      </w:r>
    </w:p>
    <w:p w:rsidR="00B606A1" w:rsidRPr="000D09CF" w:rsidRDefault="00B606A1" w:rsidP="00B606A1">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Las deudas públicas son letras que la generación presente libra contra la generación futura. Esto puede ocurrir en interés especial de la generación presente o de la futura, o en interés de ambas. Solo en el primer caso es reprobable dicho medio.</w:t>
      </w:r>
    </w:p>
    <w:p w:rsidR="00B606A1" w:rsidRPr="000D09CF" w:rsidRDefault="00B606A1" w:rsidP="00B606A1">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Ciertamente los productos tienen que ser creados antes de que puedan ser consumidos, y en este aspecto, necesariamente, la producción debe preceder, en general, al consumo. Ahora bien, en la economía popular y nacional es frecuente que el consumo preceda a la producción.</w:t>
      </w:r>
    </w:p>
    <w:p w:rsidR="00B606A1" w:rsidRPr="000D09CF" w:rsidRDefault="00B606A1" w:rsidP="00B606A1">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Cada ley, cada institución pública actúa robusteciendo o debilitando la producción, el consumo o las energías productivas.</w:t>
      </w:r>
    </w:p>
    <w:p w:rsidR="00B606A1" w:rsidRDefault="00B606A1" w:rsidP="00B606A1">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 xml:space="preserve">Los aranceles proteccionistas influyen como medios estimulantes sobre aquellos ramos de la industria interior que el extranjero provee mejor que la nación propia, pero para cuya producción está capacitado el propio país. Otorgan un premio: al empresario y al obrero, la posibilidad de adquirir nuevos conocimientos y técnicas; a los capitalistas extranjeros, la posibilidad de colocar sus capitales durante algún tiempo </w:t>
      </w:r>
      <w:r>
        <w:rPr>
          <w:rFonts w:ascii="Times New Roman" w:hAnsi="Times New Roman" w:cs="Times New Roman"/>
          <w:i/>
          <w:sz w:val="24"/>
          <w:szCs w:val="24"/>
        </w:rPr>
        <w:t>de modo especialmente lucrativo</w:t>
      </w:r>
      <w:r w:rsidR="004C7251">
        <w:rPr>
          <w:rFonts w:ascii="Times New Roman" w:hAnsi="Times New Roman" w:cs="Times New Roman"/>
          <w:i/>
          <w:sz w:val="24"/>
          <w:szCs w:val="24"/>
        </w:rPr>
        <w:t>”</w:t>
      </w:r>
      <w:r w:rsidRPr="000D09CF">
        <w:rPr>
          <w:rFonts w:ascii="Times New Roman" w:hAnsi="Times New Roman" w:cs="Times New Roman"/>
          <w:i/>
          <w:sz w:val="24"/>
          <w:szCs w:val="24"/>
        </w:rPr>
        <w:t>.</w:t>
      </w:r>
    </w:p>
    <w:p w:rsidR="00B606A1" w:rsidRPr="000D09CF" w:rsidRDefault="00B606A1" w:rsidP="00B606A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Vuelvo (imaginariamente) a </w:t>
      </w:r>
      <w:r w:rsidRPr="000D09CF">
        <w:rPr>
          <w:rFonts w:ascii="Times New Roman" w:hAnsi="Times New Roman" w:cs="Times New Roman"/>
          <w:sz w:val="24"/>
          <w:szCs w:val="24"/>
        </w:rPr>
        <w:t xml:space="preserve">Friedrich List: </w:t>
      </w:r>
    </w:p>
    <w:p w:rsidR="00B606A1" w:rsidRPr="000D09CF" w:rsidRDefault="00B606A1" w:rsidP="00B606A1">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estado puede y debe promover. El estado puede y debe regir. Hasta que ya no sea necesario. Es un problema cualitativo y cuantitativo. Una vez que la economía nacional alcanza un cierto nivel de desarrollo y las fuerzas productivas son competitivas, hay que dejar al emprendedor subordinado al mercado.</w:t>
      </w:r>
    </w:p>
    <w:p w:rsidR="00B606A1" w:rsidRPr="000D09CF" w:rsidRDefault="00B606A1" w:rsidP="00B606A1">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En la economía de mercado el estado debe mantener -y en muchos casos aumentar- su actitud de control.</w:t>
      </w:r>
    </w:p>
    <w:p w:rsidR="00B606A1" w:rsidRPr="000D09CF" w:rsidRDefault="00B606A1" w:rsidP="00B606A1">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xml:space="preserve">No hay libertad con paro, sin sanidad universal, sin educación pública, con precariedad laboral, con salarios de subsistencia, con promiscuidad, con </w:t>
      </w:r>
      <w:r>
        <w:rPr>
          <w:rFonts w:ascii="Times New Roman" w:hAnsi="Times New Roman" w:cs="Times New Roman"/>
          <w:sz w:val="24"/>
          <w:szCs w:val="24"/>
        </w:rPr>
        <w:t>criminalidad…</w:t>
      </w:r>
    </w:p>
    <w:p w:rsidR="00B606A1" w:rsidRPr="000D09CF" w:rsidRDefault="00B606A1" w:rsidP="00B606A1">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Hasta que estos aspectos no se aborden -y en gran medida solucionen- la libertad será para pocos.</w:t>
      </w:r>
    </w:p>
    <w:p w:rsidR="00B606A1" w:rsidRDefault="00B606A1" w:rsidP="00B606A1">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Al vigilante lo debe cont</w:t>
      </w:r>
      <w:r>
        <w:rPr>
          <w:rFonts w:ascii="Times New Roman" w:hAnsi="Times New Roman" w:cs="Times New Roman"/>
          <w:sz w:val="24"/>
          <w:szCs w:val="24"/>
        </w:rPr>
        <w:t>r</w:t>
      </w:r>
      <w:r w:rsidRPr="000D09CF">
        <w:rPr>
          <w:rFonts w:ascii="Times New Roman" w:hAnsi="Times New Roman" w:cs="Times New Roman"/>
          <w:sz w:val="24"/>
          <w:szCs w:val="24"/>
        </w:rPr>
        <w:t>olar el juez, el elector y la educación cívica.</w:t>
      </w:r>
    </w:p>
    <w:p w:rsidR="00B606A1" w:rsidRPr="000D09CF" w:rsidRDefault="007C1429" w:rsidP="00B606A1">
      <w:pPr>
        <w:spacing w:line="240" w:lineRule="auto"/>
        <w:jc w:val="both"/>
        <w:rPr>
          <w:rFonts w:ascii="Times New Roman" w:hAnsi="Times New Roman" w:cs="Times New Roman"/>
          <w:sz w:val="24"/>
          <w:szCs w:val="24"/>
        </w:rPr>
      </w:pPr>
      <w:r>
        <w:rPr>
          <w:rFonts w:ascii="Times New Roman" w:hAnsi="Times New Roman" w:cs="Times New Roman"/>
          <w:sz w:val="24"/>
          <w:szCs w:val="24"/>
        </w:rPr>
        <w:t>Los europeos</w:t>
      </w:r>
      <w:r w:rsidR="00B606A1">
        <w:rPr>
          <w:rFonts w:ascii="Times New Roman" w:hAnsi="Times New Roman" w:cs="Times New Roman"/>
          <w:sz w:val="24"/>
          <w:szCs w:val="24"/>
        </w:rPr>
        <w:t xml:space="preserve"> de a pie se enfrentan</w:t>
      </w:r>
      <w:r w:rsidR="00B606A1" w:rsidRPr="000D09CF">
        <w:rPr>
          <w:rFonts w:ascii="Times New Roman" w:hAnsi="Times New Roman" w:cs="Times New Roman"/>
          <w:sz w:val="24"/>
          <w:szCs w:val="24"/>
        </w:rPr>
        <w:t xml:space="preserve"> a una situación en que las inquietudes dom</w:t>
      </w:r>
      <w:r>
        <w:rPr>
          <w:rFonts w:ascii="Times New Roman" w:hAnsi="Times New Roman" w:cs="Times New Roman"/>
          <w:sz w:val="24"/>
          <w:szCs w:val="24"/>
        </w:rPr>
        <w:t>inan a las ilusiones, muchos se sienten</w:t>
      </w:r>
      <w:r w:rsidR="00B606A1" w:rsidRPr="000D09CF">
        <w:rPr>
          <w:rFonts w:ascii="Times New Roman" w:hAnsi="Times New Roman" w:cs="Times New Roman"/>
          <w:sz w:val="24"/>
          <w:szCs w:val="24"/>
        </w:rPr>
        <w:t xml:space="preserve"> víctimas colaterales de batallas económicas</w:t>
      </w:r>
      <w:r>
        <w:rPr>
          <w:rFonts w:ascii="Times New Roman" w:hAnsi="Times New Roman" w:cs="Times New Roman"/>
          <w:sz w:val="24"/>
          <w:szCs w:val="24"/>
        </w:rPr>
        <w:t xml:space="preserve"> que los</w:t>
      </w:r>
      <w:r w:rsidR="00B606A1" w:rsidRPr="000D09CF">
        <w:rPr>
          <w:rFonts w:ascii="Times New Roman" w:hAnsi="Times New Roman" w:cs="Times New Roman"/>
          <w:sz w:val="24"/>
          <w:szCs w:val="24"/>
        </w:rPr>
        <w:t xml:space="preserve"> dejan sin consuelo ni enseñanza. </w:t>
      </w:r>
      <w:r w:rsidR="00B606A1">
        <w:rPr>
          <w:rFonts w:ascii="Times New Roman" w:hAnsi="Times New Roman" w:cs="Times New Roman"/>
          <w:sz w:val="24"/>
          <w:szCs w:val="24"/>
        </w:rPr>
        <w:t>¿</w:t>
      </w:r>
      <w:r>
        <w:rPr>
          <w:rFonts w:ascii="Times New Roman" w:hAnsi="Times New Roman" w:cs="Times New Roman"/>
          <w:sz w:val="24"/>
          <w:szCs w:val="24"/>
        </w:rPr>
        <w:t>Son</w:t>
      </w:r>
      <w:r w:rsidR="00B606A1" w:rsidRPr="000D09CF">
        <w:rPr>
          <w:rFonts w:ascii="Times New Roman" w:hAnsi="Times New Roman" w:cs="Times New Roman"/>
          <w:sz w:val="24"/>
          <w:szCs w:val="24"/>
        </w:rPr>
        <w:t xml:space="preserve"> retazos o inválidos económicos</w:t>
      </w:r>
      <w:r w:rsidR="00B606A1">
        <w:rPr>
          <w:rFonts w:ascii="Times New Roman" w:hAnsi="Times New Roman" w:cs="Times New Roman"/>
          <w:sz w:val="24"/>
          <w:szCs w:val="24"/>
        </w:rPr>
        <w:t>?</w:t>
      </w:r>
      <w:r w:rsidR="00B606A1" w:rsidRPr="000D09CF">
        <w:rPr>
          <w:rFonts w:ascii="Times New Roman" w:hAnsi="Times New Roman" w:cs="Times New Roman"/>
          <w:sz w:val="24"/>
          <w:szCs w:val="24"/>
        </w:rPr>
        <w:t xml:space="preserve"> </w:t>
      </w:r>
      <w:r w:rsidR="00B606A1">
        <w:rPr>
          <w:rFonts w:ascii="Times New Roman" w:hAnsi="Times New Roman" w:cs="Times New Roman"/>
          <w:sz w:val="24"/>
          <w:szCs w:val="24"/>
        </w:rPr>
        <w:t>¿</w:t>
      </w:r>
      <w:r>
        <w:rPr>
          <w:rFonts w:ascii="Times New Roman" w:hAnsi="Times New Roman" w:cs="Times New Roman"/>
          <w:sz w:val="24"/>
          <w:szCs w:val="24"/>
        </w:rPr>
        <w:t>Están</w:t>
      </w:r>
      <w:r w:rsidR="00B606A1" w:rsidRPr="000D09CF">
        <w:rPr>
          <w:rFonts w:ascii="Times New Roman" w:hAnsi="Times New Roman" w:cs="Times New Roman"/>
          <w:sz w:val="24"/>
          <w:szCs w:val="24"/>
        </w:rPr>
        <w:t xml:space="preserve"> condenados al paro</w:t>
      </w:r>
      <w:r w:rsidR="00B606A1">
        <w:rPr>
          <w:rFonts w:ascii="Times New Roman" w:hAnsi="Times New Roman" w:cs="Times New Roman"/>
          <w:sz w:val="24"/>
          <w:szCs w:val="24"/>
        </w:rPr>
        <w:t xml:space="preserve"> y a </w:t>
      </w:r>
      <w:r w:rsidR="00B606A1">
        <w:rPr>
          <w:rFonts w:ascii="Times New Roman" w:hAnsi="Times New Roman" w:cs="Times New Roman"/>
          <w:sz w:val="24"/>
          <w:szCs w:val="24"/>
        </w:rPr>
        <w:lastRenderedPageBreak/>
        <w:t>la precariedad permanente?</w:t>
      </w:r>
      <w:r w:rsidR="00B606A1" w:rsidRPr="000D09CF">
        <w:rPr>
          <w:rFonts w:ascii="Times New Roman" w:hAnsi="Times New Roman" w:cs="Times New Roman"/>
          <w:sz w:val="24"/>
          <w:szCs w:val="24"/>
        </w:rPr>
        <w:t xml:space="preserve"> </w:t>
      </w:r>
      <w:r w:rsidR="00B606A1">
        <w:rPr>
          <w:rFonts w:ascii="Times New Roman" w:hAnsi="Times New Roman" w:cs="Times New Roman"/>
          <w:sz w:val="24"/>
          <w:szCs w:val="24"/>
        </w:rPr>
        <w:t>¿</w:t>
      </w:r>
      <w:r w:rsidR="00B606A1" w:rsidRPr="000D09CF">
        <w:rPr>
          <w:rFonts w:ascii="Times New Roman" w:hAnsi="Times New Roman" w:cs="Times New Roman"/>
          <w:sz w:val="24"/>
          <w:szCs w:val="24"/>
        </w:rPr>
        <w:t>La indivisib</w:t>
      </w:r>
      <w:r>
        <w:rPr>
          <w:rFonts w:ascii="Times New Roman" w:hAnsi="Times New Roman" w:cs="Times New Roman"/>
          <w:sz w:val="24"/>
          <w:szCs w:val="24"/>
        </w:rPr>
        <w:t>le republica de comerciantes les</w:t>
      </w:r>
      <w:r w:rsidR="00B606A1" w:rsidRPr="000D09CF">
        <w:rPr>
          <w:rFonts w:ascii="Times New Roman" w:hAnsi="Times New Roman" w:cs="Times New Roman"/>
          <w:sz w:val="24"/>
          <w:szCs w:val="24"/>
        </w:rPr>
        <w:t xml:space="preserve"> ofrece una prosperidad gen</w:t>
      </w:r>
      <w:r w:rsidR="00B606A1">
        <w:rPr>
          <w:rFonts w:ascii="Times New Roman" w:hAnsi="Times New Roman" w:cs="Times New Roman"/>
          <w:sz w:val="24"/>
          <w:szCs w:val="24"/>
        </w:rPr>
        <w:t>eral o una continua decadencia?</w:t>
      </w:r>
    </w:p>
    <w:p w:rsidR="00B606A1" w:rsidRPr="000D09CF" w:rsidRDefault="00B606A1" w:rsidP="00B606A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09CF">
        <w:rPr>
          <w:rFonts w:ascii="Times New Roman" w:hAnsi="Times New Roman" w:cs="Times New Roman"/>
          <w:sz w:val="24"/>
          <w:szCs w:val="24"/>
        </w:rPr>
        <w:t xml:space="preserve">La única </w:t>
      </w:r>
      <w:r w:rsidR="007C1429" w:rsidRPr="000D09CF">
        <w:rPr>
          <w:rFonts w:ascii="Times New Roman" w:hAnsi="Times New Roman" w:cs="Times New Roman"/>
          <w:sz w:val="24"/>
          <w:szCs w:val="24"/>
        </w:rPr>
        <w:t>opción</w:t>
      </w:r>
      <w:r>
        <w:rPr>
          <w:rFonts w:ascii="Times New Roman" w:hAnsi="Times New Roman" w:cs="Times New Roman"/>
          <w:sz w:val="24"/>
          <w:szCs w:val="24"/>
        </w:rPr>
        <w:t xml:space="preserve"> es </w:t>
      </w:r>
      <w:r w:rsidR="007C1429">
        <w:rPr>
          <w:rFonts w:ascii="Times New Roman" w:hAnsi="Times New Roman" w:cs="Times New Roman"/>
          <w:sz w:val="24"/>
          <w:szCs w:val="24"/>
        </w:rPr>
        <w:t>más</w:t>
      </w:r>
      <w:r>
        <w:rPr>
          <w:rFonts w:ascii="Times New Roman" w:hAnsi="Times New Roman" w:cs="Times New Roman"/>
          <w:sz w:val="24"/>
          <w:szCs w:val="24"/>
        </w:rPr>
        <w:t xml:space="preserve"> paro o menos salario?</w:t>
      </w:r>
      <w:r w:rsidRPr="000D09CF">
        <w:rPr>
          <w:rFonts w:ascii="Times New Roman" w:hAnsi="Times New Roman" w:cs="Times New Roman"/>
          <w:sz w:val="24"/>
          <w:szCs w:val="24"/>
        </w:rPr>
        <w:t xml:space="preserve"> </w:t>
      </w:r>
      <w:r>
        <w:rPr>
          <w:rFonts w:ascii="Times New Roman" w:hAnsi="Times New Roman" w:cs="Times New Roman"/>
          <w:sz w:val="24"/>
          <w:szCs w:val="24"/>
        </w:rPr>
        <w:t>¿</w:t>
      </w:r>
      <w:r w:rsidRPr="000D09CF">
        <w:rPr>
          <w:rFonts w:ascii="Times New Roman" w:hAnsi="Times New Roman" w:cs="Times New Roman"/>
          <w:sz w:val="24"/>
          <w:szCs w:val="24"/>
        </w:rPr>
        <w:t>La única economía</w:t>
      </w:r>
      <w:r w:rsidR="007C1429">
        <w:rPr>
          <w:rFonts w:ascii="Times New Roman" w:hAnsi="Times New Roman" w:cs="Times New Roman"/>
          <w:sz w:val="24"/>
          <w:szCs w:val="24"/>
        </w:rPr>
        <w:t xml:space="preserve"> por venir es la especulativa?</w:t>
      </w:r>
    </w:p>
    <w:p w:rsidR="00B606A1" w:rsidRDefault="00B606A1" w:rsidP="00B606A1">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La liberación del comercio, el comercio sin normas, el modelo global, la mundialización, la deflación</w:t>
      </w:r>
      <w:r w:rsidR="007C1429">
        <w:rPr>
          <w:rFonts w:ascii="Times New Roman" w:hAnsi="Times New Roman" w:cs="Times New Roman"/>
          <w:sz w:val="24"/>
          <w:szCs w:val="24"/>
        </w:rPr>
        <w:t xml:space="preserve"> competitiva, los llenan de inseguridad. Sienten</w:t>
      </w:r>
      <w:r w:rsidRPr="000D09CF">
        <w:rPr>
          <w:rFonts w:ascii="Times New Roman" w:hAnsi="Times New Roman" w:cs="Times New Roman"/>
          <w:sz w:val="24"/>
          <w:szCs w:val="24"/>
        </w:rPr>
        <w:t xml:space="preserve"> temor a un mañana incierto</w:t>
      </w:r>
      <w:r w:rsidR="007C1429">
        <w:rPr>
          <w:rFonts w:ascii="Times New Roman" w:hAnsi="Times New Roman" w:cs="Times New Roman"/>
          <w:sz w:val="24"/>
          <w:szCs w:val="24"/>
        </w:rPr>
        <w:t>…</w:t>
      </w:r>
    </w:p>
    <w:p w:rsidR="007C1429" w:rsidRPr="000D09CF" w:rsidRDefault="007C1429" w:rsidP="007C142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Mientras el merc</w:t>
      </w:r>
      <w:r>
        <w:rPr>
          <w:rFonts w:ascii="Times New Roman" w:hAnsi="Times New Roman" w:cs="Times New Roman"/>
          <w:sz w:val="24"/>
          <w:szCs w:val="24"/>
        </w:rPr>
        <w:t>ado y solo el mercado manda, se enfrentan</w:t>
      </w:r>
      <w:r w:rsidRPr="000D09CF">
        <w:rPr>
          <w:rFonts w:ascii="Times New Roman" w:hAnsi="Times New Roman" w:cs="Times New Roman"/>
          <w:sz w:val="24"/>
          <w:szCs w:val="24"/>
        </w:rPr>
        <w:t xml:space="preserve"> a la crisis del estado providencia, a la crisis del trabajo y a la crisis del sujeto. A medida que flaquea el apoyo de las instituciones de encuadramiento y a las normas sociales de conducta, brota una angustia tan difusa como apremiante. Incapaces de analizar claram</w:t>
      </w:r>
      <w:r>
        <w:rPr>
          <w:rFonts w:ascii="Times New Roman" w:hAnsi="Times New Roman" w:cs="Times New Roman"/>
          <w:sz w:val="24"/>
          <w:szCs w:val="24"/>
        </w:rPr>
        <w:t>ente sus mecanismos, polarizan sus</w:t>
      </w:r>
      <w:r w:rsidRPr="000D09CF">
        <w:rPr>
          <w:rFonts w:ascii="Times New Roman" w:hAnsi="Times New Roman" w:cs="Times New Roman"/>
          <w:sz w:val="24"/>
          <w:szCs w:val="24"/>
        </w:rPr>
        <w:t xml:space="preserve"> actitudes sobre las formas más elementales de tranquilidad: la del retorno del gendarme y la de la respuesta “para-religiosa”, con el fenómeno de las sectas.</w:t>
      </w:r>
    </w:p>
    <w:p w:rsidR="007C1429" w:rsidRPr="000D09CF" w:rsidRDefault="007C1429" w:rsidP="007C1429">
      <w:pPr>
        <w:spacing w:line="240" w:lineRule="auto"/>
        <w:jc w:val="both"/>
        <w:rPr>
          <w:rFonts w:ascii="Times New Roman" w:hAnsi="Times New Roman" w:cs="Times New Roman"/>
          <w:sz w:val="24"/>
          <w:szCs w:val="24"/>
        </w:rPr>
      </w:pPr>
      <w:r>
        <w:rPr>
          <w:rFonts w:ascii="Times New Roman" w:hAnsi="Times New Roman" w:cs="Times New Roman"/>
          <w:sz w:val="24"/>
          <w:szCs w:val="24"/>
        </w:rPr>
        <w:t>¿Serán</w:t>
      </w:r>
      <w:r w:rsidRPr="000D09CF">
        <w:rPr>
          <w:rFonts w:ascii="Times New Roman" w:hAnsi="Times New Roman" w:cs="Times New Roman"/>
          <w:sz w:val="24"/>
          <w:szCs w:val="24"/>
        </w:rPr>
        <w:t xml:space="preserve"> resignados “números” del ejercito laboral de reserva, sin participación política</w:t>
      </w:r>
      <w:r>
        <w:rPr>
          <w:rFonts w:ascii="Times New Roman" w:hAnsi="Times New Roman" w:cs="Times New Roman"/>
          <w:sz w:val="24"/>
          <w:szCs w:val="24"/>
        </w:rPr>
        <w:t>?</w:t>
      </w:r>
    </w:p>
    <w:p w:rsidR="007C1429" w:rsidRPr="000D09CF" w:rsidRDefault="007C1429" w:rsidP="007C1429">
      <w:pPr>
        <w:spacing w:line="240" w:lineRule="auto"/>
        <w:jc w:val="both"/>
        <w:rPr>
          <w:rFonts w:ascii="Times New Roman" w:hAnsi="Times New Roman" w:cs="Times New Roman"/>
          <w:sz w:val="24"/>
          <w:szCs w:val="24"/>
        </w:rPr>
      </w:pPr>
      <w:r>
        <w:rPr>
          <w:rFonts w:ascii="Times New Roman" w:hAnsi="Times New Roman" w:cs="Times New Roman"/>
          <w:sz w:val="24"/>
          <w:szCs w:val="24"/>
        </w:rPr>
        <w:t>La dualización los deja fuera del bienestar, los</w:t>
      </w:r>
      <w:r w:rsidRPr="000D09CF">
        <w:rPr>
          <w:rFonts w:ascii="Times New Roman" w:hAnsi="Times New Roman" w:cs="Times New Roman"/>
          <w:sz w:val="24"/>
          <w:szCs w:val="24"/>
        </w:rPr>
        <w:t xml:space="preserve"> deja fuera del futuro.</w:t>
      </w:r>
    </w:p>
    <w:p w:rsidR="007C1429" w:rsidRDefault="007C1429" w:rsidP="007C1429">
      <w:pPr>
        <w:spacing w:line="240" w:lineRule="auto"/>
        <w:jc w:val="both"/>
        <w:rPr>
          <w:rFonts w:ascii="Times New Roman" w:hAnsi="Times New Roman" w:cs="Times New Roman"/>
          <w:sz w:val="24"/>
          <w:szCs w:val="24"/>
        </w:rPr>
      </w:pPr>
      <w:r>
        <w:rPr>
          <w:rFonts w:ascii="Times New Roman" w:hAnsi="Times New Roman" w:cs="Times New Roman"/>
          <w:sz w:val="24"/>
          <w:szCs w:val="24"/>
        </w:rPr>
        <w:t>¿Cómo votaran los perdedores?</w:t>
      </w:r>
      <w:r w:rsidRPr="000D09CF">
        <w:rPr>
          <w:rFonts w:ascii="Times New Roman" w:hAnsi="Times New Roman" w:cs="Times New Roman"/>
          <w:sz w:val="24"/>
          <w:szCs w:val="24"/>
        </w:rPr>
        <w:t xml:space="preserve"> </w:t>
      </w:r>
      <w:r>
        <w:rPr>
          <w:rFonts w:ascii="Times New Roman" w:hAnsi="Times New Roman" w:cs="Times New Roman"/>
          <w:sz w:val="24"/>
          <w:szCs w:val="24"/>
        </w:rPr>
        <w:t>¿Cuánto se demorara la rebelión?</w:t>
      </w:r>
    </w:p>
    <w:p w:rsidR="007C1429" w:rsidRDefault="007C1429" w:rsidP="007C142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grado de apertura comercial depende de la etapa de desarrollo. Así el libre cambio puede ser conveniente  tanto para países muy atrasados, diríamos ahora, exportadores de materias primas, al igual que para un país que, como Inglaterra -en su momento- y Estados Unidos -actualmente-, ha alcanzado ya la madurez industrial. Sin embargo recomiendo el proteccionismo para los países que tienen condiciones para i</w:t>
      </w:r>
      <w:r>
        <w:rPr>
          <w:rFonts w:ascii="Times New Roman" w:hAnsi="Times New Roman" w:cs="Times New Roman"/>
          <w:sz w:val="24"/>
          <w:szCs w:val="24"/>
        </w:rPr>
        <w:t>ndustrializarse</w:t>
      </w:r>
      <w:r w:rsidRPr="000D09CF">
        <w:rPr>
          <w:rFonts w:ascii="Times New Roman" w:hAnsi="Times New Roman" w:cs="Times New Roman"/>
          <w:sz w:val="24"/>
          <w:szCs w:val="24"/>
        </w:rPr>
        <w:t>.</w:t>
      </w:r>
    </w:p>
    <w:p w:rsidR="006832F6" w:rsidRPr="000D09CF" w:rsidRDefault="006832F6" w:rsidP="006832F6">
      <w:pPr>
        <w:spacing w:line="240" w:lineRule="auto"/>
        <w:jc w:val="both"/>
        <w:rPr>
          <w:rFonts w:ascii="Times New Roman" w:hAnsi="Times New Roman" w:cs="Times New Roman"/>
          <w:sz w:val="24"/>
          <w:szCs w:val="24"/>
        </w:rPr>
      </w:pPr>
      <w:r>
        <w:rPr>
          <w:rFonts w:ascii="Times New Roman" w:hAnsi="Times New Roman" w:cs="Times New Roman"/>
          <w:sz w:val="24"/>
          <w:szCs w:val="24"/>
        </w:rPr>
        <w:t>El proteccionismo s</w:t>
      </w:r>
      <w:r w:rsidRPr="000D09CF">
        <w:rPr>
          <w:rFonts w:ascii="Times New Roman" w:hAnsi="Times New Roman" w:cs="Times New Roman"/>
          <w:sz w:val="24"/>
          <w:szCs w:val="24"/>
        </w:rPr>
        <w:t>igue valiendo para los países que arriesgan su independencia y poder nacional ante el “dictado” del libre cambio que beneficia al “dominante” de turno.</w:t>
      </w:r>
    </w:p>
    <w:p w:rsidR="006832F6" w:rsidRPr="000D09CF" w:rsidRDefault="006832F6" w:rsidP="006832F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proteccionismo a la industria es un medio y no un fin. Al principio, para un país atrasado debe prevalecer el libre cambio; el proteccionismo debe darse cuando existen condiciones suficientes para la industrialización; cuando la economía está madura, ya no se requiere.</w:t>
      </w:r>
    </w:p>
    <w:p w:rsidR="006832F6" w:rsidRPr="000D09CF" w:rsidRDefault="006832F6" w:rsidP="006832F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sistema aduanero no es como se pretende, un arbitrio mental, sino una natural consecuencia de la aspiración de las naciones a encontrar garantías de permanencia y prosperidad, o a lograr un dominio eminente.</w:t>
      </w:r>
    </w:p>
    <w:p w:rsidR="006832F6" w:rsidRPr="000D09CF" w:rsidRDefault="006832F6" w:rsidP="006832F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Este empeño es, sin embargo, algo legítimo y racional si la nación que</w:t>
      </w:r>
      <w:r>
        <w:rPr>
          <w:rFonts w:ascii="Times New Roman" w:hAnsi="Times New Roman" w:cs="Times New Roman"/>
          <w:sz w:val="24"/>
          <w:szCs w:val="24"/>
        </w:rPr>
        <w:t xml:space="preserve"> a é</w:t>
      </w:r>
      <w:r w:rsidRPr="000D09CF">
        <w:rPr>
          <w:rFonts w:ascii="Times New Roman" w:hAnsi="Times New Roman" w:cs="Times New Roman"/>
          <w:sz w:val="24"/>
          <w:szCs w:val="24"/>
        </w:rPr>
        <w:t>l recurre se ve estimulada y no obstaculizada en su desarrollo económico, y si tal tendencia no es hostil a la finalidad más alta de la humanidad, la confederación universal del futuro.</w:t>
      </w:r>
    </w:p>
    <w:p w:rsidR="006832F6" w:rsidRPr="000D09CF" w:rsidRDefault="006832F6" w:rsidP="006832F6">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Recordemos -por un momento- lo dicho en 1841:</w:t>
      </w:r>
    </w:p>
    <w:p w:rsidR="006832F6" w:rsidRPr="000D09CF" w:rsidRDefault="006832F6" w:rsidP="006832F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“El funcionario más inexperto, cuyos cuadernos cosmopolitas mantenían fresca la tinta de sus apuntes, creía necesario perfilar un gesto de desprecio en cuanto un consejero experto o negociante capaz y observador hablaba de los aranceles proteccionistas.</w:t>
      </w:r>
    </w:p>
    <w:p w:rsidR="006832F6" w:rsidRPr="000D09CF" w:rsidRDefault="006832F6" w:rsidP="006832F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 xml:space="preserve">Obligados por los progresos anteriores de otras naciones, por los sistemas aduaneros de otros pueblos y por la guerra, algunas naciones menos adelantadas se han visto obligadas a buscar los medios para llevar a cabo la transición del estado agrícola al manufacturero, limitando mediante un sistema aduanero propio, el comercio con otras naciones más </w:t>
      </w:r>
      <w:r w:rsidRPr="000D09CF">
        <w:rPr>
          <w:rFonts w:ascii="Times New Roman" w:hAnsi="Times New Roman" w:cs="Times New Roman"/>
          <w:i/>
          <w:sz w:val="24"/>
          <w:szCs w:val="24"/>
        </w:rPr>
        <w:lastRenderedPageBreak/>
        <w:t>adelantadas y animadas por un afán de monopolio manufacturero que aquellas consideran perjudicial.</w:t>
      </w:r>
    </w:p>
    <w:p w:rsidR="006832F6" w:rsidRPr="000D09CF" w:rsidRDefault="006832F6" w:rsidP="006832F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Aunque el arancel protector encarece por algún tiempo los artículos industriales de un país, garantiza en el futuro precios más baratos, a causa de la competencia externa.</w:t>
      </w:r>
    </w:p>
    <w:p w:rsidR="006832F6" w:rsidRPr="000D09CF" w:rsidRDefault="006832F6" w:rsidP="006832F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 pérdida que para la nación resulta como consecuencia del arancel protector, consiste solo en valores; en cambio, gana energías, mediante las cuales queda situada para siempre en disposición de producir incalculables sumas de valores. El gasto de valores debe considerarse solamente como el precio de la educación industrial de la nación.</w:t>
      </w:r>
    </w:p>
    <w:p w:rsidR="006832F6" w:rsidRPr="000D09CF" w:rsidRDefault="006832F6" w:rsidP="006832F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Un adecuado sistema protector no otorga a los industriales del país monopolio alguno, sino solo una garantía contra las pérdidas de aquellos individuos que dedican sus capitales, talentos y energías a industrias aún desconocidas.</w:t>
      </w:r>
    </w:p>
    <w:p w:rsidR="006832F6" w:rsidRPr="000D09CF" w:rsidRDefault="006832F6" w:rsidP="006832F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No otorga ningún monopolio porque aparece la competencia nacional en lugar de la extranjera, y porque cualquier miembro de la nación tiene derecho a participar en las primas ofrecidas por la nación a los individuos.</w:t>
      </w:r>
    </w:p>
    <w:p w:rsidR="006832F6" w:rsidRPr="000D09CF" w:rsidRDefault="006832F6" w:rsidP="006832F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Solo otorga un monopolio a los ciudadanos de la propia nación contra los súbditos de naciones extranjeras, que a su vez poseen para si un monopolio análogo.</w:t>
      </w:r>
    </w:p>
    <w:p w:rsidR="006832F6" w:rsidRPr="000D09CF" w:rsidRDefault="006832F6" w:rsidP="006832F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Ahora bien, este monopolio es provechoso, no solo porque despierta las energías productivas aletargadas e inactivas, sino también porque atrae al país energías productivas exóticas (capitales materiales e intelectuales, empresarios, técnicos y obreros).</w:t>
      </w:r>
    </w:p>
    <w:p w:rsidR="006832F6" w:rsidRPr="000D09CF" w:rsidRDefault="006832F6" w:rsidP="006832F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Frente a esto, en cualquier nación de vieja cultura cuyas fuerzas no pueden ser estimuladas de modo notorio por la explotación de materias primas y artículos agrícolas y por la importación de manufacturas extranjeras, el estancamiento de la energía industrial trae consigo grandes y variados perjuicios.</w:t>
      </w:r>
    </w:p>
    <w:p w:rsidR="006832F6" w:rsidRPr="000D09CF" w:rsidRDefault="006832F6" w:rsidP="006832F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 historia ofrece ejemplos de naciones que han sucumbido porque no supieron resolver a tiempo la gran misión de asegurar su independencia intelectual, económica y política, estableciendo manufacturas propias y un vigoroso estamento industrial y mercantil.</w:t>
      </w:r>
    </w:p>
    <w:p w:rsidR="006832F6" w:rsidRPr="000D09CF" w:rsidRDefault="006832F6" w:rsidP="006832F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Las medidas protectoras únicamente pueden justificarse cuando se persigue el fomento y protección de la energía manufacturera nacional, y solo en aquellas naciones que, contando con un territorio extenso y bien articulado, una gran población, la posesión de fuentes auxiliares naturales, una agricultura muy adelantada, un elevado grado de civilización y cultura política, están llamadas a mantenerse a igual nivel que las primeras naciones agrícolas-manufactureras-comerciales, y las máximas potencias marítimas y terrestres.</w:t>
      </w:r>
    </w:p>
    <w:p w:rsidR="006832F6" w:rsidRPr="000D09CF" w:rsidRDefault="006832F6" w:rsidP="006832F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 protección se otorga bien mediante la prohibición absoluta de ciertos artículos manufacturados, o mediante aduanas elevadas que equivalen a una prohibición, o por medio de moderados aranceles sobre la importación. Ninguna de estas modalidades protectoras  es excelente o reprobable en términos absolutos; de las especiales circunstancias de la nación y del estado de su industria depende de cuál de esas formas sea la más adecuada.</w:t>
      </w:r>
    </w:p>
    <w:p w:rsidR="006832F6" w:rsidRPr="000D09CF" w:rsidRDefault="006832F6" w:rsidP="006832F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 xml:space="preserve">Los aranceles solo deben aumentar proporcionalmente a cómo crecen o afluyen desde fuera los capitales, la destreza industrial y el espíritu de empresa; proporcionalmente a como la nación misma se halla en disposición de elaborar sus excedentes, que antes exportaba, de materias primas y productos extractivos. Es, en cambio, de especial utilidad que determine de antemano la escala de los crecientes aranceles de importación, para que se ofrezcan </w:t>
      </w:r>
      <w:r w:rsidRPr="000D09CF">
        <w:rPr>
          <w:rFonts w:ascii="Times New Roman" w:hAnsi="Times New Roman" w:cs="Times New Roman"/>
          <w:i/>
          <w:sz w:val="24"/>
          <w:szCs w:val="24"/>
        </w:rPr>
        <w:lastRenderedPageBreak/>
        <w:t>primas seguras a los capitalistas, técnicos y obreros que se forman en la nación o que pueden ser traídos del exterior. Es indispensable mantener de modo inquebrantable estos tipos de arancelarios, sin disminuirlos antes de tiempo, puesto que el temor al quebrantamiento de una promesa anularía en gran parte el efecto de esa concesión de primas.</w:t>
      </w:r>
    </w:p>
    <w:p w:rsidR="006832F6" w:rsidRPr="000D09CF" w:rsidRDefault="006832F6" w:rsidP="006832F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Las primas son reprobables como recurso permanente para sostener la exportación y competencia de las fábricas nacionales con las fábricas de naciones más adelantadas, en los mercados de terceras naciones; pero todavía resultan más reprobables como medio para conquistar los mercados manufactureros de aquellas naciones que han hecho ya notables progresos industriales.</w:t>
      </w:r>
    </w:p>
    <w:p w:rsidR="006832F6" w:rsidRPr="000D09CF" w:rsidRDefault="006832F6" w:rsidP="006832F6">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La escuela ignora que en un régimen de competencia completamente libre con naciones manufactureras muy adelantadas, una nación que se halla en un nivel más bajo, aunque tiene ante sí un porvenir risueño, sin medidas protectoras nunca podrá desarrollar por completo una energía manufacturera, ni llegar a la plena independencia nacional.</w:t>
      </w:r>
    </w:p>
    <w:p w:rsidR="00E50DF5" w:rsidRPr="000D09CF" w:rsidRDefault="00E50DF5" w:rsidP="00E50DF5">
      <w:pPr>
        <w:spacing w:line="240" w:lineRule="auto"/>
        <w:jc w:val="both"/>
        <w:rPr>
          <w:rFonts w:ascii="Times New Roman" w:hAnsi="Times New Roman" w:cs="Times New Roman"/>
          <w:i/>
          <w:sz w:val="24"/>
          <w:szCs w:val="24"/>
        </w:rPr>
      </w:pPr>
      <w:r>
        <w:rPr>
          <w:rFonts w:ascii="Times New Roman" w:hAnsi="Times New Roman" w:cs="Times New Roman"/>
          <w:i/>
          <w:sz w:val="24"/>
          <w:szCs w:val="24"/>
        </w:rPr>
        <w:t>... Hemos de referirnos..</w:t>
      </w:r>
      <w:r w:rsidRPr="000D09CF">
        <w:rPr>
          <w:rFonts w:ascii="Times New Roman" w:hAnsi="Times New Roman" w:cs="Times New Roman"/>
          <w:i/>
          <w:sz w:val="24"/>
          <w:szCs w:val="24"/>
        </w:rPr>
        <w:t>.</w:t>
      </w:r>
      <w:r>
        <w:rPr>
          <w:rFonts w:ascii="Times New Roman" w:hAnsi="Times New Roman" w:cs="Times New Roman"/>
          <w:i/>
          <w:sz w:val="24"/>
          <w:szCs w:val="24"/>
        </w:rPr>
        <w:t xml:space="preserve"> </w:t>
      </w:r>
      <w:r w:rsidRPr="000D09CF">
        <w:rPr>
          <w:rFonts w:ascii="Times New Roman" w:hAnsi="Times New Roman" w:cs="Times New Roman"/>
          <w:i/>
          <w:sz w:val="24"/>
          <w:szCs w:val="24"/>
        </w:rPr>
        <w:t>a los tratados mercantiles que contienen concesiones arancelarias de carácter reciproco. La escuela reprueba estos tratados como innecesarios y perjudiciales; en cambio a nosotros nos parecen el medio más eficaz para atenuar paulatinamente las reciprocas limitaciones al comercio, para llevar las naciones, poco a poco, a un nivel de libre tráfico mundial.</w:t>
      </w:r>
    </w:p>
    <w:p w:rsidR="00E50DF5" w:rsidRDefault="00E50DF5" w:rsidP="00E50DF5">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De acuerdo con nuestras anteriores deducciones, la protección solo es llevadera para la prosperidad de la nación en cuanto corresponde al grado de cultura industrial del país -siendo, en cambio, perjudicial cualquier exageración del sistema protector-; en efecto, las naciones solo paulatinamente pueden llegar a poseer una energía manufacturera completa.</w:t>
      </w:r>
    </w:p>
    <w:p w:rsidR="00E50DF5" w:rsidRPr="000D09CF" w:rsidRDefault="00E50DF5" w:rsidP="00E50DF5">
      <w:pPr>
        <w:spacing w:line="240" w:lineRule="auto"/>
        <w:jc w:val="both"/>
        <w:rPr>
          <w:rFonts w:ascii="Times New Roman" w:hAnsi="Times New Roman" w:cs="Times New Roman"/>
          <w:i/>
          <w:sz w:val="24"/>
          <w:szCs w:val="24"/>
        </w:rPr>
      </w:pPr>
      <w:r w:rsidRPr="000D09CF">
        <w:rPr>
          <w:rFonts w:ascii="Times New Roman" w:hAnsi="Times New Roman" w:cs="Times New Roman"/>
          <w:i/>
          <w:sz w:val="24"/>
          <w:szCs w:val="24"/>
        </w:rPr>
        <w:t>(Con referencia al arancel protector que en ese momento era de un 20 a un 60 por ciento) No es verdad, por consiguiente, lo que la escuela afirma; que el arancel protector encarece los artículos nacionales por el importe del arancel protector. Durante un buen tiempo puede dar lugar a encarecimiento, pero en una nación apta para la energía fabril, la protección pronto tiene que dar lugar a que los precios bajen, por efecto de la competencia nacional, mucho más de lo que lo hubieran hecho en el caso de la importación libre.</w:t>
      </w:r>
    </w:p>
    <w:p w:rsidR="00E50DF5" w:rsidRDefault="00E50DF5" w:rsidP="00E50DF5">
      <w:pPr>
        <w:spacing w:line="240" w:lineRule="auto"/>
        <w:jc w:val="both"/>
        <w:rPr>
          <w:rFonts w:ascii="Times New Roman" w:hAnsi="Times New Roman" w:cs="Times New Roman"/>
          <w:i/>
          <w:sz w:val="24"/>
          <w:szCs w:val="24"/>
        </w:rPr>
      </w:pPr>
      <w:r>
        <w:rPr>
          <w:rFonts w:ascii="Times New Roman" w:hAnsi="Times New Roman" w:cs="Times New Roman"/>
          <w:i/>
          <w:sz w:val="24"/>
          <w:szCs w:val="24"/>
        </w:rPr>
        <w:t xml:space="preserve">... </w:t>
      </w:r>
      <w:r w:rsidRPr="000D09CF">
        <w:rPr>
          <w:rFonts w:ascii="Times New Roman" w:hAnsi="Times New Roman" w:cs="Times New Roman"/>
          <w:i/>
          <w:sz w:val="24"/>
          <w:szCs w:val="24"/>
        </w:rPr>
        <w:t>En nuestros días las opiniones privadas de los “jefes de departamento”, incluso en los estados no constitucionales, significan poco cuando están en pugna con la opinión pública y los intereses materiales de la nación entera, y más aún si implican retrocesos que ponen en peligro el conjunto de la nacionalidad</w:t>
      </w:r>
      <w:r w:rsidR="004C7251">
        <w:rPr>
          <w:rFonts w:ascii="Times New Roman" w:hAnsi="Times New Roman" w:cs="Times New Roman"/>
          <w:i/>
          <w:sz w:val="24"/>
          <w:szCs w:val="24"/>
        </w:rPr>
        <w:t>”..</w:t>
      </w:r>
      <w:r w:rsidRPr="000D09CF">
        <w:rPr>
          <w:rFonts w:ascii="Times New Roman" w:hAnsi="Times New Roman" w:cs="Times New Roman"/>
          <w:i/>
          <w:sz w:val="24"/>
          <w:szCs w:val="24"/>
        </w:rPr>
        <w:t>.</w:t>
      </w:r>
    </w:p>
    <w:p w:rsidR="00E50DF5" w:rsidRPr="000D09CF" w:rsidRDefault="00E50DF5" w:rsidP="00E50DF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Vuelvo (imaginariamente) a </w:t>
      </w:r>
      <w:r w:rsidRPr="000D09CF">
        <w:rPr>
          <w:rFonts w:ascii="Times New Roman" w:hAnsi="Times New Roman" w:cs="Times New Roman"/>
          <w:sz w:val="24"/>
          <w:szCs w:val="24"/>
        </w:rPr>
        <w:t xml:space="preserve">Friedrich List: </w:t>
      </w:r>
    </w:p>
    <w:p w:rsidR="00E50DF5" w:rsidRPr="000D09CF" w:rsidRDefault="00E50DF5" w:rsidP="00E50DF5">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Creo que está suficientemente claro el sentido de mi defensa del proteccionismo.</w:t>
      </w:r>
    </w:p>
    <w:p w:rsidR="00E50DF5" w:rsidRPr="000D09CF" w:rsidRDefault="00E50DF5" w:rsidP="00E50DF5">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Puede que algunos sigan elaborando “espantapájaros” y haciendo del libre cambio un asunto de fe y razón.</w:t>
      </w:r>
    </w:p>
    <w:p w:rsidR="00E50DF5" w:rsidRPr="000D09CF" w:rsidRDefault="00E50DF5" w:rsidP="00E50DF5">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Parece increíble que tan pocos hayan podido engañar a tantos durante tanto tiempo.</w:t>
      </w:r>
    </w:p>
    <w:p w:rsidR="00E50DF5" w:rsidRPr="000D09CF" w:rsidRDefault="00E50DF5" w:rsidP="00E50DF5">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xml:space="preserve">El libre comercio es un sistema de libertad “vigilada” que facilita una estructura de oligopolio cerrado a nivel global. En nombre de la libertad se mata la competencia y se suprimen masivamente empleos. En nombre de la libertad hemos asistido a un formidable crecimiento de la internacionalización que ha llevado </w:t>
      </w:r>
      <w:r w:rsidR="00FE7EFD">
        <w:rPr>
          <w:rFonts w:ascii="Times New Roman" w:hAnsi="Times New Roman" w:cs="Times New Roman"/>
          <w:sz w:val="24"/>
          <w:szCs w:val="24"/>
        </w:rPr>
        <w:t>a una verdadera “financierizació</w:t>
      </w:r>
      <w:r w:rsidRPr="000D09CF">
        <w:rPr>
          <w:rFonts w:ascii="Times New Roman" w:hAnsi="Times New Roman" w:cs="Times New Roman"/>
          <w:sz w:val="24"/>
          <w:szCs w:val="24"/>
        </w:rPr>
        <w:t xml:space="preserve">n” de la economía, </w:t>
      </w:r>
      <w:r w:rsidRPr="000D09CF">
        <w:rPr>
          <w:rFonts w:ascii="Times New Roman" w:hAnsi="Times New Roman" w:cs="Times New Roman"/>
          <w:sz w:val="24"/>
          <w:szCs w:val="24"/>
        </w:rPr>
        <w:lastRenderedPageBreak/>
        <w:t>con riesgos reales de formación de una economía de especulación, centrada en el corto plazo, la desindustrialización y la idealización.</w:t>
      </w:r>
    </w:p>
    <w:p w:rsidR="00E50DF5" w:rsidRPr="000D09CF" w:rsidRDefault="00E50DF5" w:rsidP="00E50DF5">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La era de la competencia lleva a las economías nacionales a trabajar como unidades a nivel mundial.</w:t>
      </w:r>
    </w:p>
    <w:p w:rsidR="00E50DF5" w:rsidRPr="000D09CF" w:rsidRDefault="00E50DF5" w:rsidP="00E50DF5">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La desregulación, liberación y privatización se han elevado a ideología del programa neoliberal.</w:t>
      </w:r>
    </w:p>
    <w:p w:rsidR="00E50DF5" w:rsidRDefault="00E50DF5" w:rsidP="00E50DF5">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Era de esperar, que un “comercio sin normas” llevara a una “competencia despiadada y sin final”, que conduce a una pérdida constante de puestos de trabajo, a una concentración creciente de empresas multinacionales, a una pérdida de poder de los gobiernos nacionales, y a un aumento de la desigualdad.</w:t>
      </w:r>
    </w:p>
    <w:p w:rsidR="00992EA8" w:rsidRPr="000D09CF" w:rsidRDefault="00C20247" w:rsidP="00992EA8">
      <w:pPr>
        <w:spacing w:line="240" w:lineRule="auto"/>
        <w:jc w:val="both"/>
        <w:rPr>
          <w:rFonts w:ascii="Times New Roman" w:hAnsi="Times New Roman" w:cs="Times New Roman"/>
          <w:sz w:val="24"/>
          <w:szCs w:val="24"/>
        </w:rPr>
      </w:pPr>
      <w:r>
        <w:rPr>
          <w:rFonts w:ascii="Times New Roman" w:hAnsi="Times New Roman" w:cs="Times New Roman"/>
          <w:sz w:val="24"/>
          <w:szCs w:val="24"/>
        </w:rPr>
        <w:t>Ante esas “evidencias innegables”</w:t>
      </w:r>
      <w:r w:rsidR="00992EA8">
        <w:rPr>
          <w:rFonts w:ascii="Times New Roman" w:hAnsi="Times New Roman" w:cs="Times New Roman"/>
          <w:sz w:val="24"/>
          <w:szCs w:val="24"/>
        </w:rPr>
        <w:t>:</w:t>
      </w:r>
      <w:r>
        <w:rPr>
          <w:rFonts w:ascii="Times New Roman" w:hAnsi="Times New Roman" w:cs="Times New Roman"/>
          <w:sz w:val="24"/>
          <w:szCs w:val="24"/>
        </w:rPr>
        <w:t xml:space="preserve"> </w:t>
      </w:r>
      <w:r w:rsidR="00992EA8">
        <w:rPr>
          <w:rFonts w:ascii="Times New Roman" w:hAnsi="Times New Roman" w:cs="Times New Roman"/>
          <w:sz w:val="24"/>
          <w:szCs w:val="24"/>
        </w:rPr>
        <w:t>¿</w:t>
      </w:r>
      <w:r w:rsidR="00992EA8" w:rsidRPr="000D09CF">
        <w:rPr>
          <w:rFonts w:ascii="Times New Roman" w:hAnsi="Times New Roman" w:cs="Times New Roman"/>
          <w:sz w:val="24"/>
          <w:szCs w:val="24"/>
        </w:rPr>
        <w:t>podemos imaginar la “política del porvenir</w:t>
      </w:r>
      <w:r>
        <w:rPr>
          <w:rFonts w:ascii="Times New Roman" w:hAnsi="Times New Roman" w:cs="Times New Roman"/>
          <w:sz w:val="24"/>
          <w:szCs w:val="24"/>
        </w:rPr>
        <w:t xml:space="preserve"> europeo</w:t>
      </w:r>
      <w:r w:rsidR="00992EA8" w:rsidRPr="000D09CF">
        <w:rPr>
          <w:rFonts w:ascii="Times New Roman" w:hAnsi="Times New Roman" w:cs="Times New Roman"/>
          <w:sz w:val="24"/>
          <w:szCs w:val="24"/>
        </w:rPr>
        <w:t>”?.</w:t>
      </w:r>
    </w:p>
    <w:p w:rsidR="00992EA8" w:rsidRPr="000D09CF" w:rsidRDefault="00C20247" w:rsidP="00992EA8">
      <w:pPr>
        <w:spacing w:line="240" w:lineRule="auto"/>
        <w:jc w:val="both"/>
        <w:rPr>
          <w:rFonts w:ascii="Times New Roman" w:hAnsi="Times New Roman" w:cs="Times New Roman"/>
          <w:sz w:val="24"/>
          <w:szCs w:val="24"/>
        </w:rPr>
      </w:pPr>
      <w:r>
        <w:rPr>
          <w:rFonts w:ascii="Times New Roman" w:hAnsi="Times New Roman" w:cs="Times New Roman"/>
          <w:sz w:val="24"/>
          <w:szCs w:val="24"/>
        </w:rPr>
        <w:t>S</w:t>
      </w:r>
      <w:r w:rsidR="00992EA8" w:rsidRPr="000D09CF">
        <w:rPr>
          <w:rFonts w:ascii="Times New Roman" w:hAnsi="Times New Roman" w:cs="Times New Roman"/>
          <w:sz w:val="24"/>
          <w:szCs w:val="24"/>
        </w:rPr>
        <w:t>olo me atrevo a reseñar,</w:t>
      </w:r>
      <w:r>
        <w:rPr>
          <w:rFonts w:ascii="Times New Roman" w:hAnsi="Times New Roman" w:cs="Times New Roman"/>
          <w:sz w:val="24"/>
          <w:szCs w:val="24"/>
        </w:rPr>
        <w:t xml:space="preserve"> con toda humildad</w:t>
      </w:r>
      <w:r w:rsidR="00992EA8" w:rsidRPr="000D09CF">
        <w:rPr>
          <w:rFonts w:ascii="Times New Roman" w:hAnsi="Times New Roman" w:cs="Times New Roman"/>
          <w:sz w:val="24"/>
          <w:szCs w:val="24"/>
        </w:rPr>
        <w:t xml:space="preserve"> algunas “significaciones”, que podrían incorporarse a la “política del porvenir”:</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atender los desafíos demográficos y medioambientales;</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reducir las posibilidades de inestabilidad política, violencia y guerra;</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acelerar la incorporación de los países a las nuevas tecnologías;</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mejorar los niveles de vida de la mayoría de la población;</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apoyar un crecimiento económico sostenible generador de empleo;</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extender y profundizar los programas educativos y de investigación;</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controlar a las empresas multinacionales;</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equilibrar las corrientes monetarias;</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 xml:space="preserve">desmantelar o reformar los organismos internacionales y comerciales de alcance </w:t>
      </w:r>
      <w:r w:rsidRPr="000D09CF">
        <w:rPr>
          <w:rFonts w:ascii="Times New Roman" w:hAnsi="Times New Roman" w:cs="Times New Roman"/>
          <w:sz w:val="24"/>
          <w:szCs w:val="24"/>
        </w:rPr>
        <w:tab/>
        <w:t>mundial;</w:t>
      </w:r>
    </w:p>
    <w:p w:rsidR="00992EA8" w:rsidRPr="000D09CF" w:rsidRDefault="00992EA8" w:rsidP="00C20247">
      <w:pPr>
        <w:spacing w:line="240" w:lineRule="auto"/>
        <w:ind w:left="705"/>
        <w:jc w:val="both"/>
        <w:rPr>
          <w:rFonts w:ascii="Times New Roman" w:hAnsi="Times New Roman" w:cs="Times New Roman"/>
          <w:sz w:val="24"/>
          <w:szCs w:val="24"/>
        </w:rPr>
      </w:pPr>
      <w:r w:rsidRPr="000D09CF">
        <w:rPr>
          <w:rFonts w:ascii="Times New Roman" w:hAnsi="Times New Roman" w:cs="Times New Roman"/>
          <w:sz w:val="24"/>
          <w:szCs w:val="24"/>
        </w:rPr>
        <w:t>reducir el poder de los súper-bloques económicos para favo</w:t>
      </w:r>
      <w:r w:rsidR="00C20247">
        <w:rPr>
          <w:rFonts w:ascii="Times New Roman" w:hAnsi="Times New Roman" w:cs="Times New Roman"/>
          <w:sz w:val="24"/>
          <w:szCs w:val="24"/>
        </w:rPr>
        <w:t xml:space="preserve">recer el comercio </w:t>
      </w:r>
      <w:r w:rsidRPr="000D09CF">
        <w:rPr>
          <w:rFonts w:ascii="Times New Roman" w:hAnsi="Times New Roman" w:cs="Times New Roman"/>
          <w:sz w:val="24"/>
          <w:szCs w:val="24"/>
        </w:rPr>
        <w:t>local y regional;</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limitar el poder político de los agentes de los mercados financieros;</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reconocer y combatir el síndrome burocrático en el sector público y privado;</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hacer la democracia más genuina e incluyente.</w:t>
      </w:r>
    </w:p>
    <w:p w:rsidR="00992EA8" w:rsidRPr="000D09CF" w:rsidRDefault="00C20247" w:rsidP="00992EA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992EA8" w:rsidRPr="000D09CF">
        <w:rPr>
          <w:rFonts w:ascii="Times New Roman" w:hAnsi="Times New Roman" w:cs="Times New Roman"/>
          <w:sz w:val="24"/>
          <w:szCs w:val="24"/>
        </w:rPr>
        <w:t>Podemos imaginar un pacto internacional</w:t>
      </w:r>
      <w:r>
        <w:rPr>
          <w:rFonts w:ascii="Times New Roman" w:hAnsi="Times New Roman" w:cs="Times New Roman"/>
          <w:sz w:val="24"/>
          <w:szCs w:val="24"/>
        </w:rPr>
        <w:t xml:space="preserve"> para alcanzar estos objetivos?</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Si el capitalismo adoptara políticas con más visión de futuro y se hicieran vigorosas campañas para conseguir pactos internacionales que exigieran mutuos frenos competitivos, las cosas podrían ser distintas. Pero la frustrante realidad es que no sabemos cómo dar cuerpo a la voluntad política necesaria para dicho esfuerzo.</w:t>
      </w:r>
    </w:p>
    <w:p w:rsidR="00992EA8" w:rsidRPr="000D09CF" w:rsidRDefault="00992EA8" w:rsidP="00992EA8">
      <w:pPr>
        <w:spacing w:line="240" w:lineRule="auto"/>
        <w:jc w:val="both"/>
        <w:rPr>
          <w:rFonts w:ascii="Times New Roman" w:hAnsi="Times New Roman" w:cs="Times New Roman"/>
          <w:sz w:val="24"/>
          <w:szCs w:val="24"/>
        </w:rPr>
      </w:pPr>
    </w:p>
    <w:p w:rsidR="00992EA8" w:rsidRPr="000D09CF" w:rsidRDefault="00C20247" w:rsidP="00992EA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Propuesta para reflexionar, debatir y..</w:t>
      </w:r>
      <w:r w:rsidR="00992EA8" w:rsidRPr="000D09CF">
        <w:rPr>
          <w:rFonts w:ascii="Times New Roman" w:hAnsi="Times New Roman" w:cs="Times New Roman"/>
          <w:sz w:val="24"/>
          <w:szCs w:val="24"/>
        </w:rPr>
        <w:t>.</w:t>
      </w:r>
      <w:r>
        <w:rPr>
          <w:rFonts w:ascii="Times New Roman" w:hAnsi="Times New Roman" w:cs="Times New Roman"/>
          <w:sz w:val="24"/>
          <w:szCs w:val="24"/>
        </w:rPr>
        <w:t xml:space="preserve"> </w:t>
      </w:r>
      <w:r w:rsidR="00992EA8" w:rsidRPr="000D09CF">
        <w:rPr>
          <w:rFonts w:ascii="Times New Roman" w:hAnsi="Times New Roman" w:cs="Times New Roman"/>
          <w:sz w:val="24"/>
          <w:szCs w:val="24"/>
        </w:rPr>
        <w:t>completar:</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disminuir la intervención del estado en la economía;</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desregular todo lo posible;</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privatizar todo lo prudente;</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ampliar la participación ciudadana;</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revitalizar la acción de la justicia y</w:t>
      </w:r>
      <w:r w:rsidR="00FB2019">
        <w:rPr>
          <w:rFonts w:ascii="Times New Roman" w:hAnsi="Times New Roman" w:cs="Times New Roman"/>
          <w:sz w:val="24"/>
          <w:szCs w:val="24"/>
        </w:rPr>
        <w:t xml:space="preserve"> aplicar castigos ejemplares</w:t>
      </w:r>
      <w:r w:rsidRPr="000D09CF">
        <w:rPr>
          <w:rFonts w:ascii="Times New Roman" w:hAnsi="Times New Roman" w:cs="Times New Roman"/>
          <w:sz w:val="24"/>
          <w:szCs w:val="24"/>
        </w:rPr>
        <w:t>;</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 xml:space="preserve">valorizar la capacidad de denuncia y control de la prensa, radio y televisión </w:t>
      </w:r>
      <w:r w:rsidRPr="000D09CF">
        <w:rPr>
          <w:rFonts w:ascii="Times New Roman" w:hAnsi="Times New Roman" w:cs="Times New Roman"/>
          <w:sz w:val="24"/>
          <w:szCs w:val="24"/>
        </w:rPr>
        <w:tab/>
        <w:t>independientes;</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listas abiertas en las votaciones, elecciones internas en los partidos políticos;</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 xml:space="preserve">crear órganos de control administrativos con participación de los partidos </w:t>
      </w:r>
      <w:r w:rsidRPr="000D09CF">
        <w:rPr>
          <w:rFonts w:ascii="Times New Roman" w:hAnsi="Times New Roman" w:cs="Times New Roman"/>
          <w:sz w:val="24"/>
          <w:szCs w:val="24"/>
        </w:rPr>
        <w:tab/>
        <w:t>políticos de la oposición y de ciudadanos representativos y respetados;</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 xml:space="preserve">reducción del aparato administrativo (administración única) y eliminación del </w:t>
      </w:r>
      <w:r w:rsidRPr="000D09CF">
        <w:rPr>
          <w:rFonts w:ascii="Times New Roman" w:hAnsi="Times New Roman" w:cs="Times New Roman"/>
          <w:sz w:val="24"/>
          <w:szCs w:val="24"/>
        </w:rPr>
        <w:tab/>
        <w:t>carácter vitalicio del empleo público;</w:t>
      </w:r>
    </w:p>
    <w:p w:rsidR="00992EA8" w:rsidRPr="000D09CF" w:rsidRDefault="00992EA8" w:rsidP="00FB2019">
      <w:pPr>
        <w:spacing w:line="240" w:lineRule="auto"/>
        <w:ind w:left="705"/>
        <w:jc w:val="both"/>
        <w:rPr>
          <w:rFonts w:ascii="Times New Roman" w:hAnsi="Times New Roman" w:cs="Times New Roman"/>
          <w:sz w:val="24"/>
          <w:szCs w:val="24"/>
        </w:rPr>
      </w:pPr>
      <w:r w:rsidRPr="000D09CF">
        <w:rPr>
          <w:rFonts w:ascii="Times New Roman" w:hAnsi="Times New Roman" w:cs="Times New Roman"/>
          <w:sz w:val="24"/>
          <w:szCs w:val="24"/>
        </w:rPr>
        <w:t>legislar sobre el financiamiento de los partidos políticos</w:t>
      </w:r>
      <w:r w:rsidR="00FB2019">
        <w:rPr>
          <w:rFonts w:ascii="Times New Roman" w:hAnsi="Times New Roman" w:cs="Times New Roman"/>
          <w:sz w:val="24"/>
          <w:szCs w:val="24"/>
        </w:rPr>
        <w:t>, entidades patronales, y sindicales</w:t>
      </w:r>
      <w:r w:rsidRPr="000D09CF">
        <w:rPr>
          <w:rFonts w:ascii="Times New Roman" w:hAnsi="Times New Roman" w:cs="Times New Roman"/>
          <w:sz w:val="24"/>
          <w:szCs w:val="24"/>
        </w:rPr>
        <w:t>;</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eliminar todo tipo de régimen jubilatorio de privilegio;</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legislar sobre incompatibilidad de cargos públicos (duplicaciones, consejos, etc.);</w:t>
      </w:r>
    </w:p>
    <w:p w:rsidR="00992EA8" w:rsidRPr="000D09CF" w:rsidRDefault="00992EA8" w:rsidP="00C20247">
      <w:pPr>
        <w:spacing w:line="240" w:lineRule="auto"/>
        <w:ind w:left="708" w:hanging="708"/>
        <w:jc w:val="both"/>
        <w:rPr>
          <w:rFonts w:ascii="Times New Roman" w:hAnsi="Times New Roman" w:cs="Times New Roman"/>
          <w:sz w:val="24"/>
          <w:szCs w:val="24"/>
        </w:rPr>
      </w:pPr>
      <w:r w:rsidRPr="000D09CF">
        <w:rPr>
          <w:rFonts w:ascii="Times New Roman" w:hAnsi="Times New Roman" w:cs="Times New Roman"/>
          <w:sz w:val="24"/>
          <w:szCs w:val="24"/>
        </w:rPr>
        <w:tab/>
        <w:t xml:space="preserve">eliminar toda injerencia del poder político en el nombramiento de los miembros </w:t>
      </w:r>
      <w:r w:rsidRPr="000D09CF">
        <w:rPr>
          <w:rFonts w:ascii="Times New Roman" w:hAnsi="Times New Roman" w:cs="Times New Roman"/>
          <w:sz w:val="24"/>
          <w:szCs w:val="24"/>
        </w:rPr>
        <w:tab/>
        <w:t>del poder judicial;</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 xml:space="preserve">reducir la duración del mandato y limitar las posibilidades de re-elecciones (a no </w:t>
      </w:r>
      <w:r w:rsidRPr="000D09CF">
        <w:rPr>
          <w:rFonts w:ascii="Times New Roman" w:hAnsi="Times New Roman" w:cs="Times New Roman"/>
          <w:sz w:val="24"/>
          <w:szCs w:val="24"/>
        </w:rPr>
        <w:tab/>
        <w:t>más de dos periodos consecutivos) de los cargos políticos electivos;</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 xml:space="preserve">hacer coincidir los procesos electorales regionales, nacionales, provinciales y </w:t>
      </w:r>
      <w:r w:rsidRPr="000D09CF">
        <w:rPr>
          <w:rFonts w:ascii="Times New Roman" w:hAnsi="Times New Roman" w:cs="Times New Roman"/>
          <w:sz w:val="24"/>
          <w:szCs w:val="24"/>
        </w:rPr>
        <w:tab/>
        <w:t>locales en una misma fecha y periodicidad;</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eliminar el suplicatorio para iniciar acción judicial a cargos electivos.</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 corto plazo, desearía que los políticos trabajen en pro de la consecución de los siguientes objetivos:</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dejar de promover el libre comercio y dar prioridad a</w:t>
      </w:r>
      <w:r w:rsidR="00C20247">
        <w:rPr>
          <w:rFonts w:ascii="Times New Roman" w:hAnsi="Times New Roman" w:cs="Times New Roman"/>
          <w:sz w:val="24"/>
          <w:szCs w:val="24"/>
        </w:rPr>
        <w:t>l crecimiento y la equidad</w:t>
      </w:r>
      <w:r w:rsidRPr="000D09CF">
        <w:rPr>
          <w:rFonts w:ascii="Times New Roman" w:hAnsi="Times New Roman" w:cs="Times New Roman"/>
          <w:sz w:val="24"/>
          <w:szCs w:val="24"/>
        </w:rPr>
        <w:t>;</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fomentar el regionalismo;</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una nueva política para la competencia;</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controlar el comercio mundial;</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estándares sociales, ecológicos y sanitarios mínimos para el comercio mundial;</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aliento a la economía productiva, desaliento a la economía especulativa;</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pasar del enriquecimiento de la corporación a la realización del individuo;</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lastRenderedPageBreak/>
        <w:tab/>
        <w:t>respeto por la “naturaleza humana”, atención cultural y educativa;</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asumir que la responsabilidad sobre el bienestar social es general, y transnacional;</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definir el</w:t>
      </w:r>
      <w:r w:rsidR="00FB2019">
        <w:rPr>
          <w:rFonts w:ascii="Times New Roman" w:hAnsi="Times New Roman" w:cs="Times New Roman"/>
          <w:sz w:val="24"/>
          <w:szCs w:val="24"/>
        </w:rPr>
        <w:t xml:space="preserve"> campo de actividad económica en</w:t>
      </w:r>
      <w:r w:rsidRPr="000D09CF">
        <w:rPr>
          <w:rFonts w:ascii="Times New Roman" w:hAnsi="Times New Roman" w:cs="Times New Roman"/>
          <w:sz w:val="24"/>
          <w:szCs w:val="24"/>
        </w:rPr>
        <w:t xml:space="preserve"> que el mercado es y debe ser </w:t>
      </w:r>
      <w:r w:rsidRPr="000D09CF">
        <w:rPr>
          <w:rFonts w:ascii="Times New Roman" w:hAnsi="Times New Roman" w:cs="Times New Roman"/>
          <w:sz w:val="24"/>
          <w:szCs w:val="24"/>
        </w:rPr>
        <w:tab/>
        <w:t>intocable;</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 xml:space="preserve">definir qué servicios y funciones del estado son necesarios o mejores desde el </w:t>
      </w:r>
      <w:r w:rsidRPr="000D09CF">
        <w:rPr>
          <w:rFonts w:ascii="Times New Roman" w:hAnsi="Times New Roman" w:cs="Times New Roman"/>
          <w:sz w:val="24"/>
          <w:szCs w:val="24"/>
        </w:rPr>
        <w:tab/>
        <w:t>punto de vista social;</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mantener un crecimiento sustancial y seguro de la producción y del empleo;</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 xml:space="preserve">reafirmar el gran papel del estado en favor de los menos afortunados de la </w:t>
      </w:r>
      <w:r w:rsidRPr="000D09CF">
        <w:rPr>
          <w:rFonts w:ascii="Times New Roman" w:hAnsi="Times New Roman" w:cs="Times New Roman"/>
          <w:sz w:val="24"/>
          <w:szCs w:val="24"/>
        </w:rPr>
        <w:tab/>
        <w:t>comunidad;</w:t>
      </w:r>
    </w:p>
    <w:p w:rsidR="00992EA8" w:rsidRPr="000D09CF" w:rsidRDefault="00992EA8" w:rsidP="00C20247">
      <w:pPr>
        <w:spacing w:line="240" w:lineRule="auto"/>
        <w:ind w:left="705"/>
        <w:jc w:val="both"/>
        <w:rPr>
          <w:rFonts w:ascii="Times New Roman" w:hAnsi="Times New Roman" w:cs="Times New Roman"/>
          <w:sz w:val="24"/>
          <w:szCs w:val="24"/>
        </w:rPr>
      </w:pPr>
      <w:r w:rsidRPr="000D09CF">
        <w:rPr>
          <w:rFonts w:ascii="Times New Roman" w:hAnsi="Times New Roman" w:cs="Times New Roman"/>
          <w:sz w:val="24"/>
          <w:szCs w:val="24"/>
        </w:rPr>
        <w:t>requisitos fundamentales para una sociedad mejor: empleos-crecimiento-</w:t>
      </w:r>
      <w:r w:rsidRPr="000D09CF">
        <w:rPr>
          <w:rFonts w:ascii="Times New Roman" w:hAnsi="Times New Roman" w:cs="Times New Roman"/>
          <w:sz w:val="24"/>
          <w:szCs w:val="24"/>
        </w:rPr>
        <w:tab/>
        <w:t>enseñanza-apoyo a la familia-supresión de desórdenes</w:t>
      </w:r>
      <w:r>
        <w:rPr>
          <w:rFonts w:ascii="Times New Roman" w:hAnsi="Times New Roman" w:cs="Times New Roman"/>
          <w:sz w:val="24"/>
          <w:szCs w:val="24"/>
        </w:rPr>
        <w:t xml:space="preserve"> sociales-red de seguridad-</w:t>
      </w:r>
      <w:r w:rsidRPr="000D09CF">
        <w:rPr>
          <w:rFonts w:ascii="Times New Roman" w:hAnsi="Times New Roman" w:cs="Times New Roman"/>
          <w:sz w:val="24"/>
          <w:szCs w:val="24"/>
        </w:rPr>
        <w:t>oportunidades de realización-</w:t>
      </w:r>
      <w:r>
        <w:rPr>
          <w:rFonts w:ascii="Times New Roman" w:hAnsi="Times New Roman" w:cs="Times New Roman"/>
          <w:sz w:val="24"/>
          <w:szCs w:val="24"/>
        </w:rPr>
        <w:t xml:space="preserve"> </w:t>
      </w:r>
      <w:r w:rsidRPr="000D09CF">
        <w:rPr>
          <w:rFonts w:ascii="Times New Roman" w:hAnsi="Times New Roman" w:cs="Times New Roman"/>
          <w:sz w:val="24"/>
          <w:szCs w:val="24"/>
        </w:rPr>
        <w:t>prohibición de</w:t>
      </w:r>
      <w:r w:rsidR="00C20247">
        <w:rPr>
          <w:rFonts w:ascii="Times New Roman" w:hAnsi="Times New Roman" w:cs="Times New Roman"/>
          <w:sz w:val="24"/>
          <w:szCs w:val="24"/>
        </w:rPr>
        <w:t xml:space="preserve"> las formas de enriquecimiento </w:t>
      </w:r>
      <w:r w:rsidRPr="000D09CF">
        <w:rPr>
          <w:rFonts w:ascii="Times New Roman" w:hAnsi="Times New Roman" w:cs="Times New Roman"/>
          <w:sz w:val="24"/>
          <w:szCs w:val="24"/>
        </w:rPr>
        <w:t>financiero que se hacen a costa de los demás-contr</w:t>
      </w:r>
      <w:r>
        <w:rPr>
          <w:rFonts w:ascii="Times New Roman" w:hAnsi="Times New Roman" w:cs="Times New Roman"/>
          <w:sz w:val="24"/>
          <w:szCs w:val="24"/>
        </w:rPr>
        <w:t xml:space="preserve">ol de la inflación-compasión y </w:t>
      </w:r>
      <w:r w:rsidRPr="000D09CF">
        <w:rPr>
          <w:rFonts w:ascii="Times New Roman" w:hAnsi="Times New Roman" w:cs="Times New Roman"/>
          <w:sz w:val="24"/>
          <w:szCs w:val="24"/>
        </w:rPr>
        <w:t>cooperación con el extranjero;</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 xml:space="preserve">aceptar la intervención directa y activa del estado, en tiempos de estancamiento o </w:t>
      </w:r>
      <w:r w:rsidRPr="000D09CF">
        <w:rPr>
          <w:rFonts w:ascii="Times New Roman" w:hAnsi="Times New Roman" w:cs="Times New Roman"/>
          <w:sz w:val="24"/>
          <w:szCs w:val="24"/>
        </w:rPr>
        <w:tab/>
        <w:t>decrecimiento, para estimular la demanda y crear empleo;</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medidas que aseguren una elemental honradez en las funciones financieras;</w:t>
      </w:r>
    </w:p>
    <w:p w:rsidR="00992EA8" w:rsidRPr="000D09CF" w:rsidRDefault="00992EA8" w:rsidP="00C20247">
      <w:pPr>
        <w:spacing w:line="240" w:lineRule="auto"/>
        <w:ind w:left="708"/>
        <w:jc w:val="both"/>
        <w:rPr>
          <w:rFonts w:ascii="Times New Roman" w:hAnsi="Times New Roman" w:cs="Times New Roman"/>
          <w:sz w:val="24"/>
          <w:szCs w:val="24"/>
        </w:rPr>
      </w:pPr>
      <w:r w:rsidRPr="000D09CF">
        <w:rPr>
          <w:rFonts w:ascii="Times New Roman" w:hAnsi="Times New Roman" w:cs="Times New Roman"/>
          <w:sz w:val="24"/>
          <w:szCs w:val="24"/>
        </w:rPr>
        <w:t xml:space="preserve">controlar (vía accionistas) la maximización de los </w:t>
      </w:r>
      <w:r w:rsidR="00C20247">
        <w:rPr>
          <w:rFonts w:ascii="Times New Roman" w:hAnsi="Times New Roman" w:cs="Times New Roman"/>
          <w:sz w:val="24"/>
          <w:szCs w:val="24"/>
        </w:rPr>
        <w:t xml:space="preserve">ingresos de los gestores de las </w:t>
      </w:r>
      <w:r w:rsidRPr="000D09CF">
        <w:rPr>
          <w:rFonts w:ascii="Times New Roman" w:hAnsi="Times New Roman" w:cs="Times New Roman"/>
          <w:sz w:val="24"/>
          <w:szCs w:val="24"/>
        </w:rPr>
        <w:t>grandes empresas;</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suprimir los actuales privilegios fiscales y comerciales a los potentados;</w:t>
      </w:r>
    </w:p>
    <w:p w:rsidR="00992EA8" w:rsidRPr="000D09CF"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suprimir los subsidios a las grandes empresas, exportación</w:t>
      </w:r>
      <w:r w:rsidR="00FB2019">
        <w:rPr>
          <w:rFonts w:ascii="Times New Roman" w:hAnsi="Times New Roman" w:cs="Times New Roman"/>
          <w:sz w:val="24"/>
          <w:szCs w:val="24"/>
        </w:rPr>
        <w:t>,</w:t>
      </w:r>
      <w:r w:rsidRPr="000D09CF">
        <w:rPr>
          <w:rFonts w:ascii="Times New Roman" w:hAnsi="Times New Roman" w:cs="Times New Roman"/>
          <w:sz w:val="24"/>
          <w:szCs w:val="24"/>
        </w:rPr>
        <w:t xml:space="preserve"> y actividades agrícolas</w:t>
      </w:r>
      <w:r w:rsidR="00FB2019">
        <w:rPr>
          <w:rFonts w:ascii="Times New Roman" w:hAnsi="Times New Roman" w:cs="Times New Roman"/>
          <w:sz w:val="24"/>
          <w:szCs w:val="24"/>
        </w:rPr>
        <w:t>,</w:t>
      </w:r>
      <w:r w:rsidRPr="000D09CF">
        <w:rPr>
          <w:rFonts w:ascii="Times New Roman" w:hAnsi="Times New Roman" w:cs="Times New Roman"/>
          <w:sz w:val="24"/>
          <w:szCs w:val="24"/>
        </w:rPr>
        <w:t xml:space="preserve"> </w:t>
      </w:r>
      <w:r w:rsidR="00FB2019">
        <w:rPr>
          <w:rFonts w:ascii="Times New Roman" w:hAnsi="Times New Roman" w:cs="Times New Roman"/>
          <w:sz w:val="24"/>
          <w:szCs w:val="24"/>
        </w:rPr>
        <w:tab/>
        <w:t>que</w:t>
      </w:r>
      <w:r w:rsidRPr="000D09CF">
        <w:rPr>
          <w:rFonts w:ascii="Times New Roman" w:hAnsi="Times New Roman" w:cs="Times New Roman"/>
          <w:sz w:val="24"/>
          <w:szCs w:val="24"/>
        </w:rPr>
        <w:t xml:space="preserve"> premien la ineficiencia o no producción;</w:t>
      </w:r>
    </w:p>
    <w:p w:rsidR="00992EA8" w:rsidRDefault="00992EA8" w:rsidP="00992EA8">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Con un presente “enfermo” y cuando “ya” no hay futuro., solo nos queda el pasado. Reinventemos el futuro. Hay que salir de la apatía y privatización que caracteriza este periodo histórico. No aceptemos la resocialización, ni la despolitización. Pongámonos al servicio del sujeto personal y su libertad.</w:t>
      </w:r>
    </w:p>
    <w:p w:rsidR="00004CDE" w:rsidRPr="000D09CF" w:rsidRDefault="00004CDE" w:rsidP="00004CD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 puede </w:t>
      </w:r>
      <w:r w:rsidRPr="000D09CF">
        <w:rPr>
          <w:rFonts w:ascii="Times New Roman" w:hAnsi="Times New Roman" w:cs="Times New Roman"/>
          <w:sz w:val="24"/>
          <w:szCs w:val="24"/>
        </w:rPr>
        <w:t>mirar a Europa con la mente fría y el corazón</w:t>
      </w:r>
      <w:r>
        <w:rPr>
          <w:rFonts w:ascii="Times New Roman" w:hAnsi="Times New Roman" w:cs="Times New Roman"/>
          <w:sz w:val="24"/>
          <w:szCs w:val="24"/>
        </w:rPr>
        <w:t xml:space="preserve"> caliente?</w:t>
      </w:r>
    </w:p>
    <w:p w:rsidR="00004CDE" w:rsidRPr="000D09CF" w:rsidRDefault="00004CDE" w:rsidP="00004CDE">
      <w:pPr>
        <w:spacing w:line="240" w:lineRule="auto"/>
        <w:jc w:val="both"/>
        <w:rPr>
          <w:rFonts w:ascii="Times New Roman" w:hAnsi="Times New Roman" w:cs="Times New Roman"/>
          <w:sz w:val="24"/>
          <w:szCs w:val="24"/>
        </w:rPr>
      </w:pPr>
      <w:r>
        <w:rPr>
          <w:rFonts w:ascii="Times New Roman" w:hAnsi="Times New Roman" w:cs="Times New Roman"/>
          <w:sz w:val="24"/>
          <w:szCs w:val="24"/>
        </w:rPr>
        <w:t>¿Se p</w:t>
      </w:r>
      <w:r w:rsidRPr="000D09CF">
        <w:rPr>
          <w:rFonts w:ascii="Times New Roman" w:hAnsi="Times New Roman" w:cs="Times New Roman"/>
          <w:sz w:val="24"/>
          <w:szCs w:val="24"/>
        </w:rPr>
        <w:t>uede ayudar al avestruz</w:t>
      </w:r>
      <w:r>
        <w:rPr>
          <w:rFonts w:ascii="Times New Roman" w:hAnsi="Times New Roman" w:cs="Times New Roman"/>
          <w:sz w:val="24"/>
          <w:szCs w:val="24"/>
        </w:rPr>
        <w:t xml:space="preserve"> a sacar la cabeza del agujero?</w:t>
      </w:r>
    </w:p>
    <w:p w:rsidR="00004CDE" w:rsidRPr="000D09CF" w:rsidRDefault="00004CDE" w:rsidP="00004CD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D09CF">
        <w:rPr>
          <w:rFonts w:ascii="Times New Roman" w:hAnsi="Times New Roman" w:cs="Times New Roman"/>
          <w:sz w:val="24"/>
          <w:szCs w:val="24"/>
        </w:rPr>
        <w:t>Europa debe copiar, inventar, o conformarse con un modelo económico</w:t>
      </w:r>
      <w:r>
        <w:rPr>
          <w:rFonts w:ascii="Times New Roman" w:hAnsi="Times New Roman" w:cs="Times New Roman"/>
          <w:sz w:val="24"/>
          <w:szCs w:val="24"/>
        </w:rPr>
        <w:t xml:space="preserve"> im</w:t>
      </w:r>
      <w:r w:rsidR="004C7251">
        <w:rPr>
          <w:rFonts w:ascii="Times New Roman" w:hAnsi="Times New Roman" w:cs="Times New Roman"/>
          <w:sz w:val="24"/>
          <w:szCs w:val="24"/>
        </w:rPr>
        <w:t>perial, abstracto y ahistórico?</w:t>
      </w:r>
    </w:p>
    <w:p w:rsidR="00004CDE" w:rsidRPr="000D09CF"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Europa tiene complejo de culpa. Vive pidiendo discu</w:t>
      </w:r>
      <w:r>
        <w:rPr>
          <w:rFonts w:ascii="Times New Roman" w:hAnsi="Times New Roman" w:cs="Times New Roman"/>
          <w:sz w:val="24"/>
          <w:szCs w:val="24"/>
        </w:rPr>
        <w:t>lpas. Culpa, por las dos últimas</w:t>
      </w:r>
      <w:r w:rsidRPr="000D09CF">
        <w:rPr>
          <w:rFonts w:ascii="Times New Roman" w:hAnsi="Times New Roman" w:cs="Times New Roman"/>
          <w:sz w:val="24"/>
          <w:szCs w:val="24"/>
        </w:rPr>
        <w:t xml:space="preserve"> guerras; culpa</w:t>
      </w:r>
      <w:r>
        <w:rPr>
          <w:rFonts w:ascii="Times New Roman" w:hAnsi="Times New Roman" w:cs="Times New Roman"/>
          <w:sz w:val="24"/>
          <w:szCs w:val="24"/>
        </w:rPr>
        <w:t>, por el comunismo que se generó</w:t>
      </w:r>
      <w:r w:rsidRPr="000D09CF">
        <w:rPr>
          <w:rFonts w:ascii="Times New Roman" w:hAnsi="Times New Roman" w:cs="Times New Roman"/>
          <w:sz w:val="24"/>
          <w:szCs w:val="24"/>
        </w:rPr>
        <w:t xml:space="preserve"> en sus entrañas. Disculpas, por la unidad pretendida; disculpas, por el Euro embrionario; disculpas, por su estado del bienestar.</w:t>
      </w:r>
    </w:p>
    <w:p w:rsidR="00004CDE"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 fines de la primera guerra mundial Europa comienza a perder peso internacional y a finales de la segunda, pierde -irremisiblemente- el liderazgo ante los Estados Unidos.</w:t>
      </w:r>
    </w:p>
    <w:p w:rsidR="00004CDE" w:rsidRPr="000D09CF"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juego de desconfianza -que despertaba, o aun despierta</w:t>
      </w:r>
      <w:r>
        <w:rPr>
          <w:rFonts w:ascii="Times New Roman" w:hAnsi="Times New Roman" w:cs="Times New Roman"/>
          <w:sz w:val="24"/>
          <w:szCs w:val="24"/>
        </w:rPr>
        <w:t xml:space="preserve"> </w:t>
      </w:r>
      <w:r w:rsidRPr="000D09CF">
        <w:rPr>
          <w:rFonts w:ascii="Times New Roman" w:hAnsi="Times New Roman" w:cs="Times New Roman"/>
          <w:sz w:val="24"/>
          <w:szCs w:val="24"/>
        </w:rPr>
        <w:t>(?) Alemania- y la deslealtad y ambigüedad que permanentemente asumía -y asume- Inglaterra hacían difícil la unión  y retardaban la homogeneidad.</w:t>
      </w:r>
    </w:p>
    <w:p w:rsidR="00004CDE" w:rsidRPr="000D09CF"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lastRenderedPageBreak/>
        <w:t>Luego el crecimiento y dinamismo de Japón pusiero</w:t>
      </w:r>
      <w:r>
        <w:rPr>
          <w:rFonts w:ascii="Times New Roman" w:hAnsi="Times New Roman" w:cs="Times New Roman"/>
          <w:sz w:val="24"/>
          <w:szCs w:val="24"/>
        </w:rPr>
        <w:t xml:space="preserve">n a Europa en un tercer puesto </w:t>
      </w:r>
      <w:r w:rsidRPr="000D09CF">
        <w:rPr>
          <w:rFonts w:ascii="Times New Roman" w:hAnsi="Times New Roman" w:cs="Times New Roman"/>
          <w:sz w:val="24"/>
          <w:szCs w:val="24"/>
        </w:rPr>
        <w:t>sin movilidad y sin alternativas.</w:t>
      </w:r>
    </w:p>
    <w:p w:rsidR="00004CDE" w:rsidRPr="000D09CF"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“mercado común” ha permitido incrementar volumen comercial, pero no ha dado autonomía. La unión monetaria esta aun en ciernes. La unión política es un proyecto a largo plazo -plagado de obstáculos-, con más de voluntarismo, que de efectividad.</w:t>
      </w:r>
    </w:p>
    <w:p w:rsidR="00004CDE" w:rsidRPr="000D09CF"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Europa tiene “vergüenza” de crecer. Es un grandote con ropa de niño. Quiere “salir de noche” y a la vez “volver al útero”. Duda entre el automóvil o el andador.</w:t>
      </w:r>
    </w:p>
    <w:p w:rsidR="00004CDE" w:rsidRPr="000D09CF"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Muy pocos europeos, aun, no piensan como alemanes, italianos, españoles, inglese</w:t>
      </w:r>
      <w:r w:rsidR="00B3262A">
        <w:rPr>
          <w:rFonts w:ascii="Times New Roman" w:hAnsi="Times New Roman" w:cs="Times New Roman"/>
          <w:sz w:val="24"/>
          <w:szCs w:val="24"/>
        </w:rPr>
        <w:t>s, franceses, portugueses, etc.</w:t>
      </w:r>
      <w:r w:rsidRPr="000D09CF">
        <w:rPr>
          <w:rFonts w:ascii="Times New Roman" w:hAnsi="Times New Roman" w:cs="Times New Roman"/>
          <w:sz w:val="24"/>
          <w:szCs w:val="24"/>
        </w:rPr>
        <w:t xml:space="preserve"> La “mentalidad” europea no se constata a pie de calle. No ha salido -aun- de los despachos. </w:t>
      </w:r>
    </w:p>
    <w:p w:rsidR="00004CDE" w:rsidRPr="000D09CF"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xml:space="preserve">A Europa le falta tiempo. Pero la globalización y la competitividad no dan tiempo. </w:t>
      </w:r>
    </w:p>
    <w:p w:rsidR="00004CDE" w:rsidRPr="000D09CF"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El proyecto de Unión Europea es magnífico, desafiante, motivador, y por sobre todo “imprescindible”. Pero, es muy complejo, lento, difícil, con marchas y contramarchas, lagunas y desiertos.</w:t>
      </w:r>
    </w:p>
    <w:p w:rsidR="00004CDE" w:rsidRPr="000D09CF"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Si es difícil -vaya si lo sabré yo- alcanzar la unidad nacional, tanto más difícil es alcanzarla con 15, 20, 25 países o más, y con decisiones por unanimidad.</w:t>
      </w:r>
    </w:p>
    <w:p w:rsidR="00004CDE" w:rsidRPr="000D09CF"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Diferencias culturales, religiosas, históricas, políticas</w:t>
      </w:r>
      <w:r w:rsidR="0071554F">
        <w:rPr>
          <w:rFonts w:ascii="Times New Roman" w:hAnsi="Times New Roman" w:cs="Times New Roman"/>
          <w:sz w:val="24"/>
          <w:szCs w:val="24"/>
        </w:rPr>
        <w:t xml:space="preserve">… </w:t>
      </w:r>
      <w:r w:rsidRPr="000D09CF">
        <w:rPr>
          <w:rFonts w:ascii="Times New Roman" w:hAnsi="Times New Roman" w:cs="Times New Roman"/>
          <w:sz w:val="24"/>
          <w:szCs w:val="24"/>
        </w:rPr>
        <w:t>de desarrollo económico</w:t>
      </w:r>
      <w:r w:rsidR="0071554F">
        <w:rPr>
          <w:rFonts w:ascii="Times New Roman" w:hAnsi="Times New Roman" w:cs="Times New Roman"/>
          <w:sz w:val="24"/>
          <w:szCs w:val="24"/>
        </w:rPr>
        <w:t xml:space="preserve"> y riqueza. </w:t>
      </w:r>
      <w:r w:rsidR="0071554F" w:rsidRPr="000D09CF">
        <w:rPr>
          <w:rFonts w:ascii="Times New Roman" w:hAnsi="Times New Roman" w:cs="Times New Roman"/>
          <w:sz w:val="24"/>
          <w:szCs w:val="24"/>
        </w:rPr>
        <w:t>Rivalidades,</w:t>
      </w:r>
      <w:r w:rsidRPr="000D09CF">
        <w:rPr>
          <w:rFonts w:ascii="Times New Roman" w:hAnsi="Times New Roman" w:cs="Times New Roman"/>
          <w:sz w:val="24"/>
          <w:szCs w:val="24"/>
        </w:rPr>
        <w:t xml:space="preserve"> celos y desconfianzas; conforman el esqueleto a cubrir con la piel europea.</w:t>
      </w:r>
    </w:p>
    <w:p w:rsidR="00004CDE" w:rsidRPr="000D09CF" w:rsidRDefault="004C7251" w:rsidP="00004CDE">
      <w:pPr>
        <w:spacing w:line="240" w:lineRule="auto"/>
        <w:jc w:val="both"/>
        <w:rPr>
          <w:rFonts w:ascii="Times New Roman" w:hAnsi="Times New Roman" w:cs="Times New Roman"/>
          <w:sz w:val="24"/>
          <w:szCs w:val="24"/>
        </w:rPr>
      </w:pPr>
      <w:r>
        <w:rPr>
          <w:rFonts w:ascii="Times New Roman" w:hAnsi="Times New Roman" w:cs="Times New Roman"/>
          <w:sz w:val="24"/>
          <w:szCs w:val="24"/>
        </w:rPr>
        <w:t>En esta</w:t>
      </w:r>
      <w:r w:rsidR="00004CDE" w:rsidRPr="000D09CF">
        <w:rPr>
          <w:rFonts w:ascii="Times New Roman" w:hAnsi="Times New Roman" w:cs="Times New Roman"/>
          <w:sz w:val="24"/>
          <w:szCs w:val="24"/>
        </w:rPr>
        <w:t xml:space="preserve"> “larga</w:t>
      </w:r>
      <w:r w:rsidR="007005EE">
        <w:rPr>
          <w:rFonts w:ascii="Times New Roman" w:hAnsi="Times New Roman" w:cs="Times New Roman"/>
          <w:sz w:val="24"/>
          <w:szCs w:val="24"/>
        </w:rPr>
        <w:t xml:space="preserve"> (y lenta)</w:t>
      </w:r>
      <w:r w:rsidR="00004CDE" w:rsidRPr="000D09CF">
        <w:rPr>
          <w:rFonts w:ascii="Times New Roman" w:hAnsi="Times New Roman" w:cs="Times New Roman"/>
          <w:sz w:val="24"/>
          <w:szCs w:val="24"/>
        </w:rPr>
        <w:t xml:space="preserve"> marcha” hacia la unión política, social, comercial, financiera, militar, fiscal, y</w:t>
      </w:r>
      <w:r w:rsidR="007005EE">
        <w:rPr>
          <w:rFonts w:ascii="Times New Roman" w:hAnsi="Times New Roman" w:cs="Times New Roman"/>
          <w:sz w:val="24"/>
          <w:szCs w:val="24"/>
        </w:rPr>
        <w:t xml:space="preserve"> de relaciones internacionales, s</w:t>
      </w:r>
      <w:r w:rsidR="00004CDE" w:rsidRPr="000D09CF">
        <w:rPr>
          <w:rFonts w:ascii="Times New Roman" w:hAnsi="Times New Roman" w:cs="Times New Roman"/>
          <w:sz w:val="24"/>
          <w:szCs w:val="24"/>
        </w:rPr>
        <w:t>e necesita mucha educación común -buenos son los proyectos de intercambio estudiantil, becas y prácticas en terceros países-, mucho trabajo en otros países, muchos matrimonios binacionales, y, de ser posible, muchos hijos trasnacionales.</w:t>
      </w:r>
    </w:p>
    <w:p w:rsidR="00004CDE" w:rsidRPr="000D09CF"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Todo esto justifica el estado de infancia. Pero no perdona el estado de vasallaje.</w:t>
      </w:r>
    </w:p>
    <w:p w:rsidR="00004CDE" w:rsidRPr="000D09CF"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Europa -además y peor aún- no sabe decir no.</w:t>
      </w:r>
    </w:p>
    <w:p w:rsidR="00004CDE" w:rsidRPr="000D09CF"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Sus líderes -actuales- son impotentes, cobardes, y pusilánimes. Actores televisivos de cartón piedra. Héroes de fotogenia. Culiparlantes y sonrientes eternos.</w:t>
      </w:r>
    </w:p>
    <w:p w:rsidR="00004CDE" w:rsidRPr="000D09CF"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Nunca Europa tuvo -por así decir- líderes tan “flojos” en los grandes países com</w:t>
      </w:r>
      <w:r w:rsidR="0071554F">
        <w:rPr>
          <w:rFonts w:ascii="Times New Roman" w:hAnsi="Times New Roman" w:cs="Times New Roman"/>
          <w:sz w:val="24"/>
          <w:szCs w:val="24"/>
        </w:rPr>
        <w:t xml:space="preserve">petidores </w:t>
      </w:r>
      <w:r w:rsidRPr="000D09CF">
        <w:rPr>
          <w:rFonts w:ascii="Times New Roman" w:hAnsi="Times New Roman" w:cs="Times New Roman"/>
          <w:sz w:val="24"/>
          <w:szCs w:val="24"/>
        </w:rPr>
        <w:t xml:space="preserve"> como ahora; pero tampoco tuvo líderes propios tan “inútiles” para aprovechar las ventajas del oponente.</w:t>
      </w:r>
    </w:p>
    <w:p w:rsidR="00004CDE" w:rsidRPr="000D09CF"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Los líderes europeos llevan “perdida” la partida antes de iniciar el juego, antes de sentarse a la mesa. Solo mantiene la compostura para hacerse la “foto de familia”. Luego uno a uno pasan a recibir órdenes</w:t>
      </w:r>
      <w:r w:rsidR="0071554F">
        <w:rPr>
          <w:rFonts w:ascii="Times New Roman" w:hAnsi="Times New Roman" w:cs="Times New Roman"/>
          <w:sz w:val="24"/>
          <w:szCs w:val="24"/>
        </w:rPr>
        <w:t xml:space="preserve"> de los Estados Unidos (y en los últimos tiempos, también de China)</w:t>
      </w:r>
    </w:p>
    <w:p w:rsidR="00004CDE" w:rsidRPr="000D09CF" w:rsidRDefault="00004CDE" w:rsidP="00004CDE">
      <w:pPr>
        <w:spacing w:line="240" w:lineRule="auto"/>
        <w:jc w:val="both"/>
        <w:rPr>
          <w:rFonts w:ascii="Times New Roman" w:hAnsi="Times New Roman" w:cs="Times New Roman"/>
          <w:sz w:val="24"/>
          <w:szCs w:val="24"/>
        </w:rPr>
      </w:pPr>
      <w:r>
        <w:rPr>
          <w:rFonts w:ascii="Times New Roman" w:hAnsi="Times New Roman" w:cs="Times New Roman"/>
          <w:sz w:val="24"/>
          <w:szCs w:val="24"/>
        </w:rPr>
        <w:t>¿En qué</w:t>
      </w:r>
      <w:r w:rsidRPr="000D09CF">
        <w:rPr>
          <w:rFonts w:ascii="Times New Roman" w:hAnsi="Times New Roman" w:cs="Times New Roman"/>
          <w:sz w:val="24"/>
          <w:szCs w:val="24"/>
        </w:rPr>
        <w:t xml:space="preserve"> foro internaci</w:t>
      </w:r>
      <w:r w:rsidR="0071554F">
        <w:rPr>
          <w:rFonts w:ascii="Times New Roman" w:hAnsi="Times New Roman" w:cs="Times New Roman"/>
          <w:sz w:val="24"/>
          <w:szCs w:val="24"/>
        </w:rPr>
        <w:t>onal la voz europea se escucha?</w:t>
      </w:r>
      <w:r w:rsidRPr="000D09CF">
        <w:rPr>
          <w:rFonts w:ascii="Times New Roman" w:hAnsi="Times New Roman" w:cs="Times New Roman"/>
          <w:sz w:val="24"/>
          <w:szCs w:val="24"/>
        </w:rPr>
        <w:t xml:space="preserve"> </w:t>
      </w:r>
      <w:r w:rsidR="0071554F">
        <w:rPr>
          <w:rFonts w:ascii="Times New Roman" w:hAnsi="Times New Roman" w:cs="Times New Roman"/>
          <w:sz w:val="24"/>
          <w:szCs w:val="24"/>
        </w:rPr>
        <w:t>¿</w:t>
      </w:r>
      <w:r w:rsidR="0071554F" w:rsidRPr="000D09CF">
        <w:rPr>
          <w:rFonts w:ascii="Times New Roman" w:hAnsi="Times New Roman" w:cs="Times New Roman"/>
          <w:sz w:val="24"/>
          <w:szCs w:val="24"/>
        </w:rPr>
        <w:t>Cuándo</w:t>
      </w:r>
      <w:r w:rsidRPr="000D09CF">
        <w:rPr>
          <w:rFonts w:ascii="Times New Roman" w:hAnsi="Times New Roman" w:cs="Times New Roman"/>
          <w:sz w:val="24"/>
          <w:szCs w:val="24"/>
        </w:rPr>
        <w:t xml:space="preserve"> se vota a favor un proyecto propio si no tiene el “placet” americano</w:t>
      </w:r>
      <w:r w:rsidR="0071554F">
        <w:rPr>
          <w:rFonts w:ascii="Times New Roman" w:hAnsi="Times New Roman" w:cs="Times New Roman"/>
          <w:sz w:val="24"/>
          <w:szCs w:val="24"/>
        </w:rPr>
        <w:t>, y no molesta a China</w:t>
      </w:r>
      <w:r w:rsidR="00924B79">
        <w:rPr>
          <w:rFonts w:ascii="Times New Roman" w:hAnsi="Times New Roman" w:cs="Times New Roman"/>
          <w:sz w:val="24"/>
          <w:szCs w:val="24"/>
        </w:rPr>
        <w:t>?</w:t>
      </w:r>
      <w:r w:rsidRPr="000D09CF">
        <w:rPr>
          <w:rFonts w:ascii="Times New Roman" w:hAnsi="Times New Roman" w:cs="Times New Roman"/>
          <w:sz w:val="24"/>
          <w:szCs w:val="24"/>
        </w:rPr>
        <w:t xml:space="preserve"> </w:t>
      </w:r>
    </w:p>
    <w:p w:rsidR="00004CDE" w:rsidRPr="000D09CF"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Puedo aceptar -y hasta compartir- que Europa no tenga vocación imperial. Pero resulta inconcebible -e imperdonable- que renuncie a ser independiente.</w:t>
      </w:r>
    </w:p>
    <w:p w:rsidR="00004CDE" w:rsidRPr="000D09CF"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lastRenderedPageBreak/>
        <w:t>Europa debe -necesariamente- fijar sus propias reglas de juego económico, industrial, financiero, ecológico, social, sanitario, educativo, inmigratorio, de defensa,  de ayuda al tercer mundo; sin criterio competitivo, sino en función de sus intereses, prioridades, equidad, solidaridad y justicia.</w:t>
      </w:r>
    </w:p>
    <w:p w:rsidR="00004CDE"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Europa puede renunciar a liderar el mercado, pero debe liderar el “no” al mercado.</w:t>
      </w:r>
    </w:p>
    <w:p w:rsidR="0071554F" w:rsidRPr="000D09CF" w:rsidRDefault="00201CA7" w:rsidP="0071554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Cuando se sepa </w:t>
      </w:r>
      <w:r w:rsidR="0071554F" w:rsidRPr="000D09CF">
        <w:rPr>
          <w:rFonts w:ascii="Times New Roman" w:hAnsi="Times New Roman" w:cs="Times New Roman"/>
          <w:sz w:val="24"/>
          <w:szCs w:val="24"/>
        </w:rPr>
        <w:t>o se quiera decir no, recién entonces podremos asumir que Europa es soberana. Y por aquello, de que no se es independiente si no se es soberano, también podremos asumir que Europa es independiente.</w:t>
      </w:r>
    </w:p>
    <w:p w:rsidR="0071554F" w:rsidRPr="000D09CF" w:rsidRDefault="0071554F" w:rsidP="0071554F">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Un Estado Europeo independiente y soberano.</w:t>
      </w:r>
    </w:p>
    <w:p w:rsidR="00004CDE" w:rsidRDefault="00004CDE" w:rsidP="00004CDE">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Ahí veremos cuantos se alinean con ella, y también -temo y agradezco- algunas deserciones.</w:t>
      </w:r>
    </w:p>
    <w:p w:rsidR="00924B79" w:rsidRPr="000D09CF" w:rsidRDefault="00924B79" w:rsidP="00924B79">
      <w:pPr>
        <w:spacing w:line="240" w:lineRule="auto"/>
        <w:jc w:val="both"/>
        <w:rPr>
          <w:rFonts w:ascii="Times New Roman" w:hAnsi="Times New Roman" w:cs="Times New Roman"/>
          <w:b/>
          <w:sz w:val="24"/>
          <w:szCs w:val="24"/>
        </w:rPr>
      </w:pPr>
      <w:r>
        <w:rPr>
          <w:rFonts w:ascii="Times New Roman" w:hAnsi="Times New Roman" w:cs="Times New Roman"/>
          <w:b/>
          <w:sz w:val="24"/>
          <w:szCs w:val="24"/>
        </w:rPr>
        <w:t>Propuestas a nivel europeo</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Desregulación de actividades económicas</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xml:space="preserve">. Cambio de disposiciones gubernamentales </w:t>
      </w:r>
      <w:r>
        <w:rPr>
          <w:rFonts w:ascii="Times New Roman" w:hAnsi="Times New Roman" w:cs="Times New Roman"/>
          <w:sz w:val="24"/>
          <w:szCs w:val="24"/>
        </w:rPr>
        <w:t>que afecten a la competitividad</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Aceleración y máxima cesión a la Unión Europea de autoridad sobre:</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defensa (salida de la OTAN, creación del Ejercito Europeo)</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relaciones exteriores</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relaciones económicas internacionales</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desarrollo económico</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comercio interior y exterior</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moneda y bancos</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fiscalidad</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seguridad social</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sanidad</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educación</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formación profesional y ocupacional</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investigación y desarrollo</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comunicaciones</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infraestructura</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ab/>
        <w:t>informática</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Creación d</w:t>
      </w:r>
      <w:r>
        <w:rPr>
          <w:rFonts w:ascii="Times New Roman" w:hAnsi="Times New Roman" w:cs="Times New Roman"/>
          <w:sz w:val="24"/>
          <w:szCs w:val="24"/>
        </w:rPr>
        <w:t>e una Bolsa de Comercio Europea</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Reducir la participación del estado en la economía al nivel de Estados Unidos y Japón</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lastRenderedPageBreak/>
        <w:t>. Privatización de empresas y servicios públicos (inclusive radio, televisión y otros             medios de comunicación)</w:t>
      </w:r>
      <w:r>
        <w:rPr>
          <w:rFonts w:ascii="Times New Roman" w:hAnsi="Times New Roman" w:cs="Times New Roman"/>
          <w:sz w:val="24"/>
          <w:szCs w:val="24"/>
        </w:rPr>
        <w:t xml:space="preserve">      </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Crear soportes de difusión europeos, para asegu</w:t>
      </w:r>
      <w:r>
        <w:rPr>
          <w:rFonts w:ascii="Times New Roman" w:hAnsi="Times New Roman" w:cs="Times New Roman"/>
          <w:sz w:val="24"/>
          <w:szCs w:val="24"/>
        </w:rPr>
        <w:t>rar la cultura nacional europea</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Intentar cierta independencia o resguardo estratégico, en redes electrónicas, tecnología</w:t>
      </w:r>
      <w:r>
        <w:rPr>
          <w:rFonts w:ascii="Times New Roman" w:hAnsi="Times New Roman" w:cs="Times New Roman"/>
          <w:sz w:val="24"/>
          <w:szCs w:val="24"/>
        </w:rPr>
        <w:t xml:space="preserve"> digital y multimedia</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Incorporar control del flujo de información y/o exigir una participación en el, en función de un porcentaje sobre el PBI o sobre la población</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No financiamiento público de los partidos políticos</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No financiamiento público</w:t>
      </w:r>
      <w:r>
        <w:rPr>
          <w:rFonts w:ascii="Times New Roman" w:hAnsi="Times New Roman" w:cs="Times New Roman"/>
          <w:sz w:val="24"/>
          <w:szCs w:val="24"/>
        </w:rPr>
        <w:t xml:space="preserve"> de los sindicatos</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Reducción drástica del aparato estatal (hasta igualar el índice de empleados públicos per-cápita  de los Estados Unidos y Japón</w:t>
      </w:r>
      <w:r>
        <w:rPr>
          <w:rFonts w:ascii="Times New Roman" w:hAnsi="Times New Roman" w:cs="Times New Roman"/>
          <w:sz w:val="24"/>
          <w:szCs w:val="24"/>
        </w:rPr>
        <w:t>)</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Anular la simultaneidad de cargos públicos y acumulación</w:t>
      </w:r>
      <w:r>
        <w:rPr>
          <w:rFonts w:ascii="Times New Roman" w:hAnsi="Times New Roman" w:cs="Times New Roman"/>
          <w:sz w:val="24"/>
          <w:szCs w:val="24"/>
        </w:rPr>
        <w:t xml:space="preserve"> de remuneraciones</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Anular la condición</w:t>
      </w:r>
      <w:r>
        <w:rPr>
          <w:rFonts w:ascii="Times New Roman" w:hAnsi="Times New Roman" w:cs="Times New Roman"/>
          <w:sz w:val="24"/>
          <w:szCs w:val="24"/>
        </w:rPr>
        <w:t xml:space="preserve"> vitalicia del empleo publico</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I</w:t>
      </w:r>
      <w:r>
        <w:rPr>
          <w:rFonts w:ascii="Times New Roman" w:hAnsi="Times New Roman" w:cs="Times New Roman"/>
          <w:sz w:val="24"/>
          <w:szCs w:val="24"/>
        </w:rPr>
        <w:t>mpulsar la Carta Social Europea</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Establecer la administración única</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Impl</w:t>
      </w:r>
      <w:r>
        <w:rPr>
          <w:rFonts w:ascii="Times New Roman" w:hAnsi="Times New Roman" w:cs="Times New Roman"/>
          <w:sz w:val="24"/>
          <w:szCs w:val="24"/>
        </w:rPr>
        <w:t>antar  el presupuesto base cero</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Eliminar la Política Agraria Común (en forma escalonada en un plazo no mayor a los 10 años, anulando en forma inmediata los cupos de producción</w:t>
      </w:r>
      <w:r w:rsidR="00B3262A">
        <w:rPr>
          <w:rFonts w:ascii="Times New Roman" w:hAnsi="Times New Roman" w:cs="Times New Roman"/>
          <w:sz w:val="24"/>
          <w:szCs w:val="24"/>
        </w:rPr>
        <w:t>, y otros limitantes</w:t>
      </w:r>
      <w:r w:rsidR="006348BB">
        <w:rPr>
          <w:rFonts w:ascii="Times New Roman" w:hAnsi="Times New Roman" w:cs="Times New Roman"/>
          <w:sz w:val="24"/>
          <w:szCs w:val="24"/>
        </w:rPr>
        <w:t xml:space="preserve"> similares</w:t>
      </w:r>
      <w:r>
        <w:rPr>
          <w:rFonts w:ascii="Times New Roman" w:hAnsi="Times New Roman" w:cs="Times New Roman"/>
          <w:sz w:val="24"/>
          <w:szCs w:val="24"/>
        </w:rPr>
        <w:t>)</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Acelerar al máximo el procedimien</w:t>
      </w:r>
      <w:r w:rsidR="006348BB">
        <w:rPr>
          <w:rFonts w:ascii="Times New Roman" w:hAnsi="Times New Roman" w:cs="Times New Roman"/>
          <w:sz w:val="24"/>
          <w:szCs w:val="24"/>
        </w:rPr>
        <w:t xml:space="preserve">to de adhesión de nuevos países </w:t>
      </w:r>
      <w:r w:rsidRPr="000D09CF">
        <w:rPr>
          <w:rFonts w:ascii="Times New Roman" w:hAnsi="Times New Roman" w:cs="Times New Roman"/>
          <w:sz w:val="24"/>
          <w:szCs w:val="24"/>
        </w:rPr>
        <w:t>(eliminar sistema de de</w:t>
      </w:r>
      <w:r w:rsidR="00EA2DD2">
        <w:rPr>
          <w:rFonts w:ascii="Times New Roman" w:hAnsi="Times New Roman" w:cs="Times New Roman"/>
          <w:sz w:val="24"/>
          <w:szCs w:val="24"/>
        </w:rPr>
        <w:t xml:space="preserve">cisión por unanimidad, adoptar </w:t>
      </w:r>
      <w:r w:rsidRPr="000D09CF">
        <w:rPr>
          <w:rFonts w:ascii="Times New Roman" w:hAnsi="Times New Roman" w:cs="Times New Roman"/>
          <w:sz w:val="24"/>
          <w:szCs w:val="24"/>
        </w:rPr>
        <w:t>sistema por mayoría</w:t>
      </w:r>
      <w:r>
        <w:rPr>
          <w:rFonts w:ascii="Times New Roman" w:hAnsi="Times New Roman" w:cs="Times New Roman"/>
          <w:sz w:val="24"/>
          <w:szCs w:val="24"/>
        </w:rPr>
        <w:t>)</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Reconversión</w:t>
      </w:r>
      <w:r>
        <w:rPr>
          <w:rFonts w:ascii="Times New Roman" w:hAnsi="Times New Roman" w:cs="Times New Roman"/>
          <w:sz w:val="24"/>
          <w:szCs w:val="24"/>
        </w:rPr>
        <w:t xml:space="preserve"> industrial</w:t>
      </w:r>
      <w:r w:rsidR="00B3262A">
        <w:rPr>
          <w:rFonts w:ascii="Times New Roman" w:hAnsi="Times New Roman" w:cs="Times New Roman"/>
          <w:sz w:val="24"/>
          <w:szCs w:val="24"/>
        </w:rPr>
        <w:t xml:space="preserve"> (con máxima desregulación)</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Reconversión comercial y de servicios (con máxima desregulación</w:t>
      </w:r>
      <w:r>
        <w:rPr>
          <w:rFonts w:ascii="Times New Roman" w:hAnsi="Times New Roman" w:cs="Times New Roman"/>
          <w:sz w:val="24"/>
          <w:szCs w:val="24"/>
        </w:rPr>
        <w:t>)</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Reconversión agrícola</w:t>
      </w:r>
      <w:r w:rsidR="00B3262A">
        <w:rPr>
          <w:rFonts w:ascii="Times New Roman" w:hAnsi="Times New Roman" w:cs="Times New Roman"/>
          <w:sz w:val="24"/>
          <w:szCs w:val="24"/>
        </w:rPr>
        <w:t xml:space="preserve"> (con máxima desregulación)</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Libertad</w:t>
      </w:r>
      <w:r>
        <w:rPr>
          <w:rFonts w:ascii="Times New Roman" w:hAnsi="Times New Roman" w:cs="Times New Roman"/>
          <w:sz w:val="24"/>
          <w:szCs w:val="24"/>
        </w:rPr>
        <w:t xml:space="preserve"> de horario comercial</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Libertad de instalación de nuevas actividades económicas (por ejemplo gasolineras, farmacia</w:t>
      </w:r>
      <w:r>
        <w:rPr>
          <w:rFonts w:ascii="Times New Roman" w:hAnsi="Times New Roman" w:cs="Times New Roman"/>
          <w:sz w:val="24"/>
          <w:szCs w:val="24"/>
        </w:rPr>
        <w:t>s, notarias, y otras reguladas)</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Libertad para comercializar libros y medicina en grandes superficie</w:t>
      </w:r>
      <w:r>
        <w:rPr>
          <w:rFonts w:ascii="Times New Roman" w:hAnsi="Times New Roman" w:cs="Times New Roman"/>
          <w:sz w:val="24"/>
          <w:szCs w:val="24"/>
        </w:rPr>
        <w:t>s y/o con descuentos especiales</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Libertad para recetar medicamentos genéricos</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Derogar la capacidad de recalificar suelo a las aut</w:t>
      </w:r>
      <w:r>
        <w:rPr>
          <w:rFonts w:ascii="Times New Roman" w:hAnsi="Times New Roman" w:cs="Times New Roman"/>
          <w:sz w:val="24"/>
          <w:szCs w:val="24"/>
        </w:rPr>
        <w:t>oridades provinciales y locales</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Homogenizar y mejorar los sistemas educativos, formación profesional y ocupacional</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Coordinar e incrementar las inversiones en investigación</w:t>
      </w:r>
      <w:r>
        <w:rPr>
          <w:rFonts w:ascii="Times New Roman" w:hAnsi="Times New Roman" w:cs="Times New Roman"/>
          <w:sz w:val="24"/>
          <w:szCs w:val="24"/>
        </w:rPr>
        <w:t xml:space="preserve"> y desarrollo</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Alentar la incorporación de nuevas tecnologías</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lastRenderedPageBreak/>
        <w:t>. Coordinar e incrementar las</w:t>
      </w:r>
      <w:r>
        <w:rPr>
          <w:rFonts w:ascii="Times New Roman" w:hAnsi="Times New Roman" w:cs="Times New Roman"/>
          <w:sz w:val="24"/>
          <w:szCs w:val="24"/>
        </w:rPr>
        <w:t xml:space="preserve"> inversiones en infraestructura</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Alentar la cooperación y colaboración</w:t>
      </w:r>
      <w:r>
        <w:rPr>
          <w:rFonts w:ascii="Times New Roman" w:hAnsi="Times New Roman" w:cs="Times New Roman"/>
          <w:sz w:val="24"/>
          <w:szCs w:val="24"/>
        </w:rPr>
        <w:t xml:space="preserve"> entre empresas</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Alentar la creación</w:t>
      </w:r>
      <w:r>
        <w:rPr>
          <w:rFonts w:ascii="Times New Roman" w:hAnsi="Times New Roman" w:cs="Times New Roman"/>
          <w:sz w:val="24"/>
          <w:szCs w:val="24"/>
        </w:rPr>
        <w:t xml:space="preserve"> de nuevas empresas</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Universalizar la prestación asistencial sanitaria financiada con cargo al presupuesto y c</w:t>
      </w:r>
      <w:r>
        <w:rPr>
          <w:rFonts w:ascii="Times New Roman" w:hAnsi="Times New Roman" w:cs="Times New Roman"/>
          <w:sz w:val="24"/>
          <w:szCs w:val="24"/>
        </w:rPr>
        <w:t>oncertada con el sector privado</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Establecer una jubilación mínima equivalente financiada con cargo al presupuesto (impuestos) y dejar libre a los trabajadores para que inicien planes privados de capitalización</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Mayor control y penalización de la economía subterránea</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Mayor control  y penalización de la evasión fiscal (gran</w:t>
      </w:r>
      <w:r>
        <w:rPr>
          <w:rFonts w:ascii="Times New Roman" w:hAnsi="Times New Roman" w:cs="Times New Roman"/>
          <w:sz w:val="24"/>
          <w:szCs w:val="24"/>
        </w:rPr>
        <w:t>des fortunas, grandes empresas)</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xml:space="preserve">. Ampliar la responsabilidad empresaria ante los accidentes de trabajo, dejando a cargo </w:t>
      </w:r>
      <w:r>
        <w:rPr>
          <w:rFonts w:ascii="Times New Roman" w:hAnsi="Times New Roman" w:cs="Times New Roman"/>
          <w:sz w:val="24"/>
          <w:szCs w:val="24"/>
        </w:rPr>
        <w:t>del propietario costas y costes</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Procurar la corresponsabilid</w:t>
      </w:r>
      <w:r>
        <w:rPr>
          <w:rFonts w:ascii="Times New Roman" w:hAnsi="Times New Roman" w:cs="Times New Roman"/>
          <w:sz w:val="24"/>
          <w:szCs w:val="24"/>
        </w:rPr>
        <w:t>ad fiscal. Quien gasta, recauda</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Establecer un sistema permanente de consulta al ciudadano, tendiendo a es</w:t>
      </w:r>
      <w:r>
        <w:rPr>
          <w:rFonts w:ascii="Times New Roman" w:hAnsi="Times New Roman" w:cs="Times New Roman"/>
          <w:sz w:val="24"/>
          <w:szCs w:val="24"/>
        </w:rPr>
        <w:t>tablecer una democracia directa</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Duplicar las asignaciones presupue</w:t>
      </w:r>
      <w:r>
        <w:rPr>
          <w:rFonts w:ascii="Times New Roman" w:hAnsi="Times New Roman" w:cs="Times New Roman"/>
          <w:sz w:val="24"/>
          <w:szCs w:val="24"/>
        </w:rPr>
        <w:t>starias para arte y cultura</w:t>
      </w:r>
    </w:p>
    <w:p w:rsidR="00924B79" w:rsidRPr="000D09CF"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 Duplicar las asignaciones presupuestarias para educación e investigación</w:t>
      </w:r>
      <w:r>
        <w:rPr>
          <w:rFonts w:ascii="Times New Roman" w:hAnsi="Times New Roman" w:cs="Times New Roman"/>
          <w:sz w:val="24"/>
          <w:szCs w:val="24"/>
        </w:rPr>
        <w:t xml:space="preserve"> y desarrollo</w:t>
      </w:r>
      <w:r w:rsidR="007005EE">
        <w:rPr>
          <w:rFonts w:ascii="Times New Roman" w:hAnsi="Times New Roman" w:cs="Times New Roman"/>
          <w:sz w:val="24"/>
          <w:szCs w:val="24"/>
        </w:rPr>
        <w:t>...</w:t>
      </w:r>
    </w:p>
    <w:p w:rsidR="00924B79" w:rsidRPr="000D09CF" w:rsidRDefault="007005EE" w:rsidP="00924B79">
      <w:pPr>
        <w:spacing w:line="240" w:lineRule="auto"/>
        <w:jc w:val="both"/>
        <w:rPr>
          <w:rFonts w:ascii="Times New Roman" w:hAnsi="Times New Roman" w:cs="Times New Roman"/>
          <w:sz w:val="24"/>
          <w:szCs w:val="24"/>
        </w:rPr>
      </w:pPr>
      <w:r w:rsidRPr="007005EE">
        <w:rPr>
          <w:rFonts w:ascii="Times New Roman" w:hAnsi="Times New Roman" w:cs="Times New Roman"/>
          <w:b/>
          <w:sz w:val="24"/>
          <w:szCs w:val="24"/>
        </w:rPr>
        <w:t>Nota (I)</w:t>
      </w:r>
      <w:r>
        <w:rPr>
          <w:rFonts w:ascii="Times New Roman" w:hAnsi="Times New Roman" w:cs="Times New Roman"/>
          <w:sz w:val="24"/>
          <w:szCs w:val="24"/>
        </w:rPr>
        <w:t xml:space="preserve">: </w:t>
      </w:r>
      <w:r w:rsidR="00924B79" w:rsidRPr="000D09CF">
        <w:rPr>
          <w:rFonts w:ascii="Times New Roman" w:hAnsi="Times New Roman" w:cs="Times New Roman"/>
          <w:sz w:val="24"/>
          <w:szCs w:val="24"/>
        </w:rPr>
        <w:t>Dejamos abierto el listado para que el lector lo modifique, amplié o mejore.</w:t>
      </w:r>
    </w:p>
    <w:p w:rsidR="00924B79" w:rsidRDefault="00924B79" w:rsidP="00924B79">
      <w:pPr>
        <w:spacing w:line="240" w:lineRule="auto"/>
        <w:jc w:val="both"/>
        <w:rPr>
          <w:rFonts w:ascii="Times New Roman" w:hAnsi="Times New Roman" w:cs="Times New Roman"/>
          <w:sz w:val="24"/>
          <w:szCs w:val="24"/>
        </w:rPr>
      </w:pPr>
      <w:r w:rsidRPr="000D09CF">
        <w:rPr>
          <w:rFonts w:ascii="Times New Roman" w:hAnsi="Times New Roman" w:cs="Times New Roman"/>
          <w:sz w:val="24"/>
          <w:szCs w:val="24"/>
        </w:rPr>
        <w:t>Nuestra propuesta desea ser polémica, felizmente discutible, inevitab</w:t>
      </w:r>
      <w:r w:rsidR="006348BB">
        <w:rPr>
          <w:rFonts w:ascii="Times New Roman" w:hAnsi="Times New Roman" w:cs="Times New Roman"/>
          <w:sz w:val="24"/>
          <w:szCs w:val="24"/>
        </w:rPr>
        <w:t>lemente incompleta y subjetiva. H</w:t>
      </w:r>
      <w:r w:rsidRPr="000D09CF">
        <w:rPr>
          <w:rFonts w:ascii="Times New Roman" w:hAnsi="Times New Roman" w:cs="Times New Roman"/>
          <w:sz w:val="24"/>
          <w:szCs w:val="24"/>
        </w:rPr>
        <w:t>emos tratado de renunciar a la expresión fingida, al tono impostado, deshumanizado, de alambique, de oscur</w:t>
      </w:r>
      <w:r w:rsidR="006348BB">
        <w:rPr>
          <w:rFonts w:ascii="Times New Roman" w:hAnsi="Times New Roman" w:cs="Times New Roman"/>
          <w:sz w:val="24"/>
          <w:szCs w:val="24"/>
        </w:rPr>
        <w:t xml:space="preserve">o y arbitrario juego cerebral. </w:t>
      </w:r>
      <w:r w:rsidRPr="000D09CF">
        <w:rPr>
          <w:rFonts w:ascii="Times New Roman" w:hAnsi="Times New Roman" w:cs="Times New Roman"/>
          <w:sz w:val="24"/>
          <w:szCs w:val="24"/>
        </w:rPr>
        <w:t>Se nos podrá criticar más por lo dicho, que por lo callado.</w:t>
      </w:r>
    </w:p>
    <w:p w:rsidR="00106EBC" w:rsidRDefault="007005EE" w:rsidP="00106EBC">
      <w:pPr>
        <w:spacing w:line="240" w:lineRule="auto"/>
        <w:jc w:val="both"/>
        <w:rPr>
          <w:rFonts w:ascii="Times New Roman" w:hAnsi="Times New Roman" w:cs="Times New Roman"/>
          <w:sz w:val="24"/>
          <w:szCs w:val="24"/>
        </w:rPr>
      </w:pPr>
      <w:r w:rsidRPr="00106EBC">
        <w:rPr>
          <w:rFonts w:ascii="Times New Roman" w:hAnsi="Times New Roman" w:cs="Times New Roman"/>
          <w:b/>
          <w:sz w:val="24"/>
          <w:szCs w:val="24"/>
        </w:rPr>
        <w:t>Nota (II):</w:t>
      </w:r>
      <w:r>
        <w:rPr>
          <w:rFonts w:ascii="Times New Roman" w:hAnsi="Times New Roman" w:cs="Times New Roman"/>
          <w:sz w:val="24"/>
          <w:szCs w:val="24"/>
        </w:rPr>
        <w:t xml:space="preserve"> Se deja constancia que las “</w:t>
      </w:r>
      <w:r w:rsidR="00106EBC">
        <w:rPr>
          <w:rFonts w:ascii="Times New Roman" w:hAnsi="Times New Roman" w:cs="Times New Roman"/>
          <w:b/>
          <w:sz w:val="24"/>
          <w:szCs w:val="24"/>
        </w:rPr>
        <w:t>P</w:t>
      </w:r>
      <w:r w:rsidRPr="00106EBC">
        <w:rPr>
          <w:rFonts w:ascii="Times New Roman" w:hAnsi="Times New Roman" w:cs="Times New Roman"/>
          <w:b/>
          <w:sz w:val="24"/>
          <w:szCs w:val="24"/>
        </w:rPr>
        <w:t>ropuestas a nivel europeo</w:t>
      </w:r>
      <w:r>
        <w:rPr>
          <w:rFonts w:ascii="Times New Roman" w:hAnsi="Times New Roman" w:cs="Times New Roman"/>
          <w:sz w:val="24"/>
          <w:szCs w:val="24"/>
        </w:rPr>
        <w:t>” anteriormente señaladas, fueron rea</w:t>
      </w:r>
      <w:r w:rsidR="00106EBC">
        <w:rPr>
          <w:rFonts w:ascii="Times New Roman" w:hAnsi="Times New Roman" w:cs="Times New Roman"/>
          <w:sz w:val="24"/>
          <w:szCs w:val="24"/>
        </w:rPr>
        <w:t xml:space="preserve">lizadas en el año </w:t>
      </w:r>
      <w:r w:rsidR="00106EBC" w:rsidRPr="00106EBC">
        <w:rPr>
          <w:rFonts w:ascii="Times New Roman" w:hAnsi="Times New Roman" w:cs="Times New Roman"/>
          <w:b/>
          <w:sz w:val="24"/>
          <w:szCs w:val="24"/>
        </w:rPr>
        <w:t>2000</w:t>
      </w:r>
      <w:r w:rsidR="00106EBC">
        <w:rPr>
          <w:rFonts w:ascii="Times New Roman" w:hAnsi="Times New Roman" w:cs="Times New Roman"/>
          <w:sz w:val="24"/>
          <w:szCs w:val="24"/>
        </w:rPr>
        <w:t>, para</w:t>
      </w:r>
      <w:r>
        <w:rPr>
          <w:rFonts w:ascii="Times New Roman" w:hAnsi="Times New Roman" w:cs="Times New Roman"/>
          <w:sz w:val="24"/>
          <w:szCs w:val="24"/>
        </w:rPr>
        <w:t xml:space="preserve"> la redacción del Ensayo</w:t>
      </w:r>
      <w:r w:rsidR="00106EBC">
        <w:rPr>
          <w:rFonts w:ascii="Times New Roman" w:hAnsi="Times New Roman" w:cs="Times New Roman"/>
          <w:sz w:val="24"/>
          <w:szCs w:val="24"/>
        </w:rPr>
        <w:t xml:space="preserve">: </w:t>
      </w:r>
      <w:r w:rsidR="00106EBC">
        <w:rPr>
          <w:rFonts w:ascii="Times New Roman" w:hAnsi="Times New Roman" w:cs="Times New Roman"/>
          <w:b/>
          <w:sz w:val="24"/>
          <w:szCs w:val="24"/>
        </w:rPr>
        <w:t>“</w:t>
      </w:r>
      <w:r w:rsidR="00106EBC" w:rsidRPr="000D09CF">
        <w:rPr>
          <w:rFonts w:ascii="Times New Roman" w:hAnsi="Times New Roman" w:cs="Times New Roman"/>
          <w:b/>
          <w:sz w:val="24"/>
          <w:szCs w:val="24"/>
        </w:rPr>
        <w:t>C</w:t>
      </w:r>
      <w:r w:rsidR="00106EBC">
        <w:rPr>
          <w:rFonts w:ascii="Times New Roman" w:hAnsi="Times New Roman" w:cs="Times New Roman"/>
          <w:b/>
          <w:sz w:val="24"/>
          <w:szCs w:val="24"/>
        </w:rPr>
        <w:t xml:space="preserve">ontestando a la teología de mercado - ¿Es el presente el único futuro? - El vacilar europeo </w:t>
      </w:r>
      <w:r w:rsidR="00106EBC" w:rsidRPr="000D09CF">
        <w:rPr>
          <w:rFonts w:ascii="Times New Roman" w:hAnsi="Times New Roman" w:cs="Times New Roman"/>
          <w:b/>
          <w:sz w:val="24"/>
          <w:szCs w:val="24"/>
        </w:rPr>
        <w:t>(entre la “infancia” y el “vasallaje”) (Friedrich List y Friedrich Hayek dialogan sobre viejas y queridas causas perdidas o la amargura de la victoria)</w:t>
      </w:r>
      <w:r w:rsidR="00106EBC">
        <w:rPr>
          <w:rFonts w:ascii="Times New Roman" w:hAnsi="Times New Roman" w:cs="Times New Roman"/>
          <w:b/>
          <w:sz w:val="24"/>
          <w:szCs w:val="24"/>
        </w:rPr>
        <w:t>.</w:t>
      </w:r>
      <w:r w:rsidR="00106EBC">
        <w:rPr>
          <w:rFonts w:ascii="Times New Roman" w:hAnsi="Times New Roman" w:cs="Times New Roman"/>
          <w:sz w:val="24"/>
          <w:szCs w:val="24"/>
        </w:rPr>
        <w:t xml:space="preserve"> </w:t>
      </w:r>
    </w:p>
    <w:p w:rsidR="008D606E" w:rsidRPr="000D09CF" w:rsidRDefault="00106EBC" w:rsidP="008D606E">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 xml:space="preserve">Aunque </w:t>
      </w:r>
      <w:r w:rsidR="001C3D2A">
        <w:rPr>
          <w:rFonts w:ascii="Times New Roman" w:hAnsi="Times New Roman" w:cs="Times New Roman"/>
          <w:sz w:val="24"/>
          <w:szCs w:val="24"/>
        </w:rPr>
        <w:t>“</w:t>
      </w:r>
      <w:r>
        <w:rPr>
          <w:rFonts w:ascii="Times New Roman" w:hAnsi="Times New Roman" w:cs="Times New Roman"/>
          <w:sz w:val="24"/>
          <w:szCs w:val="24"/>
        </w:rPr>
        <w:t>parece que fue ayer</w:t>
      </w:r>
      <w:r w:rsidR="001C3D2A">
        <w:rPr>
          <w:rFonts w:ascii="Times New Roman" w:hAnsi="Times New Roman" w:cs="Times New Roman"/>
          <w:sz w:val="24"/>
          <w:szCs w:val="24"/>
        </w:rPr>
        <w:t>”</w:t>
      </w:r>
      <w:r>
        <w:rPr>
          <w:rFonts w:ascii="Times New Roman" w:hAnsi="Times New Roman" w:cs="Times New Roman"/>
          <w:sz w:val="24"/>
          <w:szCs w:val="24"/>
        </w:rPr>
        <w:t xml:space="preserve"> (por la reiteración de las debilidades manifiestas, así como</w:t>
      </w:r>
      <w:r w:rsidR="001C3D2A">
        <w:rPr>
          <w:rFonts w:ascii="Times New Roman" w:hAnsi="Times New Roman" w:cs="Times New Roman"/>
          <w:sz w:val="24"/>
          <w:szCs w:val="24"/>
        </w:rPr>
        <w:t xml:space="preserve"> por</w:t>
      </w:r>
      <w:r>
        <w:rPr>
          <w:rFonts w:ascii="Times New Roman" w:hAnsi="Times New Roman" w:cs="Times New Roman"/>
          <w:sz w:val="24"/>
          <w:szCs w:val="24"/>
        </w:rPr>
        <w:t xml:space="preserve"> las innumerables asignaturas pendientes), en el próximo Apartado; “Cinco horas con Mario”, se intenta una actualización de las propuestas, e</w:t>
      </w:r>
      <w:r w:rsidR="001C3D2A">
        <w:rPr>
          <w:rFonts w:ascii="Times New Roman" w:hAnsi="Times New Roman" w:cs="Times New Roman"/>
          <w:sz w:val="24"/>
          <w:szCs w:val="24"/>
        </w:rPr>
        <w:t>n respuesta (crítica</w:t>
      </w:r>
      <w:r w:rsidR="001C3D2A" w:rsidRPr="001C3D2A">
        <w:rPr>
          <w:rFonts w:ascii="Times New Roman" w:hAnsi="Times New Roman" w:cs="Times New Roman"/>
          <w:sz w:val="24"/>
          <w:szCs w:val="24"/>
        </w:rPr>
        <w:t>) al Informe Draghi: “El futuro de la competitividad europea”.</w:t>
      </w:r>
      <w:r w:rsidR="007943E5">
        <w:rPr>
          <w:rFonts w:ascii="Times New Roman" w:hAnsi="Times New Roman" w:cs="Times New Roman"/>
          <w:sz w:val="24"/>
          <w:szCs w:val="24"/>
        </w:rPr>
        <w:t xml:space="preserve"> </w:t>
      </w:r>
      <w:r w:rsidR="001C3D2A">
        <w:rPr>
          <w:rFonts w:ascii="Times New Roman" w:hAnsi="Times New Roman" w:cs="Times New Roman"/>
          <w:sz w:val="24"/>
          <w:szCs w:val="24"/>
        </w:rPr>
        <w:t>Han pasado 25 años desde entonces (que se dice fácil), y la situación política, económica, social, moral, ética y</w:t>
      </w:r>
      <w:r w:rsidR="00C51F01">
        <w:rPr>
          <w:rFonts w:ascii="Times New Roman" w:hAnsi="Times New Roman" w:cs="Times New Roman"/>
          <w:sz w:val="24"/>
          <w:szCs w:val="24"/>
        </w:rPr>
        <w:t>… hasta</w:t>
      </w:r>
      <w:r w:rsidR="007943E5">
        <w:rPr>
          <w:rFonts w:ascii="Times New Roman" w:hAnsi="Times New Roman" w:cs="Times New Roman"/>
          <w:sz w:val="24"/>
          <w:szCs w:val="24"/>
        </w:rPr>
        <w:t>,</w:t>
      </w:r>
      <w:r w:rsidR="001C3D2A">
        <w:rPr>
          <w:rFonts w:ascii="Times New Roman" w:hAnsi="Times New Roman" w:cs="Times New Roman"/>
          <w:sz w:val="24"/>
          <w:szCs w:val="24"/>
        </w:rPr>
        <w:t xml:space="preserve"> estética, de la Unión Europea, está peor que en el año 2000. </w:t>
      </w:r>
    </w:p>
    <w:p w:rsidR="007943E5" w:rsidRDefault="00C51F01" w:rsidP="007943E5">
      <w:pPr>
        <w:shd w:val="clear" w:color="auto" w:fill="FFFFFF"/>
        <w:spacing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Se puede decir</w:t>
      </w:r>
      <w:r w:rsidRPr="00C51F01">
        <w:rPr>
          <w:rFonts w:ascii="Times New Roman" w:hAnsi="Times New Roman" w:cs="Times New Roman"/>
          <w:sz w:val="24"/>
          <w:szCs w:val="24"/>
        </w:rPr>
        <w:t xml:space="preserve"> que</w:t>
      </w:r>
      <w:r>
        <w:rPr>
          <w:rFonts w:ascii="Times New Roman" w:hAnsi="Times New Roman" w:cs="Times New Roman"/>
          <w:sz w:val="24"/>
          <w:szCs w:val="24"/>
        </w:rPr>
        <w:t xml:space="preserve"> en el año 2024,</w:t>
      </w:r>
      <w:r w:rsidRPr="00C51F01">
        <w:rPr>
          <w:rFonts w:ascii="Times New Roman" w:hAnsi="Times New Roman" w:cs="Times New Roman"/>
          <w:sz w:val="24"/>
          <w:szCs w:val="24"/>
        </w:rPr>
        <w:t xml:space="preserve"> a la Unión Europea se le terminaron todas las “mentiras confortables”</w:t>
      </w:r>
      <w:r>
        <w:rPr>
          <w:rFonts w:ascii="Times New Roman" w:hAnsi="Times New Roman" w:cs="Times New Roman"/>
          <w:sz w:val="24"/>
          <w:szCs w:val="24"/>
        </w:rPr>
        <w:t>. Que se ha pasado d</w:t>
      </w:r>
      <w:r w:rsidRPr="00C51F01">
        <w:rPr>
          <w:rFonts w:ascii="Times New Roman" w:hAnsi="Times New Roman" w:cs="Times New Roman"/>
          <w:sz w:val="24"/>
          <w:szCs w:val="24"/>
        </w:rPr>
        <w:t>el European Green Dream, al European Black Nightmare (de Eco-friendly, a Eco-suicida)</w:t>
      </w:r>
      <w:r>
        <w:rPr>
          <w:rFonts w:ascii="Times New Roman" w:hAnsi="Times New Roman" w:cs="Times New Roman"/>
          <w:sz w:val="24"/>
          <w:szCs w:val="24"/>
        </w:rPr>
        <w:t>.</w:t>
      </w:r>
      <w:r w:rsidR="000426D4">
        <w:rPr>
          <w:rFonts w:ascii="Times New Roman" w:hAnsi="Times New Roman" w:cs="Times New Roman"/>
          <w:sz w:val="24"/>
          <w:szCs w:val="24"/>
        </w:rPr>
        <w:t xml:space="preserve"> Que en una era de creciente estupidez ha abandonado toda idea de progreso; donde l</w:t>
      </w:r>
      <w:r w:rsidR="000426D4" w:rsidRPr="000426D4">
        <w:rPr>
          <w:rFonts w:ascii="Times New Roman" w:hAnsi="Times New Roman" w:cs="Times New Roman"/>
          <w:sz w:val="24"/>
          <w:szCs w:val="24"/>
        </w:rPr>
        <w:t>a nu</w:t>
      </w:r>
      <w:r w:rsidR="000426D4">
        <w:rPr>
          <w:rFonts w:ascii="Times New Roman" w:hAnsi="Times New Roman" w:cs="Times New Roman"/>
          <w:sz w:val="24"/>
          <w:szCs w:val="24"/>
        </w:rPr>
        <w:t>eva normalidad, es</w:t>
      </w:r>
      <w:r w:rsidR="000426D4" w:rsidRPr="000426D4">
        <w:rPr>
          <w:rFonts w:ascii="Times New Roman" w:hAnsi="Times New Roman" w:cs="Times New Roman"/>
          <w:sz w:val="24"/>
          <w:szCs w:val="24"/>
        </w:rPr>
        <w:t xml:space="preserve"> una economía desigual, dominada por la pobreza, la exclusión social y la marginalidad</w:t>
      </w:r>
      <w:r w:rsidR="000426D4">
        <w:rPr>
          <w:rFonts w:ascii="Times New Roman" w:hAnsi="Times New Roman" w:cs="Times New Roman"/>
          <w:sz w:val="24"/>
          <w:szCs w:val="24"/>
        </w:rPr>
        <w:t>; y cuyo</w:t>
      </w:r>
      <w:r w:rsidR="007943E5">
        <w:rPr>
          <w:rFonts w:ascii="Times New Roman" w:hAnsi="Times New Roman" w:cs="Times New Roman"/>
          <w:sz w:val="24"/>
          <w:szCs w:val="24"/>
        </w:rPr>
        <w:t xml:space="preserve"> único “</w:t>
      </w:r>
      <w:r w:rsidR="000426D4" w:rsidRPr="000426D4">
        <w:rPr>
          <w:rFonts w:ascii="Times New Roman" w:hAnsi="Times New Roman" w:cs="Times New Roman"/>
          <w:sz w:val="24"/>
          <w:szCs w:val="24"/>
        </w:rPr>
        <w:t>le</w:t>
      </w:r>
      <w:r w:rsidR="007943E5">
        <w:rPr>
          <w:rFonts w:ascii="Times New Roman" w:hAnsi="Times New Roman" w:cs="Times New Roman"/>
          <w:sz w:val="24"/>
          <w:szCs w:val="24"/>
        </w:rPr>
        <w:t>gado vital” será pasar</w:t>
      </w:r>
      <w:r w:rsidR="000426D4" w:rsidRPr="000426D4">
        <w:rPr>
          <w:rFonts w:ascii="Times New Roman" w:hAnsi="Times New Roman" w:cs="Times New Roman"/>
          <w:sz w:val="24"/>
          <w:szCs w:val="24"/>
        </w:rPr>
        <w:t xml:space="preserve"> del malestar económico al populismo emocional e irreflexivo</w:t>
      </w:r>
      <w:r w:rsidR="007943E5">
        <w:rPr>
          <w:rFonts w:ascii="Times New Roman" w:hAnsi="Times New Roman" w:cs="Times New Roman"/>
          <w:sz w:val="24"/>
          <w:szCs w:val="24"/>
        </w:rPr>
        <w:t>.</w:t>
      </w:r>
      <w:r>
        <w:rPr>
          <w:rFonts w:ascii="Times New Roman" w:hAnsi="Times New Roman" w:cs="Times New Roman"/>
          <w:sz w:val="24"/>
          <w:szCs w:val="24"/>
        </w:rPr>
        <w:t xml:space="preserve"> </w:t>
      </w:r>
      <w:r w:rsidR="001C3D2A">
        <w:rPr>
          <w:rFonts w:ascii="Times New Roman" w:hAnsi="Times New Roman" w:cs="Times New Roman"/>
          <w:sz w:val="24"/>
          <w:szCs w:val="24"/>
        </w:rPr>
        <w:t xml:space="preserve"> </w:t>
      </w:r>
    </w:p>
    <w:p w:rsidR="00103829" w:rsidRPr="00B3262A" w:rsidRDefault="00103829" w:rsidP="007943E5">
      <w:pPr>
        <w:shd w:val="clear" w:color="auto" w:fill="FFFFFF"/>
        <w:spacing w:after="100" w:afterAutospacing="1" w:line="240" w:lineRule="auto"/>
        <w:jc w:val="both"/>
        <w:rPr>
          <w:rFonts w:ascii="Times New Roman" w:hAnsi="Times New Roman" w:cs="Times New Roman"/>
          <w:sz w:val="24"/>
          <w:szCs w:val="24"/>
        </w:rPr>
      </w:pPr>
      <w:r w:rsidRPr="00B3262A">
        <w:rPr>
          <w:rFonts w:ascii="Times New Roman" w:hAnsi="Times New Roman" w:cs="Times New Roman"/>
          <w:b/>
          <w:sz w:val="24"/>
          <w:szCs w:val="24"/>
        </w:rPr>
        <w:lastRenderedPageBreak/>
        <w:t>- Cinco horas con Mario (hablando de los motores del crecimiento y su financiación)</w:t>
      </w:r>
    </w:p>
    <w:p w:rsidR="00103829" w:rsidRDefault="00103829" w:rsidP="00992EA8">
      <w:pPr>
        <w:spacing w:line="240" w:lineRule="auto"/>
        <w:jc w:val="both"/>
        <w:rPr>
          <w:rFonts w:ascii="Times New Roman" w:hAnsi="Times New Roman" w:cs="Times New Roman"/>
          <w:color w:val="FF0000"/>
          <w:sz w:val="24"/>
          <w:szCs w:val="24"/>
        </w:rPr>
      </w:pPr>
      <w:r w:rsidRPr="00F474D5">
        <w:rPr>
          <w:noProof/>
          <w:lang w:eastAsia="es-ES"/>
        </w:rPr>
        <w:drawing>
          <wp:inline distT="0" distB="0" distL="0" distR="0" wp14:anchorId="20F8F6DB" wp14:editId="0A22FADD">
            <wp:extent cx="5731510" cy="3788410"/>
            <wp:effectExtent l="0" t="0" r="2540" b="254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3788410"/>
                    </a:xfrm>
                    <a:prstGeom prst="rect">
                      <a:avLst/>
                    </a:prstGeom>
                  </pic:spPr>
                </pic:pic>
              </a:graphicData>
            </a:graphic>
          </wp:inline>
        </w:drawing>
      </w:r>
    </w:p>
    <w:p w:rsidR="007E31C6" w:rsidRPr="00B3262A" w:rsidRDefault="007E31C6" w:rsidP="00992EA8">
      <w:pPr>
        <w:spacing w:line="240" w:lineRule="auto"/>
        <w:jc w:val="both"/>
        <w:rPr>
          <w:rFonts w:ascii="Times New Roman" w:hAnsi="Times New Roman" w:cs="Times New Roman"/>
          <w:sz w:val="24"/>
          <w:szCs w:val="24"/>
        </w:rPr>
      </w:pPr>
      <w:r w:rsidRPr="00B3262A">
        <w:rPr>
          <w:rFonts w:ascii="Times New Roman" w:hAnsi="Times New Roman" w:cs="Times New Roman"/>
          <w:b/>
          <w:sz w:val="24"/>
          <w:szCs w:val="24"/>
        </w:rPr>
        <w:t>Nota</w:t>
      </w:r>
      <w:r w:rsidRPr="00B3262A">
        <w:rPr>
          <w:rFonts w:ascii="Times New Roman" w:hAnsi="Times New Roman" w:cs="Times New Roman"/>
          <w:sz w:val="24"/>
          <w:szCs w:val="24"/>
        </w:rPr>
        <w:t xml:space="preserve">: </w:t>
      </w:r>
      <w:r w:rsidR="003743A6" w:rsidRPr="00B3262A">
        <w:rPr>
          <w:rFonts w:ascii="Times New Roman" w:hAnsi="Times New Roman" w:cs="Times New Roman"/>
          <w:sz w:val="24"/>
          <w:szCs w:val="24"/>
        </w:rPr>
        <w:t>“</w:t>
      </w:r>
      <w:r w:rsidRPr="00B3262A">
        <w:rPr>
          <w:rFonts w:ascii="Times New Roman" w:hAnsi="Times New Roman" w:cs="Times New Roman"/>
          <w:sz w:val="24"/>
          <w:szCs w:val="24"/>
        </w:rPr>
        <w:t>Cinco horas con Mario</w:t>
      </w:r>
      <w:r w:rsidR="003743A6" w:rsidRPr="00B3262A">
        <w:rPr>
          <w:rFonts w:ascii="Times New Roman" w:hAnsi="Times New Roman" w:cs="Times New Roman"/>
          <w:sz w:val="24"/>
          <w:szCs w:val="24"/>
        </w:rPr>
        <w:t>”</w:t>
      </w:r>
      <w:r w:rsidRPr="00B3262A">
        <w:rPr>
          <w:rFonts w:ascii="Times New Roman" w:hAnsi="Times New Roman" w:cs="Times New Roman"/>
          <w:sz w:val="24"/>
          <w:szCs w:val="24"/>
        </w:rPr>
        <w:t xml:space="preserve"> es el título de una novela de Miguel Delibes, donde se relata que Carmen Sotillo, a los 44 años, acaba de perder a su marido Mario de forma inesperada. Una vez que las visitas y la familia se han retirado, ella sola vela durante la última noche el cadáver de su marido e inicia con él un monólogo-diálogo en el que descubrimos sus personalidades y los conflictos de su matrimonio. C</w:t>
      </w:r>
      <w:r w:rsidR="00BF40BB" w:rsidRPr="00B3262A">
        <w:rPr>
          <w:rFonts w:ascii="Times New Roman" w:hAnsi="Times New Roman" w:cs="Times New Roman"/>
          <w:sz w:val="24"/>
          <w:szCs w:val="24"/>
        </w:rPr>
        <w:t xml:space="preserve">omo temas principales destacan: </w:t>
      </w:r>
      <w:r w:rsidRPr="00B3262A">
        <w:rPr>
          <w:rFonts w:ascii="Times New Roman" w:hAnsi="Times New Roman" w:cs="Times New Roman"/>
          <w:sz w:val="24"/>
          <w:szCs w:val="24"/>
        </w:rPr>
        <w:t>la familia, la política y la religión. Sin embargo, se incluyen temas complementarios tales como la educación de los hijos, la justicia social, el orden y las relaciones de género.</w:t>
      </w:r>
    </w:p>
    <w:p w:rsidR="007E31C6" w:rsidRPr="00B3262A" w:rsidRDefault="007E31C6" w:rsidP="00992EA8">
      <w:pPr>
        <w:spacing w:line="240" w:lineRule="auto"/>
        <w:jc w:val="both"/>
        <w:rPr>
          <w:rFonts w:ascii="Times New Roman" w:hAnsi="Times New Roman" w:cs="Times New Roman"/>
          <w:sz w:val="24"/>
          <w:szCs w:val="24"/>
        </w:rPr>
      </w:pPr>
      <w:r w:rsidRPr="00B3262A">
        <w:rPr>
          <w:rFonts w:ascii="Times New Roman" w:hAnsi="Times New Roman" w:cs="Times New Roman"/>
          <w:sz w:val="24"/>
          <w:szCs w:val="24"/>
        </w:rPr>
        <w:t xml:space="preserve">Creo que el título de la novela puede servir como </w:t>
      </w:r>
      <w:r w:rsidR="0096420E" w:rsidRPr="00B3262A">
        <w:rPr>
          <w:rFonts w:ascii="Times New Roman" w:hAnsi="Times New Roman" w:cs="Times New Roman"/>
          <w:sz w:val="24"/>
          <w:szCs w:val="24"/>
        </w:rPr>
        <w:t>“</w:t>
      </w:r>
      <w:r w:rsidRPr="00B3262A">
        <w:rPr>
          <w:rFonts w:ascii="Times New Roman" w:hAnsi="Times New Roman" w:cs="Times New Roman"/>
          <w:sz w:val="24"/>
          <w:szCs w:val="24"/>
        </w:rPr>
        <w:t>metáfora</w:t>
      </w:r>
      <w:r w:rsidR="0096420E" w:rsidRPr="00B3262A">
        <w:rPr>
          <w:rFonts w:ascii="Times New Roman" w:hAnsi="Times New Roman" w:cs="Times New Roman"/>
          <w:sz w:val="24"/>
          <w:szCs w:val="24"/>
        </w:rPr>
        <w:t>”</w:t>
      </w:r>
      <w:r w:rsidR="00BF40BB" w:rsidRPr="00B3262A">
        <w:rPr>
          <w:rFonts w:ascii="Times New Roman" w:hAnsi="Times New Roman" w:cs="Times New Roman"/>
          <w:sz w:val="24"/>
          <w:szCs w:val="24"/>
        </w:rPr>
        <w:t xml:space="preserve"> para este A</w:t>
      </w:r>
      <w:r w:rsidR="0096420E" w:rsidRPr="00B3262A">
        <w:rPr>
          <w:rFonts w:ascii="Times New Roman" w:hAnsi="Times New Roman" w:cs="Times New Roman"/>
          <w:sz w:val="24"/>
          <w:szCs w:val="24"/>
        </w:rPr>
        <w:t>partado, en el cual durante cinco horas, se</w:t>
      </w:r>
      <w:r w:rsidR="00273908" w:rsidRPr="00B3262A">
        <w:rPr>
          <w:rFonts w:ascii="Times New Roman" w:hAnsi="Times New Roman" w:cs="Times New Roman"/>
          <w:sz w:val="24"/>
          <w:szCs w:val="24"/>
        </w:rPr>
        <w:t xml:space="preserve"> debate</w:t>
      </w:r>
      <w:r w:rsidR="00BF40BB" w:rsidRPr="00B3262A">
        <w:rPr>
          <w:rFonts w:ascii="Times New Roman" w:hAnsi="Times New Roman" w:cs="Times New Roman"/>
          <w:sz w:val="24"/>
          <w:szCs w:val="24"/>
        </w:rPr>
        <w:t xml:space="preserve"> (literariamente</w:t>
      </w:r>
      <w:r w:rsidR="0096420E" w:rsidRPr="00B3262A">
        <w:rPr>
          <w:rFonts w:ascii="Times New Roman" w:hAnsi="Times New Roman" w:cs="Times New Roman"/>
          <w:sz w:val="24"/>
          <w:szCs w:val="24"/>
        </w:rPr>
        <w:t>) con Mario (Draghi), sobre su Informe para una Unión Europea más competitiva.</w:t>
      </w:r>
      <w:r w:rsidR="00273908" w:rsidRPr="00B3262A">
        <w:rPr>
          <w:rFonts w:ascii="Times New Roman" w:hAnsi="Times New Roman" w:cs="Times New Roman"/>
          <w:sz w:val="24"/>
          <w:szCs w:val="24"/>
        </w:rPr>
        <w:t xml:space="preserve"> </w:t>
      </w:r>
      <w:r w:rsidR="00273908" w:rsidRPr="00B3262A">
        <w:rPr>
          <w:rFonts w:ascii="Times New Roman" w:hAnsi="Times New Roman" w:cs="Times New Roman"/>
          <w:b/>
          <w:sz w:val="24"/>
          <w:szCs w:val="24"/>
        </w:rPr>
        <w:t>Cinco horas con Mario Draghi</w:t>
      </w:r>
      <w:r w:rsidR="003743A6" w:rsidRPr="00B3262A">
        <w:rPr>
          <w:rFonts w:ascii="Times New Roman" w:hAnsi="Times New Roman" w:cs="Times New Roman"/>
          <w:sz w:val="24"/>
          <w:szCs w:val="24"/>
        </w:rPr>
        <w:t>.</w:t>
      </w:r>
      <w:r w:rsidR="00B65AE7">
        <w:rPr>
          <w:rFonts w:ascii="Times New Roman" w:hAnsi="Times New Roman" w:cs="Times New Roman"/>
          <w:sz w:val="24"/>
          <w:szCs w:val="24"/>
        </w:rPr>
        <w:t xml:space="preserve"> Espero que alcancen…</w:t>
      </w:r>
    </w:p>
    <w:p w:rsidR="00273908" w:rsidRPr="00B3262A" w:rsidRDefault="00273908" w:rsidP="00992EA8">
      <w:pPr>
        <w:spacing w:line="240" w:lineRule="auto"/>
        <w:jc w:val="both"/>
        <w:rPr>
          <w:rFonts w:ascii="Times New Roman" w:hAnsi="Times New Roman" w:cs="Times New Roman"/>
          <w:sz w:val="24"/>
          <w:szCs w:val="24"/>
        </w:rPr>
      </w:pPr>
      <w:r w:rsidRPr="00B3262A">
        <w:rPr>
          <w:rFonts w:ascii="Times New Roman" w:hAnsi="Times New Roman" w:cs="Times New Roman"/>
          <w:sz w:val="24"/>
          <w:szCs w:val="24"/>
        </w:rPr>
        <w:t>Para evi</w:t>
      </w:r>
      <w:r w:rsidR="005F3AAA" w:rsidRPr="00B3262A">
        <w:rPr>
          <w:rFonts w:ascii="Times New Roman" w:hAnsi="Times New Roman" w:cs="Times New Roman"/>
          <w:sz w:val="24"/>
          <w:szCs w:val="24"/>
        </w:rPr>
        <w:t>tar saltos históricos</w:t>
      </w:r>
      <w:r w:rsidR="00BF40BB" w:rsidRPr="00B3262A">
        <w:rPr>
          <w:rFonts w:ascii="Times New Roman" w:hAnsi="Times New Roman" w:cs="Times New Roman"/>
          <w:sz w:val="24"/>
          <w:szCs w:val="24"/>
        </w:rPr>
        <w:t>, melancolías</w:t>
      </w:r>
      <w:r w:rsidRPr="00B3262A">
        <w:rPr>
          <w:rFonts w:ascii="Times New Roman" w:hAnsi="Times New Roman" w:cs="Times New Roman"/>
          <w:sz w:val="24"/>
          <w:szCs w:val="24"/>
        </w:rPr>
        <w:t xml:space="preserve"> discutibles, o adaptaciones libres, con el permiso de Friedrich List, </w:t>
      </w:r>
      <w:r w:rsidR="005F3AAA" w:rsidRPr="00B3262A">
        <w:rPr>
          <w:rFonts w:ascii="Times New Roman" w:hAnsi="Times New Roman" w:cs="Times New Roman"/>
          <w:sz w:val="24"/>
          <w:szCs w:val="24"/>
        </w:rPr>
        <w:t>asumo la autoría y</w:t>
      </w:r>
      <w:r w:rsidRPr="00B3262A">
        <w:rPr>
          <w:rFonts w:ascii="Times New Roman" w:hAnsi="Times New Roman" w:cs="Times New Roman"/>
          <w:sz w:val="24"/>
          <w:szCs w:val="24"/>
        </w:rPr>
        <w:t xml:space="preserve"> responsabilidad por los siguientes párrafos (propuestas).</w:t>
      </w:r>
    </w:p>
    <w:p w:rsidR="00103829" w:rsidRPr="00B3262A" w:rsidRDefault="00FE7EFD" w:rsidP="00103829">
      <w:pPr>
        <w:pStyle w:val="NormalWeb"/>
        <w:spacing w:after="0"/>
        <w:jc w:val="both"/>
        <w:textAlignment w:val="baseline"/>
        <w:rPr>
          <w:b/>
        </w:rPr>
      </w:pPr>
      <w:r>
        <w:rPr>
          <w:b/>
        </w:rPr>
        <w:t>Empezando por “casa” (el appará</w:t>
      </w:r>
      <w:r w:rsidR="00103829" w:rsidRPr="00B3262A">
        <w:rPr>
          <w:b/>
        </w:rPr>
        <w:t>tchik de Bruselas</w:t>
      </w:r>
      <w:r w:rsidR="007943E5" w:rsidRPr="00B3262A">
        <w:rPr>
          <w:b/>
        </w:rPr>
        <w:t>,</w:t>
      </w:r>
      <w:r w:rsidR="00103829" w:rsidRPr="00B3262A">
        <w:rPr>
          <w:b/>
        </w:rPr>
        <w:t xml:space="preserve"> y la conjura de los necios)</w:t>
      </w:r>
    </w:p>
    <w:p w:rsidR="00103829" w:rsidRPr="00B3262A" w:rsidRDefault="00103829" w:rsidP="00103829">
      <w:pPr>
        <w:pStyle w:val="NormalWeb"/>
        <w:spacing w:after="0"/>
        <w:jc w:val="both"/>
        <w:textAlignment w:val="baseline"/>
      </w:pPr>
      <w:r w:rsidRPr="00B3262A">
        <w:t>Burocracia, nepotismo, puertas giratorias, tráfico de influencias, corrupción… usted elige</w:t>
      </w:r>
      <w:r w:rsidR="00BF40BB" w:rsidRPr="00B3262A">
        <w:t>.</w:t>
      </w:r>
    </w:p>
    <w:p w:rsidR="00103829" w:rsidRPr="00B3262A" w:rsidRDefault="00103829" w:rsidP="00103829">
      <w:pPr>
        <w:pStyle w:val="NormalWeb"/>
        <w:spacing w:after="0"/>
        <w:jc w:val="both"/>
        <w:textAlignment w:val="baseline"/>
      </w:pPr>
      <w:r w:rsidRPr="00B3262A">
        <w:t>Aunque podemos seguir: sectarismo, desconocimiento, voluntarismo,</w:t>
      </w:r>
      <w:r w:rsidR="003743A6" w:rsidRPr="00B3262A">
        <w:t xml:space="preserve"> soberbia,</w:t>
      </w:r>
      <w:r w:rsidRPr="00B3262A">
        <w:t xml:space="preserve"> arrogancia, fatuidad</w:t>
      </w:r>
      <w:r w:rsidR="00201CA7" w:rsidRPr="00B3262A">
        <w:t>, diarrea regulatoria</w:t>
      </w:r>
      <w:r w:rsidRPr="00B3262A">
        <w:t>, ecologismo extremo, animalismo irracional, cultura de la cancelación, ideología woke, feminismo radical</w:t>
      </w:r>
      <w:r w:rsidR="00201CA7" w:rsidRPr="00B3262A">
        <w:t>, relativismo</w:t>
      </w:r>
      <w:r w:rsidRPr="00B3262A">
        <w:t>…</w:t>
      </w:r>
      <w:r w:rsidR="00201CA7" w:rsidRPr="00B3262A">
        <w:t xml:space="preserve"> </w:t>
      </w:r>
    </w:p>
    <w:p w:rsidR="00103829" w:rsidRPr="00B3262A" w:rsidRDefault="00103829" w:rsidP="00103829">
      <w:pPr>
        <w:pStyle w:val="NormalWeb"/>
        <w:spacing w:after="0"/>
        <w:jc w:val="both"/>
        <w:textAlignment w:val="baseline"/>
      </w:pPr>
      <w:r w:rsidRPr="00B3262A">
        <w:t>Todos esos “atributos”, aderezados con la dependencia tecnológica (EEUU), militar (EEUU), industr</w:t>
      </w:r>
      <w:r w:rsidR="00201CA7" w:rsidRPr="00B3262A">
        <w:t>ial (China), energética (Rusia), alimentaria (de terceros países competidores)…</w:t>
      </w:r>
    </w:p>
    <w:p w:rsidR="00201CA7" w:rsidRPr="00B3262A" w:rsidRDefault="00103829" w:rsidP="00103829">
      <w:pPr>
        <w:pStyle w:val="NormalWeb"/>
        <w:spacing w:after="0"/>
        <w:jc w:val="both"/>
        <w:textAlignment w:val="baseline"/>
      </w:pPr>
      <w:r w:rsidRPr="00B3262A">
        <w:lastRenderedPageBreak/>
        <w:t>Pero eso sí,</w:t>
      </w:r>
      <w:r w:rsidR="00BF40BB" w:rsidRPr="00B3262A">
        <w:t xml:space="preserve"> Don Mario. Los europeos</w:t>
      </w:r>
      <w:r w:rsidRPr="00B3262A">
        <w:t xml:space="preserve"> “estamos</w:t>
      </w:r>
      <w:r w:rsidR="00B65AE7">
        <w:t xml:space="preserve"> -felizmente-</w:t>
      </w:r>
      <w:r w:rsidRPr="00B3262A">
        <w:t xml:space="preserve"> conectados” (smart life, redes sociales, plataformas,</w:t>
      </w:r>
      <w:r w:rsidR="00CB7691" w:rsidRPr="00B3262A">
        <w:t xml:space="preserve"> realidad virtual,</w:t>
      </w:r>
      <w:r w:rsidRPr="00B3262A">
        <w:t xml:space="preserve"> nube, metaverso</w:t>
      </w:r>
      <w:r w:rsidR="00CB7691" w:rsidRPr="00B3262A">
        <w:t>, chatGPT</w:t>
      </w:r>
      <w:r w:rsidRPr="00B3262A">
        <w:t>…)</w:t>
      </w:r>
      <w:r w:rsidR="00CB7691" w:rsidRPr="00B3262A">
        <w:t>, y gozamos de otros “beneficios del progreso”: economía disruptiva,</w:t>
      </w:r>
      <w:r w:rsidR="008D606E" w:rsidRPr="00B3262A">
        <w:t xml:space="preserve"> participativa, transversal, empoderada, circular, sostenible,</w:t>
      </w:r>
      <w:r w:rsidR="00CB7691" w:rsidRPr="00B3262A">
        <w:t xml:space="preserve"> </w:t>
      </w:r>
      <w:r w:rsidR="008D606E" w:rsidRPr="00B3262A">
        <w:t xml:space="preserve">net-working, </w:t>
      </w:r>
      <w:r w:rsidR="00CB7691" w:rsidRPr="00B3262A">
        <w:t>blockchain, bitcoin</w:t>
      </w:r>
      <w:r w:rsidR="00201CA7" w:rsidRPr="00B3262A">
        <w:t>,</w:t>
      </w:r>
      <w:r w:rsidR="004A010F" w:rsidRPr="00B3262A">
        <w:t xml:space="preserve"> robotización.</w:t>
      </w:r>
      <w:r w:rsidR="00201CA7" w:rsidRPr="00B3262A">
        <w:t xml:space="preserve"> algoritmos, inteligencia artificial</w:t>
      </w:r>
      <w:r w:rsidR="00CB7691" w:rsidRPr="00B3262A">
        <w:t xml:space="preserve">… aunque esos (supuestos) </w:t>
      </w:r>
      <w:r w:rsidR="00201CA7" w:rsidRPr="00B3262A">
        <w:t>“</w:t>
      </w:r>
      <w:r w:rsidR="00CB7691" w:rsidRPr="00B3262A">
        <w:t>avances</w:t>
      </w:r>
      <w:r w:rsidR="00201CA7" w:rsidRPr="00B3262A">
        <w:t>”</w:t>
      </w:r>
      <w:r w:rsidR="00CB7691" w:rsidRPr="00B3262A">
        <w:t xml:space="preserve"> nos</w:t>
      </w:r>
      <w:r w:rsidR="004A010F" w:rsidRPr="00B3262A">
        <w:t xml:space="preserve"> dejen </w:t>
      </w:r>
      <w:r w:rsidR="00BF40BB" w:rsidRPr="00B3262A">
        <w:t>sin empleo, con trabajos</w:t>
      </w:r>
      <w:r w:rsidR="004A010F" w:rsidRPr="00B3262A">
        <w:t xml:space="preserve"> temporales o precarios,</w:t>
      </w:r>
      <w:r w:rsidR="00B3262A">
        <w:t xml:space="preserve"> jornadas reducidas,</w:t>
      </w:r>
      <w:r w:rsidR="00887923">
        <w:t xml:space="preserve"> ingresos mediocres,</w:t>
      </w:r>
      <w:r w:rsidR="004A010F" w:rsidRPr="00B3262A">
        <w:t xml:space="preserve"> y nos </w:t>
      </w:r>
      <w:r w:rsidR="00CB7691" w:rsidRPr="00B3262A">
        <w:t>hagan más tontos, adictos, anestesiados, subordinados, espiados, traficados, manipulad</w:t>
      </w:r>
      <w:r w:rsidR="00201CA7" w:rsidRPr="00B3262A">
        <w:t>os, desinformados, intoxicados…</w:t>
      </w:r>
    </w:p>
    <w:p w:rsidR="006C0ACF" w:rsidRDefault="008D606E" w:rsidP="00EB7886">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w:t>
      </w:r>
      <w:r w:rsidR="00EB7886" w:rsidRPr="000D09CF">
        <w:rPr>
          <w:rFonts w:ascii="Times New Roman" w:eastAsia="Times New Roman" w:hAnsi="Times New Roman" w:cs="Times New Roman"/>
          <w:sz w:val="24"/>
          <w:szCs w:val="24"/>
          <w:lang w:eastAsia="es-ES"/>
        </w:rPr>
        <w:t>s justo reconocer, que todo lo que le podía salir mal</w:t>
      </w:r>
      <w:r>
        <w:rPr>
          <w:rFonts w:ascii="Times New Roman" w:eastAsia="Times New Roman" w:hAnsi="Times New Roman" w:cs="Times New Roman"/>
          <w:sz w:val="24"/>
          <w:szCs w:val="24"/>
          <w:lang w:eastAsia="es-ES"/>
        </w:rPr>
        <w:t xml:space="preserve"> a la Unión Europea</w:t>
      </w:r>
      <w:r w:rsidR="00EB7886" w:rsidRPr="000D09CF">
        <w:rPr>
          <w:rFonts w:ascii="Times New Roman" w:eastAsia="Times New Roman" w:hAnsi="Times New Roman" w:cs="Times New Roman"/>
          <w:sz w:val="24"/>
          <w:szCs w:val="24"/>
          <w:lang w:eastAsia="es-ES"/>
        </w:rPr>
        <w:t>, le ha salido.</w:t>
      </w:r>
    </w:p>
    <w:p w:rsidR="003E2B63" w:rsidRDefault="003E2B63" w:rsidP="00EB7886">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Así y todo, vamos a la tarea de hacer un conjunto de propuestas que pueden resultar sustitutivas, complementarias, añadidas, concernientes, al Informe Draghi, y además (mu</w:t>
      </w:r>
      <w:r w:rsidR="00BF40BB">
        <w:rPr>
          <w:rFonts w:ascii="Times New Roman" w:eastAsia="Times New Roman" w:hAnsi="Times New Roman" w:cs="Times New Roman"/>
          <w:sz w:val="24"/>
          <w:szCs w:val="24"/>
          <w:lang w:eastAsia="es-ES"/>
        </w:rPr>
        <w:t>cha</w:t>
      </w:r>
      <w:r w:rsidR="0062258E">
        <w:rPr>
          <w:rFonts w:ascii="Times New Roman" w:eastAsia="Times New Roman" w:hAnsi="Times New Roman" w:cs="Times New Roman"/>
          <w:sz w:val="24"/>
          <w:szCs w:val="24"/>
          <w:lang w:eastAsia="es-ES"/>
        </w:rPr>
        <w:t>s de ellas) sin costo (para el sector</w:t>
      </w:r>
      <w:r w:rsidR="00BF40BB">
        <w:rPr>
          <w:rFonts w:ascii="Times New Roman" w:eastAsia="Times New Roman" w:hAnsi="Times New Roman" w:cs="Times New Roman"/>
          <w:sz w:val="24"/>
          <w:szCs w:val="24"/>
          <w:lang w:eastAsia="es-ES"/>
        </w:rPr>
        <w:t xml:space="preserve"> público</w:t>
      </w:r>
      <w:r>
        <w:rPr>
          <w:rFonts w:ascii="Times New Roman" w:eastAsia="Times New Roman" w:hAnsi="Times New Roman" w:cs="Times New Roman"/>
          <w:sz w:val="24"/>
          <w:szCs w:val="24"/>
          <w:lang w:eastAsia="es-ES"/>
        </w:rPr>
        <w:t>),</w:t>
      </w:r>
      <w:r w:rsidR="003743A6">
        <w:rPr>
          <w:rFonts w:ascii="Times New Roman" w:eastAsia="Times New Roman" w:hAnsi="Times New Roman" w:cs="Times New Roman"/>
          <w:sz w:val="24"/>
          <w:szCs w:val="24"/>
          <w:lang w:eastAsia="es-ES"/>
        </w:rPr>
        <w:t xml:space="preserve"> y de rápida implementación. </w:t>
      </w:r>
      <w:r w:rsidR="00887923">
        <w:rPr>
          <w:rFonts w:ascii="Times New Roman" w:eastAsia="Times New Roman" w:hAnsi="Times New Roman" w:cs="Times New Roman"/>
          <w:sz w:val="24"/>
          <w:szCs w:val="24"/>
          <w:lang w:eastAsia="es-ES"/>
        </w:rPr>
        <w:t>Repito: ¡sin costo!</w:t>
      </w:r>
      <w:r w:rsidR="003743A6">
        <w:rPr>
          <w:rFonts w:ascii="Times New Roman" w:eastAsia="Times New Roman" w:hAnsi="Times New Roman" w:cs="Times New Roman"/>
          <w:sz w:val="24"/>
          <w:szCs w:val="24"/>
          <w:lang w:eastAsia="es-ES"/>
        </w:rPr>
        <w:t xml:space="preserve">  </w:t>
      </w:r>
    </w:p>
    <w:p w:rsidR="00161BA6" w:rsidRPr="00161BA6" w:rsidRDefault="00117D31" w:rsidP="00161BA6">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6C0ACF">
        <w:rPr>
          <w:rFonts w:ascii="Times New Roman" w:eastAsia="Times New Roman" w:hAnsi="Times New Roman" w:cs="Times New Roman"/>
          <w:sz w:val="24"/>
          <w:szCs w:val="24"/>
          <w:lang w:eastAsia="es-ES"/>
        </w:rPr>
        <w:t>Renunciar a la Agenda 2030</w:t>
      </w:r>
      <w:r w:rsidR="00871D1F" w:rsidRPr="006C0ACF">
        <w:rPr>
          <w:rFonts w:ascii="Times New Roman" w:eastAsia="Times New Roman" w:hAnsi="Times New Roman" w:cs="Times New Roman"/>
          <w:sz w:val="24"/>
          <w:szCs w:val="24"/>
          <w:lang w:eastAsia="es-ES"/>
        </w:rPr>
        <w:t xml:space="preserve"> (al menos</w:t>
      </w:r>
      <w:r w:rsidR="00B616E7" w:rsidRPr="006C0ACF">
        <w:rPr>
          <w:rFonts w:ascii="Times New Roman" w:eastAsia="Times New Roman" w:hAnsi="Times New Roman" w:cs="Times New Roman"/>
          <w:sz w:val="24"/>
          <w:szCs w:val="24"/>
          <w:lang w:eastAsia="es-ES"/>
        </w:rPr>
        <w:t>,</w:t>
      </w:r>
      <w:r w:rsidR="00871D1F" w:rsidRPr="006C0ACF">
        <w:rPr>
          <w:rFonts w:ascii="Times New Roman" w:eastAsia="Times New Roman" w:hAnsi="Times New Roman" w:cs="Times New Roman"/>
          <w:sz w:val="24"/>
          <w:szCs w:val="24"/>
          <w:lang w:eastAsia="es-ES"/>
        </w:rPr>
        <w:t xml:space="preserve"> en lo que puede afectar a los sectores económicos)</w:t>
      </w:r>
      <w:r w:rsidR="00B616E7" w:rsidRPr="006C0ACF">
        <w:rPr>
          <w:rFonts w:ascii="Times New Roman" w:eastAsia="Times New Roman" w:hAnsi="Times New Roman" w:cs="Times New Roman"/>
          <w:sz w:val="24"/>
          <w:szCs w:val="24"/>
          <w:lang w:eastAsia="es-ES"/>
        </w:rPr>
        <w:t>. Y ya de paso</w:t>
      </w:r>
      <w:r w:rsidR="006C0ACF">
        <w:rPr>
          <w:rFonts w:ascii="Times New Roman" w:eastAsia="Times New Roman" w:hAnsi="Times New Roman" w:cs="Times New Roman"/>
          <w:sz w:val="24"/>
          <w:szCs w:val="24"/>
          <w:lang w:eastAsia="es-ES"/>
        </w:rPr>
        <w:t>,</w:t>
      </w:r>
      <w:r w:rsidR="00B616E7" w:rsidRPr="006C0ACF">
        <w:rPr>
          <w:rFonts w:ascii="Times New Roman" w:eastAsia="Times New Roman" w:hAnsi="Times New Roman" w:cs="Times New Roman"/>
          <w:sz w:val="24"/>
          <w:szCs w:val="24"/>
          <w:lang w:eastAsia="es-ES"/>
        </w:rPr>
        <w:t xml:space="preserve"> no firmar, apoyar, proclamar, tolerar, la nueva Agenda (woke) de la ONU: Cumbre del Futuro - Octubre 2024.</w:t>
      </w:r>
    </w:p>
    <w:p w:rsidR="00161BA6" w:rsidRDefault="00161BA6" w:rsidP="00161BA6">
      <w:pPr>
        <w:pStyle w:val="Prrafodelista"/>
        <w:spacing w:before="100" w:beforeAutospacing="1" w:after="100" w:afterAutospacing="1" w:line="240" w:lineRule="auto"/>
        <w:jc w:val="both"/>
        <w:rPr>
          <w:rFonts w:ascii="Times New Roman" w:eastAsia="Times New Roman" w:hAnsi="Times New Roman" w:cs="Times New Roman"/>
          <w:sz w:val="24"/>
          <w:szCs w:val="24"/>
          <w:lang w:eastAsia="es-ES"/>
        </w:rPr>
      </w:pPr>
    </w:p>
    <w:p w:rsidR="00C94683" w:rsidRPr="00482E1B" w:rsidRDefault="00B616E7" w:rsidP="00161BA6">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6C0ACF">
        <w:rPr>
          <w:rFonts w:ascii="Times New Roman" w:eastAsia="Times New Roman" w:hAnsi="Times New Roman" w:cs="Times New Roman"/>
          <w:sz w:val="24"/>
          <w:szCs w:val="24"/>
          <w:lang w:eastAsia="es-ES"/>
        </w:rPr>
        <w:t xml:space="preserve"> </w:t>
      </w:r>
      <w:r w:rsidR="00C94683" w:rsidRPr="00161BA6">
        <w:rPr>
          <w:rFonts w:ascii="Times New Roman" w:eastAsia="Times New Roman" w:hAnsi="Times New Roman" w:cs="Times New Roman"/>
          <w:sz w:val="24"/>
          <w:szCs w:val="24"/>
          <w:lang w:eastAsia="es-ES"/>
        </w:rPr>
        <w:t>Derogar el Pacto Verde Europeo, el</w:t>
      </w:r>
      <w:r w:rsidR="00C94683" w:rsidRPr="00161BA6">
        <w:rPr>
          <w:rFonts w:ascii="Times New Roman" w:hAnsi="Times New Roman" w:cs="Times New Roman"/>
          <w:sz w:val="24"/>
          <w:szCs w:val="24"/>
        </w:rPr>
        <w:t xml:space="preserve"> Objetivo 55, y la Ley del Clima</w:t>
      </w:r>
      <w:r w:rsidR="00161BA6">
        <w:rPr>
          <w:rFonts w:ascii="Times New Roman" w:hAnsi="Times New Roman" w:cs="Times New Roman"/>
          <w:sz w:val="24"/>
          <w:szCs w:val="24"/>
        </w:rPr>
        <w:t>.</w:t>
      </w:r>
    </w:p>
    <w:p w:rsidR="00482E1B" w:rsidRPr="00482E1B" w:rsidRDefault="00482E1B" w:rsidP="00482E1B">
      <w:pPr>
        <w:pStyle w:val="Prrafodelista"/>
        <w:rPr>
          <w:rFonts w:ascii="Times New Roman" w:eastAsia="Times New Roman" w:hAnsi="Times New Roman" w:cs="Times New Roman"/>
          <w:sz w:val="24"/>
          <w:szCs w:val="24"/>
          <w:lang w:eastAsia="es-ES"/>
        </w:rPr>
      </w:pPr>
    </w:p>
    <w:p w:rsidR="00482E1B" w:rsidRPr="00161BA6" w:rsidRDefault="00482E1B" w:rsidP="00161BA6">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Abandonar el multilateralismo (OMC)</w:t>
      </w:r>
      <w:r w:rsidR="00BF40BB">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y establecer acuerdos comerciales con terceros países de carácter bilateral (con intercambio compensado).</w:t>
      </w:r>
    </w:p>
    <w:p w:rsidR="006C0ACF" w:rsidRPr="006C0ACF" w:rsidRDefault="006C0ACF" w:rsidP="006C0ACF">
      <w:pPr>
        <w:pStyle w:val="Prrafodelista"/>
        <w:rPr>
          <w:rFonts w:ascii="Times New Roman" w:eastAsia="Times New Roman" w:hAnsi="Times New Roman" w:cs="Times New Roman"/>
          <w:sz w:val="24"/>
          <w:szCs w:val="24"/>
          <w:lang w:eastAsia="es-ES"/>
        </w:rPr>
      </w:pPr>
    </w:p>
    <w:p w:rsidR="00117D31" w:rsidRDefault="00117D31" w:rsidP="00EB7886">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6C0ACF">
        <w:rPr>
          <w:rFonts w:ascii="Times New Roman" w:eastAsia="Times New Roman" w:hAnsi="Times New Roman" w:cs="Times New Roman"/>
          <w:sz w:val="24"/>
          <w:szCs w:val="24"/>
          <w:lang w:eastAsia="es-ES"/>
        </w:rPr>
        <w:t>Dar prioridad (alcanzar) la soberanía alimentaria</w:t>
      </w:r>
      <w:r w:rsidR="00161BA6">
        <w:rPr>
          <w:rFonts w:ascii="Times New Roman" w:eastAsia="Times New Roman" w:hAnsi="Times New Roman" w:cs="Times New Roman"/>
          <w:sz w:val="24"/>
          <w:szCs w:val="24"/>
          <w:lang w:eastAsia="es-ES"/>
        </w:rPr>
        <w:t>.</w:t>
      </w:r>
    </w:p>
    <w:p w:rsidR="005746C2" w:rsidRPr="005746C2" w:rsidRDefault="005746C2" w:rsidP="005746C2">
      <w:pPr>
        <w:pStyle w:val="Prrafodelista"/>
        <w:rPr>
          <w:rFonts w:ascii="Times New Roman" w:eastAsia="Times New Roman" w:hAnsi="Times New Roman" w:cs="Times New Roman"/>
          <w:sz w:val="24"/>
          <w:szCs w:val="24"/>
          <w:lang w:eastAsia="es-ES"/>
        </w:rPr>
      </w:pPr>
    </w:p>
    <w:p w:rsidR="00117D31" w:rsidRDefault="00117D31" w:rsidP="00EB7886">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Desregular</w:t>
      </w:r>
      <w:r w:rsidR="00871D1F" w:rsidRPr="005746C2">
        <w:rPr>
          <w:rFonts w:ascii="Times New Roman" w:eastAsia="Times New Roman" w:hAnsi="Times New Roman" w:cs="Times New Roman"/>
          <w:sz w:val="24"/>
          <w:szCs w:val="24"/>
          <w:lang w:eastAsia="es-ES"/>
        </w:rPr>
        <w:t xml:space="preserve"> (al máximo)</w:t>
      </w:r>
      <w:r w:rsidRPr="005746C2">
        <w:rPr>
          <w:rFonts w:ascii="Times New Roman" w:eastAsia="Times New Roman" w:hAnsi="Times New Roman" w:cs="Times New Roman"/>
          <w:sz w:val="24"/>
          <w:szCs w:val="24"/>
          <w:lang w:eastAsia="es-ES"/>
        </w:rPr>
        <w:t xml:space="preserve"> las actividades agropecuarias</w:t>
      </w:r>
      <w:r w:rsidR="00161BA6">
        <w:rPr>
          <w:rFonts w:ascii="Times New Roman" w:eastAsia="Times New Roman" w:hAnsi="Times New Roman" w:cs="Times New Roman"/>
          <w:sz w:val="24"/>
          <w:szCs w:val="24"/>
          <w:lang w:eastAsia="es-ES"/>
        </w:rPr>
        <w:t>.</w:t>
      </w:r>
      <w:r w:rsidR="002514B1" w:rsidRPr="005746C2">
        <w:rPr>
          <w:rFonts w:ascii="Times New Roman" w:eastAsia="Times New Roman" w:hAnsi="Times New Roman" w:cs="Times New Roman"/>
          <w:sz w:val="24"/>
          <w:szCs w:val="24"/>
          <w:lang w:eastAsia="es-ES"/>
        </w:rPr>
        <w:t xml:space="preserve"> </w:t>
      </w:r>
    </w:p>
    <w:p w:rsidR="005746C2" w:rsidRPr="005746C2" w:rsidRDefault="005746C2" w:rsidP="005746C2">
      <w:pPr>
        <w:pStyle w:val="Prrafodelista"/>
        <w:rPr>
          <w:rFonts w:ascii="Times New Roman" w:eastAsia="Times New Roman" w:hAnsi="Times New Roman" w:cs="Times New Roman"/>
          <w:sz w:val="24"/>
          <w:szCs w:val="24"/>
          <w:lang w:eastAsia="es-ES"/>
        </w:rPr>
      </w:pPr>
    </w:p>
    <w:p w:rsidR="00117D31" w:rsidRDefault="00117D31" w:rsidP="00EB7886">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Retomar (promover) el uso de la energía nuclear</w:t>
      </w:r>
      <w:r w:rsidR="00161BA6">
        <w:rPr>
          <w:rFonts w:ascii="Times New Roman" w:eastAsia="Times New Roman" w:hAnsi="Times New Roman" w:cs="Times New Roman"/>
          <w:sz w:val="24"/>
          <w:szCs w:val="24"/>
          <w:lang w:eastAsia="es-ES"/>
        </w:rPr>
        <w:t>.</w:t>
      </w:r>
    </w:p>
    <w:p w:rsidR="005746C2" w:rsidRPr="005746C2" w:rsidRDefault="005746C2" w:rsidP="005746C2">
      <w:pPr>
        <w:pStyle w:val="Prrafodelista"/>
        <w:rPr>
          <w:rFonts w:ascii="Times New Roman" w:eastAsia="Times New Roman" w:hAnsi="Times New Roman" w:cs="Times New Roman"/>
          <w:sz w:val="24"/>
          <w:szCs w:val="24"/>
          <w:lang w:eastAsia="es-ES"/>
        </w:rPr>
      </w:pPr>
    </w:p>
    <w:p w:rsidR="00117D31" w:rsidRDefault="00117D31" w:rsidP="00117D31">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Dar prioridad (maximizar) la soberanía energética</w:t>
      </w:r>
      <w:r w:rsidR="00161BA6">
        <w:rPr>
          <w:rFonts w:ascii="Times New Roman" w:eastAsia="Times New Roman" w:hAnsi="Times New Roman" w:cs="Times New Roman"/>
          <w:sz w:val="24"/>
          <w:szCs w:val="24"/>
          <w:lang w:eastAsia="es-ES"/>
        </w:rPr>
        <w:t>.</w:t>
      </w:r>
    </w:p>
    <w:p w:rsidR="005746C2" w:rsidRPr="005746C2" w:rsidRDefault="005746C2" w:rsidP="005746C2">
      <w:pPr>
        <w:pStyle w:val="Prrafodelista"/>
        <w:rPr>
          <w:rFonts w:ascii="Times New Roman" w:eastAsia="Times New Roman" w:hAnsi="Times New Roman" w:cs="Times New Roman"/>
          <w:sz w:val="24"/>
          <w:szCs w:val="24"/>
          <w:lang w:eastAsia="es-ES"/>
        </w:rPr>
      </w:pPr>
    </w:p>
    <w:p w:rsidR="00871D1F" w:rsidRDefault="00871D1F" w:rsidP="00117D31">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Liberalizar la exploración y extracción de minerales</w:t>
      </w:r>
      <w:r w:rsidR="00482E1B">
        <w:rPr>
          <w:rFonts w:ascii="Times New Roman" w:eastAsia="Times New Roman" w:hAnsi="Times New Roman" w:cs="Times New Roman"/>
          <w:sz w:val="24"/>
          <w:szCs w:val="24"/>
          <w:lang w:eastAsia="es-ES"/>
        </w:rPr>
        <w:t>,</w:t>
      </w:r>
      <w:r w:rsidRPr="005746C2">
        <w:rPr>
          <w:rFonts w:ascii="Times New Roman" w:eastAsia="Times New Roman" w:hAnsi="Times New Roman" w:cs="Times New Roman"/>
          <w:sz w:val="24"/>
          <w:szCs w:val="24"/>
          <w:lang w:eastAsia="es-ES"/>
        </w:rPr>
        <w:t xml:space="preserve"> en</w:t>
      </w:r>
      <w:r w:rsidR="00161BA6">
        <w:rPr>
          <w:rFonts w:ascii="Times New Roman" w:eastAsia="Times New Roman" w:hAnsi="Times New Roman" w:cs="Times New Roman"/>
          <w:sz w:val="24"/>
          <w:szCs w:val="24"/>
          <w:lang w:eastAsia="es-ES"/>
        </w:rPr>
        <w:t xml:space="preserve"> todo el</w:t>
      </w:r>
      <w:r w:rsidRPr="005746C2">
        <w:rPr>
          <w:rFonts w:ascii="Times New Roman" w:eastAsia="Times New Roman" w:hAnsi="Times New Roman" w:cs="Times New Roman"/>
          <w:sz w:val="24"/>
          <w:szCs w:val="24"/>
          <w:lang w:eastAsia="es-ES"/>
        </w:rPr>
        <w:t xml:space="preserve"> territorio europeo</w:t>
      </w:r>
      <w:r w:rsidR="00161BA6">
        <w:rPr>
          <w:rFonts w:ascii="Times New Roman" w:eastAsia="Times New Roman" w:hAnsi="Times New Roman" w:cs="Times New Roman"/>
          <w:sz w:val="24"/>
          <w:szCs w:val="24"/>
          <w:lang w:eastAsia="es-ES"/>
        </w:rPr>
        <w:t>.</w:t>
      </w:r>
    </w:p>
    <w:p w:rsidR="005746C2" w:rsidRPr="005746C2" w:rsidRDefault="005746C2" w:rsidP="005746C2">
      <w:pPr>
        <w:pStyle w:val="Prrafodelista"/>
        <w:rPr>
          <w:rFonts w:ascii="Times New Roman" w:eastAsia="Times New Roman" w:hAnsi="Times New Roman" w:cs="Times New Roman"/>
          <w:sz w:val="24"/>
          <w:szCs w:val="24"/>
          <w:lang w:eastAsia="es-ES"/>
        </w:rPr>
      </w:pPr>
    </w:p>
    <w:p w:rsidR="00117D31" w:rsidRDefault="00117D31" w:rsidP="00117D31">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Reindustri</w:t>
      </w:r>
      <w:r w:rsidR="002514B1" w:rsidRPr="005746C2">
        <w:rPr>
          <w:rFonts w:ascii="Times New Roman" w:eastAsia="Times New Roman" w:hAnsi="Times New Roman" w:cs="Times New Roman"/>
          <w:sz w:val="24"/>
          <w:szCs w:val="24"/>
          <w:lang w:eastAsia="es-ES"/>
        </w:rPr>
        <w:t>a</w:t>
      </w:r>
      <w:r w:rsidRPr="005746C2">
        <w:rPr>
          <w:rFonts w:ascii="Times New Roman" w:eastAsia="Times New Roman" w:hAnsi="Times New Roman" w:cs="Times New Roman"/>
          <w:sz w:val="24"/>
          <w:szCs w:val="24"/>
          <w:lang w:eastAsia="es-ES"/>
        </w:rPr>
        <w:t xml:space="preserve">lizar </w:t>
      </w:r>
      <w:r w:rsidR="002514B1" w:rsidRPr="005746C2">
        <w:rPr>
          <w:rFonts w:ascii="Times New Roman" w:eastAsia="Times New Roman" w:hAnsi="Times New Roman" w:cs="Times New Roman"/>
          <w:sz w:val="24"/>
          <w:szCs w:val="24"/>
          <w:lang w:eastAsia="es-ES"/>
        </w:rPr>
        <w:t>Europa (postergar, o eliminar,</w:t>
      </w:r>
      <w:r w:rsidR="0079599F" w:rsidRPr="005746C2">
        <w:rPr>
          <w:rFonts w:ascii="Times New Roman" w:eastAsia="Times New Roman" w:hAnsi="Times New Roman" w:cs="Times New Roman"/>
          <w:sz w:val="24"/>
          <w:szCs w:val="24"/>
          <w:lang w:eastAsia="es-ES"/>
        </w:rPr>
        <w:t xml:space="preserve"> las exigencias de descarbonizar</w:t>
      </w:r>
      <w:r w:rsidR="00871D1F" w:rsidRPr="005746C2">
        <w:rPr>
          <w:rFonts w:ascii="Times New Roman" w:eastAsia="Times New Roman" w:hAnsi="Times New Roman" w:cs="Times New Roman"/>
          <w:sz w:val="24"/>
          <w:szCs w:val="24"/>
          <w:lang w:eastAsia="es-ES"/>
        </w:rPr>
        <w:t xml:space="preserve"> la industria</w:t>
      </w:r>
      <w:r w:rsidR="002514B1" w:rsidRPr="005746C2">
        <w:rPr>
          <w:rFonts w:ascii="Times New Roman" w:eastAsia="Times New Roman" w:hAnsi="Times New Roman" w:cs="Times New Roman"/>
          <w:sz w:val="24"/>
          <w:szCs w:val="24"/>
          <w:lang w:eastAsia="es-ES"/>
        </w:rPr>
        <w:t>)</w:t>
      </w:r>
      <w:r w:rsidR="00161BA6">
        <w:rPr>
          <w:rFonts w:ascii="Times New Roman" w:eastAsia="Times New Roman" w:hAnsi="Times New Roman" w:cs="Times New Roman"/>
          <w:sz w:val="24"/>
          <w:szCs w:val="24"/>
          <w:lang w:eastAsia="es-ES"/>
        </w:rPr>
        <w:t>.</w:t>
      </w:r>
    </w:p>
    <w:p w:rsidR="005746C2" w:rsidRPr="005746C2" w:rsidRDefault="005746C2" w:rsidP="005746C2">
      <w:pPr>
        <w:pStyle w:val="Prrafodelista"/>
        <w:rPr>
          <w:rFonts w:ascii="Times New Roman" w:eastAsia="Times New Roman" w:hAnsi="Times New Roman" w:cs="Times New Roman"/>
          <w:sz w:val="24"/>
          <w:szCs w:val="24"/>
          <w:lang w:eastAsia="es-ES"/>
        </w:rPr>
      </w:pPr>
    </w:p>
    <w:p w:rsidR="002514B1" w:rsidRDefault="00117D31" w:rsidP="00EB7886">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Liberalizar el mercado interior (unidad de mercado)</w:t>
      </w:r>
      <w:r w:rsidR="00161BA6">
        <w:rPr>
          <w:rFonts w:ascii="Times New Roman" w:eastAsia="Times New Roman" w:hAnsi="Times New Roman" w:cs="Times New Roman"/>
          <w:sz w:val="24"/>
          <w:szCs w:val="24"/>
          <w:lang w:eastAsia="es-ES"/>
        </w:rPr>
        <w:t>.</w:t>
      </w:r>
    </w:p>
    <w:p w:rsidR="005746C2" w:rsidRPr="005746C2" w:rsidRDefault="005746C2" w:rsidP="005746C2">
      <w:pPr>
        <w:pStyle w:val="Prrafodelista"/>
        <w:rPr>
          <w:rFonts w:ascii="Times New Roman" w:eastAsia="Times New Roman" w:hAnsi="Times New Roman" w:cs="Times New Roman"/>
          <w:sz w:val="24"/>
          <w:szCs w:val="24"/>
          <w:lang w:eastAsia="es-ES"/>
        </w:rPr>
      </w:pPr>
    </w:p>
    <w:p w:rsidR="002514B1" w:rsidRDefault="002514B1" w:rsidP="00EB7886">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Poner aranceles compensatorios (sanitarios,</w:t>
      </w:r>
      <w:r w:rsidR="0046365D">
        <w:rPr>
          <w:rFonts w:ascii="Times New Roman" w:eastAsia="Times New Roman" w:hAnsi="Times New Roman" w:cs="Times New Roman"/>
          <w:sz w:val="24"/>
          <w:szCs w:val="24"/>
          <w:lang w:eastAsia="es-ES"/>
        </w:rPr>
        <w:t xml:space="preserve"> energéticos,</w:t>
      </w:r>
      <w:r w:rsidR="0062258E">
        <w:rPr>
          <w:rFonts w:ascii="Times New Roman" w:eastAsia="Times New Roman" w:hAnsi="Times New Roman" w:cs="Times New Roman"/>
          <w:sz w:val="24"/>
          <w:szCs w:val="24"/>
          <w:lang w:eastAsia="es-ES"/>
        </w:rPr>
        <w:t xml:space="preserve"> ecológicos</w:t>
      </w:r>
      <w:r w:rsidR="00BF40BB">
        <w:rPr>
          <w:rFonts w:ascii="Times New Roman" w:eastAsia="Times New Roman" w:hAnsi="Times New Roman" w:cs="Times New Roman"/>
          <w:sz w:val="24"/>
          <w:szCs w:val="24"/>
          <w:lang w:eastAsia="es-ES"/>
        </w:rPr>
        <w:t>,</w:t>
      </w:r>
      <w:r w:rsidRPr="005746C2">
        <w:rPr>
          <w:rFonts w:ascii="Times New Roman" w:eastAsia="Times New Roman" w:hAnsi="Times New Roman" w:cs="Times New Roman"/>
          <w:sz w:val="24"/>
          <w:szCs w:val="24"/>
          <w:lang w:eastAsia="es-ES"/>
        </w:rPr>
        <w:t xml:space="preserve"> s</w:t>
      </w:r>
      <w:r w:rsidR="0046365D">
        <w:rPr>
          <w:rFonts w:ascii="Times New Roman" w:eastAsia="Times New Roman" w:hAnsi="Times New Roman" w:cs="Times New Roman"/>
          <w:sz w:val="24"/>
          <w:szCs w:val="24"/>
          <w:lang w:eastAsia="es-ES"/>
        </w:rPr>
        <w:t>alariales, sociales,</w:t>
      </w:r>
      <w:r w:rsidRPr="005746C2">
        <w:rPr>
          <w:rFonts w:ascii="Times New Roman" w:eastAsia="Times New Roman" w:hAnsi="Times New Roman" w:cs="Times New Roman"/>
          <w:sz w:val="24"/>
          <w:szCs w:val="24"/>
          <w:lang w:eastAsia="es-ES"/>
        </w:rPr>
        <w:t>…) a terceros países competidores</w:t>
      </w:r>
      <w:r w:rsidR="00482E1B">
        <w:rPr>
          <w:rFonts w:ascii="Times New Roman" w:eastAsia="Times New Roman" w:hAnsi="Times New Roman" w:cs="Times New Roman"/>
          <w:sz w:val="24"/>
          <w:szCs w:val="24"/>
          <w:lang w:eastAsia="es-ES"/>
        </w:rPr>
        <w:t>.</w:t>
      </w:r>
    </w:p>
    <w:p w:rsidR="005746C2" w:rsidRPr="005746C2" w:rsidRDefault="005746C2" w:rsidP="005746C2">
      <w:pPr>
        <w:pStyle w:val="Prrafodelista"/>
        <w:rPr>
          <w:rFonts w:ascii="Times New Roman" w:eastAsia="Times New Roman" w:hAnsi="Times New Roman" w:cs="Times New Roman"/>
          <w:sz w:val="24"/>
          <w:szCs w:val="24"/>
          <w:lang w:eastAsia="es-ES"/>
        </w:rPr>
      </w:pPr>
    </w:p>
    <w:p w:rsidR="002514B1" w:rsidRDefault="002514B1" w:rsidP="005746C2">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Reducir al máximo el aparato</w:t>
      </w:r>
      <w:r w:rsidR="00B616E7" w:rsidRPr="005746C2">
        <w:rPr>
          <w:rFonts w:ascii="Times New Roman" w:eastAsia="Times New Roman" w:hAnsi="Times New Roman" w:cs="Times New Roman"/>
          <w:sz w:val="24"/>
          <w:szCs w:val="24"/>
          <w:lang w:eastAsia="es-ES"/>
        </w:rPr>
        <w:t xml:space="preserve"> burocrático y</w:t>
      </w:r>
      <w:r w:rsidRPr="005746C2">
        <w:rPr>
          <w:rFonts w:ascii="Times New Roman" w:eastAsia="Times New Roman" w:hAnsi="Times New Roman" w:cs="Times New Roman"/>
          <w:sz w:val="24"/>
          <w:szCs w:val="24"/>
          <w:lang w:eastAsia="es-ES"/>
        </w:rPr>
        <w:t xml:space="preserve"> regulatorio</w:t>
      </w:r>
      <w:r w:rsidR="00B616E7" w:rsidRPr="005746C2">
        <w:rPr>
          <w:rFonts w:ascii="Times New Roman" w:eastAsia="Times New Roman" w:hAnsi="Times New Roman" w:cs="Times New Roman"/>
          <w:sz w:val="24"/>
          <w:szCs w:val="24"/>
          <w:lang w:eastAsia="es-ES"/>
        </w:rPr>
        <w:t xml:space="preserve"> de la UE (el “leviatán” europeo)</w:t>
      </w:r>
      <w:r w:rsidR="005746C2">
        <w:rPr>
          <w:rFonts w:ascii="Times New Roman" w:eastAsia="Times New Roman" w:hAnsi="Times New Roman" w:cs="Times New Roman"/>
          <w:sz w:val="24"/>
          <w:szCs w:val="24"/>
          <w:lang w:eastAsia="es-ES"/>
        </w:rPr>
        <w:t xml:space="preserve">. </w:t>
      </w:r>
      <w:r w:rsidR="005746C2" w:rsidRPr="005746C2">
        <w:rPr>
          <w:rFonts w:ascii="Times New Roman" w:eastAsia="Times New Roman" w:hAnsi="Times New Roman" w:cs="Times New Roman"/>
          <w:sz w:val="24"/>
          <w:szCs w:val="24"/>
          <w:lang w:eastAsia="es-ES"/>
        </w:rPr>
        <w:t>En las instituciones, organismos y agencias de la Unión Europea (UE) trabajan en torno a 70.000 empleados públicos propios (funcionarios y agentes).</w:t>
      </w:r>
      <w:r w:rsidR="00B616E7" w:rsidRPr="005746C2">
        <w:rPr>
          <w:rFonts w:ascii="Times New Roman" w:eastAsia="Times New Roman" w:hAnsi="Times New Roman" w:cs="Times New Roman"/>
          <w:sz w:val="24"/>
          <w:szCs w:val="24"/>
          <w:lang w:eastAsia="es-ES"/>
        </w:rPr>
        <w:t xml:space="preserve"> </w:t>
      </w:r>
    </w:p>
    <w:p w:rsidR="005746C2" w:rsidRPr="005746C2" w:rsidRDefault="005746C2" w:rsidP="005746C2">
      <w:pPr>
        <w:pStyle w:val="Prrafodelista"/>
        <w:rPr>
          <w:rFonts w:ascii="Times New Roman" w:eastAsia="Times New Roman" w:hAnsi="Times New Roman" w:cs="Times New Roman"/>
          <w:sz w:val="24"/>
          <w:szCs w:val="24"/>
          <w:lang w:eastAsia="es-ES"/>
        </w:rPr>
      </w:pPr>
    </w:p>
    <w:p w:rsidR="005746C2" w:rsidRDefault="005746C2" w:rsidP="00EB7886">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Reducir el tamaño de la Comisión Europea (no más de 8 Comisarios). Ahora</w:t>
      </w:r>
      <w:r w:rsidR="00216ACD">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hay 27 (uno por cada país miembro). </w:t>
      </w:r>
    </w:p>
    <w:p w:rsidR="005746C2" w:rsidRPr="005746C2" w:rsidRDefault="005746C2" w:rsidP="005746C2">
      <w:pPr>
        <w:pStyle w:val="Prrafodelista"/>
        <w:rPr>
          <w:rFonts w:ascii="Times New Roman" w:eastAsia="Times New Roman" w:hAnsi="Times New Roman" w:cs="Times New Roman"/>
          <w:sz w:val="24"/>
          <w:szCs w:val="24"/>
          <w:lang w:eastAsia="es-ES"/>
        </w:rPr>
      </w:pPr>
    </w:p>
    <w:p w:rsidR="002514B1" w:rsidRPr="005746C2" w:rsidRDefault="00B409C1" w:rsidP="005746C2">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hAnsi="Times New Roman" w:cs="Times New Roman"/>
          <w:sz w:val="24"/>
          <w:szCs w:val="24"/>
        </w:rPr>
        <w:lastRenderedPageBreak/>
        <w:t>Eliminar toda la</w:t>
      </w:r>
      <w:r w:rsidR="002514B1" w:rsidRPr="005746C2">
        <w:rPr>
          <w:rFonts w:ascii="Times New Roman" w:hAnsi="Times New Roman" w:cs="Times New Roman"/>
          <w:sz w:val="24"/>
          <w:szCs w:val="24"/>
        </w:rPr>
        <w:t xml:space="preserve"> normativa que resulta contraproducente</w:t>
      </w:r>
      <w:r w:rsidR="00B616E7" w:rsidRPr="005746C2">
        <w:rPr>
          <w:rFonts w:ascii="Times New Roman" w:hAnsi="Times New Roman" w:cs="Times New Roman"/>
          <w:sz w:val="24"/>
          <w:szCs w:val="24"/>
        </w:rPr>
        <w:t xml:space="preserve"> al crecimiento</w:t>
      </w:r>
      <w:r w:rsidR="002514B1" w:rsidRPr="005746C2">
        <w:rPr>
          <w:rFonts w:ascii="Times New Roman" w:hAnsi="Times New Roman" w:cs="Times New Roman"/>
          <w:sz w:val="24"/>
          <w:szCs w:val="24"/>
        </w:rPr>
        <w:t xml:space="preserve"> (exceso de regulación)</w:t>
      </w:r>
      <w:r w:rsidR="0079599F" w:rsidRPr="005746C2">
        <w:rPr>
          <w:rFonts w:ascii="Times New Roman" w:hAnsi="Times New Roman" w:cs="Times New Roman"/>
          <w:sz w:val="24"/>
          <w:szCs w:val="24"/>
        </w:rPr>
        <w:t>. E</w:t>
      </w:r>
      <w:r w:rsidR="0079599F" w:rsidRPr="005746C2">
        <w:rPr>
          <w:rFonts w:ascii="Times New Roman" w:hAnsi="Times New Roman" w:cs="Times New Roman"/>
          <w:color w:val="000000"/>
          <w:sz w:val="24"/>
          <w:szCs w:val="24"/>
        </w:rPr>
        <w:t>l 80% de las normas ya surgen de regulaciones europeas</w:t>
      </w:r>
      <w:r w:rsidR="00482E1B">
        <w:rPr>
          <w:rFonts w:ascii="Times New Roman" w:hAnsi="Times New Roman" w:cs="Times New Roman"/>
          <w:color w:val="000000"/>
          <w:sz w:val="24"/>
          <w:szCs w:val="24"/>
        </w:rPr>
        <w:t>.</w:t>
      </w:r>
    </w:p>
    <w:p w:rsidR="005746C2" w:rsidRPr="005746C2" w:rsidRDefault="005746C2" w:rsidP="005746C2">
      <w:pPr>
        <w:pStyle w:val="Prrafodelista"/>
        <w:rPr>
          <w:rFonts w:ascii="Times New Roman" w:eastAsia="Times New Roman" w:hAnsi="Times New Roman" w:cs="Times New Roman"/>
          <w:sz w:val="24"/>
          <w:szCs w:val="24"/>
          <w:lang w:eastAsia="es-ES"/>
        </w:rPr>
      </w:pPr>
    </w:p>
    <w:p w:rsidR="00871D1F" w:rsidRDefault="00871D1F" w:rsidP="00EB7886">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Exigir a los gobiernos de los países miembros el pronto regreso a</w:t>
      </w:r>
      <w:r w:rsidR="00B616E7" w:rsidRPr="005746C2">
        <w:rPr>
          <w:rFonts w:ascii="Times New Roman" w:eastAsia="Times New Roman" w:hAnsi="Times New Roman" w:cs="Times New Roman"/>
          <w:sz w:val="24"/>
          <w:szCs w:val="24"/>
          <w:lang w:eastAsia="es-ES"/>
        </w:rPr>
        <w:t xml:space="preserve"> los</w:t>
      </w:r>
      <w:r w:rsidRPr="005746C2">
        <w:rPr>
          <w:rFonts w:ascii="Times New Roman" w:eastAsia="Times New Roman" w:hAnsi="Times New Roman" w:cs="Times New Roman"/>
          <w:sz w:val="24"/>
          <w:szCs w:val="24"/>
          <w:lang w:eastAsia="es-ES"/>
        </w:rPr>
        <w:t xml:space="preserve"> criterios de Maastricht o de convergencia</w:t>
      </w:r>
      <w:r w:rsidR="00B616E7" w:rsidRPr="005746C2">
        <w:rPr>
          <w:rFonts w:ascii="Times New Roman" w:eastAsia="Times New Roman" w:hAnsi="Times New Roman" w:cs="Times New Roman"/>
          <w:sz w:val="24"/>
          <w:szCs w:val="24"/>
          <w:lang w:eastAsia="es-ES"/>
        </w:rPr>
        <w:t xml:space="preserve"> (dejar de asistir financieramente a los incumplidores</w:t>
      </w:r>
      <w:r w:rsidR="00A57647" w:rsidRPr="005746C2">
        <w:rPr>
          <w:rFonts w:ascii="Times New Roman" w:eastAsia="Times New Roman" w:hAnsi="Times New Roman" w:cs="Times New Roman"/>
          <w:sz w:val="24"/>
          <w:szCs w:val="24"/>
          <w:lang w:eastAsia="es-ES"/>
        </w:rPr>
        <w:t>,</w:t>
      </w:r>
      <w:r w:rsidR="00B616E7" w:rsidRPr="005746C2">
        <w:rPr>
          <w:rFonts w:ascii="Times New Roman" w:eastAsia="Times New Roman" w:hAnsi="Times New Roman" w:cs="Times New Roman"/>
          <w:sz w:val="24"/>
          <w:szCs w:val="24"/>
          <w:lang w:eastAsia="es-ES"/>
        </w:rPr>
        <w:t xml:space="preserve"> o expulsarlos de la UE)</w:t>
      </w:r>
      <w:r w:rsidR="005746C2">
        <w:rPr>
          <w:rFonts w:ascii="Times New Roman" w:eastAsia="Times New Roman" w:hAnsi="Times New Roman" w:cs="Times New Roman"/>
          <w:sz w:val="24"/>
          <w:szCs w:val="24"/>
          <w:lang w:eastAsia="es-ES"/>
        </w:rPr>
        <w:t xml:space="preserve">. </w:t>
      </w:r>
    </w:p>
    <w:p w:rsidR="005746C2" w:rsidRPr="005746C2" w:rsidRDefault="005746C2" w:rsidP="005746C2">
      <w:pPr>
        <w:pStyle w:val="Prrafodelista"/>
        <w:rPr>
          <w:rFonts w:ascii="Times New Roman" w:eastAsia="Times New Roman" w:hAnsi="Times New Roman" w:cs="Times New Roman"/>
          <w:sz w:val="24"/>
          <w:szCs w:val="24"/>
          <w:lang w:eastAsia="es-ES"/>
        </w:rPr>
      </w:pPr>
    </w:p>
    <w:p w:rsidR="00505B1F" w:rsidRDefault="00505B1F" w:rsidP="00EB7886">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 xml:space="preserve">Reducir la </w:t>
      </w:r>
      <w:r w:rsidR="0062258E">
        <w:rPr>
          <w:rFonts w:ascii="Times New Roman" w:eastAsia="Times New Roman" w:hAnsi="Times New Roman" w:cs="Times New Roman"/>
          <w:sz w:val="24"/>
          <w:szCs w:val="24"/>
          <w:lang w:eastAsia="es-ES"/>
        </w:rPr>
        <w:t xml:space="preserve">carga fiscal sobre las </w:t>
      </w:r>
      <w:r w:rsidRPr="005746C2">
        <w:rPr>
          <w:rFonts w:ascii="Times New Roman" w:eastAsia="Times New Roman" w:hAnsi="Times New Roman" w:cs="Times New Roman"/>
          <w:sz w:val="24"/>
          <w:szCs w:val="24"/>
          <w:lang w:eastAsia="es-ES"/>
        </w:rPr>
        <w:t>em</w:t>
      </w:r>
      <w:r w:rsidR="0062258E">
        <w:rPr>
          <w:rFonts w:ascii="Times New Roman" w:eastAsia="Times New Roman" w:hAnsi="Times New Roman" w:cs="Times New Roman"/>
          <w:sz w:val="24"/>
          <w:szCs w:val="24"/>
          <w:lang w:eastAsia="es-ES"/>
        </w:rPr>
        <w:t>presas</w:t>
      </w:r>
      <w:r w:rsidR="00482E1B">
        <w:rPr>
          <w:rFonts w:ascii="Times New Roman" w:eastAsia="Times New Roman" w:hAnsi="Times New Roman" w:cs="Times New Roman"/>
          <w:sz w:val="24"/>
          <w:szCs w:val="24"/>
          <w:lang w:eastAsia="es-ES"/>
        </w:rPr>
        <w:t>.</w:t>
      </w:r>
    </w:p>
    <w:p w:rsidR="0062258E" w:rsidRPr="0062258E" w:rsidRDefault="0062258E" w:rsidP="0062258E">
      <w:pPr>
        <w:pStyle w:val="Prrafodelista"/>
        <w:rPr>
          <w:rFonts w:ascii="Times New Roman" w:eastAsia="Times New Roman" w:hAnsi="Times New Roman" w:cs="Times New Roman"/>
          <w:sz w:val="24"/>
          <w:szCs w:val="24"/>
          <w:lang w:eastAsia="es-ES"/>
        </w:rPr>
      </w:pPr>
    </w:p>
    <w:p w:rsidR="0062258E" w:rsidRDefault="0062258E" w:rsidP="00EB7886">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Reducir la presión fiscal sobre los particulares.</w:t>
      </w:r>
    </w:p>
    <w:p w:rsidR="0062258E" w:rsidRPr="0062258E" w:rsidRDefault="0062258E" w:rsidP="0062258E">
      <w:pPr>
        <w:pStyle w:val="Prrafodelista"/>
        <w:rPr>
          <w:rFonts w:ascii="Times New Roman" w:eastAsia="Times New Roman" w:hAnsi="Times New Roman" w:cs="Times New Roman"/>
          <w:sz w:val="24"/>
          <w:szCs w:val="24"/>
          <w:lang w:eastAsia="es-ES"/>
        </w:rPr>
      </w:pPr>
    </w:p>
    <w:p w:rsidR="0062258E" w:rsidRDefault="0062258E" w:rsidP="00EB7886">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Exigir el pago de impuestos a las grandes tecnológicas en función de sus ventas en cada país miembro de la UE (y no</w:t>
      </w:r>
      <w:r w:rsidR="00887923">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de sus rentas declaradas en el domicilio fiscal).</w:t>
      </w:r>
    </w:p>
    <w:p w:rsidR="00161BA6" w:rsidRPr="00161BA6" w:rsidRDefault="00161BA6" w:rsidP="00161BA6">
      <w:pPr>
        <w:pStyle w:val="Prrafodelista"/>
        <w:rPr>
          <w:rFonts w:ascii="Times New Roman" w:eastAsia="Times New Roman" w:hAnsi="Times New Roman" w:cs="Times New Roman"/>
          <w:sz w:val="24"/>
          <w:szCs w:val="24"/>
          <w:lang w:eastAsia="es-ES"/>
        </w:rPr>
      </w:pPr>
    </w:p>
    <w:p w:rsidR="00161BA6" w:rsidRDefault="00161BA6" w:rsidP="00EB7886">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Dar seguridad jurídica a los ahorradores, inversores y empresas, en cada país miembro, y en el conjunto de la Unión. </w:t>
      </w:r>
    </w:p>
    <w:p w:rsidR="005746C2" w:rsidRPr="005746C2" w:rsidRDefault="005746C2" w:rsidP="005746C2">
      <w:pPr>
        <w:pStyle w:val="Prrafodelista"/>
        <w:rPr>
          <w:rFonts w:ascii="Times New Roman" w:eastAsia="Times New Roman" w:hAnsi="Times New Roman" w:cs="Times New Roman"/>
          <w:sz w:val="24"/>
          <w:szCs w:val="24"/>
          <w:lang w:eastAsia="es-ES"/>
        </w:rPr>
      </w:pPr>
    </w:p>
    <w:p w:rsidR="00505B1F" w:rsidRDefault="00505B1F" w:rsidP="00EB7886">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Acotar el estado de bienestar a los sectores más necesitados</w:t>
      </w:r>
      <w:r w:rsidR="005746C2">
        <w:rPr>
          <w:rFonts w:ascii="Times New Roman" w:eastAsia="Times New Roman" w:hAnsi="Times New Roman" w:cs="Times New Roman"/>
          <w:sz w:val="24"/>
          <w:szCs w:val="24"/>
          <w:lang w:eastAsia="es-ES"/>
        </w:rPr>
        <w:t>,</w:t>
      </w:r>
      <w:r w:rsidRPr="005746C2">
        <w:rPr>
          <w:rFonts w:ascii="Times New Roman" w:eastAsia="Times New Roman" w:hAnsi="Times New Roman" w:cs="Times New Roman"/>
          <w:sz w:val="24"/>
          <w:szCs w:val="24"/>
          <w:lang w:eastAsia="es-ES"/>
        </w:rPr>
        <w:t xml:space="preserve"> y privatizar el resto de servicios</w:t>
      </w:r>
      <w:r w:rsidR="00482E1B">
        <w:rPr>
          <w:rFonts w:ascii="Times New Roman" w:eastAsia="Times New Roman" w:hAnsi="Times New Roman" w:cs="Times New Roman"/>
          <w:sz w:val="24"/>
          <w:szCs w:val="24"/>
          <w:lang w:eastAsia="es-ES"/>
        </w:rPr>
        <w:t>.</w:t>
      </w:r>
    </w:p>
    <w:p w:rsidR="005746C2" w:rsidRPr="005746C2" w:rsidRDefault="005746C2" w:rsidP="005746C2">
      <w:pPr>
        <w:pStyle w:val="Prrafodelista"/>
        <w:rPr>
          <w:rFonts w:ascii="Times New Roman" w:eastAsia="Times New Roman" w:hAnsi="Times New Roman" w:cs="Times New Roman"/>
          <w:sz w:val="24"/>
          <w:szCs w:val="24"/>
          <w:lang w:eastAsia="es-ES"/>
        </w:rPr>
      </w:pPr>
    </w:p>
    <w:p w:rsidR="00505B1F" w:rsidRDefault="00505B1F" w:rsidP="00EB7886">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Limitar al máximo la política de subsidios (</w:t>
      </w:r>
      <w:r w:rsidR="0079599F" w:rsidRPr="005746C2">
        <w:rPr>
          <w:rFonts w:ascii="Times New Roman" w:eastAsia="Times New Roman" w:hAnsi="Times New Roman" w:cs="Times New Roman"/>
          <w:sz w:val="24"/>
          <w:szCs w:val="24"/>
          <w:lang w:eastAsia="es-ES"/>
        </w:rPr>
        <w:t>sectores muy específicos</w:t>
      </w:r>
      <w:r w:rsidR="005746C2">
        <w:rPr>
          <w:rFonts w:ascii="Times New Roman" w:eastAsia="Times New Roman" w:hAnsi="Times New Roman" w:cs="Times New Roman"/>
          <w:sz w:val="24"/>
          <w:szCs w:val="24"/>
          <w:lang w:eastAsia="es-ES"/>
        </w:rPr>
        <w:t>,</w:t>
      </w:r>
      <w:r w:rsidR="0079599F" w:rsidRPr="005746C2">
        <w:rPr>
          <w:rFonts w:ascii="Times New Roman" w:eastAsia="Times New Roman" w:hAnsi="Times New Roman" w:cs="Times New Roman"/>
          <w:sz w:val="24"/>
          <w:szCs w:val="24"/>
          <w:lang w:eastAsia="es-ES"/>
        </w:rPr>
        <w:t xml:space="preserve"> y por un plazo limitado)</w:t>
      </w:r>
      <w:r w:rsidR="00482E1B">
        <w:rPr>
          <w:rFonts w:ascii="Times New Roman" w:eastAsia="Times New Roman" w:hAnsi="Times New Roman" w:cs="Times New Roman"/>
          <w:sz w:val="24"/>
          <w:szCs w:val="24"/>
          <w:lang w:eastAsia="es-ES"/>
        </w:rPr>
        <w:t>.</w:t>
      </w:r>
      <w:r w:rsidRPr="005746C2">
        <w:rPr>
          <w:rFonts w:ascii="Times New Roman" w:eastAsia="Times New Roman" w:hAnsi="Times New Roman" w:cs="Times New Roman"/>
          <w:sz w:val="24"/>
          <w:szCs w:val="24"/>
          <w:lang w:eastAsia="es-ES"/>
        </w:rPr>
        <w:t xml:space="preserve"> </w:t>
      </w:r>
    </w:p>
    <w:p w:rsidR="005746C2" w:rsidRPr="005746C2" w:rsidRDefault="005746C2" w:rsidP="005746C2">
      <w:pPr>
        <w:pStyle w:val="Prrafodelista"/>
        <w:rPr>
          <w:rFonts w:ascii="Times New Roman" w:eastAsia="Times New Roman" w:hAnsi="Times New Roman" w:cs="Times New Roman"/>
          <w:sz w:val="24"/>
          <w:szCs w:val="24"/>
          <w:lang w:eastAsia="es-ES"/>
        </w:rPr>
      </w:pPr>
    </w:p>
    <w:p w:rsidR="00B409C1" w:rsidRDefault="00117D31" w:rsidP="00EB7886">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Alentar las fusiones y adquisiciones</w:t>
      </w:r>
      <w:r w:rsidR="00B409C1" w:rsidRPr="005746C2">
        <w:rPr>
          <w:rFonts w:ascii="Times New Roman" w:eastAsia="Times New Roman" w:hAnsi="Times New Roman" w:cs="Times New Roman"/>
          <w:sz w:val="24"/>
          <w:szCs w:val="24"/>
          <w:lang w:eastAsia="es-ES"/>
        </w:rPr>
        <w:t xml:space="preserve"> intraeuropeas de</w:t>
      </w:r>
      <w:r w:rsidR="00161BA6">
        <w:rPr>
          <w:rFonts w:ascii="Times New Roman" w:eastAsia="Times New Roman" w:hAnsi="Times New Roman" w:cs="Times New Roman"/>
          <w:sz w:val="24"/>
          <w:szCs w:val="24"/>
          <w:lang w:eastAsia="es-ES"/>
        </w:rPr>
        <w:t xml:space="preserve"> grandes</w:t>
      </w:r>
      <w:r w:rsidR="00B409C1" w:rsidRPr="005746C2">
        <w:rPr>
          <w:rFonts w:ascii="Times New Roman" w:eastAsia="Times New Roman" w:hAnsi="Times New Roman" w:cs="Times New Roman"/>
          <w:sz w:val="24"/>
          <w:szCs w:val="24"/>
          <w:lang w:eastAsia="es-ES"/>
        </w:rPr>
        <w:t xml:space="preserve"> empresas</w:t>
      </w:r>
      <w:r w:rsidR="00A57647" w:rsidRPr="005746C2">
        <w:rPr>
          <w:rFonts w:ascii="Times New Roman" w:eastAsia="Times New Roman" w:hAnsi="Times New Roman" w:cs="Times New Roman"/>
          <w:sz w:val="24"/>
          <w:szCs w:val="24"/>
          <w:lang w:eastAsia="es-ES"/>
        </w:rPr>
        <w:t>,</w:t>
      </w:r>
      <w:r w:rsidR="00B409C1" w:rsidRPr="005746C2">
        <w:rPr>
          <w:rFonts w:ascii="Times New Roman" w:eastAsia="Times New Roman" w:hAnsi="Times New Roman" w:cs="Times New Roman"/>
          <w:sz w:val="24"/>
          <w:szCs w:val="24"/>
          <w:lang w:eastAsia="es-ES"/>
        </w:rPr>
        <w:t xml:space="preserve"> y entidades financieras</w:t>
      </w:r>
      <w:r w:rsidR="00482E1B">
        <w:rPr>
          <w:rFonts w:ascii="Times New Roman" w:eastAsia="Times New Roman" w:hAnsi="Times New Roman" w:cs="Times New Roman"/>
          <w:sz w:val="24"/>
          <w:szCs w:val="24"/>
          <w:lang w:eastAsia="es-ES"/>
        </w:rPr>
        <w:t>.</w:t>
      </w:r>
      <w:r w:rsidR="00B409C1" w:rsidRPr="005746C2">
        <w:rPr>
          <w:rFonts w:ascii="Times New Roman" w:eastAsia="Times New Roman" w:hAnsi="Times New Roman" w:cs="Times New Roman"/>
          <w:sz w:val="24"/>
          <w:szCs w:val="24"/>
          <w:lang w:eastAsia="es-ES"/>
        </w:rPr>
        <w:t xml:space="preserve"> </w:t>
      </w:r>
    </w:p>
    <w:p w:rsidR="005746C2" w:rsidRPr="005746C2" w:rsidRDefault="005746C2" w:rsidP="005746C2">
      <w:pPr>
        <w:pStyle w:val="Prrafodelista"/>
        <w:rPr>
          <w:rFonts w:ascii="Times New Roman" w:eastAsia="Times New Roman" w:hAnsi="Times New Roman" w:cs="Times New Roman"/>
          <w:sz w:val="24"/>
          <w:szCs w:val="24"/>
          <w:lang w:eastAsia="es-ES"/>
        </w:rPr>
      </w:pPr>
    </w:p>
    <w:p w:rsidR="00B409C1" w:rsidRPr="005746C2" w:rsidRDefault="00B409C1" w:rsidP="00EB7886">
      <w:pPr>
        <w:pStyle w:val="Prrafodelista"/>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5746C2">
        <w:rPr>
          <w:rFonts w:ascii="Times New Roman" w:eastAsia="Times New Roman" w:hAnsi="Times New Roman" w:cs="Times New Roman"/>
          <w:sz w:val="24"/>
          <w:szCs w:val="24"/>
          <w:lang w:eastAsia="es-ES"/>
        </w:rPr>
        <w:t>Procurar la unión de las redes europeas de electricidad, gas, agua, transporte, comunicaciones</w:t>
      </w:r>
      <w:r w:rsidR="00482E1B">
        <w:rPr>
          <w:rFonts w:ascii="Times New Roman" w:eastAsia="Times New Roman" w:hAnsi="Times New Roman" w:cs="Times New Roman"/>
          <w:sz w:val="24"/>
          <w:szCs w:val="24"/>
          <w:lang w:eastAsia="es-ES"/>
        </w:rPr>
        <w:t>.</w:t>
      </w:r>
      <w:r w:rsidRPr="005746C2">
        <w:rPr>
          <w:rFonts w:ascii="Times New Roman" w:eastAsia="Times New Roman" w:hAnsi="Times New Roman" w:cs="Times New Roman"/>
          <w:sz w:val="24"/>
          <w:szCs w:val="24"/>
          <w:lang w:eastAsia="es-ES"/>
        </w:rPr>
        <w:t xml:space="preserve">  </w:t>
      </w:r>
    </w:p>
    <w:p w:rsidR="00117D31" w:rsidRPr="0046365D" w:rsidRDefault="00A57647" w:rsidP="00EB788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6365D">
        <w:rPr>
          <w:rFonts w:ascii="Times New Roman" w:eastAsia="Times New Roman" w:hAnsi="Times New Roman" w:cs="Times New Roman"/>
          <w:sz w:val="24"/>
          <w:szCs w:val="24"/>
          <w:lang w:eastAsia="es-ES"/>
        </w:rPr>
        <w:t>Para</w:t>
      </w:r>
      <w:r w:rsidR="00BC4F3B" w:rsidRPr="0046365D">
        <w:rPr>
          <w:rFonts w:ascii="Times New Roman" w:eastAsia="Times New Roman" w:hAnsi="Times New Roman" w:cs="Times New Roman"/>
          <w:sz w:val="24"/>
          <w:szCs w:val="24"/>
          <w:lang w:eastAsia="es-ES"/>
        </w:rPr>
        <w:t xml:space="preserve"> ir</w:t>
      </w:r>
      <w:r w:rsidRPr="0046365D">
        <w:rPr>
          <w:rFonts w:ascii="Times New Roman" w:eastAsia="Times New Roman" w:hAnsi="Times New Roman" w:cs="Times New Roman"/>
          <w:sz w:val="24"/>
          <w:szCs w:val="24"/>
          <w:lang w:eastAsia="es-ES"/>
        </w:rPr>
        <w:t xml:space="preserve"> “</w:t>
      </w:r>
      <w:r w:rsidR="00BC4F3B" w:rsidRPr="0046365D">
        <w:rPr>
          <w:rFonts w:ascii="Times New Roman" w:eastAsia="Times New Roman" w:hAnsi="Times New Roman" w:cs="Times New Roman"/>
          <w:sz w:val="24"/>
          <w:szCs w:val="24"/>
          <w:lang w:eastAsia="es-ES"/>
        </w:rPr>
        <w:t xml:space="preserve">templando </w:t>
      </w:r>
      <w:r w:rsidRPr="0046365D">
        <w:rPr>
          <w:rFonts w:ascii="Times New Roman" w:eastAsia="Times New Roman" w:hAnsi="Times New Roman" w:cs="Times New Roman"/>
          <w:sz w:val="24"/>
          <w:szCs w:val="24"/>
          <w:lang w:eastAsia="es-ES"/>
        </w:rPr>
        <w:t>gaitas”: b</w:t>
      </w:r>
      <w:r w:rsidR="00487723" w:rsidRPr="0046365D">
        <w:rPr>
          <w:rFonts w:ascii="Times New Roman" w:eastAsia="Times New Roman" w:hAnsi="Times New Roman" w:cs="Times New Roman"/>
          <w:sz w:val="24"/>
          <w:szCs w:val="24"/>
          <w:lang w:eastAsia="es-ES"/>
        </w:rPr>
        <w:t>reves ejemplos de la “miopía”</w:t>
      </w:r>
      <w:r w:rsidRPr="0046365D">
        <w:rPr>
          <w:rFonts w:ascii="Times New Roman" w:eastAsia="Times New Roman" w:hAnsi="Times New Roman" w:cs="Times New Roman"/>
          <w:sz w:val="24"/>
          <w:szCs w:val="24"/>
          <w:lang w:eastAsia="es-ES"/>
        </w:rPr>
        <w:t xml:space="preserve"> y “sinrazón”</w:t>
      </w:r>
      <w:r w:rsidR="00487723" w:rsidRPr="0046365D">
        <w:rPr>
          <w:rFonts w:ascii="Times New Roman" w:eastAsia="Times New Roman" w:hAnsi="Times New Roman" w:cs="Times New Roman"/>
          <w:sz w:val="24"/>
          <w:szCs w:val="24"/>
          <w:lang w:eastAsia="es-ES"/>
        </w:rPr>
        <w:t xml:space="preserve"> europea</w:t>
      </w:r>
      <w:r w:rsidRPr="0046365D">
        <w:rPr>
          <w:rFonts w:ascii="Times New Roman" w:eastAsia="Times New Roman" w:hAnsi="Times New Roman" w:cs="Times New Roman"/>
          <w:sz w:val="24"/>
          <w:szCs w:val="24"/>
          <w:lang w:eastAsia="es-ES"/>
        </w:rPr>
        <w:t xml:space="preserve"> </w:t>
      </w:r>
      <w:r w:rsidR="00970BFB" w:rsidRPr="0046365D">
        <w:rPr>
          <w:rFonts w:ascii="Times New Roman" w:eastAsia="Times New Roman" w:hAnsi="Times New Roman" w:cs="Times New Roman"/>
          <w:sz w:val="24"/>
          <w:szCs w:val="24"/>
          <w:lang w:eastAsia="es-ES"/>
        </w:rPr>
        <w:t>(</w:t>
      </w:r>
      <w:r w:rsidR="00487723" w:rsidRPr="0046365D">
        <w:rPr>
          <w:rFonts w:ascii="Times New Roman" w:eastAsia="Times New Roman" w:hAnsi="Times New Roman" w:cs="Times New Roman"/>
          <w:sz w:val="24"/>
          <w:szCs w:val="24"/>
          <w:lang w:eastAsia="es-ES"/>
        </w:rPr>
        <w:t>titulares)</w:t>
      </w:r>
    </w:p>
    <w:p w:rsidR="00117D31" w:rsidRDefault="00BC4F3B" w:rsidP="00EB7886">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Si no se supieron, pudieron, o quisieron</w:t>
      </w:r>
      <w:r w:rsidR="00482E1B">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aplicar los Fondos Next-Generation, </w:t>
      </w:r>
      <w:r w:rsidR="00970BFB">
        <w:rPr>
          <w:rFonts w:ascii="Times New Roman" w:eastAsia="Times New Roman" w:hAnsi="Times New Roman" w:cs="Times New Roman"/>
          <w:sz w:val="24"/>
          <w:szCs w:val="24"/>
          <w:lang w:eastAsia="es-ES"/>
        </w:rPr>
        <w:t>¿por qué imaginar que se podrán</w:t>
      </w:r>
      <w:r>
        <w:rPr>
          <w:rFonts w:ascii="Times New Roman" w:eastAsia="Times New Roman" w:hAnsi="Times New Roman" w:cs="Times New Roman"/>
          <w:sz w:val="24"/>
          <w:szCs w:val="24"/>
          <w:lang w:eastAsia="es-ES"/>
        </w:rPr>
        <w:t xml:space="preserve"> repartir, en tiempo y forma, 800.000 millones de euros al año, durante cinco años, para (supuestamente) restablecer la competitividad perdida de Europa. </w:t>
      </w:r>
    </w:p>
    <w:p w:rsidR="00BC4F3B" w:rsidRDefault="00BC4F3B" w:rsidP="00EB7886">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¿Cuánto se quedará en caja (sin uso)</w:t>
      </w:r>
      <w:r w:rsidR="00216ACD">
        <w:rPr>
          <w:rFonts w:ascii="Times New Roman" w:eastAsia="Times New Roman" w:hAnsi="Times New Roman" w:cs="Times New Roman"/>
          <w:sz w:val="24"/>
          <w:szCs w:val="24"/>
          <w:lang w:eastAsia="es-ES"/>
        </w:rPr>
        <w:t xml:space="preserve"> por mala gestión</w:t>
      </w:r>
      <w:r>
        <w:rPr>
          <w:rFonts w:ascii="Times New Roman" w:eastAsia="Times New Roman" w:hAnsi="Times New Roman" w:cs="Times New Roman"/>
          <w:sz w:val="24"/>
          <w:szCs w:val="24"/>
          <w:lang w:eastAsia="es-ES"/>
        </w:rPr>
        <w:t>, cuánto será malversado, cuánto se usará para gasto corriente? ¿Por qué seguir endeudando a las siguientes generaciones, pa</w:t>
      </w:r>
      <w:r w:rsidR="00970BFB">
        <w:rPr>
          <w:rFonts w:ascii="Times New Roman" w:eastAsia="Times New Roman" w:hAnsi="Times New Roman" w:cs="Times New Roman"/>
          <w:sz w:val="24"/>
          <w:szCs w:val="24"/>
          <w:lang w:eastAsia="es-ES"/>
        </w:rPr>
        <w:t xml:space="preserve">ra financiar las </w:t>
      </w:r>
      <w:r>
        <w:rPr>
          <w:rFonts w:ascii="Times New Roman" w:eastAsia="Times New Roman" w:hAnsi="Times New Roman" w:cs="Times New Roman"/>
          <w:sz w:val="24"/>
          <w:szCs w:val="24"/>
          <w:lang w:eastAsia="es-ES"/>
        </w:rPr>
        <w:t>incompetencias,</w:t>
      </w:r>
      <w:r w:rsidR="00970BFB">
        <w:rPr>
          <w:rFonts w:ascii="Times New Roman" w:eastAsia="Times New Roman" w:hAnsi="Times New Roman" w:cs="Times New Roman"/>
          <w:sz w:val="24"/>
          <w:szCs w:val="24"/>
          <w:lang w:eastAsia="es-ES"/>
        </w:rPr>
        <w:t xml:space="preserve"> negligencias, </w:t>
      </w:r>
      <w:r>
        <w:rPr>
          <w:rFonts w:ascii="Times New Roman" w:eastAsia="Times New Roman" w:hAnsi="Times New Roman" w:cs="Times New Roman"/>
          <w:sz w:val="24"/>
          <w:szCs w:val="24"/>
          <w:lang w:eastAsia="es-ES"/>
        </w:rPr>
        <w:t>corrupciones</w:t>
      </w:r>
      <w:r w:rsidR="00970BFB">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y demagogia</w:t>
      </w:r>
      <w:r w:rsidR="00970BFB">
        <w:rPr>
          <w:rFonts w:ascii="Times New Roman" w:eastAsia="Times New Roman" w:hAnsi="Times New Roman" w:cs="Times New Roman"/>
          <w:sz w:val="24"/>
          <w:szCs w:val="24"/>
          <w:lang w:eastAsia="es-ES"/>
        </w:rPr>
        <w:t>,</w:t>
      </w:r>
      <w:r w:rsidR="00216ACD">
        <w:rPr>
          <w:rFonts w:ascii="Times New Roman" w:eastAsia="Times New Roman" w:hAnsi="Times New Roman" w:cs="Times New Roman"/>
          <w:sz w:val="24"/>
          <w:szCs w:val="24"/>
          <w:lang w:eastAsia="es-ES"/>
        </w:rPr>
        <w:t xml:space="preserve"> de los políticos</w:t>
      </w:r>
      <w:r>
        <w:rPr>
          <w:rFonts w:ascii="Times New Roman" w:eastAsia="Times New Roman" w:hAnsi="Times New Roman" w:cs="Times New Roman"/>
          <w:sz w:val="24"/>
          <w:szCs w:val="24"/>
          <w:lang w:eastAsia="es-ES"/>
        </w:rPr>
        <w:t>?</w:t>
      </w:r>
    </w:p>
    <w:p w:rsidR="002322EF" w:rsidRDefault="00216ACD" w:rsidP="00EB788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322EF">
        <w:rPr>
          <w:rFonts w:ascii="Times New Roman" w:eastAsia="Times New Roman" w:hAnsi="Times New Roman" w:cs="Times New Roman"/>
          <w:b/>
          <w:sz w:val="24"/>
          <w:szCs w:val="24"/>
          <w:lang w:eastAsia="es-ES"/>
        </w:rPr>
        <w:t>Nota</w:t>
      </w:r>
      <w:r>
        <w:rPr>
          <w:rFonts w:ascii="Times New Roman" w:eastAsia="Times New Roman" w:hAnsi="Times New Roman" w:cs="Times New Roman"/>
          <w:sz w:val="24"/>
          <w:szCs w:val="24"/>
          <w:lang w:eastAsia="es-ES"/>
        </w:rPr>
        <w:t>: gran parte de las propuestas realizadas (listado anterior) para su implementación no necesitan de recursos financieros adicionales. Pueden resultar gratis al erario público, pueden ser abordables por el sector privado… en tanto, y en cuanto, se desregule, se libere, se deje de planificar, reglamentar,</w:t>
      </w:r>
      <w:r w:rsidR="002322EF">
        <w:rPr>
          <w:rFonts w:ascii="Times New Roman" w:eastAsia="Times New Roman" w:hAnsi="Times New Roman" w:cs="Times New Roman"/>
          <w:sz w:val="24"/>
          <w:szCs w:val="24"/>
          <w:lang w:eastAsia="es-ES"/>
        </w:rPr>
        <w:t xml:space="preserve"> limitar el crecimiento económico,</w:t>
      </w:r>
      <w:r>
        <w:rPr>
          <w:rFonts w:ascii="Times New Roman" w:eastAsia="Times New Roman" w:hAnsi="Times New Roman" w:cs="Times New Roman"/>
          <w:sz w:val="24"/>
          <w:szCs w:val="24"/>
          <w:lang w:eastAsia="es-ES"/>
        </w:rPr>
        <w:t xml:space="preserve"> se deje de meter la nariz en todo</w:t>
      </w:r>
      <w:r w:rsidR="002322EF">
        <w:rPr>
          <w:rFonts w:ascii="Times New Roman" w:eastAsia="Times New Roman" w:hAnsi="Times New Roman" w:cs="Times New Roman"/>
          <w:sz w:val="24"/>
          <w:szCs w:val="24"/>
          <w:lang w:eastAsia="es-ES"/>
        </w:rPr>
        <w:t>s los sectores productivos</w:t>
      </w:r>
      <w:r>
        <w:rPr>
          <w:rFonts w:ascii="Times New Roman" w:eastAsia="Times New Roman" w:hAnsi="Times New Roman" w:cs="Times New Roman"/>
          <w:sz w:val="24"/>
          <w:szCs w:val="24"/>
          <w:lang w:eastAsia="es-ES"/>
        </w:rPr>
        <w:t>,</w:t>
      </w:r>
      <w:r w:rsidR="002322EF">
        <w:rPr>
          <w:rFonts w:ascii="Times New Roman" w:eastAsia="Times New Roman" w:hAnsi="Times New Roman" w:cs="Times New Roman"/>
          <w:sz w:val="24"/>
          <w:szCs w:val="24"/>
          <w:lang w:eastAsia="es-ES"/>
        </w:rPr>
        <w:t xml:space="preserve"> se deje de meter</w:t>
      </w:r>
      <w:r>
        <w:rPr>
          <w:rFonts w:ascii="Times New Roman" w:eastAsia="Times New Roman" w:hAnsi="Times New Roman" w:cs="Times New Roman"/>
          <w:sz w:val="24"/>
          <w:szCs w:val="24"/>
          <w:lang w:eastAsia="es-ES"/>
        </w:rPr>
        <w:t xml:space="preserve"> la mano en el bolsillo de los contribuyentes, se deje de intentar salvar la tierra</w:t>
      </w:r>
      <w:r w:rsidR="002322EF">
        <w:rPr>
          <w:rFonts w:ascii="Times New Roman" w:eastAsia="Times New Roman" w:hAnsi="Times New Roman" w:cs="Times New Roman"/>
          <w:sz w:val="24"/>
          <w:szCs w:val="24"/>
          <w:lang w:eastAsia="es-ES"/>
        </w:rPr>
        <w:t xml:space="preserve"> en solitario…</w:t>
      </w:r>
      <w:r w:rsidR="00F21A46">
        <w:rPr>
          <w:rFonts w:ascii="Times New Roman" w:eastAsia="Times New Roman" w:hAnsi="Times New Roman" w:cs="Times New Roman"/>
          <w:sz w:val="24"/>
          <w:szCs w:val="24"/>
          <w:lang w:eastAsia="es-ES"/>
        </w:rPr>
        <w:t xml:space="preserve"> y</w:t>
      </w:r>
      <w:r w:rsidR="00482E1B">
        <w:rPr>
          <w:rFonts w:ascii="Times New Roman" w:eastAsia="Times New Roman" w:hAnsi="Times New Roman" w:cs="Times New Roman"/>
          <w:sz w:val="24"/>
          <w:szCs w:val="24"/>
          <w:lang w:eastAsia="es-ES"/>
        </w:rPr>
        <w:t xml:space="preserve"> se deje de querer ser la reserva moral de Occidente.</w:t>
      </w:r>
    </w:p>
    <w:p w:rsidR="00864F0C" w:rsidRDefault="002322EF" w:rsidP="00864F0C">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No todo el desarrollo económico </w:t>
      </w:r>
      <w:r w:rsidR="00F21A46">
        <w:rPr>
          <w:rFonts w:ascii="Times New Roman" w:eastAsia="Times New Roman" w:hAnsi="Times New Roman" w:cs="Times New Roman"/>
          <w:sz w:val="24"/>
          <w:szCs w:val="24"/>
          <w:lang w:eastAsia="es-ES"/>
        </w:rPr>
        <w:t>de Europa es cuestión de dinero:</w:t>
      </w:r>
      <w:r>
        <w:rPr>
          <w:rFonts w:ascii="Times New Roman" w:eastAsia="Times New Roman" w:hAnsi="Times New Roman" w:cs="Times New Roman"/>
          <w:sz w:val="24"/>
          <w:szCs w:val="24"/>
          <w:lang w:eastAsia="es-ES"/>
        </w:rPr>
        <w:t xml:space="preserve"> se pued</w:t>
      </w:r>
      <w:r w:rsidR="00887923">
        <w:rPr>
          <w:rFonts w:ascii="Times New Roman" w:eastAsia="Times New Roman" w:hAnsi="Times New Roman" w:cs="Times New Roman"/>
          <w:sz w:val="24"/>
          <w:szCs w:val="24"/>
          <w:lang w:eastAsia="es-ES"/>
        </w:rPr>
        <w:t>e llevar el caballo al río (expansión</w:t>
      </w:r>
      <w:r>
        <w:rPr>
          <w:rFonts w:ascii="Times New Roman" w:eastAsia="Times New Roman" w:hAnsi="Times New Roman" w:cs="Times New Roman"/>
          <w:sz w:val="24"/>
          <w:szCs w:val="24"/>
          <w:lang w:eastAsia="es-ES"/>
        </w:rPr>
        <w:t xml:space="preserve"> monetaria), pero no se le puede obligar a beber (aumentar la producción). Actualmente (octubre 2024) los bancos europeos tienen fondos ociosos (que no prestan) </w:t>
      </w:r>
      <w:r>
        <w:rPr>
          <w:rFonts w:ascii="Times New Roman" w:eastAsia="Times New Roman" w:hAnsi="Times New Roman" w:cs="Times New Roman"/>
          <w:sz w:val="24"/>
          <w:szCs w:val="24"/>
          <w:lang w:eastAsia="es-ES"/>
        </w:rPr>
        <w:lastRenderedPageBreak/>
        <w:t xml:space="preserve">depositados en el Banco Central Europeo. </w:t>
      </w:r>
      <w:r w:rsidRPr="002322EF">
        <w:rPr>
          <w:rFonts w:ascii="Times New Roman" w:eastAsia="Times New Roman" w:hAnsi="Times New Roman" w:cs="Times New Roman"/>
          <w:sz w:val="24"/>
          <w:szCs w:val="24"/>
          <w:lang w:eastAsia="es-ES"/>
        </w:rPr>
        <w:t xml:space="preserve">Según los datos del BCE, las cantidades depositadas en la facilidad depósito han oscilado el pasado año entre los 3,54 billones del mes de noviembre (la cifra más baja de todo 2023) y los 4,109 billones del mes de febrero, con una </w:t>
      </w:r>
      <w:r w:rsidR="00864F0C">
        <w:rPr>
          <w:rFonts w:ascii="Times New Roman" w:eastAsia="Times New Roman" w:hAnsi="Times New Roman" w:cs="Times New Roman"/>
          <w:sz w:val="24"/>
          <w:szCs w:val="24"/>
          <w:lang w:eastAsia="es-ES"/>
        </w:rPr>
        <w:t>media mensual de 3,827 billones (</w:t>
      </w:r>
      <w:r w:rsidRPr="002322EF">
        <w:rPr>
          <w:rFonts w:ascii="Times New Roman" w:eastAsia="Times New Roman" w:hAnsi="Times New Roman" w:cs="Times New Roman"/>
          <w:sz w:val="24"/>
          <w:szCs w:val="24"/>
          <w:lang w:eastAsia="es-ES"/>
        </w:rPr>
        <w:t>22 ene 2024</w:t>
      </w:r>
      <w:r w:rsidR="00864F0C">
        <w:rPr>
          <w:rFonts w:ascii="Times New Roman" w:eastAsia="Times New Roman" w:hAnsi="Times New Roman" w:cs="Times New Roman"/>
          <w:sz w:val="24"/>
          <w:szCs w:val="24"/>
          <w:lang w:eastAsia="es-ES"/>
        </w:rPr>
        <w:t xml:space="preserve">). </w:t>
      </w:r>
      <w:r w:rsidR="00864F0C" w:rsidRPr="00864F0C">
        <w:rPr>
          <w:rFonts w:ascii="Times New Roman" w:eastAsia="Times New Roman" w:hAnsi="Times New Roman" w:cs="Times New Roman"/>
          <w:sz w:val="24"/>
          <w:szCs w:val="24"/>
          <w:lang w:eastAsia="es-ES"/>
        </w:rPr>
        <w:t>El tipo de interés de la facilidad de depósito es el tipo de interés que reciben los bancos cuando depositan dinero en el banco central a un día.</w:t>
      </w:r>
      <w:r>
        <w:rPr>
          <w:rFonts w:ascii="Times New Roman" w:eastAsia="Times New Roman" w:hAnsi="Times New Roman" w:cs="Times New Roman"/>
          <w:sz w:val="24"/>
          <w:szCs w:val="24"/>
          <w:lang w:eastAsia="es-ES"/>
        </w:rPr>
        <w:t xml:space="preserve"> </w:t>
      </w:r>
      <w:r w:rsidR="00887923">
        <w:rPr>
          <w:rFonts w:ascii="Times New Roman" w:eastAsia="Times New Roman" w:hAnsi="Times New Roman" w:cs="Times New Roman"/>
          <w:sz w:val="24"/>
          <w:szCs w:val="24"/>
          <w:lang w:eastAsia="es-ES"/>
        </w:rPr>
        <w:t>Repito: ¡actualmente hay fondos ociosos en los bancos que no se prestan!</w:t>
      </w:r>
    </w:p>
    <w:p w:rsidR="00F21A46" w:rsidRDefault="00F21A46" w:rsidP="00864F0C">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Mire, Don Mario, posiblem</w:t>
      </w:r>
      <w:r w:rsidR="0029474B">
        <w:rPr>
          <w:rFonts w:ascii="Times New Roman" w:eastAsia="Times New Roman" w:hAnsi="Times New Roman" w:cs="Times New Roman"/>
          <w:sz w:val="24"/>
          <w:szCs w:val="24"/>
          <w:lang w:eastAsia="es-ES"/>
        </w:rPr>
        <w:t>ente a usted le atraiga (seduzca</w:t>
      </w:r>
      <w:r>
        <w:rPr>
          <w:rFonts w:ascii="Times New Roman" w:eastAsia="Times New Roman" w:hAnsi="Times New Roman" w:cs="Times New Roman"/>
          <w:sz w:val="24"/>
          <w:szCs w:val="24"/>
          <w:lang w:eastAsia="es-ES"/>
        </w:rPr>
        <w:t>) proponer otra ronda de “relajamiento cuantitativo” (“la cabra tira al monte”)</w:t>
      </w:r>
      <w:r w:rsidR="00DE3862">
        <w:rPr>
          <w:rFonts w:ascii="Times New Roman" w:eastAsia="Times New Roman" w:hAnsi="Times New Roman" w:cs="Times New Roman"/>
          <w:sz w:val="24"/>
          <w:szCs w:val="24"/>
          <w:lang w:eastAsia="es-ES"/>
        </w:rPr>
        <w:t>, en este caso de 800.000 millones euros por año, durante cinco años, pero el fracaso de los “ensayos” anteriores: en 2008-2012 (</w:t>
      </w:r>
      <w:r w:rsidR="00DE3862" w:rsidRPr="00DE3862">
        <w:rPr>
          <w:rFonts w:ascii="Times New Roman" w:eastAsia="Times New Roman" w:hAnsi="Times New Roman" w:cs="Times New Roman"/>
          <w:sz w:val="24"/>
          <w:szCs w:val="24"/>
          <w:lang w:eastAsia="es-ES"/>
        </w:rPr>
        <w:t>“Haremos todo lo que sea necesario (...). Y créanme, será suficiente”</w:t>
      </w:r>
      <w:r w:rsidR="00DE3862">
        <w:rPr>
          <w:rFonts w:ascii="Times New Roman" w:eastAsia="Times New Roman" w:hAnsi="Times New Roman" w:cs="Times New Roman"/>
          <w:sz w:val="24"/>
          <w:szCs w:val="24"/>
          <w:lang w:eastAsia="es-ES"/>
        </w:rPr>
        <w:t>),</w:t>
      </w:r>
      <w:r w:rsidR="0029474B">
        <w:rPr>
          <w:rFonts w:ascii="Times New Roman" w:eastAsia="Times New Roman" w:hAnsi="Times New Roman" w:cs="Times New Roman"/>
          <w:sz w:val="24"/>
          <w:szCs w:val="24"/>
          <w:lang w:eastAsia="es-ES"/>
        </w:rPr>
        <w:t xml:space="preserve"> donde</w:t>
      </w:r>
      <w:r w:rsidR="00DE3862">
        <w:rPr>
          <w:rFonts w:ascii="Times New Roman" w:eastAsia="Times New Roman" w:hAnsi="Times New Roman" w:cs="Times New Roman"/>
          <w:sz w:val="24"/>
          <w:szCs w:val="24"/>
          <w:lang w:eastAsia="es-ES"/>
        </w:rPr>
        <w:t xml:space="preserve"> el “helicóptero” del BCE solo sirvió para recatar a los bancos sistémicos (demasiado grandes para quebrar), y para salvar</w:t>
      </w:r>
      <w:r w:rsidR="0046365D">
        <w:rPr>
          <w:rFonts w:ascii="Times New Roman" w:eastAsia="Times New Roman" w:hAnsi="Times New Roman" w:cs="Times New Roman"/>
          <w:sz w:val="24"/>
          <w:szCs w:val="24"/>
          <w:lang w:eastAsia="es-ES"/>
        </w:rPr>
        <w:t xml:space="preserve"> el culo de</w:t>
      </w:r>
      <w:r w:rsidR="00DE3862">
        <w:rPr>
          <w:rFonts w:ascii="Times New Roman" w:eastAsia="Times New Roman" w:hAnsi="Times New Roman" w:cs="Times New Roman"/>
          <w:sz w:val="24"/>
          <w:szCs w:val="24"/>
          <w:lang w:eastAsia="es-ES"/>
        </w:rPr>
        <w:t xml:space="preserve"> los</w:t>
      </w:r>
      <w:r w:rsidR="0029474B">
        <w:rPr>
          <w:rFonts w:ascii="Times New Roman" w:eastAsia="Times New Roman" w:hAnsi="Times New Roman" w:cs="Times New Roman"/>
          <w:sz w:val="24"/>
          <w:szCs w:val="24"/>
          <w:lang w:eastAsia="es-ES"/>
        </w:rPr>
        <w:t xml:space="preserve"> directivos</w:t>
      </w:r>
      <w:r w:rsidR="00DE3862">
        <w:rPr>
          <w:rFonts w:ascii="Times New Roman" w:eastAsia="Times New Roman" w:hAnsi="Times New Roman" w:cs="Times New Roman"/>
          <w:sz w:val="24"/>
          <w:szCs w:val="24"/>
          <w:lang w:eastAsia="es-ES"/>
        </w:rPr>
        <w:t xml:space="preserve"> responsables del contagio de la crisis de la hipotecas subprime, en Europa (demasiado grandes para ir a la cárcel)</w:t>
      </w:r>
      <w:r w:rsidR="00480B12">
        <w:rPr>
          <w:rFonts w:ascii="Times New Roman" w:eastAsia="Times New Roman" w:hAnsi="Times New Roman" w:cs="Times New Roman"/>
          <w:sz w:val="24"/>
          <w:szCs w:val="24"/>
          <w:lang w:eastAsia="es-ES"/>
        </w:rPr>
        <w:t>.</w:t>
      </w:r>
    </w:p>
    <w:p w:rsidR="00480B12" w:rsidRDefault="00480B12" w:rsidP="00864F0C">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la crisis sanitaria del año 2020 (pandemia de Covid-19), se volvió al “helicóptero monetario”, con los Fondos Next Generation UE (</w:t>
      </w:r>
      <w:r w:rsidRPr="00480B12">
        <w:rPr>
          <w:rFonts w:ascii="Times New Roman" w:eastAsia="Times New Roman" w:hAnsi="Times New Roman" w:cs="Times New Roman"/>
          <w:sz w:val="24"/>
          <w:szCs w:val="24"/>
          <w:lang w:eastAsia="es-ES"/>
        </w:rPr>
        <w:t>un fondo de recuperación económica que</w:t>
      </w:r>
      <w:r>
        <w:rPr>
          <w:rFonts w:ascii="Times New Roman" w:eastAsia="Times New Roman" w:hAnsi="Times New Roman" w:cs="Times New Roman"/>
          <w:sz w:val="24"/>
          <w:szCs w:val="24"/>
          <w:lang w:eastAsia="es-ES"/>
        </w:rPr>
        <w:t xml:space="preserve"> la Comisión Europea diseño</w:t>
      </w:r>
      <w:r w:rsidRPr="00480B12">
        <w:rPr>
          <w:rFonts w:ascii="Times New Roman" w:eastAsia="Times New Roman" w:hAnsi="Times New Roman" w:cs="Times New Roman"/>
          <w:sz w:val="24"/>
          <w:szCs w:val="24"/>
          <w:lang w:eastAsia="es-ES"/>
        </w:rPr>
        <w:t xml:space="preserve"> para financiar reformas e inversiones en los países miembros afectados por la pandemia originada por el Covid-19</w:t>
      </w:r>
      <w:r>
        <w:rPr>
          <w:rFonts w:ascii="Times New Roman" w:eastAsia="Times New Roman" w:hAnsi="Times New Roman" w:cs="Times New Roman"/>
          <w:sz w:val="24"/>
          <w:szCs w:val="24"/>
          <w:lang w:eastAsia="es-ES"/>
        </w:rPr>
        <w:t>)</w:t>
      </w:r>
      <w:r w:rsidRPr="00480B12">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w:t>
      </w:r>
    </w:p>
    <w:p w:rsidR="00480B12" w:rsidRPr="00480B12" w:rsidRDefault="00480B12" w:rsidP="00480B12">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80B12">
        <w:rPr>
          <w:rFonts w:ascii="Times New Roman" w:eastAsia="Times New Roman" w:hAnsi="Times New Roman" w:cs="Times New Roman"/>
          <w:sz w:val="24"/>
          <w:szCs w:val="24"/>
          <w:lang w:eastAsia="es-ES"/>
        </w:rPr>
        <w:t>En una decisión sin precedentes, los Estados miembro</w:t>
      </w:r>
      <w:r>
        <w:rPr>
          <w:rFonts w:ascii="Times New Roman" w:eastAsia="Times New Roman" w:hAnsi="Times New Roman" w:cs="Times New Roman"/>
          <w:sz w:val="24"/>
          <w:szCs w:val="24"/>
          <w:lang w:eastAsia="es-ES"/>
        </w:rPr>
        <w:t>s y las autoridades europeas pactaron</w:t>
      </w:r>
      <w:r w:rsidRPr="00480B12">
        <w:rPr>
          <w:rFonts w:ascii="Times New Roman" w:eastAsia="Times New Roman" w:hAnsi="Times New Roman" w:cs="Times New Roman"/>
          <w:sz w:val="24"/>
          <w:szCs w:val="24"/>
          <w:lang w:eastAsia="es-ES"/>
        </w:rPr>
        <w:t xml:space="preserve"> emitir deuda comunitaria mediante la que financiar un paquete de estímulo de 1,8 bi</w:t>
      </w:r>
      <w:r>
        <w:rPr>
          <w:rFonts w:ascii="Times New Roman" w:eastAsia="Times New Roman" w:hAnsi="Times New Roman" w:cs="Times New Roman"/>
          <w:sz w:val="24"/>
          <w:szCs w:val="24"/>
          <w:lang w:eastAsia="es-ES"/>
        </w:rPr>
        <w:t xml:space="preserve">llones de euros  durante </w:t>
      </w:r>
      <w:r w:rsidRPr="00480B12">
        <w:rPr>
          <w:rFonts w:ascii="Times New Roman" w:eastAsia="Times New Roman" w:hAnsi="Times New Roman" w:cs="Times New Roman"/>
          <w:sz w:val="24"/>
          <w:szCs w:val="24"/>
          <w:lang w:eastAsia="es-ES"/>
        </w:rPr>
        <w:t>seis años (período 2021-2027) en los distintos países de la UE con el objetivo de reactivar la economía en la región después de tantos meses de pandemia.</w:t>
      </w:r>
    </w:p>
    <w:p w:rsidR="00480B12" w:rsidRDefault="00480B12" w:rsidP="00480B12">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80B12">
        <w:rPr>
          <w:rFonts w:ascii="Times New Roman" w:eastAsia="Times New Roman" w:hAnsi="Times New Roman" w:cs="Times New Roman"/>
          <w:sz w:val="24"/>
          <w:szCs w:val="24"/>
          <w:lang w:eastAsia="es-ES"/>
        </w:rPr>
        <w:t xml:space="preserve">Cada uno de estos programas de ayudas procedentes de la UE albergan un segundo objetivo o propósito adicional: propiciar que la Eurozona avance hacia un modelo productivo más sostenible y digitalizado, que permita a Europa ocupar una situación de privilegio en el escenario económico internacional de las décadas </w:t>
      </w:r>
      <w:r w:rsidR="00C73C84">
        <w:rPr>
          <w:rFonts w:ascii="Times New Roman" w:eastAsia="Times New Roman" w:hAnsi="Times New Roman" w:cs="Times New Roman"/>
          <w:sz w:val="24"/>
          <w:szCs w:val="24"/>
          <w:lang w:eastAsia="es-ES"/>
        </w:rPr>
        <w:t xml:space="preserve">siguientes. De la </w:t>
      </w:r>
      <w:r w:rsidRPr="00480B12">
        <w:rPr>
          <w:rFonts w:ascii="Times New Roman" w:eastAsia="Times New Roman" w:hAnsi="Times New Roman" w:cs="Times New Roman"/>
          <w:sz w:val="24"/>
          <w:szCs w:val="24"/>
          <w:lang w:eastAsia="es-ES"/>
        </w:rPr>
        <w:t>cifra total de 1,8 billones de euros, 750.000 m</w:t>
      </w:r>
      <w:r w:rsidR="00C73C84">
        <w:rPr>
          <w:rFonts w:ascii="Times New Roman" w:eastAsia="Times New Roman" w:hAnsi="Times New Roman" w:cs="Times New Roman"/>
          <w:sz w:val="24"/>
          <w:szCs w:val="24"/>
          <w:lang w:eastAsia="es-ES"/>
        </w:rPr>
        <w:t>illones de euros se distribuyen</w:t>
      </w:r>
      <w:r w:rsidRPr="00480B12">
        <w:rPr>
          <w:rFonts w:ascii="Times New Roman" w:eastAsia="Times New Roman" w:hAnsi="Times New Roman" w:cs="Times New Roman"/>
          <w:sz w:val="24"/>
          <w:szCs w:val="24"/>
          <w:lang w:eastAsia="es-ES"/>
        </w:rPr>
        <w:t xml:space="preserve"> a tr</w:t>
      </w:r>
      <w:r w:rsidR="00AD4CB4">
        <w:rPr>
          <w:rFonts w:ascii="Times New Roman" w:eastAsia="Times New Roman" w:hAnsi="Times New Roman" w:cs="Times New Roman"/>
          <w:sz w:val="24"/>
          <w:szCs w:val="24"/>
          <w:lang w:eastAsia="es-ES"/>
        </w:rPr>
        <w:t>avés de los denominados fondos “Next Generation EU</w:t>
      </w:r>
      <w:r w:rsidRPr="00480B12">
        <w:rPr>
          <w:rFonts w:ascii="Times New Roman" w:eastAsia="Times New Roman" w:hAnsi="Times New Roman" w:cs="Times New Roman"/>
          <w:sz w:val="24"/>
          <w:szCs w:val="24"/>
          <w:lang w:eastAsia="es-ES"/>
        </w:rPr>
        <w:t>, un “instrumento t</w:t>
      </w:r>
      <w:r w:rsidR="00C73C84">
        <w:rPr>
          <w:rFonts w:ascii="Times New Roman" w:eastAsia="Times New Roman" w:hAnsi="Times New Roman" w:cs="Times New Roman"/>
          <w:sz w:val="24"/>
          <w:szCs w:val="24"/>
          <w:lang w:eastAsia="es-ES"/>
        </w:rPr>
        <w:t>emporal de recuperación”, (como lo definió la Comisión Europea), que entregan</w:t>
      </w:r>
      <w:r w:rsidRPr="00480B12">
        <w:rPr>
          <w:rFonts w:ascii="Times New Roman" w:eastAsia="Times New Roman" w:hAnsi="Times New Roman" w:cs="Times New Roman"/>
          <w:sz w:val="24"/>
          <w:szCs w:val="24"/>
          <w:lang w:eastAsia="es-ES"/>
        </w:rPr>
        <w:t xml:space="preserve"> aproximadamente 390.000 millones de euros en subvenciones a fondo </w:t>
      </w:r>
      <w:r w:rsidR="00C73C84">
        <w:rPr>
          <w:rFonts w:ascii="Times New Roman" w:eastAsia="Times New Roman" w:hAnsi="Times New Roman" w:cs="Times New Roman"/>
          <w:sz w:val="24"/>
          <w:szCs w:val="24"/>
          <w:lang w:eastAsia="es-ES"/>
        </w:rPr>
        <w:t>perdido (</w:t>
      </w:r>
      <w:r w:rsidRPr="00480B12">
        <w:rPr>
          <w:rFonts w:ascii="Times New Roman" w:eastAsia="Times New Roman" w:hAnsi="Times New Roman" w:cs="Times New Roman"/>
          <w:sz w:val="24"/>
          <w:szCs w:val="24"/>
          <w:lang w:eastAsia="es-ES"/>
        </w:rPr>
        <w:t>sin obligación de reembolso) y unos 360.000 millones de euros vía préstamos.</w:t>
      </w:r>
    </w:p>
    <w:p w:rsidR="00C73C84" w:rsidRDefault="00C73C84" w:rsidP="00480B12">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Hasta el momento de escribir este Paper (octubre 2024), </w:t>
      </w:r>
      <w:r w:rsidR="00AD4CB4">
        <w:rPr>
          <w:rFonts w:ascii="Times New Roman" w:eastAsia="Times New Roman" w:hAnsi="Times New Roman" w:cs="Times New Roman"/>
          <w:sz w:val="24"/>
          <w:szCs w:val="24"/>
          <w:lang w:eastAsia="es-ES"/>
        </w:rPr>
        <w:t xml:space="preserve">del “pomposo” </w:t>
      </w:r>
      <w:r w:rsidR="00AD4CB4" w:rsidRPr="00AD4CB4">
        <w:rPr>
          <w:rFonts w:ascii="Times New Roman" w:eastAsia="Times New Roman" w:hAnsi="Times New Roman" w:cs="Times New Roman"/>
          <w:sz w:val="24"/>
          <w:szCs w:val="24"/>
          <w:lang w:eastAsia="es-ES"/>
        </w:rPr>
        <w:t>Plan de Recuperación, Transformación y Resiliencia</w:t>
      </w:r>
      <w:r w:rsidR="00AD4CB4">
        <w:rPr>
          <w:rFonts w:ascii="Times New Roman" w:eastAsia="Times New Roman" w:hAnsi="Times New Roman" w:cs="Times New Roman"/>
          <w:sz w:val="24"/>
          <w:szCs w:val="24"/>
          <w:lang w:eastAsia="es-ES"/>
        </w:rPr>
        <w:t xml:space="preserve"> (Next Generation EU)</w:t>
      </w:r>
      <w:r w:rsidR="004A16A6">
        <w:rPr>
          <w:rFonts w:ascii="Times New Roman" w:eastAsia="Times New Roman" w:hAnsi="Times New Roman" w:cs="Times New Roman"/>
          <w:sz w:val="24"/>
          <w:szCs w:val="24"/>
          <w:lang w:eastAsia="es-ES"/>
        </w:rPr>
        <w:t>, se han aplicado:</w:t>
      </w:r>
      <w:r w:rsidR="00AD4CB4">
        <w:rPr>
          <w:rFonts w:ascii="Times New Roman" w:eastAsia="Times New Roman" w:hAnsi="Times New Roman" w:cs="Times New Roman"/>
          <w:sz w:val="24"/>
          <w:szCs w:val="24"/>
          <w:lang w:eastAsia="es-ES"/>
        </w:rPr>
        <w:t xml:space="preserve"> </w:t>
      </w:r>
      <w:r w:rsidR="00AD4CB4" w:rsidRPr="00AD4CB4">
        <w:rPr>
          <w:rFonts w:ascii="Times New Roman" w:eastAsia="Times New Roman" w:hAnsi="Times New Roman" w:cs="Times New Roman"/>
          <w:noProof/>
          <w:sz w:val="24"/>
          <w:szCs w:val="24"/>
          <w:lang w:eastAsia="es-ES"/>
        </w:rPr>
        <w:drawing>
          <wp:inline distT="0" distB="0" distL="0" distR="0" wp14:anchorId="5BBA2AD9" wp14:editId="21EB4844">
            <wp:extent cx="5731510" cy="2000517"/>
            <wp:effectExtent l="0" t="0" r="254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2000517"/>
                    </a:xfrm>
                    <a:prstGeom prst="rect">
                      <a:avLst/>
                    </a:prstGeom>
                  </pic:spPr>
                </pic:pic>
              </a:graphicData>
            </a:graphic>
          </wp:inline>
        </w:drawing>
      </w:r>
    </w:p>
    <w:p w:rsidR="004A16A6" w:rsidRDefault="004A16A6" w:rsidP="00480B12">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 dicho, Don Mario, tal vez no sea una cuestión de seguir imprimiendo euros falsos, sino de aplicar inteligentemente los recursos disponibles.</w:t>
      </w:r>
      <w:r w:rsidR="00582E6D">
        <w:rPr>
          <w:rFonts w:ascii="Times New Roman" w:eastAsia="Times New Roman" w:hAnsi="Times New Roman" w:cs="Times New Roman"/>
          <w:sz w:val="24"/>
          <w:szCs w:val="24"/>
          <w:lang w:eastAsia="es-ES"/>
        </w:rPr>
        <w:t xml:space="preserve"> La “maldita hemeroteca”, da cuenta de ello.</w:t>
      </w:r>
    </w:p>
    <w:p w:rsidR="00A72C2A" w:rsidRPr="0046365D" w:rsidRDefault="00A72C2A" w:rsidP="00864F0C">
      <w:pPr>
        <w:spacing w:before="100" w:beforeAutospacing="1" w:after="100" w:afterAutospacing="1" w:line="240" w:lineRule="auto"/>
        <w:jc w:val="both"/>
        <w:rPr>
          <w:rFonts w:ascii="Times New Roman" w:eastAsia="Times New Roman" w:hAnsi="Times New Roman" w:cs="Times New Roman"/>
          <w:sz w:val="24"/>
          <w:szCs w:val="24"/>
          <w:lang w:eastAsia="es-ES"/>
        </w:rPr>
      </w:pPr>
      <w:r w:rsidRPr="0046365D">
        <w:rPr>
          <w:rFonts w:ascii="Times New Roman" w:eastAsia="Times New Roman" w:hAnsi="Times New Roman" w:cs="Times New Roman"/>
          <w:sz w:val="24"/>
          <w:szCs w:val="24"/>
          <w:lang w:eastAsia="es-ES"/>
        </w:rPr>
        <w:lastRenderedPageBreak/>
        <w:t>He aquí algunos titulares, mínimo muestrario, de la “invo</w:t>
      </w:r>
      <w:r w:rsidR="00735509" w:rsidRPr="0046365D">
        <w:rPr>
          <w:rFonts w:ascii="Times New Roman" w:eastAsia="Times New Roman" w:hAnsi="Times New Roman" w:cs="Times New Roman"/>
          <w:sz w:val="24"/>
          <w:szCs w:val="24"/>
          <w:lang w:eastAsia="es-ES"/>
        </w:rPr>
        <w:t xml:space="preserve">lución </w:t>
      </w:r>
      <w:r w:rsidR="008D11E1" w:rsidRPr="0046365D">
        <w:rPr>
          <w:rFonts w:ascii="Times New Roman" w:eastAsia="Times New Roman" w:hAnsi="Times New Roman" w:cs="Times New Roman"/>
          <w:sz w:val="24"/>
          <w:szCs w:val="24"/>
          <w:lang w:eastAsia="es-ES"/>
        </w:rPr>
        <w:t>permanente” que nos postra</w:t>
      </w:r>
      <w:r w:rsidRPr="0046365D">
        <w:rPr>
          <w:rFonts w:ascii="Times New Roman" w:eastAsia="Times New Roman" w:hAnsi="Times New Roman" w:cs="Times New Roman"/>
          <w:sz w:val="24"/>
          <w:szCs w:val="24"/>
          <w:lang w:eastAsia="es-ES"/>
        </w:rPr>
        <w:t>:</w:t>
      </w:r>
    </w:p>
    <w:p w:rsidR="00E130DC" w:rsidRPr="006368E2" w:rsidRDefault="00E130DC" w:rsidP="00E130DC">
      <w:pPr>
        <w:pStyle w:val="NormalWeb"/>
        <w:spacing w:after="0"/>
        <w:jc w:val="both"/>
        <w:textAlignment w:val="baseline"/>
      </w:pPr>
      <w:r w:rsidRPr="006368E2">
        <w:t>(Nota: el artículo que sigue está fuera del cronograma p</w:t>
      </w:r>
      <w:r>
        <w:t>revisto, pero el tema lo amerita</w:t>
      </w:r>
      <w:r w:rsidRPr="006368E2">
        <w:t>)</w:t>
      </w:r>
    </w:p>
    <w:p w:rsidR="00004D12" w:rsidRPr="00004D12" w:rsidRDefault="00004D12" w:rsidP="00004D12">
      <w:pPr>
        <w:pStyle w:val="NormalWeb"/>
        <w:spacing w:after="0"/>
        <w:jc w:val="both"/>
        <w:textAlignment w:val="baseline"/>
      </w:pPr>
      <w:r w:rsidRPr="00004D12">
        <w:t xml:space="preserve">- </w:t>
      </w:r>
      <w:r w:rsidRPr="00004D12">
        <w:rPr>
          <w:u w:val="single"/>
        </w:rPr>
        <w:t>La UE desmonta su propia reforma de Bi</w:t>
      </w:r>
      <w:r w:rsidR="00E130DC">
        <w:rPr>
          <w:u w:val="single"/>
        </w:rPr>
        <w:t>enestar Animal: “</w:t>
      </w:r>
      <w:r w:rsidRPr="00004D12">
        <w:rPr>
          <w:u w:val="single"/>
        </w:rPr>
        <w:t>Condena al cierre a muchas explotaciones ganaderas</w:t>
      </w:r>
      <w:r w:rsidR="00E130DC">
        <w:t>”</w:t>
      </w:r>
      <w:r w:rsidRPr="00004D12">
        <w:t xml:space="preserve"> (Libertad Digital - </w:t>
      </w:r>
      <w:r w:rsidRPr="00004D12">
        <w:rPr>
          <w:b/>
        </w:rPr>
        <w:t>13/8/24</w:t>
      </w:r>
      <w:r w:rsidRPr="00004D12">
        <w:t>)</w:t>
      </w:r>
    </w:p>
    <w:p w:rsidR="00004D12" w:rsidRPr="00004D12" w:rsidRDefault="00004D12" w:rsidP="00004D12">
      <w:pPr>
        <w:pStyle w:val="NormalWeb"/>
        <w:spacing w:after="0"/>
        <w:jc w:val="both"/>
        <w:textAlignment w:val="baseline"/>
        <w:rPr>
          <w:color w:val="FF0000"/>
        </w:rPr>
      </w:pPr>
      <w:r w:rsidRPr="00004D12">
        <w:rPr>
          <w:color w:val="FF0000"/>
        </w:rPr>
        <w:t>La Comisión Europea (CE) ha propuesto una modificación del reglamento de protección de los animales en el transporte que pretende, entre otras propuestas, acortar la duración de los traslados de ganado, aumentar el espacio en los camiones y obligar a los transportistas a viajar por la noche cuando las temperaturas superen los 30 grados. Informes realizados por el sector cárnico ya alertaron hace meses de que la medida supondría un aumento del precio de la carne y una pérdida del valor de producción. Pero ahora es la propia UE la que reconoce que “muchas granjas se verán abocadas al cese de su actividad” gracias a esta reforma. Es lo que afirma el dictamen elaborado por el Comité Económico y Social Europeo (CESE), un órgano consultivo de la UE. Este informe, publicado en el Diario Oficial de la Unión Europea (DOUE), se elaboró a petición del Parlamento Europeo y del Consejo. Su ponente es Jaume Bernis Castells, miembro de la Comisión Ejecutiva Nacional de COAG. Y las conclusiones del dictamen son demoledoras. El CESE considera que “las nuevas normas técnicas propuestas sobre la aptitud para el transporte de animales terrestres podrían llevar al cierre de muchas explotaciones ganaderas”. Y avisa de que “las repercusiones de estas nuevas especificaciones técnicas ponen en peligro la viabilidad de las explotaciones y el sustento de quienes dependen de ellas”.</w:t>
      </w:r>
    </w:p>
    <w:p w:rsidR="00864F0C" w:rsidRPr="006E0D77" w:rsidRDefault="00864F0C" w:rsidP="00864F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E0D77">
        <w:rPr>
          <w:rFonts w:ascii="Times New Roman" w:hAnsi="Times New Roman" w:cs="Times New Roman"/>
          <w:sz w:val="24"/>
          <w:szCs w:val="24"/>
          <w:u w:val="single"/>
        </w:rPr>
        <w:t>Volkswagen se plantea cerrar fábricas en Alemania por primera vez en su historia</w:t>
      </w:r>
      <w:r>
        <w:rPr>
          <w:rFonts w:ascii="Times New Roman" w:hAnsi="Times New Roman" w:cs="Times New Roman"/>
          <w:sz w:val="24"/>
          <w:szCs w:val="24"/>
        </w:rPr>
        <w:t xml:space="preserve"> (Cinco Días - </w:t>
      </w:r>
      <w:r w:rsidRPr="006E0D77">
        <w:rPr>
          <w:rFonts w:ascii="Times New Roman" w:hAnsi="Times New Roman" w:cs="Times New Roman"/>
          <w:b/>
          <w:sz w:val="24"/>
          <w:szCs w:val="24"/>
        </w:rPr>
        <w:t>2/9/24</w:t>
      </w:r>
      <w:r>
        <w:rPr>
          <w:rFonts w:ascii="Times New Roman" w:hAnsi="Times New Roman" w:cs="Times New Roman"/>
          <w:sz w:val="24"/>
          <w:szCs w:val="24"/>
        </w:rPr>
        <w:t>)</w:t>
      </w:r>
    </w:p>
    <w:p w:rsidR="00864F0C" w:rsidRPr="00C23837" w:rsidRDefault="00864F0C" w:rsidP="00864F0C">
      <w:pPr>
        <w:spacing w:line="240" w:lineRule="auto"/>
        <w:jc w:val="both"/>
        <w:rPr>
          <w:rFonts w:ascii="Times New Roman" w:hAnsi="Times New Roman" w:cs="Times New Roman"/>
          <w:color w:val="FF0000"/>
          <w:sz w:val="24"/>
          <w:szCs w:val="24"/>
        </w:rPr>
      </w:pPr>
      <w:r w:rsidRPr="00C23837">
        <w:rPr>
          <w:rFonts w:ascii="Times New Roman" w:hAnsi="Times New Roman" w:cs="Times New Roman"/>
          <w:color w:val="FF0000"/>
          <w:sz w:val="24"/>
          <w:szCs w:val="24"/>
        </w:rPr>
        <w:t>El grupo alemán busca reducir costes por el paso al vehículo eléctrico y la fuerte competencia proveniente de países como China</w:t>
      </w:r>
      <w:r w:rsidR="00735509">
        <w:rPr>
          <w:rFonts w:ascii="Times New Roman" w:hAnsi="Times New Roman" w:cs="Times New Roman"/>
          <w:color w:val="FF0000"/>
          <w:sz w:val="24"/>
          <w:szCs w:val="24"/>
        </w:rPr>
        <w:t>…</w:t>
      </w:r>
    </w:p>
    <w:p w:rsidR="00864F0C" w:rsidRPr="006E0D77" w:rsidRDefault="00864F0C" w:rsidP="00864F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E0D77">
        <w:rPr>
          <w:rFonts w:ascii="Times New Roman" w:hAnsi="Times New Roman" w:cs="Times New Roman"/>
          <w:sz w:val="24"/>
          <w:szCs w:val="24"/>
          <w:u w:val="single"/>
        </w:rPr>
        <w:t>Los países de la UE han usado menos de un tercio de los fondos del plan de recuperación</w:t>
      </w:r>
      <w:r>
        <w:rPr>
          <w:rFonts w:ascii="Times New Roman" w:hAnsi="Times New Roman" w:cs="Times New Roman"/>
          <w:sz w:val="24"/>
          <w:szCs w:val="24"/>
        </w:rPr>
        <w:t xml:space="preserve"> (Cinco Días - </w:t>
      </w:r>
      <w:r w:rsidRPr="006E0D77">
        <w:rPr>
          <w:rFonts w:ascii="Times New Roman" w:hAnsi="Times New Roman" w:cs="Times New Roman"/>
          <w:b/>
          <w:sz w:val="24"/>
          <w:szCs w:val="24"/>
        </w:rPr>
        <w:t>2/9/24</w:t>
      </w:r>
      <w:r>
        <w:rPr>
          <w:rFonts w:ascii="Times New Roman" w:hAnsi="Times New Roman" w:cs="Times New Roman"/>
          <w:sz w:val="24"/>
          <w:szCs w:val="24"/>
        </w:rPr>
        <w:t>)</w:t>
      </w:r>
    </w:p>
    <w:p w:rsidR="00864F0C" w:rsidRDefault="00864F0C" w:rsidP="00864F0C">
      <w:pPr>
        <w:spacing w:line="240" w:lineRule="auto"/>
        <w:jc w:val="both"/>
        <w:rPr>
          <w:rFonts w:ascii="Times New Roman" w:hAnsi="Times New Roman" w:cs="Times New Roman"/>
          <w:color w:val="FF0000"/>
          <w:sz w:val="24"/>
          <w:szCs w:val="24"/>
        </w:rPr>
      </w:pPr>
      <w:r w:rsidRPr="00C23837">
        <w:rPr>
          <w:rFonts w:ascii="Times New Roman" w:hAnsi="Times New Roman" w:cs="Times New Roman"/>
          <w:color w:val="FF0000"/>
          <w:sz w:val="24"/>
          <w:szCs w:val="24"/>
        </w:rPr>
        <w:t>El Tribunal de Cuentas alerta sobre el riesgo de que los Estados no puedan cumplir con sus compromisos de reformas e inversiones antes de 2026, fecha prevista para que finalice el programa</w:t>
      </w:r>
      <w:r w:rsidR="00735509">
        <w:rPr>
          <w:rFonts w:ascii="Times New Roman" w:hAnsi="Times New Roman" w:cs="Times New Roman"/>
          <w:color w:val="FF0000"/>
          <w:sz w:val="24"/>
          <w:szCs w:val="24"/>
        </w:rPr>
        <w:t>…</w:t>
      </w:r>
    </w:p>
    <w:p w:rsidR="00004D12" w:rsidRPr="00390496" w:rsidRDefault="00004D12" w:rsidP="00004D12">
      <w:pPr>
        <w:pStyle w:val="NormalWeb"/>
        <w:spacing w:after="0"/>
        <w:jc w:val="both"/>
        <w:textAlignment w:val="baseline"/>
      </w:pPr>
      <w:r w:rsidRPr="00390496">
        <w:t xml:space="preserve">- </w:t>
      </w:r>
      <w:r w:rsidRPr="00390496">
        <w:rPr>
          <w:u w:val="single"/>
        </w:rPr>
        <w:t>Volkswagen da la cara ante los trab</w:t>
      </w:r>
      <w:r>
        <w:rPr>
          <w:u w:val="single"/>
        </w:rPr>
        <w:t>ajadores y lanza un ultimátum: “</w:t>
      </w:r>
      <w:r w:rsidRPr="00390496">
        <w:rPr>
          <w:u w:val="single"/>
        </w:rPr>
        <w:t>Tenemos uno o dos años para adaptarnos</w:t>
      </w:r>
      <w:r>
        <w:t>”</w:t>
      </w:r>
      <w:r w:rsidRPr="00390496">
        <w:t xml:space="preserve"> (El Economista - </w:t>
      </w:r>
      <w:r w:rsidRPr="00390496">
        <w:rPr>
          <w:b/>
        </w:rPr>
        <w:t>4/9/24</w:t>
      </w:r>
      <w:r w:rsidRPr="00390496">
        <w:t>)</w:t>
      </w:r>
    </w:p>
    <w:p w:rsidR="00004D12" w:rsidRPr="007E7D36" w:rsidRDefault="00004D12" w:rsidP="00004D12">
      <w:pPr>
        <w:pStyle w:val="NormalWeb"/>
        <w:spacing w:after="0"/>
        <w:jc w:val="both"/>
        <w:textAlignment w:val="baseline"/>
        <w:rPr>
          <w:color w:val="FF0000"/>
        </w:rPr>
      </w:pPr>
      <w:r w:rsidRPr="007E7D36">
        <w:rPr>
          <w:color w:val="FF0000"/>
        </w:rPr>
        <w:t xml:space="preserve">La compañía germana ha celebrado este miércoles una asamblea general en su sede ubicada en </w:t>
      </w:r>
      <w:r w:rsidR="00FE7EFD" w:rsidRPr="007E7D36">
        <w:rPr>
          <w:color w:val="FF0000"/>
        </w:rPr>
        <w:t>Wolf burgo</w:t>
      </w:r>
      <w:r w:rsidRPr="007E7D36">
        <w:rPr>
          <w:color w:val="FF0000"/>
        </w:rPr>
        <w:t>, en la que ha señalado las razones que han empujado a la dirección a plantear cierres de fábricas en Alemania por primera vez en 87 años de historia</w:t>
      </w:r>
      <w:r w:rsidRPr="007E7D36">
        <w:t xml:space="preserve">. </w:t>
      </w:r>
      <w:r w:rsidRPr="007E7D36">
        <w:rPr>
          <w:color w:val="FF0000"/>
        </w:rPr>
        <w:t>La cúpula de Volkswagen ha descrito la delicada situación de la empresa con el objetivo de justificar un movimiento que quebraría el acuerdo con los sindicatos, sellado en 1994, por el que la firma se comprometió a no aplicar despidos hasta 2029. En este contexto, y ante los propios asalariados de la compañía, la marca ha señalado que tiene “uno o dos años” para arreglar la compleja situación actual… El gigante alemán señala que, actualmente, poseen dos fábricas de más… La firma indica que esperan vender alrededor de 500.000 vehículos al año…</w:t>
      </w:r>
    </w:p>
    <w:p w:rsidR="00864F0C" w:rsidRDefault="00864F0C" w:rsidP="00864F0C">
      <w:pPr>
        <w:pStyle w:val="Ttulo2"/>
        <w:pBdr>
          <w:top w:val="single" w:sz="2" w:space="0" w:color="E5E7EB"/>
          <w:left w:val="single" w:sz="2" w:space="0" w:color="E5E7EB"/>
          <w:bottom w:val="single" w:sz="2" w:space="0" w:color="E5E7EB"/>
          <w:right w:val="single" w:sz="2" w:space="0" w:color="E5E7EB"/>
        </w:pBdr>
        <w:jc w:val="both"/>
        <w:rPr>
          <w:b w:val="0"/>
          <w:sz w:val="24"/>
          <w:szCs w:val="24"/>
        </w:rPr>
      </w:pPr>
      <w:r>
        <w:rPr>
          <w:b w:val="0"/>
          <w:sz w:val="24"/>
          <w:szCs w:val="24"/>
          <w:u w:val="single"/>
        </w:rPr>
        <w:lastRenderedPageBreak/>
        <w:t xml:space="preserve">- </w:t>
      </w:r>
      <w:r w:rsidRPr="00AC2A78">
        <w:rPr>
          <w:b w:val="0"/>
          <w:sz w:val="24"/>
          <w:szCs w:val="24"/>
          <w:u w:val="single"/>
        </w:rPr>
        <w:t>Los expertos recomiendan a Bruselas adaptar la PAC a un sistema alimentario más sostenible</w:t>
      </w:r>
      <w:r>
        <w:rPr>
          <w:b w:val="0"/>
          <w:sz w:val="24"/>
          <w:szCs w:val="24"/>
          <w:u w:val="single"/>
        </w:rPr>
        <w:t xml:space="preserve"> </w:t>
      </w:r>
      <w:r>
        <w:rPr>
          <w:b w:val="0"/>
          <w:sz w:val="24"/>
          <w:szCs w:val="24"/>
        </w:rPr>
        <w:t xml:space="preserve">(El Economista - </w:t>
      </w:r>
      <w:r w:rsidRPr="00AC2A78">
        <w:rPr>
          <w:sz w:val="24"/>
          <w:szCs w:val="24"/>
        </w:rPr>
        <w:t>4/9/24</w:t>
      </w:r>
      <w:r w:rsidRPr="00AC2A78">
        <w:rPr>
          <w:b w:val="0"/>
          <w:sz w:val="24"/>
          <w:szCs w:val="24"/>
        </w:rPr>
        <w:t>)</w:t>
      </w:r>
    </w:p>
    <w:p w:rsidR="00E130DC" w:rsidRPr="00E130DC" w:rsidRDefault="00E130DC" w:rsidP="00E130DC">
      <w:pPr>
        <w:pStyle w:val="Ttulo2"/>
        <w:pBdr>
          <w:top w:val="single" w:sz="2" w:space="0" w:color="E5E7EB"/>
          <w:left w:val="single" w:sz="2" w:space="0" w:color="E5E7EB"/>
          <w:bottom w:val="single" w:sz="2" w:space="0" w:color="E5E7EB"/>
          <w:right w:val="single" w:sz="2" w:space="0" w:color="E5E7EB"/>
        </w:pBdr>
        <w:jc w:val="both"/>
        <w:rPr>
          <w:b w:val="0"/>
          <w:color w:val="FF0000"/>
          <w:sz w:val="24"/>
          <w:szCs w:val="24"/>
        </w:rPr>
      </w:pPr>
      <w:r w:rsidRPr="00E130DC">
        <w:rPr>
          <w:b w:val="0"/>
          <w:color w:val="FF0000"/>
          <w:sz w:val="24"/>
          <w:szCs w:val="24"/>
        </w:rPr>
        <w:t>Las manifestaciones agrícolas han marcado en buena manera la actualidad política en la UE y la presidenta de la Comisión Europea, Ursula von der Leyen, dispuso un diálogo estratégico que permitiera satisfacer las demandas del campo. El alza de precios, los altos estándares medioambientales o la intrincada burocracia articulaban parte de los reclamos del sector primario. Y entre las conclusiones del análisis elaborado por Bruselas, se apunta la necesidad de adaptar la Política Agraria Común al momento actual y evolucionar hacia un sistema alimentario más competitivo y sostenible</w:t>
      </w:r>
      <w:r>
        <w:rPr>
          <w:b w:val="0"/>
          <w:color w:val="FF0000"/>
          <w:sz w:val="24"/>
          <w:szCs w:val="24"/>
        </w:rPr>
        <w:t>…</w:t>
      </w:r>
    </w:p>
    <w:p w:rsidR="00864F0C" w:rsidRPr="004705E3" w:rsidRDefault="00864F0C" w:rsidP="00864F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705E3">
        <w:rPr>
          <w:rFonts w:ascii="Times New Roman" w:hAnsi="Times New Roman" w:cs="Times New Roman"/>
          <w:sz w:val="24"/>
          <w:szCs w:val="24"/>
          <w:u w:val="single"/>
        </w:rPr>
        <w:t>La caída de los gigantes alemanes: el ocaso de la industria muestra las grietas del motor económico de Europa</w:t>
      </w:r>
      <w:r>
        <w:rPr>
          <w:rFonts w:ascii="Times New Roman" w:hAnsi="Times New Roman" w:cs="Times New Roman"/>
          <w:sz w:val="24"/>
          <w:szCs w:val="24"/>
        </w:rPr>
        <w:t xml:space="preserve"> (El Economista - </w:t>
      </w:r>
      <w:r w:rsidRPr="004705E3">
        <w:rPr>
          <w:rFonts w:ascii="Times New Roman" w:hAnsi="Times New Roman" w:cs="Times New Roman"/>
          <w:b/>
          <w:sz w:val="24"/>
          <w:szCs w:val="24"/>
        </w:rPr>
        <w:t>6/9/24</w:t>
      </w:r>
      <w:r>
        <w:rPr>
          <w:rFonts w:ascii="Times New Roman" w:hAnsi="Times New Roman" w:cs="Times New Roman"/>
          <w:sz w:val="24"/>
          <w:szCs w:val="24"/>
        </w:rPr>
        <w:t>)</w:t>
      </w:r>
    </w:p>
    <w:p w:rsidR="00864F0C" w:rsidRPr="00FB0817" w:rsidRDefault="00864F0C" w:rsidP="00864F0C">
      <w:pPr>
        <w:spacing w:line="240" w:lineRule="auto"/>
        <w:jc w:val="both"/>
        <w:rPr>
          <w:rFonts w:ascii="Times New Roman" w:hAnsi="Times New Roman" w:cs="Times New Roman"/>
          <w:color w:val="FF0000"/>
          <w:sz w:val="24"/>
          <w:szCs w:val="24"/>
        </w:rPr>
      </w:pPr>
      <w:r w:rsidRPr="00FB0817">
        <w:rPr>
          <w:rFonts w:ascii="Times New Roman" w:hAnsi="Times New Roman" w:cs="Times New Roman"/>
          <w:color w:val="FF0000"/>
          <w:sz w:val="24"/>
          <w:szCs w:val="24"/>
        </w:rPr>
        <w:t>Titanes como BASF y Bosch han anunciado recortes de plantilla</w:t>
      </w:r>
      <w:r w:rsidR="00735509">
        <w:rPr>
          <w:rFonts w:ascii="Times New Roman" w:hAnsi="Times New Roman" w:cs="Times New Roman"/>
          <w:color w:val="FF0000"/>
          <w:sz w:val="24"/>
          <w:szCs w:val="24"/>
        </w:rPr>
        <w:t>.</w:t>
      </w:r>
    </w:p>
    <w:p w:rsidR="00864F0C" w:rsidRPr="00FB0817" w:rsidRDefault="00864F0C" w:rsidP="00864F0C">
      <w:pPr>
        <w:spacing w:line="240" w:lineRule="auto"/>
        <w:jc w:val="both"/>
        <w:rPr>
          <w:rFonts w:ascii="Times New Roman" w:hAnsi="Times New Roman" w:cs="Times New Roman"/>
          <w:color w:val="FF0000"/>
          <w:sz w:val="24"/>
          <w:szCs w:val="24"/>
        </w:rPr>
      </w:pPr>
      <w:r w:rsidRPr="00FB0817">
        <w:rPr>
          <w:rFonts w:ascii="Times New Roman" w:hAnsi="Times New Roman" w:cs="Times New Roman"/>
          <w:color w:val="FF0000"/>
          <w:sz w:val="24"/>
          <w:szCs w:val="24"/>
        </w:rPr>
        <w:t>La destrucción de empleo en el sector ha alcanzado niveles de la crisis de 2008</w:t>
      </w:r>
      <w:r w:rsidR="00735509">
        <w:rPr>
          <w:rFonts w:ascii="Times New Roman" w:hAnsi="Times New Roman" w:cs="Times New Roman"/>
          <w:color w:val="FF0000"/>
          <w:sz w:val="24"/>
          <w:szCs w:val="24"/>
        </w:rPr>
        <w:t>.</w:t>
      </w:r>
    </w:p>
    <w:p w:rsidR="00864F0C" w:rsidRPr="00FB0817" w:rsidRDefault="00864F0C" w:rsidP="00864F0C">
      <w:pPr>
        <w:spacing w:line="240" w:lineRule="auto"/>
        <w:jc w:val="both"/>
        <w:rPr>
          <w:rFonts w:ascii="Times New Roman" w:hAnsi="Times New Roman" w:cs="Times New Roman"/>
          <w:color w:val="FF0000"/>
          <w:sz w:val="24"/>
          <w:szCs w:val="24"/>
        </w:rPr>
      </w:pPr>
      <w:r w:rsidRPr="00FB0817">
        <w:rPr>
          <w:rFonts w:ascii="Times New Roman" w:hAnsi="Times New Roman" w:cs="Times New Roman"/>
          <w:color w:val="FF0000"/>
          <w:sz w:val="24"/>
          <w:szCs w:val="24"/>
        </w:rPr>
        <w:t>Volkswagen planea cerrar fábricas en Alemania por primera vez en 87 años</w:t>
      </w:r>
      <w:r w:rsidR="00735509">
        <w:rPr>
          <w:rFonts w:ascii="Times New Roman" w:hAnsi="Times New Roman" w:cs="Times New Roman"/>
          <w:color w:val="FF0000"/>
          <w:sz w:val="24"/>
          <w:szCs w:val="24"/>
        </w:rPr>
        <w:t>…</w:t>
      </w:r>
    </w:p>
    <w:p w:rsidR="00864F0C" w:rsidRPr="00FF7CEE" w:rsidRDefault="00864F0C" w:rsidP="00864F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F7CEE">
        <w:rPr>
          <w:rFonts w:ascii="Times New Roman" w:hAnsi="Times New Roman" w:cs="Times New Roman"/>
          <w:sz w:val="24"/>
          <w:szCs w:val="24"/>
        </w:rPr>
        <w:t>¿</w:t>
      </w:r>
      <w:r w:rsidRPr="00FF7CEE">
        <w:rPr>
          <w:rFonts w:ascii="Times New Roman" w:hAnsi="Times New Roman" w:cs="Times New Roman"/>
          <w:sz w:val="24"/>
          <w:szCs w:val="24"/>
          <w:u w:val="single"/>
        </w:rPr>
        <w:t>Y si quiebra Volkswagen</w:t>
      </w:r>
      <w:r w:rsidRPr="00FF7CEE">
        <w:rPr>
          <w:rFonts w:ascii="Times New Roman" w:hAnsi="Times New Roman" w:cs="Times New Roman"/>
          <w:sz w:val="24"/>
          <w:szCs w:val="24"/>
        </w:rPr>
        <w:t>?</w:t>
      </w:r>
      <w:r>
        <w:rPr>
          <w:rFonts w:ascii="Times New Roman" w:hAnsi="Times New Roman" w:cs="Times New Roman"/>
          <w:sz w:val="24"/>
          <w:szCs w:val="24"/>
        </w:rPr>
        <w:t xml:space="preserve"> (Libertad Digital - </w:t>
      </w:r>
      <w:r w:rsidRPr="00FF7CEE">
        <w:rPr>
          <w:rFonts w:ascii="Times New Roman" w:hAnsi="Times New Roman" w:cs="Times New Roman"/>
          <w:b/>
          <w:sz w:val="24"/>
          <w:szCs w:val="24"/>
        </w:rPr>
        <w:t>6/9/24</w:t>
      </w:r>
      <w:r>
        <w:rPr>
          <w:rFonts w:ascii="Times New Roman" w:hAnsi="Times New Roman" w:cs="Times New Roman"/>
          <w:sz w:val="24"/>
          <w:szCs w:val="24"/>
        </w:rPr>
        <w:t>)</w:t>
      </w:r>
    </w:p>
    <w:p w:rsidR="00864F0C" w:rsidRPr="00FB0817" w:rsidRDefault="00864F0C" w:rsidP="00864F0C">
      <w:pPr>
        <w:spacing w:line="240" w:lineRule="auto"/>
        <w:jc w:val="both"/>
        <w:rPr>
          <w:rFonts w:ascii="Times New Roman" w:hAnsi="Times New Roman" w:cs="Times New Roman"/>
          <w:color w:val="FF0000"/>
          <w:sz w:val="24"/>
          <w:szCs w:val="24"/>
        </w:rPr>
      </w:pPr>
      <w:r w:rsidRPr="00FB0817">
        <w:rPr>
          <w:rFonts w:ascii="Times New Roman" w:hAnsi="Times New Roman" w:cs="Times New Roman"/>
          <w:color w:val="FF0000"/>
          <w:sz w:val="24"/>
          <w:szCs w:val="24"/>
        </w:rPr>
        <w:t>La compañía automovilística está sufriendo una crisis inédita en su historia que los lleva a plantear el cierre de varias de sus factorías</w:t>
      </w:r>
      <w:r w:rsidR="00735509">
        <w:rPr>
          <w:rFonts w:ascii="Times New Roman" w:hAnsi="Times New Roman" w:cs="Times New Roman"/>
          <w:color w:val="FF0000"/>
          <w:sz w:val="24"/>
          <w:szCs w:val="24"/>
        </w:rPr>
        <w:t>…</w:t>
      </w:r>
    </w:p>
    <w:p w:rsidR="00054CF7" w:rsidRDefault="00054CF7" w:rsidP="00054CF7">
      <w:pPr>
        <w:pStyle w:val="NormalWeb"/>
        <w:spacing w:after="0"/>
        <w:jc w:val="both"/>
      </w:pPr>
      <w:r>
        <w:t>- ¿</w:t>
      </w:r>
      <w:r w:rsidRPr="006A6B1C">
        <w:rPr>
          <w:u w:val="single"/>
        </w:rPr>
        <w:t>Por qué Bruselas odia la creosota</w:t>
      </w:r>
      <w:r>
        <w:t xml:space="preserve">? (Vozpópuli - </w:t>
      </w:r>
      <w:r w:rsidRPr="006A6B1C">
        <w:rPr>
          <w:b/>
        </w:rPr>
        <w:t>9/9/24</w:t>
      </w:r>
      <w:r>
        <w:t>)</w:t>
      </w:r>
    </w:p>
    <w:p w:rsidR="00735509" w:rsidRPr="00735509" w:rsidRDefault="00735509" w:rsidP="00735509">
      <w:pPr>
        <w:pStyle w:val="NormalWeb"/>
        <w:spacing w:after="0"/>
        <w:jc w:val="both"/>
        <w:rPr>
          <w:color w:val="FF0000"/>
        </w:rPr>
      </w:pPr>
      <w:r w:rsidRPr="00735509">
        <w:rPr>
          <w:color w:val="FF0000"/>
        </w:rPr>
        <w:t>Es bastante probable que la inmensa mayoría de la población de la U</w:t>
      </w:r>
      <w:r>
        <w:rPr>
          <w:color w:val="FF0000"/>
        </w:rPr>
        <w:t>nión Europea no sepa qué es la “creosota”</w:t>
      </w:r>
      <w:r w:rsidRPr="00735509">
        <w:rPr>
          <w:color w:val="FF0000"/>
        </w:rPr>
        <w:t xml:space="preserve"> ni para qué sirve. Sin embargo ha sido víctima de una de las últimas preocupaciones de los socialistas -de todos los partidos- que la gobiernan. La UE ha devenido una máquina burocrática intensiva y extensivamente amiga de las prohibiciones de todo tipo, y al tiempo, enemiga de la libertad y la innovación. Mientras tanto, la otra gran potencia económica, los EEUU, operando en sentido contrario cada vez se distancia más de nosotros en innovación tecnológica y consecuentemente en crecimiento de la renta per cápita</w:t>
      </w:r>
      <w:r>
        <w:rPr>
          <w:color w:val="FF0000"/>
        </w:rPr>
        <w:t>.</w:t>
      </w:r>
    </w:p>
    <w:p w:rsidR="00054CF7" w:rsidRDefault="00054CF7" w:rsidP="00054CF7">
      <w:pPr>
        <w:pStyle w:val="NormalWeb"/>
        <w:spacing w:after="0"/>
        <w:jc w:val="both"/>
        <w:rPr>
          <w:color w:val="FF0000"/>
        </w:rPr>
      </w:pPr>
      <w:r w:rsidRPr="000E0A78">
        <w:rPr>
          <w:color w:val="FF0000"/>
        </w:rPr>
        <w:t>Es el momento de reclamar al nuevo Parlamento europeo que afronte las medidas realmente urgentes y se olvide de perseguir minucias anecdóticas que bordean el ridículo</w:t>
      </w:r>
      <w:r w:rsidR="00735509">
        <w:rPr>
          <w:color w:val="FF0000"/>
        </w:rPr>
        <w:t>…</w:t>
      </w:r>
    </w:p>
    <w:p w:rsidR="00E130DC" w:rsidRPr="00482E1B" w:rsidRDefault="00E130DC" w:rsidP="00E130DC">
      <w:pPr>
        <w:pStyle w:val="NormalWeb"/>
        <w:spacing w:after="0"/>
        <w:jc w:val="both"/>
        <w:textAlignment w:val="baseline"/>
      </w:pPr>
      <w:r w:rsidRPr="00482E1B">
        <w:t xml:space="preserve">- </w:t>
      </w:r>
      <w:r w:rsidRPr="00482E1B">
        <w:rPr>
          <w:u w:val="single"/>
        </w:rPr>
        <w:t>Los camioneros alertan de que la reforma en bienestar animal condenará a España a importar carne</w:t>
      </w:r>
      <w:r w:rsidRPr="00482E1B">
        <w:t xml:space="preserve"> (Libertad Digital - </w:t>
      </w:r>
      <w:r w:rsidRPr="00482E1B">
        <w:rPr>
          <w:b/>
        </w:rPr>
        <w:t>12/9/24</w:t>
      </w:r>
      <w:r w:rsidRPr="00482E1B">
        <w:t>)</w:t>
      </w:r>
    </w:p>
    <w:p w:rsidR="00E130DC" w:rsidRPr="00E130DC" w:rsidRDefault="00E130DC" w:rsidP="00E130DC">
      <w:pPr>
        <w:pStyle w:val="NormalWeb"/>
        <w:spacing w:after="0"/>
        <w:jc w:val="both"/>
        <w:textAlignment w:val="baseline"/>
        <w:rPr>
          <w:color w:val="FF0000"/>
        </w:rPr>
      </w:pPr>
      <w:r w:rsidRPr="00E130DC">
        <w:rPr>
          <w:color w:val="FF0000"/>
        </w:rPr>
        <w:t>Un informe alerta de que la norma europea supondrá un “perjuicio económico y social por la pérdida de empleos e incremento de precios” de la carne. Un nuevo estudio alerta de las desastrosas consecuencias económicas que supondrá la implantación del nuevo reglamento europeo de bienestar animal en el transporte. Ya lo han advertido los ganaderos y también un dictamen de la propia UE. Ahora, es la Confederación Española del Transporte de Mercancías (CETM) la que avisa de que, si se implanta esta modificación del reglamento propuesta por la Comisión Europea, dejaremos de ser exportadores de carne para empezar a depender de terceros países… Entre otros aspectos, la norma pretende acortar la duración de los traslados de ganado, aumentar el espacio en los camiones y obligar a los transportistas a viajar por la noche cuando las temperaturas superen los 30 grados</w:t>
      </w:r>
      <w:r>
        <w:rPr>
          <w:color w:val="FF0000"/>
        </w:rPr>
        <w:t>…</w:t>
      </w:r>
    </w:p>
    <w:p w:rsidR="00054CF7" w:rsidRDefault="00054CF7" w:rsidP="00054CF7">
      <w:pPr>
        <w:pStyle w:val="author-names"/>
        <w:shd w:val="clear" w:color="auto" w:fill="FFFFFF"/>
        <w:spacing w:before="0" w:beforeAutospacing="0" w:after="0" w:afterAutospacing="0"/>
        <w:jc w:val="both"/>
        <w:rPr>
          <w:rStyle w:val="author-names-item"/>
        </w:rPr>
      </w:pPr>
      <w:r>
        <w:rPr>
          <w:b/>
          <w:bCs/>
        </w:rPr>
        <w:lastRenderedPageBreak/>
        <w:t xml:space="preserve">- </w:t>
      </w:r>
      <w:r w:rsidRPr="00C11F81">
        <w:rPr>
          <w:b/>
          <w:bCs/>
        </w:rPr>
        <w:t>¿</w:t>
      </w:r>
      <w:r w:rsidRPr="00B80CB2">
        <w:rPr>
          <w:bCs/>
          <w:u w:val="single"/>
        </w:rPr>
        <w:t>Está gripado el sector automovilístico europeo</w:t>
      </w:r>
      <w:r w:rsidRPr="00C11F81">
        <w:rPr>
          <w:bCs/>
        </w:rPr>
        <w:t xml:space="preserve">? Valores para comprar con potencial (Vozpópuli - </w:t>
      </w:r>
      <w:hyperlink r:id="rId23" w:history="1">
        <w:r w:rsidRPr="00735509">
          <w:rPr>
            <w:rStyle w:val="Hipervnculo"/>
            <w:color w:val="auto"/>
            <w:u w:val="none"/>
          </w:rPr>
          <w:t>Estrategiasdeinversion.com</w:t>
        </w:r>
      </w:hyperlink>
      <w:r>
        <w:rPr>
          <w:rStyle w:val="author-names-item"/>
        </w:rPr>
        <w:t xml:space="preserve"> - </w:t>
      </w:r>
      <w:r w:rsidRPr="00C11F81">
        <w:rPr>
          <w:rStyle w:val="author-names-item"/>
          <w:b/>
        </w:rPr>
        <w:t>14/9/24</w:t>
      </w:r>
      <w:r>
        <w:rPr>
          <w:rStyle w:val="author-names-item"/>
        </w:rPr>
        <w:t>)</w:t>
      </w:r>
    </w:p>
    <w:p w:rsidR="00A066F2" w:rsidRPr="00C11F81" w:rsidRDefault="00A066F2" w:rsidP="00054CF7">
      <w:pPr>
        <w:pStyle w:val="author-names"/>
        <w:shd w:val="clear" w:color="auto" w:fill="FFFFFF"/>
        <w:spacing w:before="0" w:beforeAutospacing="0" w:after="0" w:afterAutospacing="0"/>
        <w:jc w:val="both"/>
      </w:pPr>
    </w:p>
    <w:p w:rsidR="00054CF7" w:rsidRDefault="00054CF7" w:rsidP="00054CF7">
      <w:pPr>
        <w:pStyle w:val="Ttulo2"/>
        <w:spacing w:before="0" w:beforeAutospacing="0" w:after="300" w:afterAutospacing="0"/>
        <w:jc w:val="both"/>
        <w:rPr>
          <w:b w:val="0"/>
          <w:bCs w:val="0"/>
          <w:color w:val="FF0000"/>
          <w:sz w:val="24"/>
          <w:szCs w:val="24"/>
        </w:rPr>
      </w:pPr>
      <w:r w:rsidRPr="00735509">
        <w:rPr>
          <w:b w:val="0"/>
          <w:bCs w:val="0"/>
          <w:color w:val="FF0000"/>
          <w:sz w:val="24"/>
          <w:szCs w:val="24"/>
        </w:rPr>
        <w:t xml:space="preserve">La industria automovilística atraviesa una situación complicada en el Viejo Continente al calor de </w:t>
      </w:r>
      <w:r w:rsidR="00735509">
        <w:rPr>
          <w:b w:val="0"/>
          <w:bCs w:val="0"/>
          <w:color w:val="FF0000"/>
          <w:sz w:val="24"/>
          <w:szCs w:val="24"/>
        </w:rPr>
        <w:t>un coche eléctrico europeo que “se queda sin batería”</w:t>
      </w:r>
      <w:r w:rsidRPr="00735509">
        <w:rPr>
          <w:b w:val="0"/>
          <w:bCs w:val="0"/>
          <w:color w:val="FF0000"/>
          <w:sz w:val="24"/>
          <w:szCs w:val="24"/>
        </w:rPr>
        <w:t>, en detrimento de los fabricantes chinos de vehículos electrificados. Sin embargo, a nivel bursátil, y tras las correcciones vividas en los últimos meses, los analistas siguen apostando por el sector y son varios los valores que están para comprar y podrían subir a doble dígito el próximo año</w:t>
      </w:r>
      <w:r w:rsidR="00735509">
        <w:rPr>
          <w:b w:val="0"/>
          <w:bCs w:val="0"/>
          <w:color w:val="FF0000"/>
          <w:sz w:val="24"/>
          <w:szCs w:val="24"/>
        </w:rPr>
        <w:t>…</w:t>
      </w:r>
    </w:p>
    <w:p w:rsidR="00004D12" w:rsidRPr="00A066F2" w:rsidRDefault="00004D12" w:rsidP="00004D12">
      <w:pPr>
        <w:pStyle w:val="NormalWeb"/>
        <w:spacing w:after="0"/>
        <w:jc w:val="both"/>
      </w:pPr>
      <w:r w:rsidRPr="00A066F2">
        <w:t xml:space="preserve">- </w:t>
      </w:r>
      <w:r w:rsidRPr="00A066F2">
        <w:rPr>
          <w:u w:val="single"/>
        </w:rPr>
        <w:t>Adiós a los chips “made in Europe”: Intel paraliza todas sus inversiones en el continente salvo Irlanda</w:t>
      </w:r>
      <w:r w:rsidRPr="00A066F2">
        <w:t xml:space="preserve"> (El Economista - </w:t>
      </w:r>
      <w:r w:rsidRPr="00A066F2">
        <w:rPr>
          <w:b/>
        </w:rPr>
        <w:t>17/9/24</w:t>
      </w:r>
      <w:r w:rsidRPr="00A066F2">
        <w:t>)</w:t>
      </w:r>
    </w:p>
    <w:p w:rsidR="00004D12" w:rsidRPr="00004D12" w:rsidRDefault="00004D12" w:rsidP="00004D12">
      <w:pPr>
        <w:pStyle w:val="NormalWeb"/>
        <w:spacing w:after="0"/>
        <w:jc w:val="both"/>
        <w:rPr>
          <w:color w:val="FF0000"/>
        </w:rPr>
      </w:pPr>
      <w:r w:rsidRPr="00004D12">
        <w:rPr>
          <w:color w:val="FF0000"/>
        </w:rPr>
        <w:t>Adiós al sueño de los chips “made in Europe”. Intel acaba de tirar por tierra las ambiciones comunitarias de ganar peso en la industria de los procesadores. La firma americana había prometido 80.000 millones de euros para el continente, pero esa cifra se ha reducido de forma drástica tras la continua suspensión de proyectos debido a los problemas de Intel. Con el aplazamiento de las inversiones en Alemania y Polonia y la marcha atrás en Italia, España y Francia, solo queda en pie la fábrica de Irlanda…</w:t>
      </w:r>
    </w:p>
    <w:p w:rsidR="00054CF7" w:rsidRPr="00A066F2" w:rsidRDefault="00054CF7" w:rsidP="00054CF7">
      <w:pPr>
        <w:pStyle w:val="NormalWeb"/>
        <w:spacing w:after="0"/>
        <w:jc w:val="both"/>
      </w:pPr>
      <w:r w:rsidRPr="00A066F2">
        <w:t xml:space="preserve">- </w:t>
      </w:r>
      <w:r w:rsidRPr="00A066F2">
        <w:rPr>
          <w:u w:val="single"/>
        </w:rPr>
        <w:t>Las centrales nucleares gemelas de Ascó y Almaraz en EEUU amplían su vida operativa a 2060</w:t>
      </w:r>
      <w:r w:rsidRPr="00A066F2">
        <w:t xml:space="preserve"> (El Economista - </w:t>
      </w:r>
      <w:r w:rsidRPr="00A066F2">
        <w:rPr>
          <w:b/>
        </w:rPr>
        <w:t>18/9/24</w:t>
      </w:r>
      <w:r w:rsidRPr="00A066F2">
        <w:t>)</w:t>
      </w:r>
    </w:p>
    <w:p w:rsidR="006100FD" w:rsidRPr="00735509" w:rsidRDefault="006100FD" w:rsidP="006100FD">
      <w:pPr>
        <w:pStyle w:val="NormalWeb"/>
        <w:spacing w:after="0"/>
        <w:jc w:val="both"/>
        <w:rPr>
          <w:color w:val="FF0000"/>
        </w:rPr>
      </w:pPr>
      <w:r w:rsidRPr="00735509">
        <w:rPr>
          <w:color w:val="FF0000"/>
        </w:rPr>
        <w:t>Mientras que las centrales de Almaraz y Ascó tienen sus días contados, sus hermanas gemelas aspiran a durar hasta 2060. La Comisión Reguladora Nuclear ha renovado por segunda vez las licencias de explotación de las unidades 1 y 2 de la central</w:t>
      </w:r>
      <w:r w:rsidR="00735509" w:rsidRPr="00735509">
        <w:rPr>
          <w:color w:val="FF0000"/>
        </w:rPr>
        <w:t xml:space="preserve"> de North Anna por 20 años más (EEUU suma ocho reactores nucleares con autorización para operar durante un total de 80 años). </w:t>
      </w:r>
      <w:r w:rsidRPr="00735509">
        <w:rPr>
          <w:color w:val="FF0000"/>
        </w:rPr>
        <w:t>Este modelo de instalación es el referente usado para las centrales españolas de Almaraz (Cáceres) y Ascó (Tarragona), según indicó Foro Nuclear, dos generadoras eléctricas que tienen previsto echar el cierre en 2028 y 2030, respectivamente</w:t>
      </w:r>
      <w:r w:rsidR="00735509" w:rsidRPr="00735509">
        <w:rPr>
          <w:color w:val="FF0000"/>
        </w:rPr>
        <w:t>…</w:t>
      </w:r>
    </w:p>
    <w:p w:rsidR="006100FD" w:rsidRPr="00A066F2" w:rsidRDefault="006100FD" w:rsidP="006100FD">
      <w:pPr>
        <w:pStyle w:val="NormalWeb"/>
        <w:spacing w:after="0"/>
        <w:jc w:val="both"/>
      </w:pPr>
      <w:r w:rsidRPr="00A066F2">
        <w:t xml:space="preserve">- </w:t>
      </w:r>
      <w:r w:rsidRPr="00A066F2">
        <w:rPr>
          <w:u w:val="single"/>
        </w:rPr>
        <w:t>EEUU quiere el as nipón: Biden tiene cerca el acuerdo con Japón para vencer a China en la guerra de los chips</w:t>
      </w:r>
      <w:r w:rsidRPr="00A066F2">
        <w:t xml:space="preserve"> (El Economista - </w:t>
      </w:r>
      <w:r w:rsidRPr="00A066F2">
        <w:rPr>
          <w:b/>
        </w:rPr>
        <w:t>18/9/24</w:t>
      </w:r>
      <w:r w:rsidRPr="00A066F2">
        <w:t>)</w:t>
      </w:r>
    </w:p>
    <w:p w:rsidR="006100FD" w:rsidRPr="00A066F2" w:rsidRDefault="006100FD" w:rsidP="006100FD">
      <w:pPr>
        <w:pStyle w:val="NormalWeb"/>
        <w:spacing w:after="0"/>
        <w:jc w:val="both"/>
        <w:rPr>
          <w:color w:val="FF0000"/>
        </w:rPr>
      </w:pPr>
      <w:r w:rsidRPr="00A066F2">
        <w:rPr>
          <w:color w:val="FF0000"/>
        </w:rPr>
        <w:t>EEUU y Japón están cerca de alcanzar un acuerdo para reforzar las restricciones a la exportación hacia China de tecnología necesaria para fabricar chips de última generación. El objetivo de Washington es conseguir que las autoridades niponas restrinjan las ventas de su potente sector de semiconductores, dominante en la fabricación de varios compuestos usados en la fabricación de procesadores. Entre ellos destaca el mercado de fotorresistencias cuya cuota de mercado en manos japonesas es superior al 70%.</w:t>
      </w:r>
      <w:r w:rsidR="00A066F2">
        <w:rPr>
          <w:color w:val="FF0000"/>
        </w:rPr>
        <w:t>..</w:t>
      </w:r>
    </w:p>
    <w:p w:rsidR="006100FD" w:rsidRDefault="00A066F2" w:rsidP="006100FD">
      <w:pPr>
        <w:pStyle w:val="NormalWeb"/>
        <w:spacing w:after="0"/>
        <w:jc w:val="both"/>
      </w:pPr>
      <w:r w:rsidRPr="00A066F2">
        <w:t>-</w:t>
      </w:r>
      <w:r w:rsidR="006100FD" w:rsidRPr="00A066F2">
        <w:t xml:space="preserve"> </w:t>
      </w:r>
      <w:r w:rsidR="006100FD" w:rsidRPr="00A066F2">
        <w:rPr>
          <w:u w:val="single"/>
        </w:rPr>
        <w:t>Draghi, respecto al automóvil: “Europa aplica una política climática sin una política industrial</w:t>
      </w:r>
      <w:r w:rsidR="006100FD" w:rsidRPr="00A066F2">
        <w:t xml:space="preserve">” (Vozpópuli - </w:t>
      </w:r>
      <w:r w:rsidR="006100FD" w:rsidRPr="00A066F2">
        <w:rPr>
          <w:b/>
        </w:rPr>
        <w:t>18/9/24</w:t>
      </w:r>
      <w:r w:rsidR="006100FD" w:rsidRPr="00A066F2">
        <w:t>)</w:t>
      </w:r>
    </w:p>
    <w:p w:rsidR="009B6E23" w:rsidRPr="009B6E23" w:rsidRDefault="00A066F2" w:rsidP="009B6E23">
      <w:pPr>
        <w:pStyle w:val="NormalWeb"/>
        <w:spacing w:after="0"/>
        <w:jc w:val="both"/>
        <w:rPr>
          <w:color w:val="FF0000"/>
        </w:rPr>
      </w:pPr>
      <w:r w:rsidRPr="00A066F2">
        <w:rPr>
          <w:color w:val="FF0000"/>
        </w:rPr>
        <w:t xml:space="preserve">En opinión del expresidente del Banco Central Europeo (BCE) y antiguo primer ministro italiano, Mario Draghi, el sector de la automoción “es un ejemplo clave de la falta de planificación de la UE, que aplica una política climática sin una política industrial”. Pese a considerar a la UE como un “líder mundial en tecnologías limpias”, Draghi señala en su informe sobre el futuro de la competitividad europea que “no está garantizado que Europa aproveche esta oportunidad”. Por una parte, reconoció que depender cada vez más de China puede ser la vía más barata y eficaz para cumplir los objetivos de descarbonización, pero por </w:t>
      </w:r>
      <w:r w:rsidRPr="00A066F2">
        <w:rPr>
          <w:color w:val="FF0000"/>
        </w:rPr>
        <w:lastRenderedPageBreak/>
        <w:t>otra, alerta de que la competencia estatal china también representa una amenaza para las productivas industrias europeas de tecnología limpia y automoción…</w:t>
      </w:r>
      <w:r w:rsidR="009B6E23">
        <w:rPr>
          <w:color w:val="FF0000"/>
        </w:rPr>
        <w:t xml:space="preserve"> </w:t>
      </w:r>
      <w:r w:rsidR="009B6E23" w:rsidRPr="009B6E23">
        <w:rPr>
          <w:color w:val="FF0000"/>
        </w:rPr>
        <w:t>En medio de la “guerra” comercial a cuenta del coche eléctrico entre China y Europa, el expresidente del BCE señala que la UE ha pecado de falta de planificación en esta industria. El dilema de las automovilísticas: dejar de fabricar dos millones de coches de combustión o multas millonarias…</w:t>
      </w:r>
    </w:p>
    <w:p w:rsidR="006100FD" w:rsidRPr="009B6E23" w:rsidRDefault="006100FD" w:rsidP="006100FD">
      <w:pPr>
        <w:pStyle w:val="NormalWeb"/>
        <w:spacing w:after="0"/>
        <w:jc w:val="both"/>
      </w:pPr>
      <w:r w:rsidRPr="009B6E23">
        <w:t xml:space="preserve">- </w:t>
      </w:r>
      <w:r w:rsidRPr="009B6E23">
        <w:rPr>
          <w:u w:val="single"/>
        </w:rPr>
        <w:t>Ribera cambia de postura con la nuclear y deja la puerta abierta a abrir más centrales en Europa</w:t>
      </w:r>
      <w:r w:rsidRPr="009B6E23">
        <w:t xml:space="preserve"> (El Economista - </w:t>
      </w:r>
      <w:r w:rsidRPr="009B6E23">
        <w:rPr>
          <w:b/>
        </w:rPr>
        <w:t>18/9/24</w:t>
      </w:r>
      <w:r w:rsidRPr="009B6E23">
        <w:t>)</w:t>
      </w:r>
    </w:p>
    <w:p w:rsidR="006100FD" w:rsidRPr="009B6E23" w:rsidRDefault="006100FD" w:rsidP="006100FD">
      <w:pPr>
        <w:pStyle w:val="NormalWeb"/>
        <w:spacing w:after="0"/>
        <w:jc w:val="both"/>
        <w:rPr>
          <w:color w:val="FF0000"/>
        </w:rPr>
      </w:pPr>
      <w:r w:rsidRPr="009B6E23">
        <w:rPr>
          <w:color w:val="FF0000"/>
        </w:rPr>
        <w:t>La candidata a la Comisión calificó</w:t>
      </w:r>
      <w:r w:rsidR="009B6E23" w:rsidRPr="009B6E23">
        <w:rPr>
          <w:color w:val="FF0000"/>
        </w:rPr>
        <w:t xml:space="preserve"> (oportunamente)</w:t>
      </w:r>
      <w:r w:rsidRPr="009B6E23">
        <w:rPr>
          <w:color w:val="FF0000"/>
        </w:rPr>
        <w:t xml:space="preserve"> de "gran error" la clasificación de la nuclear como inversión sostenible</w:t>
      </w:r>
      <w:r w:rsidR="009B6E23" w:rsidRPr="009B6E23">
        <w:rPr>
          <w:color w:val="FF0000"/>
        </w:rPr>
        <w:t xml:space="preserve">… </w:t>
      </w:r>
      <w:r w:rsidRPr="009B6E23">
        <w:rPr>
          <w:color w:val="FF0000"/>
        </w:rPr>
        <w:t>La candidata a comisaria de Competencia y vicepresidenta Ejecutiva de Transición Limpia de la UE, Teresa Ribera, ha dejado la puerta abierta a un aumento de la nuclear en la Unión Europea. Según ha informado Politico este miércoles, Ribera aseguró que en su nueva posición no se opondría a la expansión de la energía nuclear en el continente</w:t>
      </w:r>
      <w:r w:rsidR="009B6E23">
        <w:rPr>
          <w:color w:val="FF0000"/>
        </w:rPr>
        <w:t>…</w:t>
      </w:r>
    </w:p>
    <w:p w:rsidR="006100FD" w:rsidRPr="009B6E23" w:rsidRDefault="006100FD" w:rsidP="006100FD">
      <w:pPr>
        <w:pStyle w:val="NormalWeb"/>
        <w:spacing w:after="0"/>
        <w:jc w:val="both"/>
      </w:pPr>
      <w:r w:rsidRPr="009B6E23">
        <w:t xml:space="preserve">- </w:t>
      </w:r>
      <w:r w:rsidRPr="009B6E23">
        <w:rPr>
          <w:u w:val="single"/>
        </w:rPr>
        <w:t>La manipulación de los tipos de interés o cómo criar las ovejas más caras del mundo</w:t>
      </w:r>
      <w:r w:rsidRPr="009B6E23">
        <w:t xml:space="preserve"> (Cinco Días - </w:t>
      </w:r>
      <w:r w:rsidRPr="009B6E23">
        <w:rPr>
          <w:b/>
        </w:rPr>
        <w:t>19/9/24</w:t>
      </w:r>
      <w:r w:rsidRPr="009B6E23">
        <w:t>)</w:t>
      </w:r>
    </w:p>
    <w:p w:rsidR="006100FD" w:rsidRPr="00ED07BB" w:rsidRDefault="006100FD" w:rsidP="006100FD">
      <w:pPr>
        <w:pStyle w:val="NormalWeb"/>
        <w:spacing w:after="0"/>
        <w:jc w:val="both"/>
        <w:rPr>
          <w:color w:val="FF0000"/>
        </w:rPr>
      </w:pPr>
      <w:r w:rsidRPr="00ED07BB">
        <w:rPr>
          <w:color w:val="FF0000"/>
        </w:rPr>
        <w:t>Para alimentar esa deuda ilimitada y aparentemente sin consecuencias con la que nos llenamos los bolsillos los ciudadanos es muy conveniente tener un banco central que no sea independiente, que destruya la moneda y que manipule el precio del dinero</w:t>
      </w:r>
      <w:r w:rsidR="009B6E23">
        <w:rPr>
          <w:color w:val="FF0000"/>
        </w:rPr>
        <w:t>…</w:t>
      </w:r>
    </w:p>
    <w:p w:rsidR="006100FD" w:rsidRPr="009B6E23" w:rsidRDefault="006100FD" w:rsidP="006100FD">
      <w:pPr>
        <w:pStyle w:val="NormalWeb"/>
        <w:spacing w:after="0"/>
        <w:jc w:val="both"/>
      </w:pPr>
      <w:r w:rsidRPr="009B6E23">
        <w:t xml:space="preserve">- </w:t>
      </w:r>
      <w:r w:rsidRPr="009B6E23">
        <w:rPr>
          <w:u w:val="single"/>
        </w:rPr>
        <w:t>El coche eléctrico europeo pincha con los baches de Alemania y Francia: las ventas se hunden en agosto</w:t>
      </w:r>
      <w:r w:rsidRPr="009B6E23">
        <w:t xml:space="preserve"> (El Economista - </w:t>
      </w:r>
      <w:r w:rsidRPr="009B6E23">
        <w:rPr>
          <w:b/>
        </w:rPr>
        <w:t>19/9/24</w:t>
      </w:r>
      <w:r w:rsidRPr="009B6E23">
        <w:t>)</w:t>
      </w:r>
    </w:p>
    <w:p w:rsidR="006100FD" w:rsidRDefault="006100FD" w:rsidP="006100FD">
      <w:pPr>
        <w:pStyle w:val="NormalWeb"/>
        <w:spacing w:after="0"/>
        <w:jc w:val="both"/>
        <w:rPr>
          <w:color w:val="FF0000"/>
        </w:rPr>
      </w:pPr>
      <w:r w:rsidRPr="009B6E23">
        <w:rPr>
          <w:color w:val="FF0000"/>
        </w:rPr>
        <w:t>La industria automotriz del Viejo Continente no está pasando por su mejor momento. La débil demanda por los vehículos eléctricos ha desatado una ralentización de la expansión de este tipo de coches, penalizando a los gigantes del motor europeo y forzándoles a modificar sus estrategias de producción. Las automovilísticas, además, deben hacer frente a los coches eléctricos baratos de los fabricantes chinos, lo cual ha roto las costuras de la industria automovilística europea, revelando una enorme falta de competitividad continental. De hecho, el dato de las ventas coches eléctricos ha evidenciado esta realidad, pues las entregas de este tipo de vehículos han hundido en agosto</w:t>
      </w:r>
      <w:r w:rsidR="009B6E23">
        <w:rPr>
          <w:color w:val="FF0000"/>
        </w:rPr>
        <w:t>…</w:t>
      </w:r>
    </w:p>
    <w:p w:rsidR="00004D12" w:rsidRPr="009B6E23" w:rsidRDefault="00004D12" w:rsidP="00004D12">
      <w:pPr>
        <w:pStyle w:val="NormalWeb"/>
        <w:spacing w:after="0"/>
        <w:jc w:val="both"/>
        <w:rPr>
          <w:color w:val="FF0000"/>
        </w:rPr>
      </w:pPr>
      <w:r>
        <w:t>- ¿</w:t>
      </w:r>
      <w:r w:rsidRPr="00CB7006">
        <w:rPr>
          <w:u w:val="single"/>
        </w:rPr>
        <w:t>Quién manda aquí? Pocas luces y muchas sombras en la nueva Comisión Europea</w:t>
      </w:r>
      <w:r>
        <w:t xml:space="preserve"> (El Confidencial - </w:t>
      </w:r>
      <w:r w:rsidRPr="00CB7006">
        <w:rPr>
          <w:b/>
        </w:rPr>
        <w:t>20/9/24</w:t>
      </w:r>
      <w:r>
        <w:t>)</w:t>
      </w:r>
    </w:p>
    <w:p w:rsidR="00004D12" w:rsidRDefault="00004D12" w:rsidP="00004D12">
      <w:pPr>
        <w:pStyle w:val="NormalWeb"/>
        <w:spacing w:after="0"/>
        <w:jc w:val="both"/>
        <w:rPr>
          <w:color w:val="FF0000"/>
        </w:rPr>
      </w:pPr>
      <w:r w:rsidRPr="009B6E23">
        <w:rPr>
          <w:color w:val="FF0000"/>
        </w:rPr>
        <w:t>Entre el escepticismo y la esperanza se mueven las impresiones recogidas sobre la nueva Comisión Europea. Después de presentar a bombo y platillo el informe Draghi junto al ex presidente del Banco Central Europea, Ursula von der Leyen, dio a conocer su ejecutivo, en el que predomina la redundancia de comi</w:t>
      </w:r>
      <w:r>
        <w:rPr>
          <w:color w:val="FF0000"/>
        </w:rPr>
        <w:t xml:space="preserve">sarios con funciones parecidas. </w:t>
      </w:r>
      <w:r w:rsidRPr="009B6E23">
        <w:rPr>
          <w:color w:val="FF0000"/>
        </w:rPr>
        <w:t>Ella lo justificó para incrementar la cooperación, como aconseja el informe de Draghi. Pero no parece que duplicar las funciones sea la manera de agilizar la toma de decisiones, más bien al contrario. Se corre el riesgo de que los problemas se eternicen de una comisaría a otra, como una pelota de ping pong sin encontrar solución</w:t>
      </w:r>
      <w:r w:rsidRPr="009B6E23">
        <w:t xml:space="preserve">. </w:t>
      </w:r>
      <w:r w:rsidRPr="009B6E23">
        <w:rPr>
          <w:color w:val="FF0000"/>
        </w:rPr>
        <w:t>Draghi considera que la descarbonización, bien planteada, puede convertirse en una fuente de competitividad, pero mal planteada (sobre todo de forma descoordinada y dependiendo en exceso de tecnologías chinas subvencionadas), puede hundirla</w:t>
      </w:r>
      <w:r>
        <w:rPr>
          <w:color w:val="FF0000"/>
        </w:rPr>
        <w:t>…</w:t>
      </w:r>
    </w:p>
    <w:p w:rsidR="00004D12" w:rsidRPr="00390496" w:rsidRDefault="00004D12" w:rsidP="00004D12">
      <w:pPr>
        <w:pStyle w:val="NormalWeb"/>
        <w:spacing w:after="0"/>
        <w:jc w:val="both"/>
        <w:textAlignment w:val="baseline"/>
      </w:pPr>
      <w:r w:rsidRPr="00390496">
        <w:lastRenderedPageBreak/>
        <w:t xml:space="preserve">- </w:t>
      </w:r>
      <w:r w:rsidRPr="00390496">
        <w:rPr>
          <w:u w:val="single"/>
        </w:rPr>
        <w:t>Europa acelera su renacimiento atómico mientras España cierra sus nucleares</w:t>
      </w:r>
      <w:r w:rsidRPr="00390496">
        <w:t xml:space="preserve"> (El Economista - </w:t>
      </w:r>
      <w:r w:rsidRPr="00390496">
        <w:rPr>
          <w:b/>
        </w:rPr>
        <w:t>20/9/24</w:t>
      </w:r>
      <w:r w:rsidRPr="00390496">
        <w:t>)</w:t>
      </w:r>
    </w:p>
    <w:p w:rsidR="00004D12" w:rsidRPr="00390496" w:rsidRDefault="00004D12" w:rsidP="00004D12">
      <w:pPr>
        <w:pStyle w:val="NormalWeb"/>
        <w:spacing w:after="0"/>
        <w:jc w:val="both"/>
        <w:textAlignment w:val="baseline"/>
        <w:rPr>
          <w:color w:val="FF0000"/>
        </w:rPr>
      </w:pPr>
      <w:r w:rsidRPr="00390496">
        <w:rPr>
          <w:color w:val="FF0000"/>
        </w:rPr>
        <w:t>La división del átomo une a cada vez más europeos, entre ellos a los nuevos miembros de la Comisión Europea presentada el pasado miércoles. La candidata a comisaria de Competencia y vicepresidenta Ejecutiva de Transición Limpia de la UE, Teresa Ribera, vino a reflejar esta semana la aproximación del nuevo ejecutivo comunitario con respecto a la energía nuclear. Ribera, quien no ha ocultado su posicionamiento en contra de esta tecnología, aseguró que no se opondrá a la proliferación de centrales nucleares en los países del club comunitario. La reconocida posición en contra de la aún vicepresidenta tercera y, por extensión, la de España con respecto a la energía atómica resulta minoritaria. Desde Bruselas el apoyo se ha enfocado en promover la construcción de reactores modulares pequeños o SMR, por sus siglas en inglés. Como su propio nombre indica, son instalaciones de menor tamaño que las tradicionales y tienen una potencia eléctrica máxima de 300 megavatios (MWe), frente a los cerca de 1.000 MWe de una central de gran tamaño. Además, requieren menos agua para refrigeración y ofrecen una mayor flexibilidad en cuanto a la selección del emplazamiento que sus hermanas mayores…</w:t>
      </w:r>
    </w:p>
    <w:p w:rsidR="006100FD" w:rsidRPr="009B6E23" w:rsidRDefault="006100FD" w:rsidP="006100FD">
      <w:pPr>
        <w:pStyle w:val="NormalWeb"/>
        <w:spacing w:after="0"/>
        <w:jc w:val="both"/>
      </w:pPr>
      <w:r w:rsidRPr="009B6E23">
        <w:t xml:space="preserve">- </w:t>
      </w:r>
      <w:r w:rsidRPr="009B6E23">
        <w:rPr>
          <w:u w:val="single"/>
        </w:rPr>
        <w:t xml:space="preserve">El teletrabajo está llegando a su fin </w:t>
      </w:r>
      <w:r w:rsidRPr="009B6E23">
        <w:t xml:space="preserve">(The Wall Street Journal - </w:t>
      </w:r>
      <w:r w:rsidRPr="009B6E23">
        <w:rPr>
          <w:b/>
        </w:rPr>
        <w:t>20/9/24</w:t>
      </w:r>
      <w:r w:rsidRPr="009B6E23">
        <w:t>)</w:t>
      </w:r>
    </w:p>
    <w:p w:rsidR="006100FD" w:rsidRPr="009B6E23" w:rsidRDefault="006100FD" w:rsidP="006100FD">
      <w:pPr>
        <w:pStyle w:val="NormalWeb"/>
        <w:spacing w:after="0"/>
        <w:jc w:val="both"/>
        <w:rPr>
          <w:color w:val="FF0000"/>
        </w:rPr>
      </w:pPr>
      <w:r w:rsidRPr="009B6E23">
        <w:rPr>
          <w:color w:val="FF0000"/>
        </w:rPr>
        <w:t>El director ejecutivo de Amazon acaba de pedir a todo el mundo que vuelva a la oficina a tiempo completo. Si pensaba que pasar dos días a la semana en casa</w:t>
      </w:r>
      <w:r w:rsidR="009B6E23" w:rsidRPr="009B6E23">
        <w:rPr>
          <w:color w:val="FF0000"/>
        </w:rPr>
        <w:t xml:space="preserve"> era seguro, piénselo de nuevo. </w:t>
      </w:r>
      <w:r w:rsidRPr="009B6E23">
        <w:rPr>
          <w:color w:val="FF0000"/>
        </w:rPr>
        <w:t>El presidente ejecutivo Andy Jassy provocó envidia entre los directores ejecutivos y miedo entre los trabajadores de oficina esta semana con un memorando sorpresa que llamaba a los empleados corporativos a volver a</w:t>
      </w:r>
      <w:r w:rsidR="009B6E23" w:rsidRPr="009B6E23">
        <w:rPr>
          <w:color w:val="FF0000"/>
        </w:rPr>
        <w:t xml:space="preserve"> la oficina a tiempo completo. </w:t>
      </w:r>
      <w:r w:rsidRPr="009B6E23">
        <w:rPr>
          <w:color w:val="FF0000"/>
        </w:rPr>
        <w:t>Ahora, mucho después de que el trabajo híbrido pareciera una cuestión resuelta en muchas empresas, de repente ambas partes se preguntan: ¿quién será el próximo?...</w:t>
      </w:r>
    </w:p>
    <w:p w:rsidR="006100FD" w:rsidRPr="009B6E23" w:rsidRDefault="006100FD" w:rsidP="006100FD">
      <w:pPr>
        <w:pStyle w:val="NormalWeb"/>
        <w:spacing w:after="0"/>
        <w:jc w:val="both"/>
      </w:pPr>
      <w:r w:rsidRPr="009B6E23">
        <w:t xml:space="preserve">- </w:t>
      </w:r>
      <w:r w:rsidRPr="009B6E23">
        <w:rPr>
          <w:u w:val="single"/>
        </w:rPr>
        <w:t>De Google a Microsoft, las tecnológicas mantienen el teletrabajo tras el paso atrás de Amazon</w:t>
      </w:r>
      <w:r w:rsidRPr="009B6E23">
        <w:t xml:space="preserve"> (Cinco Días - </w:t>
      </w:r>
      <w:r w:rsidRPr="009B6E23">
        <w:rPr>
          <w:b/>
        </w:rPr>
        <w:t>21/9/24</w:t>
      </w:r>
      <w:r w:rsidRPr="009B6E23">
        <w:t>)</w:t>
      </w:r>
    </w:p>
    <w:p w:rsidR="009B6E23" w:rsidRDefault="006100FD" w:rsidP="006100FD">
      <w:pPr>
        <w:pStyle w:val="NormalWeb"/>
        <w:spacing w:after="0"/>
        <w:jc w:val="both"/>
        <w:rPr>
          <w:color w:val="FF0000"/>
        </w:rPr>
      </w:pPr>
      <w:r w:rsidRPr="009B6E23">
        <w:rPr>
          <w:color w:val="FF0000"/>
        </w:rPr>
        <w:t>La decisión de Amazon de poner fin al teletrabajo es una excepción en el mundo de las grandes tecnologías, ya sea en España o en todo el mundo, dado que se aplica la misma política de personal en cualquier territorio. De Google a Microsoft, pasando por Apple y Meta, ninguna otra compañía ha pedido que su personal de oficina vuelva a las oficinas cinco días a la semana, como lo hizo este lunes el consejero delegado de Amazon, Andy Jassy, a través de una carta a sus empleados en la que también aprovechó para anunciar medidas que reduzcan el número de directivos para rebajar la burocracia. Sin embargo, la mayoría de las multinacionales tecnológicas mantienen un sistema híbrido con dos o tres días de empleo en remoto</w:t>
      </w:r>
      <w:r w:rsidR="009B6E23">
        <w:rPr>
          <w:color w:val="FF0000"/>
        </w:rPr>
        <w:t>…</w:t>
      </w:r>
    </w:p>
    <w:p w:rsidR="006100FD" w:rsidRPr="009B6E23" w:rsidRDefault="006100FD" w:rsidP="006100FD">
      <w:pPr>
        <w:pStyle w:val="NormalWeb"/>
        <w:spacing w:after="0"/>
        <w:jc w:val="both"/>
        <w:textAlignment w:val="baseline"/>
      </w:pPr>
      <w:r w:rsidRPr="009B6E23">
        <w:t xml:space="preserve">- </w:t>
      </w:r>
      <w:r w:rsidR="00FE7EFD">
        <w:rPr>
          <w:u w:val="single"/>
        </w:rPr>
        <w:t>La consultora McK</w:t>
      </w:r>
      <w:r w:rsidRPr="009B6E23">
        <w:rPr>
          <w:u w:val="single"/>
        </w:rPr>
        <w:t>insey defiende la nuclear y rebaja las expectativas sobre el hidrógeno</w:t>
      </w:r>
      <w:r w:rsidRPr="009B6E23">
        <w:t xml:space="preserve"> (The Objective - </w:t>
      </w:r>
      <w:r w:rsidRPr="009B6E23">
        <w:rPr>
          <w:b/>
        </w:rPr>
        <w:t>22/9/24</w:t>
      </w:r>
      <w:r w:rsidRPr="009B6E23">
        <w:t>)</w:t>
      </w:r>
    </w:p>
    <w:p w:rsidR="006100FD" w:rsidRPr="009B6E23" w:rsidRDefault="00FE7EFD" w:rsidP="006100FD">
      <w:pPr>
        <w:pStyle w:val="NormalWeb"/>
        <w:spacing w:after="0"/>
        <w:jc w:val="both"/>
        <w:textAlignment w:val="baseline"/>
        <w:rPr>
          <w:color w:val="FF0000"/>
        </w:rPr>
      </w:pPr>
      <w:r>
        <w:rPr>
          <w:color w:val="FF0000"/>
        </w:rPr>
        <w:t>La consultora norteamericana McK</w:t>
      </w:r>
      <w:r w:rsidR="006100FD" w:rsidRPr="009B6E23">
        <w:rPr>
          <w:color w:val="FF0000"/>
        </w:rPr>
        <w:t>insey defiende la energía nuclear para la transición energética y rebaja las expectativas sobre el hidrógeno verde en su último informe. El documento, que recoge las perspectivas globales de 2024, llama la atención sobre el aumento de la demand</w:t>
      </w:r>
      <w:r w:rsidR="009B6E23">
        <w:rPr>
          <w:color w:val="FF0000"/>
        </w:rPr>
        <w:t>a energética los</w:t>
      </w:r>
      <w:r>
        <w:rPr>
          <w:color w:val="FF0000"/>
        </w:rPr>
        <w:t xml:space="preserve"> próximos años. McK</w:t>
      </w:r>
      <w:r w:rsidR="009B6E23">
        <w:rPr>
          <w:color w:val="FF0000"/>
        </w:rPr>
        <w:t>insey asegura que “</w:t>
      </w:r>
      <w:r w:rsidR="006100FD" w:rsidRPr="009B6E23">
        <w:rPr>
          <w:color w:val="FF0000"/>
        </w:rPr>
        <w:t xml:space="preserve">la energía nuclear podría ser un motor clave de la descarbonización: prácticamente no emite carbono y, con el mismo nivel de inversión, genera más energía que la mayoría de las demás fuentes bajas en </w:t>
      </w:r>
      <w:r w:rsidR="006100FD" w:rsidRPr="009B6E23">
        <w:rPr>
          <w:color w:val="FF0000"/>
        </w:rPr>
        <w:lastRenderedPageBreak/>
        <w:t>carbono. Además, la energía nuclear es firme, y los proyectos de energía nuclear de próxima generación, como los pequeños reactores modulares y los reactores de sales fundidas, demuestran que la nuclear es un mot</w:t>
      </w:r>
      <w:r w:rsidR="009B6E23">
        <w:rPr>
          <w:color w:val="FF0000"/>
        </w:rPr>
        <w:t xml:space="preserve">or clave de la descarbonización”… </w:t>
      </w:r>
      <w:r w:rsidR="009B6E23" w:rsidRPr="005D28C2">
        <w:rPr>
          <w:color w:val="FF0000"/>
        </w:rPr>
        <w:t xml:space="preserve">La consultora advierte de que, si no se superan los obstáculos que sufre, la construcción </w:t>
      </w:r>
      <w:r w:rsidR="009B6E23">
        <w:rPr>
          <w:color w:val="FF0000"/>
        </w:rPr>
        <w:t>nuclear llegará demasiado tarde…</w:t>
      </w:r>
    </w:p>
    <w:p w:rsidR="006368E2" w:rsidRPr="00390496" w:rsidRDefault="006368E2" w:rsidP="006368E2">
      <w:pPr>
        <w:pStyle w:val="NormalWeb"/>
        <w:spacing w:after="0"/>
        <w:jc w:val="both"/>
        <w:textAlignment w:val="baseline"/>
      </w:pPr>
      <w:r w:rsidRPr="00390496">
        <w:t xml:space="preserve">- </w:t>
      </w:r>
      <w:r w:rsidRPr="00390496">
        <w:rPr>
          <w:u w:val="single"/>
        </w:rPr>
        <w:t>La UE afronta dividida la votación de sus aranceles sobre los coches chinos</w:t>
      </w:r>
      <w:r w:rsidRPr="00390496">
        <w:t xml:space="preserve"> (El Economista - </w:t>
      </w:r>
      <w:r w:rsidRPr="00390496">
        <w:rPr>
          <w:b/>
        </w:rPr>
        <w:t>23/9/24</w:t>
      </w:r>
      <w:r w:rsidRPr="00390496">
        <w:t>)</w:t>
      </w:r>
    </w:p>
    <w:p w:rsidR="00390496" w:rsidRPr="00390496" w:rsidRDefault="006368E2" w:rsidP="00390496">
      <w:pPr>
        <w:pStyle w:val="NormalWeb"/>
        <w:spacing w:after="0"/>
        <w:jc w:val="both"/>
        <w:textAlignment w:val="baseline"/>
        <w:rPr>
          <w:color w:val="FF0000"/>
        </w:rPr>
      </w:pPr>
      <w:r w:rsidRPr="00390496">
        <w:rPr>
          <w:color w:val="FF0000"/>
        </w:rPr>
        <w:t xml:space="preserve">La relación comercial entre China y la UE afronta una semana clave para dilucidar si, finalmente, el bloque comunitario mantendrá los aranceles a las importaciones de baterías de vehículos eléctricos de Pekín. Está previsto que, el próximo miércoles, los Estados miembro voten si mantener estas tarifas a las importaciones del gigante asiático o si, por el contrario, se </w:t>
      </w:r>
      <w:r w:rsidR="00390496" w:rsidRPr="00390496">
        <w:rPr>
          <w:color w:val="FF0000"/>
        </w:rPr>
        <w:t xml:space="preserve">levantan… </w:t>
      </w:r>
      <w:r w:rsidRPr="00390496">
        <w:rPr>
          <w:color w:val="FF0000"/>
        </w:rPr>
        <w:t>Los Gobiernos de la UE están llamados a una votación para decidir si la propuesta de Bruselas de aplicar tarifas de hasta el 36% a las importaciones de vehículos eléctricos de Pekín entra en vigor a partir de noviembre. En esta votación se requiere de una mayoría de bloqueo de 15 Estados miembro y el 65% de la población de la UE para tumbar la medida. El procedimiento se llevará a cabo mediante voto secreto y el resultado no es vinculante</w:t>
      </w:r>
      <w:r w:rsidR="00390496" w:rsidRPr="00390496">
        <w:rPr>
          <w:color w:val="FF0000"/>
        </w:rPr>
        <w:t>… España y Alemania piden reconsiderar la medida por el impacto en el sector. Francia e Italia son favorables a mantener esta tasa adicional…</w:t>
      </w:r>
    </w:p>
    <w:p w:rsidR="006368E2" w:rsidRPr="006368E2" w:rsidRDefault="006368E2" w:rsidP="006368E2">
      <w:pPr>
        <w:pStyle w:val="NormalWeb"/>
        <w:spacing w:after="0"/>
        <w:jc w:val="both"/>
        <w:textAlignment w:val="baseline"/>
      </w:pPr>
      <w:r w:rsidRPr="006368E2">
        <w:t>(Nota: el artículo que sigue está fuera del cronograma p</w:t>
      </w:r>
      <w:r w:rsidR="00390496">
        <w:t>revisto, pero el tema lo amerita</w:t>
      </w:r>
      <w:r w:rsidRPr="006368E2">
        <w:t>)</w:t>
      </w:r>
    </w:p>
    <w:p w:rsidR="006368E2" w:rsidRPr="00390496" w:rsidRDefault="006368E2" w:rsidP="006368E2">
      <w:pPr>
        <w:pStyle w:val="NormalWeb"/>
        <w:spacing w:after="0"/>
        <w:jc w:val="both"/>
        <w:textAlignment w:val="baseline"/>
      </w:pPr>
      <w:r w:rsidRPr="00390496">
        <w:t xml:space="preserve">- </w:t>
      </w:r>
      <w:r w:rsidRPr="00390496">
        <w:rPr>
          <w:u w:val="single"/>
        </w:rPr>
        <w:t>El Gobierno rechaza la OPA hostil de BBVA sobre Sabadell</w:t>
      </w:r>
      <w:r w:rsidR="00390496">
        <w:rPr>
          <w:u w:val="single"/>
        </w:rPr>
        <w:t xml:space="preserve"> por posibles “efectos lesivos”</w:t>
      </w:r>
      <w:r w:rsidRPr="00390496">
        <w:rPr>
          <w:u w:val="single"/>
        </w:rPr>
        <w:t xml:space="preserve"> en el sector</w:t>
      </w:r>
      <w:r w:rsidRPr="00390496">
        <w:t xml:space="preserve"> (El Economista - </w:t>
      </w:r>
      <w:r w:rsidRPr="00390496">
        <w:rPr>
          <w:b/>
        </w:rPr>
        <w:t>9/5/24</w:t>
      </w:r>
      <w:r w:rsidRPr="00390496">
        <w:t>)</w:t>
      </w:r>
    </w:p>
    <w:p w:rsidR="00390496" w:rsidRPr="00390496" w:rsidRDefault="006368E2" w:rsidP="00390496">
      <w:pPr>
        <w:pStyle w:val="NormalWeb"/>
        <w:spacing w:after="0"/>
        <w:jc w:val="both"/>
        <w:textAlignment w:val="baseline"/>
        <w:rPr>
          <w:color w:val="FF0000"/>
        </w:rPr>
      </w:pPr>
      <w:r w:rsidRPr="00390496">
        <w:rPr>
          <w:color w:val="FF0000"/>
        </w:rPr>
        <w:t>El Gobierno ha manifestado su rechazo a la oferta pública de adquisición (OPA) hostil lanzada por BBVA sob</w:t>
      </w:r>
      <w:r w:rsidR="0029474B">
        <w:rPr>
          <w:color w:val="FF0000"/>
        </w:rPr>
        <w:t>re el 100% del Banco Sabadell “t</w:t>
      </w:r>
      <w:r w:rsidRPr="00390496">
        <w:rPr>
          <w:color w:val="FF0000"/>
        </w:rPr>
        <w:t>anto en la forma como en el fondo". Así lo han trasladado este jueves desde el Ministerio de Economía, Comercio y Empresa al considerar que la fusión podría ten</w:t>
      </w:r>
      <w:r w:rsidR="0029474B">
        <w:rPr>
          <w:color w:val="FF0000"/>
        </w:rPr>
        <w:t>er “</w:t>
      </w:r>
      <w:r w:rsidR="00390496" w:rsidRPr="00390496">
        <w:rPr>
          <w:color w:val="FF0000"/>
        </w:rPr>
        <w:t>efectos lesivos potenciales”</w:t>
      </w:r>
      <w:r w:rsidRPr="00390496">
        <w:rPr>
          <w:color w:val="FF0000"/>
        </w:rPr>
        <w:t xml:space="preserve"> en el sistema financiero español</w:t>
      </w:r>
      <w:r w:rsidR="00390496" w:rsidRPr="00390496">
        <w:rPr>
          <w:color w:val="FF0000"/>
        </w:rPr>
        <w:t>… El Gobierno cree que la operación afectaría también a la cohesión territorial</w:t>
      </w:r>
    </w:p>
    <w:p w:rsidR="006368E2" w:rsidRPr="00390496" w:rsidRDefault="006368E2" w:rsidP="006368E2">
      <w:pPr>
        <w:pStyle w:val="NormalWeb"/>
        <w:spacing w:after="0"/>
        <w:jc w:val="both"/>
        <w:textAlignment w:val="baseline"/>
      </w:pPr>
      <w:r w:rsidRPr="00390496">
        <w:t xml:space="preserve">- </w:t>
      </w:r>
      <w:r w:rsidRPr="00390496">
        <w:rPr>
          <w:u w:val="single"/>
        </w:rPr>
        <w:t>El Gobierno alemán se opone a la compra de Commerzbank por parte de UniCredit: “Las adquisiciones hostiles no son algo bueno</w:t>
      </w:r>
      <w:r w:rsidRPr="00390496">
        <w:t xml:space="preserve">” (Cinco Días - </w:t>
      </w:r>
      <w:r w:rsidRPr="00390496">
        <w:rPr>
          <w:b/>
        </w:rPr>
        <w:t>23/9/24</w:t>
      </w:r>
      <w:r w:rsidRPr="00390496">
        <w:t>)</w:t>
      </w:r>
    </w:p>
    <w:p w:rsidR="006368E2" w:rsidRPr="00390496" w:rsidRDefault="006368E2" w:rsidP="006368E2">
      <w:pPr>
        <w:pStyle w:val="NormalWeb"/>
        <w:spacing w:after="0"/>
        <w:jc w:val="both"/>
        <w:textAlignment w:val="baseline"/>
        <w:rPr>
          <w:color w:val="FF0000"/>
        </w:rPr>
      </w:pPr>
      <w:r w:rsidRPr="00390496">
        <w:rPr>
          <w:color w:val="FF0000"/>
        </w:rPr>
        <w:t>La acometida del banco italiano UniCredit sobre el alemán Commerzbank, del que se acaba de convertir en principal accionista, ha hecho saltar las chispas entre Berlín y Roma. El canciller Olaf Scholz ha rechazado de forma contundente el refuerzo de UniCredit en el capital de la entidad germana, movimiento que ha alentado las expectativas de fusión, aunque no se ha comunicado formalmente ningún plan. La entidad que dirige Andrea Orcel ha comunicado este lunes que ha alcanzado el 21% del capital de Commerzbank, lo que le convierte en su primer inversor y desplaza al Estado germano, que mantiene su participación del 12%. El banco con sede en Milán ha logrado escalar en el accionariado mediante compras en el mercado de instrumentos financieros, lo que recibió la crítica de Scholz. “Los ataques no amistosos y las adquisiciones hostiles no son algo bueno para los bancos”, ha resaltado el líder alemán desde Nueva York, después de que se diera a conocer la noticia. “El Gobierno ha tomado una posición y ha dejado claro que no consideramos esta una actuación adecuada”, ha comentado a la prensa.</w:t>
      </w:r>
    </w:p>
    <w:p w:rsidR="006368E2" w:rsidRPr="00390496" w:rsidRDefault="006368E2" w:rsidP="006368E2">
      <w:pPr>
        <w:pStyle w:val="NormalWeb"/>
        <w:spacing w:after="0"/>
        <w:jc w:val="both"/>
        <w:textAlignment w:val="baseline"/>
      </w:pPr>
      <w:r w:rsidRPr="00390496">
        <w:lastRenderedPageBreak/>
        <w:t xml:space="preserve">- </w:t>
      </w:r>
      <w:r w:rsidRPr="00390496">
        <w:rPr>
          <w:u w:val="single"/>
        </w:rPr>
        <w:t>Alemania se opone a una fusión de Commerzbank mientras UniCredit se prepara para llegar al 21%</w:t>
      </w:r>
      <w:r w:rsidRPr="00390496">
        <w:t xml:space="preserve"> (El Economista - </w:t>
      </w:r>
      <w:r w:rsidRPr="00390496">
        <w:rPr>
          <w:b/>
        </w:rPr>
        <w:t>23/9/24</w:t>
      </w:r>
      <w:r w:rsidRPr="00390496">
        <w:t>)</w:t>
      </w:r>
    </w:p>
    <w:p w:rsidR="006368E2" w:rsidRPr="00390496" w:rsidRDefault="006368E2" w:rsidP="006368E2">
      <w:pPr>
        <w:pStyle w:val="NormalWeb"/>
        <w:spacing w:after="0"/>
        <w:jc w:val="both"/>
        <w:textAlignment w:val="baseline"/>
        <w:rPr>
          <w:color w:val="FF0000"/>
        </w:rPr>
      </w:pPr>
      <w:r w:rsidRPr="00390496">
        <w:rPr>
          <w:color w:val="FF0000"/>
        </w:rPr>
        <w:t>Tras un periodo de incertidumbre en la posible batalla por el control de Commerzbank, las posiciones de cada uno de los actores comienzan a esclarecerse. Son planteamientos opuestos, ya que UniCredit ha atacado de nuevo para hacerse con el 21% de su rival alemana y el gobierno alemán -principal accionista del banco- ha reiterado que se opone a esta operación</w:t>
      </w:r>
      <w:r w:rsidR="00390496">
        <w:rPr>
          <w:color w:val="FF0000"/>
        </w:rPr>
        <w:t>…</w:t>
      </w:r>
    </w:p>
    <w:p w:rsidR="006368E2" w:rsidRPr="007E7D36" w:rsidRDefault="006368E2" w:rsidP="006368E2">
      <w:pPr>
        <w:pStyle w:val="NormalWeb"/>
        <w:spacing w:after="0"/>
        <w:jc w:val="both"/>
        <w:textAlignment w:val="baseline"/>
      </w:pPr>
      <w:r w:rsidRPr="007E7D36">
        <w:t xml:space="preserve">- </w:t>
      </w:r>
      <w:r w:rsidRPr="007E7D36">
        <w:rPr>
          <w:u w:val="single"/>
        </w:rPr>
        <w:t>Más curvas en Alemania: división en el gobierno de Scholz por las ayudas para el sector automovilístico</w:t>
      </w:r>
      <w:r w:rsidRPr="007E7D36">
        <w:t xml:space="preserve"> (El Economista - </w:t>
      </w:r>
      <w:r w:rsidRPr="007E7D36">
        <w:rPr>
          <w:b/>
        </w:rPr>
        <w:t>24/9/24</w:t>
      </w:r>
      <w:r w:rsidRPr="007E7D36">
        <w:t>)</w:t>
      </w:r>
    </w:p>
    <w:p w:rsidR="006368E2" w:rsidRPr="007E7D36" w:rsidRDefault="006368E2" w:rsidP="006368E2">
      <w:pPr>
        <w:pStyle w:val="NormalWeb"/>
        <w:spacing w:after="0"/>
        <w:jc w:val="both"/>
        <w:textAlignment w:val="baseline"/>
        <w:rPr>
          <w:color w:val="FF0000"/>
        </w:rPr>
      </w:pPr>
      <w:r w:rsidRPr="007E7D36">
        <w:rPr>
          <w:color w:val="FF0000"/>
        </w:rPr>
        <w:t>Discordia en el Ejecutivo formado por verdes, socialdemócratas y liberales</w:t>
      </w:r>
      <w:r w:rsidR="007E7D36" w:rsidRPr="007E7D36">
        <w:rPr>
          <w:color w:val="FF0000"/>
        </w:rPr>
        <w:t xml:space="preserve">… </w:t>
      </w:r>
      <w:r w:rsidRPr="007E7D36">
        <w:rPr>
          <w:color w:val="FF0000"/>
        </w:rPr>
        <w:t>El sector del automóvil alemán no está pasando por su mejor momento. Los planes de Volkswagen para cerrar factorías en suelo germano por primera vez en 87 años han evidenciado la debilidad de un sector fundamental en el motor económico de Europa. El gigante automotriz, que ha comenzado a desmantelar el blindaje sobre los puestos de trabajo para ejecutar despidos, recortó sus previsiones en julio, movimiento replicado posteriormente por Mercedes y BMW recientemente. De hecho, esta última compañía tuvo que rebajar sus estimaciones después de haberse visto obligada a retirar 1,5 millones de coches por un fallo en los frenos suministrados por Continental, firma germana. En este contexto, el gobierno de coalición encabezado por Scholz mostró la semana pasada su voluntad para ayudar a la industria del automóvil. Sin embargo, los partidos integrantes no coinciden en la fórmula para impulsar a la industria, en un momento en el que Volkswagen ya ha comenzado a reducir su plantilla en China</w:t>
      </w:r>
      <w:r w:rsidR="007E7D36">
        <w:rPr>
          <w:color w:val="FF0000"/>
        </w:rPr>
        <w:t>…</w:t>
      </w:r>
    </w:p>
    <w:p w:rsidR="006368E2" w:rsidRPr="007E7D36" w:rsidRDefault="006368E2" w:rsidP="006368E2">
      <w:pPr>
        <w:pStyle w:val="NormalWeb"/>
        <w:spacing w:after="0"/>
        <w:jc w:val="both"/>
        <w:textAlignment w:val="baseline"/>
      </w:pPr>
      <w:r w:rsidRPr="007E7D36">
        <w:t xml:space="preserve">- </w:t>
      </w:r>
      <w:r w:rsidRPr="007E7D36">
        <w:rPr>
          <w:u w:val="single"/>
        </w:rPr>
        <w:t>SOS de la industria automovilística europea ante el hundimiento de la venta de coches eléctricos</w:t>
      </w:r>
      <w:r w:rsidRPr="007E7D36">
        <w:t xml:space="preserve"> (Libertad Digital - </w:t>
      </w:r>
      <w:r w:rsidRPr="007E7D36">
        <w:rPr>
          <w:b/>
        </w:rPr>
        <w:t>24/9/24</w:t>
      </w:r>
      <w:r w:rsidRPr="007E7D36">
        <w:t>)</w:t>
      </w:r>
    </w:p>
    <w:p w:rsidR="006368E2" w:rsidRDefault="006368E2" w:rsidP="006368E2">
      <w:pPr>
        <w:pStyle w:val="NormalWeb"/>
        <w:spacing w:after="0"/>
        <w:jc w:val="both"/>
        <w:textAlignment w:val="baseline"/>
        <w:rPr>
          <w:color w:val="FF0000"/>
        </w:rPr>
      </w:pPr>
      <w:r w:rsidRPr="007E7D36">
        <w:rPr>
          <w:color w:val="FF0000"/>
        </w:rPr>
        <w:t>Los fabricantes de automóviles piden revisar el calendario impuesto por la UE: las ventas de eléctricos llevan meses cayendo</w:t>
      </w:r>
      <w:r w:rsidR="007E7D36" w:rsidRPr="007E7D36">
        <w:rPr>
          <w:color w:val="FF0000"/>
        </w:rPr>
        <w:t xml:space="preserve">… </w:t>
      </w:r>
      <w:r w:rsidRPr="007E7D36">
        <w:rPr>
          <w:color w:val="FF0000"/>
        </w:rPr>
        <w:t>En el camino rumbo a la prohibición de vender coches que generen CO2 en 2035 la industria automovilística tiene que cruzar antes algunas metas de reducción de emisiones impuestas por la UE. Los objetivos de 2025 ya están haciendo temblar a los grandes fabricantes europeos porque las cifras de venta de eléctricos no acompañan: según datos de la patronal europea, ACEA, el pasado mes de agosto los vehículos eléctricos puros supusieron un 14,4 por ciento del mercado, un 21% menos que en agosto del año pasado, lo que supone la cua</w:t>
      </w:r>
      <w:r w:rsidR="007E7D36">
        <w:rPr>
          <w:color w:val="FF0000"/>
        </w:rPr>
        <w:t xml:space="preserve">rta caída consecutiva este año. </w:t>
      </w:r>
      <w:r w:rsidRPr="007E7D36">
        <w:rPr>
          <w:color w:val="FF0000"/>
        </w:rPr>
        <w:t>Las cifras de algunos países son especialmente elocuentes: en Francia la caída fue del 33,1 por ciento y en Alemania, de un espectacular 68,8 por ciento justo en el año en que el país se puso fin a las ayudas a la compra. En total, en los ocho primeros meses de 2024, se vendieron 902.000 vehículos eléctricos, un 12,6 por ciento del total del mercado, lo que supone un punto menos que el año pasado cuando alcanzaron un 13,9 por ciento</w:t>
      </w:r>
      <w:r w:rsidR="007E7D36">
        <w:rPr>
          <w:color w:val="FF0000"/>
        </w:rPr>
        <w:t>…</w:t>
      </w:r>
    </w:p>
    <w:p w:rsidR="006368E2" w:rsidRPr="00004D12" w:rsidRDefault="006368E2" w:rsidP="006368E2">
      <w:pPr>
        <w:pStyle w:val="NormalWeb"/>
        <w:spacing w:after="0"/>
        <w:jc w:val="both"/>
        <w:textAlignment w:val="baseline"/>
      </w:pPr>
      <w:r w:rsidRPr="00004D12">
        <w:t xml:space="preserve">- </w:t>
      </w:r>
      <w:r w:rsidRPr="00004D12">
        <w:rPr>
          <w:u w:val="single"/>
        </w:rPr>
        <w:t>Por qué la postura de España sobre los coches eléctricos chinos es una mala idea para Europa</w:t>
      </w:r>
      <w:r w:rsidRPr="00004D12">
        <w:t xml:space="preserve"> (El Confidencial - </w:t>
      </w:r>
      <w:r w:rsidRPr="00004D12">
        <w:rPr>
          <w:b/>
        </w:rPr>
        <w:t>24/9/24</w:t>
      </w:r>
      <w:r w:rsidRPr="00004D12">
        <w:t>)</w:t>
      </w:r>
    </w:p>
    <w:p w:rsidR="006368E2" w:rsidRPr="007E7D36" w:rsidRDefault="006368E2" w:rsidP="006368E2">
      <w:pPr>
        <w:pStyle w:val="NormalWeb"/>
        <w:spacing w:after="0"/>
        <w:jc w:val="both"/>
        <w:textAlignment w:val="baseline"/>
        <w:rPr>
          <w:color w:val="FF0000"/>
        </w:rPr>
      </w:pPr>
      <w:r w:rsidRPr="007E7D36">
        <w:rPr>
          <w:color w:val="FF0000"/>
        </w:rPr>
        <w:t>Si basta con un cocktail de incentivos y amenazas para que el enfoque colectivo de la UE frente a China se desmorone, Europa no será un socio atractivo, sino el eslabón más débil en el nuevo orden económico global emergente</w:t>
      </w:r>
      <w:r w:rsidR="007E7D36" w:rsidRPr="007E7D36">
        <w:rPr>
          <w:color w:val="FF0000"/>
        </w:rPr>
        <w:t xml:space="preserve">. </w:t>
      </w:r>
      <w:r w:rsidRPr="007E7D36">
        <w:rPr>
          <w:color w:val="FF0000"/>
        </w:rPr>
        <w:t>El presidente del Gobierno español, Pedro Sánchez, ha solicitado a la Comisión que</w:t>
      </w:r>
      <w:r w:rsidR="007E7D36" w:rsidRPr="007E7D36">
        <w:rPr>
          <w:color w:val="FF0000"/>
        </w:rPr>
        <w:t xml:space="preserve"> “reconsidere”</w:t>
      </w:r>
      <w:r w:rsidRPr="007E7D36">
        <w:rPr>
          <w:color w:val="FF0000"/>
        </w:rPr>
        <w:t xml:space="preserve"> los planes para imponer aranceles a </w:t>
      </w:r>
      <w:r w:rsidRPr="007E7D36">
        <w:rPr>
          <w:color w:val="FF0000"/>
        </w:rPr>
        <w:lastRenderedPageBreak/>
        <w:t xml:space="preserve">las importaciones de vehículos eléctricos chinos después de su visita de tres días a China y una reunión con el presidente Xi, argumentando que estas </w:t>
      </w:r>
      <w:r w:rsidR="007E7D36" w:rsidRPr="007E7D36">
        <w:rPr>
          <w:color w:val="FF0000"/>
        </w:rPr>
        <w:t>tasas podrían desencadenar una “guerra comercial”</w:t>
      </w:r>
      <w:r w:rsidRPr="007E7D36">
        <w:rPr>
          <w:color w:val="FF0000"/>
        </w:rPr>
        <w:t>. Poco después, el canciller alemán apoyó la posición de España, y el ministro de Economía alemán in</w:t>
      </w:r>
      <w:r w:rsidR="007E7D36">
        <w:rPr>
          <w:color w:val="FF0000"/>
        </w:rPr>
        <w:t>stó a Bruselas a encontrar una “solución política”</w:t>
      </w:r>
      <w:r w:rsidRPr="007E7D36">
        <w:rPr>
          <w:color w:val="FF0000"/>
        </w:rPr>
        <w:t>. Dada la posible repercusión en todo el bloque, la postura de España en este tema es crucial. Y si bien las razones de Sánchez para pedir a la UE que cam</w:t>
      </w:r>
      <w:r w:rsidR="007E7D36" w:rsidRPr="007E7D36">
        <w:rPr>
          <w:color w:val="FF0000"/>
        </w:rPr>
        <w:t>bie de rumbo son comprensibles -</w:t>
      </w:r>
      <w:r w:rsidRPr="007E7D36">
        <w:rPr>
          <w:color w:val="FF0000"/>
        </w:rPr>
        <w:t>el temor a represalias contra las exportaciones anuales de cerdo español, valoradas en 1.200 millones de euros, las preocupaciones por el fabricante de vehículos eléctricos Cupra o la perspectiva de una inversión china de 1.000 millones de dólares en una planta de electrol</w:t>
      </w:r>
      <w:r w:rsidR="007E7D36" w:rsidRPr="007E7D36">
        <w:rPr>
          <w:color w:val="FF0000"/>
        </w:rPr>
        <w:t>izadores de hidrógeno en España-</w:t>
      </w:r>
      <w:r w:rsidRPr="007E7D36">
        <w:rPr>
          <w:color w:val="FF0000"/>
        </w:rPr>
        <w:t>, hay otros aspectos importantes a considerar antes de tomar decisiones definitivas</w:t>
      </w:r>
      <w:r w:rsidR="007E7D36">
        <w:rPr>
          <w:color w:val="FF0000"/>
        </w:rPr>
        <w:t>...</w:t>
      </w:r>
      <w:r w:rsidRPr="007E7D36">
        <w:rPr>
          <w:color w:val="FF0000"/>
        </w:rPr>
        <w:t>.</w:t>
      </w:r>
    </w:p>
    <w:p w:rsidR="006368E2" w:rsidRPr="00004D12" w:rsidRDefault="007E7D36" w:rsidP="006368E2">
      <w:pPr>
        <w:pStyle w:val="NormalWeb"/>
        <w:spacing w:after="0" w:afterAutospacing="0"/>
        <w:jc w:val="both"/>
        <w:textAlignment w:val="baseline"/>
      </w:pPr>
      <w:r w:rsidRPr="00004D12">
        <w:t>(</w:t>
      </w:r>
      <w:r w:rsidR="006368E2" w:rsidRPr="00004D12">
        <w:t>Y para más inri… los coches eléctricos “espían” para China</w:t>
      </w:r>
      <w:r w:rsidRPr="00004D12">
        <w:t>)</w:t>
      </w:r>
    </w:p>
    <w:p w:rsidR="006368E2" w:rsidRPr="007E7D36" w:rsidRDefault="006368E2" w:rsidP="006368E2">
      <w:pPr>
        <w:pStyle w:val="NormalWeb"/>
        <w:spacing w:after="0"/>
        <w:jc w:val="both"/>
        <w:textAlignment w:val="baseline"/>
      </w:pPr>
      <w:r w:rsidRPr="007E7D36">
        <w:t xml:space="preserve">- </w:t>
      </w:r>
      <w:r w:rsidRPr="007E7D36">
        <w:rPr>
          <w:u w:val="single"/>
        </w:rPr>
        <w:t>El temor al espionaje de los coches chinos abre una nueva guerra entre Washington y Pekín</w:t>
      </w:r>
      <w:r w:rsidRPr="007E7D36">
        <w:t xml:space="preserve"> (The Objective - </w:t>
      </w:r>
      <w:r w:rsidRPr="007E7D36">
        <w:rPr>
          <w:b/>
        </w:rPr>
        <w:t>23/9/24</w:t>
      </w:r>
      <w:r w:rsidRPr="007E7D36">
        <w:t>)</w:t>
      </w:r>
    </w:p>
    <w:p w:rsidR="006368E2" w:rsidRPr="007E7D36" w:rsidRDefault="006368E2" w:rsidP="006368E2">
      <w:pPr>
        <w:pStyle w:val="NormalWeb"/>
        <w:spacing w:after="0"/>
        <w:jc w:val="both"/>
        <w:textAlignment w:val="baseline"/>
        <w:rPr>
          <w:color w:val="FF0000"/>
        </w:rPr>
      </w:pPr>
      <w:r w:rsidRPr="007E7D36">
        <w:rPr>
          <w:color w:val="FF0000"/>
        </w:rPr>
        <w:t>La espectacular subida de aranceles, que se quiere pase del 25% al 100% a los vehículos chinos, va en línea con la protección del producto nacional. Pero la nueva propuesta afecta a algo mucho más sensible: espionaje a nivel masivo, o incluso la posibilidad de que se pueda manejar, o suspender la actividad de los vehículos a distancia. A ojos del Gobierno de Joe Biden, esto pondría en una situación muy delicada la seguridad nacional</w:t>
      </w:r>
      <w:r w:rsidR="007E7D36" w:rsidRPr="007E7D36">
        <w:rPr>
          <w:color w:val="FF0000"/>
        </w:rPr>
        <w:t xml:space="preserve">. </w:t>
      </w:r>
      <w:r w:rsidRPr="007E7D36">
        <w:rPr>
          <w:color w:val="FF0000"/>
        </w:rPr>
        <w:t>El coche chino no acaba de calar en el mercado estadounidense, pero poco a poco está encontrando su hueco. Sin embargo, no es ya el automóvil al completo, sino sus piezas digitales y con acceso a las redes de información con conexiones a través de Internet, lo que se teme. De ahí una directiva que Washington desea poner en marcha lo antes posible, y de momento está en estudio.</w:t>
      </w:r>
      <w:r w:rsidR="007E7D36" w:rsidRPr="007E7D36">
        <w:rPr>
          <w:color w:val="FF0000"/>
        </w:rPr>
        <w:t xml:space="preserve"> </w:t>
      </w:r>
      <w:r w:rsidRPr="007E7D36">
        <w:rPr>
          <w:color w:val="FF0000"/>
        </w:rPr>
        <w:t>Aunque hay un breve periodo de consultas, la propuesta consiste en prohibir todo accesorio conectado de origen chino, ya sea software o hardware, que vaya instalado en coches que rueden por los Estados Unidos, ya sean de construcción oriental, europea o en suelo patrio. Washington no ve otra medida más que esa para impedir la fuga sistemática de datos, e información crítica que se trasvase directamente desde su patio trasero hacia un poderoso rival comercial, y un futurible enemigo bélico.</w:t>
      </w:r>
    </w:p>
    <w:p w:rsidR="006368E2" w:rsidRPr="007E7D36" w:rsidRDefault="006368E2" w:rsidP="006368E2">
      <w:pPr>
        <w:pStyle w:val="NormalWeb"/>
        <w:spacing w:after="0"/>
        <w:jc w:val="both"/>
        <w:textAlignment w:val="baseline"/>
      </w:pPr>
      <w:r w:rsidRPr="007E7D36">
        <w:t xml:space="preserve">- </w:t>
      </w:r>
      <w:r w:rsidRPr="007E7D36">
        <w:rPr>
          <w:u w:val="single"/>
        </w:rPr>
        <w:t>La nueva alianza para acabar con el control chino de los materiales clave para el futuro</w:t>
      </w:r>
      <w:r w:rsidRPr="007E7D36">
        <w:t xml:space="preserve"> (El Confidencial - </w:t>
      </w:r>
      <w:r w:rsidRPr="007E7D36">
        <w:rPr>
          <w:b/>
        </w:rPr>
        <w:t>24/9/24</w:t>
      </w:r>
      <w:r w:rsidRPr="007E7D36">
        <w:t>)</w:t>
      </w:r>
    </w:p>
    <w:p w:rsidR="006368E2" w:rsidRPr="007E7D36" w:rsidRDefault="006368E2" w:rsidP="006368E2">
      <w:pPr>
        <w:pStyle w:val="NormalWeb"/>
        <w:spacing w:after="0"/>
        <w:jc w:val="both"/>
        <w:textAlignment w:val="baseline"/>
        <w:rPr>
          <w:color w:val="FF0000"/>
        </w:rPr>
      </w:pPr>
      <w:r w:rsidRPr="007E7D36">
        <w:rPr>
          <w:color w:val="FF0000"/>
        </w:rPr>
        <w:t>La Unión Europea y otros 14 países se han unido para crear una coalición llamada Minerals Security Partnership MSP (asociación para la seguridad de los minerales). Una nueva red internacional de financiación para apoyar a empresas privadas que trabajan en la producción de minerales esenciales para la industria tecnológica, un sector dominado casi exclusivamente por China. Pekín controla el 90% de la capacidad mundial de procesamiento de tierras raras y más de la mitad de los minerales de cobalto, níquel y litio que se utilizan para fabricar desde las baterías para vehículos eléctricos a componentes de la industria aeroespacial, la militar, la biomédica. La nueva coalición está compuesta por la Unión Europea, Estados Unidos, Australia, Canadá, Estonia, Finlandia, Francia, Alemania, India, Italia, Japón, la República de Corea, Noruega, Suecia y el Reino Unido. Y su plan para contrarrestar el dominio chino es usar a sus agencias de financiación del desarrollo y de crédito a la exportación para que apoyen a la industria privada especializada en estas preciadas materias primas.</w:t>
      </w:r>
    </w:p>
    <w:p w:rsidR="006368E2" w:rsidRPr="007E7D36" w:rsidRDefault="007E7D36" w:rsidP="006368E2">
      <w:pPr>
        <w:pStyle w:val="NormalWeb"/>
        <w:spacing w:after="0"/>
        <w:jc w:val="both"/>
        <w:textAlignment w:val="baseline"/>
        <w:rPr>
          <w:color w:val="FF0000"/>
        </w:rPr>
      </w:pPr>
      <w:r w:rsidRPr="007E7D36">
        <w:rPr>
          <w:color w:val="FF0000"/>
        </w:rPr>
        <w:lastRenderedPageBreak/>
        <w:t>“</w:t>
      </w:r>
      <w:r w:rsidR="006368E2" w:rsidRPr="007E7D36">
        <w:rPr>
          <w:color w:val="FF0000"/>
        </w:rPr>
        <w:t>Lo que está haciendo China es seguir el manual del monopolista</w:t>
      </w:r>
      <w:r w:rsidRPr="007E7D36">
        <w:rPr>
          <w:color w:val="FF0000"/>
        </w:rPr>
        <w:t xml:space="preserve"> para expulsar a la competencia”</w:t>
      </w:r>
      <w:r w:rsidR="006368E2" w:rsidRPr="007E7D36">
        <w:rPr>
          <w:color w:val="FF0000"/>
        </w:rPr>
        <w:t xml:space="preserve">, explicó José Fernández, Subsecretario de Estado estadounidense para el Crecimiento Económico, en declaraciones recogidas por el Financial Times. Fernández acusó a Pekín </w:t>
      </w:r>
      <w:r w:rsidRPr="007E7D36">
        <w:rPr>
          <w:color w:val="FF0000"/>
        </w:rPr>
        <w:t>de dedicarse a la “</w:t>
      </w:r>
      <w:r w:rsidR="006368E2" w:rsidRPr="007E7D36">
        <w:rPr>
          <w:color w:val="FF0000"/>
        </w:rPr>
        <w:t>sobreproduc</w:t>
      </w:r>
      <w:r w:rsidRPr="007E7D36">
        <w:rPr>
          <w:color w:val="FF0000"/>
        </w:rPr>
        <w:t>ción y los precios depredadores”</w:t>
      </w:r>
      <w:r w:rsidR="006368E2" w:rsidRPr="007E7D36">
        <w:rPr>
          <w:color w:val="FF0000"/>
        </w:rPr>
        <w:t xml:space="preserve"> para mantener su control sobre el suministro </w:t>
      </w:r>
      <w:r w:rsidRPr="007E7D36">
        <w:rPr>
          <w:color w:val="FF0000"/>
        </w:rPr>
        <w:t>mundial de minerales críticos. “</w:t>
      </w:r>
      <w:r w:rsidR="006368E2" w:rsidRPr="007E7D36">
        <w:rPr>
          <w:color w:val="FF0000"/>
        </w:rPr>
        <w:t>Somos conscientes de que no podemos resolver este problema con un solo</w:t>
      </w:r>
      <w:r w:rsidRPr="007E7D36">
        <w:rPr>
          <w:color w:val="FF0000"/>
        </w:rPr>
        <w:t xml:space="preserve"> país, somos más fuertes juntos”</w:t>
      </w:r>
      <w:r w:rsidR="006368E2" w:rsidRPr="007E7D36">
        <w:rPr>
          <w:color w:val="FF0000"/>
        </w:rPr>
        <w:t>.</w:t>
      </w:r>
    </w:p>
    <w:p w:rsidR="00D363B3" w:rsidRPr="00E130DC" w:rsidRDefault="00D363B3" w:rsidP="00D363B3">
      <w:pPr>
        <w:pStyle w:val="NormalWeb"/>
        <w:spacing w:after="0"/>
        <w:jc w:val="both"/>
        <w:textAlignment w:val="baseline"/>
      </w:pPr>
      <w:r w:rsidRPr="00E130DC">
        <w:t xml:space="preserve">- </w:t>
      </w:r>
      <w:r w:rsidRPr="00E130DC">
        <w:rPr>
          <w:u w:val="single"/>
        </w:rPr>
        <w:t xml:space="preserve">El bienestar animal de la UE amenaza </w:t>
      </w:r>
      <w:r w:rsidR="00E130DC">
        <w:rPr>
          <w:u w:val="single"/>
        </w:rPr>
        <w:t>el futuro de miles de granjas: “</w:t>
      </w:r>
      <w:r w:rsidRPr="00E130DC">
        <w:rPr>
          <w:u w:val="single"/>
        </w:rPr>
        <w:t>¿Quién decide si una gallina es feliz</w:t>
      </w:r>
      <w:r w:rsidR="00E130DC">
        <w:t>?”</w:t>
      </w:r>
      <w:r w:rsidRPr="00E130DC">
        <w:t xml:space="preserve"> (Libertad Digital - </w:t>
      </w:r>
      <w:r w:rsidRPr="00E130DC">
        <w:rPr>
          <w:b/>
        </w:rPr>
        <w:t>24/9/24</w:t>
      </w:r>
      <w:r w:rsidRPr="00E130DC">
        <w:t>)</w:t>
      </w:r>
    </w:p>
    <w:p w:rsidR="00D363B3" w:rsidRPr="00E130DC" w:rsidRDefault="00D363B3" w:rsidP="00D363B3">
      <w:pPr>
        <w:pStyle w:val="NormalWeb"/>
        <w:spacing w:after="0"/>
        <w:jc w:val="both"/>
        <w:textAlignment w:val="baseline"/>
        <w:rPr>
          <w:color w:val="FF0000"/>
        </w:rPr>
      </w:pPr>
      <w:r w:rsidRPr="00E130DC">
        <w:rPr>
          <w:color w:val="FF0000"/>
        </w:rPr>
        <w:t>La Unión Europea quiere que las gallinas vivan al aire libre y que todas las granjas se adapten a un sistema sin jaulas. Sólo para los productores de huevos e</w:t>
      </w:r>
      <w:r w:rsidR="00E130DC" w:rsidRPr="00E130DC">
        <w:rPr>
          <w:color w:val="FF0000"/>
        </w:rPr>
        <w:t>spañoles, esta medida supondrá “</w:t>
      </w:r>
      <w:r w:rsidRPr="00E130DC">
        <w:rPr>
          <w:color w:val="FF0000"/>
        </w:rPr>
        <w:t>unas inversiones totales de</w:t>
      </w:r>
      <w:r w:rsidR="00E130DC" w:rsidRPr="00E130DC">
        <w:rPr>
          <w:color w:val="FF0000"/>
        </w:rPr>
        <w:t xml:space="preserve"> más de 2.300 millones de euros”</w:t>
      </w:r>
      <w:r w:rsidRPr="00E130DC">
        <w:rPr>
          <w:color w:val="FF0000"/>
        </w:rPr>
        <w:t>, según datos de la Organización Interprofesional del Huevo y sus Productos (Inprovo). Además del aumento del precio de los huevos para el consumidor, muchas explotaciones van a tener muy difícil adaptarse a la nueva normativa a costa de un bienestar animal que granjeros como Vicente Be</w:t>
      </w:r>
      <w:r w:rsidR="00E130DC">
        <w:rPr>
          <w:color w:val="FF0000"/>
        </w:rPr>
        <w:t>trán se cuestionan firmemente: “</w:t>
      </w:r>
      <w:r w:rsidRPr="00E130DC">
        <w:rPr>
          <w:color w:val="FF0000"/>
        </w:rPr>
        <w:t xml:space="preserve">¿Quién </w:t>
      </w:r>
      <w:r w:rsidR="00E130DC">
        <w:rPr>
          <w:color w:val="FF0000"/>
        </w:rPr>
        <w:t>decide si una gallina es feliz?”</w:t>
      </w:r>
    </w:p>
    <w:p w:rsidR="00D363B3" w:rsidRPr="00E130DC" w:rsidRDefault="00D363B3" w:rsidP="00D363B3">
      <w:pPr>
        <w:pStyle w:val="NormalWeb"/>
        <w:spacing w:after="0" w:afterAutospacing="0"/>
        <w:jc w:val="both"/>
        <w:textAlignment w:val="baseline"/>
      </w:pPr>
      <w:r w:rsidRPr="00E130DC">
        <w:t>(</w:t>
      </w:r>
      <w:r w:rsidR="008D11E1" w:rsidRPr="00E130DC">
        <w:t>Antecedente</w:t>
      </w:r>
      <w:r w:rsidRPr="00E130DC">
        <w:t>)</w:t>
      </w:r>
    </w:p>
    <w:p w:rsidR="00D363B3" w:rsidRPr="00E130DC" w:rsidRDefault="00D363B3" w:rsidP="00D363B3">
      <w:pPr>
        <w:pStyle w:val="NormalWeb"/>
        <w:spacing w:after="0"/>
        <w:jc w:val="both"/>
        <w:textAlignment w:val="baseline"/>
      </w:pPr>
      <w:r w:rsidRPr="00E130DC">
        <w:t xml:space="preserve">- </w:t>
      </w:r>
      <w:r w:rsidRPr="00E130DC">
        <w:rPr>
          <w:u w:val="single"/>
        </w:rPr>
        <w:t>Las normativas de bienestar animal de la UE podrían triplicar el precio de la carne de pollo</w:t>
      </w:r>
      <w:r w:rsidRPr="00E130DC">
        <w:t xml:space="preserve"> (Libertad Digital - </w:t>
      </w:r>
      <w:r w:rsidRPr="00E130DC">
        <w:rPr>
          <w:b/>
        </w:rPr>
        <w:t>19/10/23</w:t>
      </w:r>
      <w:r w:rsidRPr="00E130DC">
        <w:t>)</w:t>
      </w:r>
    </w:p>
    <w:p w:rsidR="00D363B3" w:rsidRPr="00E130DC" w:rsidRDefault="00D363B3" w:rsidP="00D363B3">
      <w:pPr>
        <w:pStyle w:val="NormalWeb"/>
        <w:spacing w:after="0"/>
        <w:jc w:val="both"/>
        <w:textAlignment w:val="baseline"/>
        <w:rPr>
          <w:color w:val="FF0000"/>
        </w:rPr>
      </w:pPr>
      <w:r w:rsidRPr="00E130DC">
        <w:rPr>
          <w:color w:val="FF0000"/>
        </w:rPr>
        <w:t>Los ganaderos denuncian que las autoridades comunitarias están trabajando sin tener en cuenta las co</w:t>
      </w:r>
      <w:r w:rsidR="00E130DC" w:rsidRPr="00E130DC">
        <w:rPr>
          <w:color w:val="FF0000"/>
        </w:rPr>
        <w:t xml:space="preserve">nsecuencias para el consumidor. </w:t>
      </w:r>
      <w:r w:rsidRPr="00E130DC">
        <w:rPr>
          <w:color w:val="FF0000"/>
        </w:rPr>
        <w:t>Las normativas europeas en materia de bienestar animal podrían repercutir sobre los costes y los beneficios de los productores y en el precio de algunos alimentos para los consumidores. De este modo, los costes de los productores de huevos podrían aumentar hasta en 140.000 euros y el precio de la carne de pollo podría triplicarse para los consumidores. Así lo denuncia la Coordinadora de Organizaciones de Agricultores y Ganaderos (COAG), que ha iniciado una ronda de contactos con las autoridades comunitarias y españolas con el fin de presentar un informe en el que se detalle el impacto económico y social que podrían llegar a tener las regulaciones que desde la UE se están aprobando al respecto</w:t>
      </w:r>
      <w:r w:rsidR="00E130DC">
        <w:rPr>
          <w:color w:val="FF0000"/>
        </w:rPr>
        <w:t>…</w:t>
      </w:r>
    </w:p>
    <w:p w:rsidR="00D363B3" w:rsidRPr="00E130DC" w:rsidRDefault="00D363B3" w:rsidP="00D363B3">
      <w:pPr>
        <w:pStyle w:val="NormalWeb"/>
        <w:spacing w:after="0"/>
        <w:jc w:val="both"/>
        <w:textAlignment w:val="baseline"/>
      </w:pPr>
      <w:r w:rsidRPr="00E130DC">
        <w:t xml:space="preserve">- </w:t>
      </w:r>
      <w:r w:rsidR="00E130DC" w:rsidRPr="00E130DC">
        <w:rPr>
          <w:u w:val="single"/>
        </w:rPr>
        <w:t>La economía del “campeón”</w:t>
      </w:r>
      <w:r w:rsidRPr="00E130DC">
        <w:rPr>
          <w:u w:val="single"/>
        </w:rPr>
        <w:t xml:space="preserve"> alemán suf</w:t>
      </w:r>
      <w:r w:rsidR="00E130DC" w:rsidRPr="00E130DC">
        <w:rPr>
          <w:u w:val="single"/>
        </w:rPr>
        <w:t>re una presión cada vez mayor: “</w:t>
      </w:r>
      <w:r w:rsidRPr="00E130DC">
        <w:rPr>
          <w:u w:val="single"/>
        </w:rPr>
        <w:t>Es una racha casi in</w:t>
      </w:r>
      <w:r w:rsidR="00E130DC" w:rsidRPr="00E130DC">
        <w:rPr>
          <w:u w:val="single"/>
        </w:rPr>
        <w:t>terminable de mala suerte”</w:t>
      </w:r>
      <w:r w:rsidRPr="00E130DC">
        <w:t xml:space="preserve"> (El Economista - </w:t>
      </w:r>
      <w:r w:rsidRPr="00E130DC">
        <w:rPr>
          <w:b/>
        </w:rPr>
        <w:t>24/9/24</w:t>
      </w:r>
      <w:r w:rsidRPr="00E130DC">
        <w:t>)</w:t>
      </w:r>
    </w:p>
    <w:p w:rsidR="00D363B3" w:rsidRDefault="00D363B3" w:rsidP="00D363B3">
      <w:pPr>
        <w:pStyle w:val="NormalWeb"/>
        <w:spacing w:after="0"/>
        <w:jc w:val="both"/>
        <w:textAlignment w:val="baseline"/>
        <w:rPr>
          <w:color w:val="FF0000"/>
        </w:rPr>
      </w:pPr>
      <w:r w:rsidRPr="00E130DC">
        <w:rPr>
          <w:color w:val="FF0000"/>
        </w:rPr>
        <w:t>La sucesión de malas noticias económicas desde Alemania ya se ha convertido en avalancha. Cada dato macro negativo viene seguido de titulares como el anuncio de un coloso y emblema nacional como Volkswagen de que planea cerrar fábricas en el país</w:t>
      </w:r>
      <w:r w:rsidRPr="00E130DC">
        <w:t xml:space="preserve">. </w:t>
      </w:r>
      <w:r w:rsidRPr="00E130DC">
        <w:rPr>
          <w:color w:val="FF0000"/>
        </w:rPr>
        <w:t>Los rigores de la pandemia, el fin del barato gas ruso tras la guerra de Ucrania, los elevados tipos de interés necesarios para doblegar a la inflación y las nuevas dinámicas comerciales (el 'amigo chino' ya no compra como antes) han hecho a la tradicional locomotora económica europea entrar en barrena. Las perspectivas no pueden ser peores y, aparte de quedar más que telegrafiada la recesión en el corto plazo, el horizonte no acaba de parecer positivo. La imagen de un campeón venido a menos tras haber tocado la gloria viene a la cabeza de los aficionados deportivos.</w:t>
      </w:r>
    </w:p>
    <w:p w:rsidR="00582E6D" w:rsidRPr="00E130DC" w:rsidRDefault="00582E6D" w:rsidP="00D363B3">
      <w:pPr>
        <w:pStyle w:val="NormalWeb"/>
        <w:spacing w:after="0"/>
        <w:jc w:val="both"/>
        <w:textAlignment w:val="baseline"/>
        <w:rPr>
          <w:color w:val="FF0000"/>
        </w:rPr>
      </w:pPr>
    </w:p>
    <w:p w:rsidR="00D363B3" w:rsidRPr="00E130DC" w:rsidRDefault="00D363B3" w:rsidP="00D363B3">
      <w:pPr>
        <w:pStyle w:val="NormalWeb"/>
        <w:spacing w:after="0"/>
        <w:jc w:val="both"/>
        <w:textAlignment w:val="baseline"/>
      </w:pPr>
      <w:r w:rsidRPr="00E130DC">
        <w:lastRenderedPageBreak/>
        <w:t xml:space="preserve">- </w:t>
      </w:r>
      <w:r w:rsidRPr="00E130DC">
        <w:rPr>
          <w:u w:val="single"/>
        </w:rPr>
        <w:t>La energía y la declinante competitividad europea</w:t>
      </w:r>
      <w:r w:rsidRPr="00E130DC">
        <w:t xml:space="preserve"> (El Confidencial - </w:t>
      </w:r>
      <w:r w:rsidRPr="00E130DC">
        <w:rPr>
          <w:b/>
        </w:rPr>
        <w:t>24/9/24</w:t>
      </w:r>
      <w:r w:rsidRPr="00E130DC">
        <w:t>)</w:t>
      </w:r>
    </w:p>
    <w:p w:rsidR="0028258A" w:rsidRPr="0028258A" w:rsidRDefault="00D363B3" w:rsidP="00D363B3">
      <w:pPr>
        <w:pStyle w:val="NormalWeb"/>
        <w:spacing w:after="0"/>
        <w:jc w:val="both"/>
        <w:textAlignment w:val="baseline"/>
      </w:pPr>
      <w:r w:rsidRPr="0028258A">
        <w:rPr>
          <w:color w:val="FF0000"/>
        </w:rPr>
        <w:t>Gas, carbón y electricidad son los principales consumos energéticos de la industria. Estados Unidos, gracias al fracking, se ha convertido en el primer exportador mundial de gas. La Unión Europea importa el 90 % de sus necesidades de gas. Reducida a una mínima expresión el suministro ruso por tubería a Europa, el precio del gas en Estados Unidos es cuatro veces más barato que el precio europeo.</w:t>
      </w:r>
      <w:r w:rsidRPr="0028258A">
        <w:t xml:space="preserve"> </w:t>
      </w:r>
      <w:r w:rsidRPr="0028258A">
        <w:rPr>
          <w:color w:val="FF0000"/>
        </w:rPr>
        <w:t>China consume el 56% del carbón que se consume en el mundo. Más del 60% de su electricidad la produce con carbón. Depende del abastecimiento exterior en petróleo y gas, pero en carbón es autosuficiente. En estos tiempos de reducción de emisiones -al menos desde la perspectiva europea-, el consumo chino de carbón se ha incrementado en la última década un 1,1% acumulativo anual y, lo que es más llamativo, en 2023 creció un 4,7%. El año pasado el crecimiento de la demanda china impulsó el consumo mundial de carbón hasta su récord histórico. La Unión Europea es medianamente autosuficiente en carbón: produce el 60% de su consumo, pero, a diferencia de China, el consumo de carbón se redujo un 20,4% en 2023 y su demanda se ha reducido un 6,3% acumulativo anual a lo largo de la última década.</w:t>
      </w:r>
      <w:r w:rsidRPr="0028258A">
        <w:t xml:space="preserve"> </w:t>
      </w:r>
      <w:r w:rsidRPr="0028258A">
        <w:rPr>
          <w:color w:val="FF0000"/>
        </w:rPr>
        <w:t>La reducción de emisiones de CO₂ es parte consustancial de la política energética de la Unión Europea y así se refleja en el coste creciente de los derechos de emisión, con el lógico efecto en la demanda. La competitividad industrial no depende solo de los costes energéticos, pero, en este campo, la única posibilidad que tiene la Unión Europea es, de la mano de la electricidad renovable, proceder a la electrificación de su economía</w:t>
      </w:r>
      <w:r w:rsidR="0028258A" w:rsidRPr="0028258A">
        <w:t>…</w:t>
      </w:r>
      <w:r w:rsidRPr="0028258A">
        <w:t xml:space="preserve"> </w:t>
      </w:r>
    </w:p>
    <w:p w:rsidR="00D363B3" w:rsidRPr="0028258A" w:rsidRDefault="00D363B3" w:rsidP="00D363B3">
      <w:pPr>
        <w:pStyle w:val="NormalWeb"/>
        <w:spacing w:after="0"/>
        <w:jc w:val="both"/>
        <w:textAlignment w:val="baseline"/>
      </w:pPr>
      <w:r w:rsidRPr="0028258A">
        <w:t xml:space="preserve">- </w:t>
      </w:r>
      <w:r w:rsidRPr="0028258A">
        <w:rPr>
          <w:u w:val="single"/>
        </w:rPr>
        <w:t>Europa: un gigante con pies de barro</w:t>
      </w:r>
      <w:r w:rsidRPr="0028258A">
        <w:t xml:space="preserve"> (El Economista - </w:t>
      </w:r>
      <w:r w:rsidRPr="0028258A">
        <w:rPr>
          <w:b/>
        </w:rPr>
        <w:t>23/9/24</w:t>
      </w:r>
      <w:r w:rsidRPr="0028258A">
        <w:t>)</w:t>
      </w:r>
    </w:p>
    <w:p w:rsidR="00D363B3" w:rsidRPr="0028258A" w:rsidRDefault="00D363B3" w:rsidP="00D363B3">
      <w:pPr>
        <w:pStyle w:val="NormalWeb"/>
        <w:spacing w:after="0"/>
        <w:jc w:val="both"/>
        <w:textAlignment w:val="baseline"/>
        <w:rPr>
          <w:color w:val="FF0000"/>
        </w:rPr>
      </w:pPr>
      <w:r w:rsidRPr="0028258A">
        <w:rPr>
          <w:color w:val="FF0000"/>
        </w:rPr>
        <w:t>A todos nos ilusiona la idea de un estado del bienestar de calidad, robusto y que permita ofrecer una fuerte red de seguridad a los europeos, al igual que a todos nos gustaría tener una mansión. El único problema es que, tristemente, no podemos permitirnos ese bienestar, pero en vez de hacer números para ajustar las cuentas públicas y repensar nuestras prioridades, n</w:t>
      </w:r>
      <w:r w:rsidR="0028258A">
        <w:rPr>
          <w:color w:val="FF0000"/>
        </w:rPr>
        <w:t xml:space="preserve">os desangramos industrialmente. </w:t>
      </w:r>
      <w:r w:rsidRPr="0028258A">
        <w:rPr>
          <w:color w:val="FF0000"/>
        </w:rPr>
        <w:t>Uno de los pilares de la desindustrialización es la lucha contra el cambio climático que está llevando a adoptar un enfoque casi fanático imponiéndonos metas y restricciones que no parecen tener en cuenta ni la realidad económica ni la calidad de vida ni los derechos de las personas, sin reconocer que no podemos salvar el planeta a costa de ahogar a los ciudadanos y las empresas mientras señalamos con el dedo a China por sus emisiones, ignorando el hecho de que nuestras propias restricciones no hacen más que elevar los costes de vida, limitan la libertad y nos aleja, cada vez más, de una posición competitiva. Por eso, innovamos en regulaciones tales como que no se suelte el tapón de la botella de plástico o que en 2035 no se puedan fabricar automóviles con motores de combustión o que se delimiten las ZBE en ciudades donde apenas hay polución o que trabajemos menos horas a la semana sin aumentar la productividad por la eco ansiedad…</w:t>
      </w:r>
    </w:p>
    <w:p w:rsidR="00D363B3" w:rsidRPr="0028258A" w:rsidRDefault="00D363B3" w:rsidP="00D363B3">
      <w:pPr>
        <w:pStyle w:val="NormalWeb"/>
        <w:spacing w:after="0"/>
        <w:jc w:val="both"/>
        <w:textAlignment w:val="baseline"/>
        <w:rPr>
          <w:color w:val="FF0000"/>
        </w:rPr>
      </w:pPr>
      <w:r w:rsidRPr="0028258A">
        <w:rPr>
          <w:color w:val="FF0000"/>
        </w:rPr>
        <w:t>Mientras tanto, EEUU, con un sistema más flexible y menos cargado de regulaciones, sigue creciendo a un ritmo más dinámico. Y China, con su enfoque pragmático y subvencionador, se ha convertido en la fábrica del mundo y líder en innovación. ¿Y Europa? Pues bien, Europa sigue regulando cada rincón del mercado, asegurándose de que cualquier atisbo de competitividad que surja se extinga rápidamente bajo el peso de nuevas normativas y mayores costes</w:t>
      </w:r>
      <w:r w:rsidR="0028258A" w:rsidRPr="0028258A">
        <w:rPr>
          <w:color w:val="FF0000"/>
        </w:rPr>
        <w:t xml:space="preserve"> empresariales. Mientras que EEUU</w:t>
      </w:r>
      <w:r w:rsidRPr="0028258A">
        <w:rPr>
          <w:color w:val="FF0000"/>
        </w:rPr>
        <w:t xml:space="preserve"> sigue apostando por la innovación y la creación de riqueza a través de la desregulación y el fomento del emprendimiento, Europa va por el camino contrario, jactándose de ser la primera región del mundo que regula la inteligencia artificial, mientras Draghi señala la falta de inversión en innovaciones y </w:t>
      </w:r>
      <w:r w:rsidRPr="0028258A">
        <w:rPr>
          <w:color w:val="FF0000"/>
        </w:rPr>
        <w:lastRenderedPageBreak/>
        <w:t>tecnología. Y luego nos preguntamos por qué nuestras empresas tecnológicas no llegan ni de lejos a Silicon Valley o a los grandes monstruos empresariales chinos</w:t>
      </w:r>
      <w:r w:rsidR="0028258A">
        <w:rPr>
          <w:color w:val="FF0000"/>
        </w:rPr>
        <w:t>…</w:t>
      </w:r>
    </w:p>
    <w:p w:rsidR="00D363B3" w:rsidRPr="0028258A" w:rsidRDefault="00D363B3" w:rsidP="00D363B3">
      <w:pPr>
        <w:pStyle w:val="NormalWeb"/>
        <w:spacing w:after="0"/>
        <w:jc w:val="both"/>
        <w:textAlignment w:val="baseline"/>
      </w:pPr>
      <w:r w:rsidRPr="0028258A">
        <w:t xml:space="preserve">- </w:t>
      </w:r>
      <w:r w:rsidRPr="0028258A">
        <w:rPr>
          <w:u w:val="single"/>
        </w:rPr>
        <w:t>Arnoldus van den Hurk (geólogo): “El colonialismo minero es peor que el petrolero</w:t>
      </w:r>
      <w:r w:rsidRPr="0028258A">
        <w:t xml:space="preserve">” (Cinco Días - </w:t>
      </w:r>
      <w:r w:rsidRPr="0028258A">
        <w:rPr>
          <w:b/>
        </w:rPr>
        <w:t>27/9/24</w:t>
      </w:r>
      <w:r w:rsidRPr="0028258A">
        <w:t>)</w:t>
      </w:r>
    </w:p>
    <w:p w:rsidR="00D363B3" w:rsidRPr="0028258A" w:rsidRDefault="00D363B3" w:rsidP="00D363B3">
      <w:pPr>
        <w:pStyle w:val="NormalWeb"/>
        <w:spacing w:after="0"/>
        <w:jc w:val="both"/>
        <w:textAlignment w:val="baseline"/>
        <w:rPr>
          <w:color w:val="FF0000"/>
        </w:rPr>
      </w:pPr>
      <w:r w:rsidRPr="0028258A">
        <w:rPr>
          <w:color w:val="FF0000"/>
        </w:rPr>
        <w:t>Para este experto holandés, dedicado en los últimos años a descarbonizar minas, lo realmente crítico en Europa son los permisos a la minería, no los minerales. Y aclara que el modelo energético sigue siendo extractivo</w:t>
      </w:r>
      <w:r w:rsidR="0028258A" w:rsidRPr="0028258A">
        <w:rPr>
          <w:color w:val="FF0000"/>
        </w:rPr>
        <w:t xml:space="preserve">… </w:t>
      </w:r>
      <w:r w:rsidRPr="0028258A">
        <w:rPr>
          <w:color w:val="FF0000"/>
        </w:rPr>
        <w:t>El cobre, el zinc, el plomo, el aluminio, el estaño, el níquel, el litio, el cobalto y el grafito son hoy el tesoro más preciado para la Un</w:t>
      </w:r>
      <w:r w:rsidR="0029474B">
        <w:rPr>
          <w:color w:val="FF0000"/>
        </w:rPr>
        <w:t>ión Europea, como antes lo fue -y aún lo es-</w:t>
      </w:r>
      <w:r w:rsidRPr="0028258A">
        <w:rPr>
          <w:color w:val="FF0000"/>
        </w:rPr>
        <w:t xml:space="preserve"> el petróleo y el gas. El primero y los cuatro últimos son imprescindibles para la electrificación, las renovables y el coche eléctrico. Pero esto supone pasar a otra dependencia peor, a juicio del geólogo holandés Arnoldus van den Hurk (Ámsterdam, 63 años), dado que implica la explot</w:t>
      </w:r>
      <w:r w:rsidR="0028369F">
        <w:rPr>
          <w:color w:val="FF0000"/>
        </w:rPr>
        <w:t>ación de unos recursos escasos -</w:t>
      </w:r>
      <w:r w:rsidRPr="0028258A">
        <w:rPr>
          <w:color w:val="FF0000"/>
        </w:rPr>
        <w:t>la mayor parte se conc</w:t>
      </w:r>
      <w:r w:rsidR="0028369F">
        <w:rPr>
          <w:color w:val="FF0000"/>
        </w:rPr>
        <w:t>entra en África y Latinoamérica-</w:t>
      </w:r>
      <w:r w:rsidRPr="0028258A">
        <w:rPr>
          <w:color w:val="FF0000"/>
        </w:rPr>
        <w:t xml:space="preserve"> y donde, para rematar, se rechaza la minería para obtener los existentes.</w:t>
      </w:r>
    </w:p>
    <w:p w:rsidR="00D363B3" w:rsidRPr="0028258A" w:rsidRDefault="00D363B3" w:rsidP="00D363B3">
      <w:pPr>
        <w:pStyle w:val="NormalWeb"/>
        <w:spacing w:after="0"/>
        <w:jc w:val="both"/>
        <w:textAlignment w:val="baseline"/>
      </w:pPr>
      <w:r w:rsidRPr="0028258A">
        <w:t xml:space="preserve">- </w:t>
      </w:r>
      <w:r w:rsidRPr="0028258A">
        <w:rPr>
          <w:u w:val="single"/>
        </w:rPr>
        <w:t>Alstom descarta un nuevo intento de fusión con Siemens para crear un campeón europeo</w:t>
      </w:r>
      <w:r w:rsidRPr="0028258A">
        <w:t xml:space="preserve"> (El Economista - </w:t>
      </w:r>
      <w:r w:rsidRPr="0028258A">
        <w:rPr>
          <w:b/>
        </w:rPr>
        <w:t>27/9/24</w:t>
      </w:r>
      <w:r w:rsidRPr="0028258A">
        <w:t>)</w:t>
      </w:r>
    </w:p>
    <w:p w:rsidR="00D363B3" w:rsidRPr="00D363B3" w:rsidRDefault="00D363B3" w:rsidP="00D363B3">
      <w:pPr>
        <w:pStyle w:val="NormalWeb"/>
        <w:spacing w:after="0"/>
        <w:jc w:val="both"/>
        <w:textAlignment w:val="baseline"/>
        <w:rPr>
          <w:color w:val="FF0000"/>
        </w:rPr>
      </w:pPr>
      <w:r w:rsidRPr="00F9741C">
        <w:rPr>
          <w:color w:val="FF0000"/>
        </w:rPr>
        <w:t>El máximo ejecutivo del fabricante francés reclama igualdad de reg</w:t>
      </w:r>
      <w:r>
        <w:rPr>
          <w:color w:val="FF0000"/>
        </w:rPr>
        <w:t>las para los fabricantes chinos</w:t>
      </w:r>
    </w:p>
    <w:p w:rsidR="00D363B3" w:rsidRPr="0028258A" w:rsidRDefault="00D363B3" w:rsidP="00D363B3">
      <w:pPr>
        <w:pStyle w:val="NormalWeb"/>
        <w:spacing w:after="0"/>
        <w:jc w:val="both"/>
        <w:textAlignment w:val="baseline"/>
        <w:rPr>
          <w:color w:val="FF0000"/>
        </w:rPr>
      </w:pPr>
      <w:r w:rsidRPr="0028258A">
        <w:rPr>
          <w:color w:val="FF0000"/>
        </w:rPr>
        <w:t>La nueva política comunitaria de desarrollar gigantes industriales europeos no se llevará a cabo en el sector ferroviario. O al menos, no en el corto plazo. E</w:t>
      </w:r>
      <w:r w:rsidR="0028258A" w:rsidRPr="0028258A">
        <w:rPr>
          <w:color w:val="FF0000"/>
        </w:rPr>
        <w:t>l CEO de Alstom, Henri Popuart -</w:t>
      </w:r>
      <w:r w:rsidRPr="0028258A">
        <w:rPr>
          <w:color w:val="FF0000"/>
        </w:rPr>
        <w:t xml:space="preserve"> Lafarge, negó cualquier posibilidad de retomar los planes de fusión con su homóloga alemana Siemens, una operación que se descartó hace una década y que ahora vuelve a la luz por la presión comercial y la entrada de grandes actores asiáticos en el Viejo Continente.</w:t>
      </w:r>
      <w:r w:rsidR="0028258A" w:rsidRPr="0028258A">
        <w:rPr>
          <w:color w:val="FF0000"/>
        </w:rPr>
        <w:t xml:space="preserve"> </w:t>
      </w:r>
      <w:r w:rsidRPr="0028258A">
        <w:rPr>
          <w:color w:val="FF0000"/>
        </w:rPr>
        <w:t>El consejero delegado del fabrican</w:t>
      </w:r>
      <w:r w:rsidR="0028258A" w:rsidRPr="0028258A">
        <w:rPr>
          <w:color w:val="FF0000"/>
        </w:rPr>
        <w:t>te de trenes francés consideró “historia pasada” esta operación. “</w:t>
      </w:r>
      <w:r w:rsidRPr="0028258A">
        <w:rPr>
          <w:color w:val="FF0000"/>
        </w:rPr>
        <w:t>Necesitamos consolidar la industria actual. El proyecto de fusión con Siemens tuvo lugar hace siete u ocho años, pero entre medias llegó la fusión con Bombardier; e</w:t>
      </w:r>
      <w:r w:rsidR="0028258A" w:rsidRPr="0028258A">
        <w:rPr>
          <w:color w:val="FF0000"/>
        </w:rPr>
        <w:t xml:space="preserve"> Hitachi lo ha hecho con Thales”</w:t>
      </w:r>
      <w:r w:rsidRPr="0028258A">
        <w:rPr>
          <w:color w:val="FF0000"/>
        </w:rPr>
        <w:t>, declaró en una rueda de prensa durante la feria internacional de transporte Innotrans, celebrada es</w:t>
      </w:r>
      <w:r w:rsidR="0028258A" w:rsidRPr="0028258A">
        <w:rPr>
          <w:color w:val="FF0000"/>
        </w:rPr>
        <w:t>ta semana en Berlín (Alemania). “</w:t>
      </w:r>
      <w:r w:rsidRPr="0028258A">
        <w:rPr>
          <w:color w:val="FF0000"/>
        </w:rPr>
        <w:t>No tenemos ninguna intención de ejecutar fusiones en este momento, independientemente de lo que diga la Comisión Europea. El sector ferroviar</w:t>
      </w:r>
      <w:r w:rsidR="0028258A" w:rsidRPr="0028258A">
        <w:rPr>
          <w:color w:val="FF0000"/>
        </w:rPr>
        <w:t>io europeo está muy consolidado”</w:t>
      </w:r>
      <w:r w:rsidRPr="0028258A">
        <w:rPr>
          <w:color w:val="FF0000"/>
        </w:rPr>
        <w:t>, señaló, en referencia a nuevas operaciones corporativas tras la venta de su negocio de señalización en Reino Unido</w:t>
      </w:r>
      <w:r w:rsidR="0028258A">
        <w:rPr>
          <w:color w:val="FF0000"/>
        </w:rPr>
        <w:t>…</w:t>
      </w:r>
    </w:p>
    <w:p w:rsidR="00D363B3" w:rsidRPr="0028258A" w:rsidRDefault="00D363B3" w:rsidP="00D363B3">
      <w:pPr>
        <w:pStyle w:val="NormalWeb"/>
        <w:spacing w:after="0"/>
        <w:jc w:val="both"/>
        <w:textAlignment w:val="baseline"/>
      </w:pPr>
      <w:r w:rsidRPr="0028258A">
        <w:t xml:space="preserve">- </w:t>
      </w:r>
      <w:r w:rsidRPr="0028258A">
        <w:rPr>
          <w:u w:val="single"/>
        </w:rPr>
        <w:t>Volkswagen lidera la presión a Moncloa y Bruselas para frenar los aranceles al coche eléctrico chino</w:t>
      </w:r>
      <w:r w:rsidRPr="0028258A">
        <w:t xml:space="preserve"> (El Confidencial - </w:t>
      </w:r>
      <w:r w:rsidRPr="0028258A">
        <w:rPr>
          <w:b/>
        </w:rPr>
        <w:t>27/9/24</w:t>
      </w:r>
      <w:r w:rsidRPr="0028258A">
        <w:t>)</w:t>
      </w:r>
    </w:p>
    <w:p w:rsidR="00D363B3" w:rsidRPr="0028258A" w:rsidRDefault="00D363B3" w:rsidP="00D363B3">
      <w:pPr>
        <w:pStyle w:val="NormalWeb"/>
        <w:spacing w:after="0"/>
        <w:jc w:val="both"/>
        <w:textAlignment w:val="baseline"/>
        <w:rPr>
          <w:color w:val="FF0000"/>
        </w:rPr>
      </w:pPr>
      <w:r w:rsidRPr="0028258A">
        <w:rPr>
          <w:color w:val="FF0000"/>
        </w:rPr>
        <w:t>El fabricante alemán y dueño de Seat trabaja en los despachos para frenar esta iniciativa europea que podría dejar muy tocados a sus últimos lanzamientos eléctricos</w:t>
      </w:r>
      <w:r w:rsidR="0028258A" w:rsidRPr="0028258A">
        <w:rPr>
          <w:color w:val="FF0000"/>
        </w:rPr>
        <w:t xml:space="preserve"> </w:t>
      </w:r>
      <w:r w:rsidRPr="0028258A">
        <w:rPr>
          <w:color w:val="FF0000"/>
        </w:rPr>
        <w:t xml:space="preserve">La Comisión Europea juega todas las cartas que tiene en su partida con el Gobierno chino. En septiembre de 2023 Ursula von der Leyen, presidenta del Ejecutivo comunitario, anunció una investigación anti-subsidios contra las importaciones de vehículos eléctricos chinos, con la sospecha de que Pekín buscaba repetir la jugada que ya se vivió hace una década con los paneles solares: inundar el mercado europeo con su producto barato y extinguir la producción comunitaria. En la investigación, que concluyó antes del verano con el anuncio de Bruselas </w:t>
      </w:r>
      <w:r w:rsidRPr="0028258A">
        <w:rPr>
          <w:color w:val="FF0000"/>
        </w:rPr>
        <w:lastRenderedPageBreak/>
        <w:t>de nuevos aranceles contra los coches eléctricos chinos, la Comisión contó con el respaldo de un grupo importante de países, especialmente Francia y España…</w:t>
      </w:r>
    </w:p>
    <w:p w:rsidR="00D363B3" w:rsidRPr="0028258A" w:rsidRDefault="00D363B3" w:rsidP="00D363B3">
      <w:pPr>
        <w:pStyle w:val="NormalWeb"/>
        <w:shd w:val="clear" w:color="auto" w:fill="FFFFFF"/>
        <w:spacing w:after="0"/>
        <w:jc w:val="both"/>
        <w:rPr>
          <w:shd w:val="clear" w:color="auto" w:fill="FFFFFF"/>
        </w:rPr>
      </w:pPr>
      <w:r w:rsidRPr="0028258A">
        <w:rPr>
          <w:shd w:val="clear" w:color="auto" w:fill="FFFFFF"/>
        </w:rPr>
        <w:t xml:space="preserve">- </w:t>
      </w:r>
      <w:r w:rsidRPr="0028258A">
        <w:rPr>
          <w:u w:val="single"/>
          <w:shd w:val="clear" w:color="auto" w:fill="FFFFFF"/>
        </w:rPr>
        <w:t>Europa se está quedando atrás</w:t>
      </w:r>
      <w:r w:rsidRPr="0028258A">
        <w:rPr>
          <w:shd w:val="clear" w:color="auto" w:fill="FFFFFF"/>
        </w:rPr>
        <w:t xml:space="preserve"> (Libertad Digital - </w:t>
      </w:r>
      <w:r w:rsidRPr="0028258A">
        <w:rPr>
          <w:b/>
          <w:shd w:val="clear" w:color="auto" w:fill="FFFFFF"/>
        </w:rPr>
        <w:t>27/9/24</w:t>
      </w:r>
      <w:r w:rsidRPr="0028258A">
        <w:rPr>
          <w:shd w:val="clear" w:color="auto" w:fill="FFFFFF"/>
        </w:rPr>
        <w:t>)</w:t>
      </w:r>
    </w:p>
    <w:p w:rsidR="00D363B3" w:rsidRDefault="00D363B3" w:rsidP="00D363B3">
      <w:pPr>
        <w:pStyle w:val="NormalWeb"/>
        <w:shd w:val="clear" w:color="auto" w:fill="FFFFFF"/>
        <w:spacing w:after="0"/>
        <w:jc w:val="both"/>
        <w:rPr>
          <w:color w:val="FF0000"/>
          <w:shd w:val="clear" w:color="auto" w:fill="FFFFFF"/>
        </w:rPr>
      </w:pPr>
      <w:r w:rsidRPr="0028258A">
        <w:rPr>
          <w:color w:val="FF0000"/>
          <w:shd w:val="clear" w:color="auto" w:fill="FFFFFF"/>
        </w:rPr>
        <w:t>Cada tantos años, la Unión Europea (UE) presenta una estrategia para mejorar su economía. El reporte Draghi, que salió este mes, es el más reciente y llama la atención sobre lo que varios observadores también han estado documentando: la economía europea se está quedando cada vez más atrás de la e</w:t>
      </w:r>
      <w:r w:rsidR="0028258A" w:rsidRPr="0028258A">
        <w:rPr>
          <w:color w:val="FF0000"/>
          <w:shd w:val="clear" w:color="auto" w:fill="FFFFFF"/>
        </w:rPr>
        <w:t xml:space="preserve">stadounidense. </w:t>
      </w:r>
      <w:r w:rsidRPr="0028258A">
        <w:rPr>
          <w:color w:val="FF0000"/>
          <w:shd w:val="clear" w:color="auto" w:fill="FFFFFF"/>
        </w:rPr>
        <w:t xml:space="preserve">Según Mario Draghi, ex primer ministro italiano y autor del reporte, desde el 2002 al 2023 la brecha entre las dos economías en términos del PBI ha crecido del 15% al 30%. Esto se debe mayormente a una productividad mucho más baja en Europa </w:t>
      </w:r>
      <w:r w:rsidR="0028258A">
        <w:rPr>
          <w:color w:val="FF0000"/>
          <w:shd w:val="clear" w:color="auto" w:fill="FFFFFF"/>
        </w:rPr>
        <w:t xml:space="preserve">que en Estados Unidos… </w:t>
      </w:r>
      <w:r w:rsidRPr="0028258A">
        <w:rPr>
          <w:color w:val="FF0000"/>
          <w:shd w:val="clear" w:color="auto" w:fill="FFFFFF"/>
        </w:rPr>
        <w:t>Los estadounidenses se están volviendo notablemente más ricos que los europeos. Desde el 2000, por ejemplo, la renta real disponible por persona ha crecido casi el doble en Estados Unidos que en la UE. El ingreso promedio del europeo se encuentra un 27% por debajo del estadounidense y el salario promedio está un 37% por debajo, se</w:t>
      </w:r>
      <w:r w:rsidR="0028258A" w:rsidRPr="0028258A">
        <w:rPr>
          <w:color w:val="FF0000"/>
          <w:shd w:val="clear" w:color="auto" w:fill="FFFFFF"/>
        </w:rPr>
        <w:t xml:space="preserve">gún el analista Fareed Zakaria. </w:t>
      </w:r>
      <w:r w:rsidRPr="0028258A">
        <w:rPr>
          <w:color w:val="FF0000"/>
          <w:shd w:val="clear" w:color="auto" w:fill="FFFFFF"/>
        </w:rPr>
        <w:t xml:space="preserve">El centro de investigación europeo Ecipe comparó el ingreso per cápita de los países europeos con el de los estados de Estados Unidos y encontró que buena parte de Europa está al nivel de los estados más pobres de Estados Unidos. El ingreso promedio francés, por ejemplo, está por debajo del de Arkansas, el cuadragésimo octavo estado más pobre de Estados Unidos. Y Alemania tiene un ingreso similar al de Oklahoma, el estado que </w:t>
      </w:r>
      <w:r w:rsidR="0028258A" w:rsidRPr="0028258A">
        <w:rPr>
          <w:color w:val="FF0000"/>
          <w:shd w:val="clear" w:color="auto" w:fill="FFFFFF"/>
        </w:rPr>
        <w:t>ocupa el lugar 38 en esa lista. “</w:t>
      </w:r>
      <w:r w:rsidR="00BF40BB">
        <w:rPr>
          <w:color w:val="FF0000"/>
          <w:shd w:val="clear" w:color="auto" w:fill="FFFFFF"/>
        </w:rPr>
        <w:t>Si la tendencia continúa”, observa Ecipe, “</w:t>
      </w:r>
      <w:r w:rsidRPr="0028258A">
        <w:rPr>
          <w:color w:val="FF0000"/>
          <w:shd w:val="clear" w:color="auto" w:fill="FFFFFF"/>
        </w:rPr>
        <w:t>la brecha de prosperidad entre el europeo y el estadounidense promedio en el 2035 será tan grande como la del europeo y el indio pr</w:t>
      </w:r>
      <w:r w:rsidR="0028258A" w:rsidRPr="0028258A">
        <w:rPr>
          <w:color w:val="FF0000"/>
          <w:shd w:val="clear" w:color="auto" w:fill="FFFFFF"/>
        </w:rPr>
        <w:t>omedio en la actualidad”</w:t>
      </w:r>
      <w:r w:rsidRPr="0028258A">
        <w:rPr>
          <w:color w:val="FF0000"/>
          <w:shd w:val="clear" w:color="auto" w:fill="FFFFFF"/>
        </w:rPr>
        <w:t>.</w:t>
      </w:r>
    </w:p>
    <w:p w:rsidR="00AA57F4" w:rsidRDefault="00AA57F4" w:rsidP="00D363B3">
      <w:pPr>
        <w:pStyle w:val="NormalWeb"/>
        <w:shd w:val="clear" w:color="auto" w:fill="FFFFFF"/>
        <w:spacing w:after="0"/>
        <w:jc w:val="both"/>
        <w:rPr>
          <w:shd w:val="clear" w:color="auto" w:fill="FFFFFF"/>
        </w:rPr>
      </w:pPr>
      <w:r w:rsidRPr="0004713C">
        <w:rPr>
          <w:b/>
          <w:shd w:val="clear" w:color="auto" w:fill="FFFFFF"/>
        </w:rPr>
        <w:t>Nota</w:t>
      </w:r>
      <w:r w:rsidRPr="0004713C">
        <w:rPr>
          <w:shd w:val="clear" w:color="auto" w:fill="FFFFFF"/>
        </w:rPr>
        <w:t>: (al fin</w:t>
      </w:r>
      <w:r w:rsidR="0004713C">
        <w:rPr>
          <w:shd w:val="clear" w:color="auto" w:fill="FFFFFF"/>
        </w:rPr>
        <w:t>al</w:t>
      </w:r>
      <w:r w:rsidRPr="0004713C">
        <w:rPr>
          <w:shd w:val="clear" w:color="auto" w:fill="FFFFFF"/>
        </w:rPr>
        <w:t xml:space="preserve"> del breve recorrido por los titulares de las noticias publicadas durante el mes de septiembre de 2024, vincu</w:t>
      </w:r>
      <w:r w:rsidR="0004713C" w:rsidRPr="0004713C">
        <w:rPr>
          <w:shd w:val="clear" w:color="auto" w:fill="FFFFFF"/>
        </w:rPr>
        <w:t>ladas al devenir de los pe</w:t>
      </w:r>
      <w:r w:rsidR="0004713C">
        <w:rPr>
          <w:shd w:val="clear" w:color="auto" w:fill="FFFFFF"/>
        </w:rPr>
        <w:t>rdedores -</w:t>
      </w:r>
      <w:r w:rsidR="0004713C" w:rsidRPr="0004713C">
        <w:rPr>
          <w:shd w:val="clear" w:color="auto" w:fill="FFFFFF"/>
        </w:rPr>
        <w:t>por</w:t>
      </w:r>
      <w:r w:rsidR="0004713C">
        <w:rPr>
          <w:shd w:val="clear" w:color="auto" w:fill="FFFFFF"/>
        </w:rPr>
        <w:t xml:space="preserve"> culpa de la burocracia europea-, y de los perdedores -</w:t>
      </w:r>
      <w:r w:rsidR="0004713C" w:rsidRPr="0004713C">
        <w:rPr>
          <w:shd w:val="clear" w:color="auto" w:fill="FFFFFF"/>
        </w:rPr>
        <w:t>por incapacidad, miopía, avaric</w:t>
      </w:r>
      <w:r w:rsidR="0004713C">
        <w:rPr>
          <w:shd w:val="clear" w:color="auto" w:fill="FFFFFF"/>
        </w:rPr>
        <w:t>ia, o estupidez, propia-)</w:t>
      </w:r>
      <w:r w:rsidR="0004713C" w:rsidRPr="0004713C">
        <w:rPr>
          <w:shd w:val="clear" w:color="auto" w:fill="FFFFFF"/>
        </w:rPr>
        <w:t>.</w:t>
      </w:r>
    </w:p>
    <w:p w:rsidR="00914171" w:rsidRPr="0028369F" w:rsidRDefault="00914171" w:rsidP="00D363B3">
      <w:pPr>
        <w:pStyle w:val="NormalWeb"/>
        <w:shd w:val="clear" w:color="auto" w:fill="FFFFFF"/>
        <w:spacing w:after="0"/>
        <w:jc w:val="both"/>
        <w:rPr>
          <w:b/>
          <w:shd w:val="clear" w:color="auto" w:fill="FFFFFF"/>
        </w:rPr>
      </w:pPr>
      <w:r w:rsidRPr="0028369F">
        <w:rPr>
          <w:b/>
          <w:shd w:val="clear" w:color="auto" w:fill="FFFFFF"/>
        </w:rPr>
        <w:t>Fallo multiorgánico</w:t>
      </w:r>
    </w:p>
    <w:p w:rsidR="008404D4" w:rsidRPr="0028369F" w:rsidRDefault="008404D4" w:rsidP="00AA57F4">
      <w:pPr>
        <w:pStyle w:val="NormalWeb"/>
        <w:shd w:val="clear" w:color="auto" w:fill="FFFFFF"/>
        <w:spacing w:after="0"/>
        <w:jc w:val="both"/>
        <w:rPr>
          <w:shd w:val="clear" w:color="auto" w:fill="FFFFFF"/>
        </w:rPr>
      </w:pPr>
      <w:r w:rsidRPr="0028369F">
        <w:rPr>
          <w:shd w:val="clear" w:color="auto" w:fill="FFFFFF"/>
        </w:rPr>
        <w:t>Usted, Don Mario, en su Informe,</w:t>
      </w:r>
      <w:r w:rsidR="00AA57F4" w:rsidRPr="0028369F">
        <w:rPr>
          <w:shd w:val="clear" w:color="auto" w:fill="FFFFFF"/>
        </w:rPr>
        <w:t xml:space="preserve"> señala las fallas estructurales de una Europa renquea</w:t>
      </w:r>
      <w:r w:rsidR="0028369F">
        <w:rPr>
          <w:shd w:val="clear" w:color="auto" w:fill="FFFFFF"/>
        </w:rPr>
        <w:t xml:space="preserve">nte y entregada a la hiper </w:t>
      </w:r>
      <w:r w:rsidR="00AA57F4" w:rsidRPr="0028369F">
        <w:rPr>
          <w:shd w:val="clear" w:color="auto" w:fill="FFFFFF"/>
        </w:rPr>
        <w:t>regulación de toda nueva fuente de riqueza mientras sigue aumentando el gap tecnológico y de productividad con China y Estados Unidos. Y avisa: de seguir así, Europa “no pod</w:t>
      </w:r>
      <w:r w:rsidRPr="0028369F">
        <w:rPr>
          <w:shd w:val="clear" w:color="auto" w:fill="FFFFFF"/>
        </w:rPr>
        <w:t xml:space="preserve">rá financiar su modelo social”. También advierte </w:t>
      </w:r>
      <w:r w:rsidR="00AA57F4" w:rsidRPr="0028369F">
        <w:rPr>
          <w:shd w:val="clear" w:color="auto" w:fill="FFFFFF"/>
        </w:rPr>
        <w:t xml:space="preserve">que esas reformas llevan implícitas imprescindibles dosis de dolor y sacrificio. </w:t>
      </w:r>
    </w:p>
    <w:p w:rsidR="008404D4" w:rsidRPr="0028369F" w:rsidRDefault="008404D4" w:rsidP="00AA57F4">
      <w:pPr>
        <w:pStyle w:val="NormalWeb"/>
        <w:shd w:val="clear" w:color="auto" w:fill="FFFFFF"/>
        <w:spacing w:after="0"/>
        <w:jc w:val="both"/>
        <w:rPr>
          <w:shd w:val="clear" w:color="auto" w:fill="FFFFFF"/>
        </w:rPr>
      </w:pPr>
      <w:r w:rsidRPr="0028369F">
        <w:rPr>
          <w:shd w:val="clear" w:color="auto" w:fill="FFFFFF"/>
        </w:rPr>
        <w:t>Pero: ¿s</w:t>
      </w:r>
      <w:r w:rsidR="00AA57F4" w:rsidRPr="0028369F">
        <w:rPr>
          <w:shd w:val="clear" w:color="auto" w:fill="FFFFFF"/>
        </w:rPr>
        <w:t>on los actuales dirigentes políticos los adecuados para afrontar un cambio de la envergadura que se propone?</w:t>
      </w:r>
      <w:r w:rsidRPr="0028369F">
        <w:rPr>
          <w:shd w:val="clear" w:color="auto" w:fill="FFFFFF"/>
        </w:rPr>
        <w:t xml:space="preserve"> ¿puede asegurarse que los ingentes fondos solicitados (800.000 millones de euros, por año, durante cinco años) no serán malversados, desperdiciados, empleados en gasto corriente, aplicados con criterio político, demagógico, o clientelar?</w:t>
      </w:r>
    </w:p>
    <w:p w:rsidR="008404D4" w:rsidRPr="0028369F" w:rsidRDefault="008404D4" w:rsidP="008404D4">
      <w:pPr>
        <w:pStyle w:val="NormalWeb"/>
        <w:shd w:val="clear" w:color="auto" w:fill="FFFFFF"/>
        <w:spacing w:after="0"/>
        <w:jc w:val="both"/>
        <w:rPr>
          <w:shd w:val="clear" w:color="auto" w:fill="FFFFFF"/>
        </w:rPr>
      </w:pPr>
      <w:r w:rsidRPr="0028369F">
        <w:rPr>
          <w:shd w:val="clear" w:color="auto" w:fill="FFFFFF"/>
        </w:rPr>
        <w:t>Europa sigue viviendo en un mundo feliz gracias a la maquinita de imprimir billetes. La decadencia económica de Europa está íntimamente ligada a la torpe corrección política y a los intereses personales de quienes nos gobiernan.</w:t>
      </w:r>
    </w:p>
    <w:p w:rsidR="00914171" w:rsidRPr="0028369F" w:rsidRDefault="008404D4" w:rsidP="008404D4">
      <w:pPr>
        <w:pStyle w:val="NormalWeb"/>
        <w:shd w:val="clear" w:color="auto" w:fill="FFFFFF"/>
        <w:spacing w:after="0"/>
        <w:jc w:val="both"/>
        <w:rPr>
          <w:shd w:val="clear" w:color="auto" w:fill="FFFFFF"/>
        </w:rPr>
      </w:pPr>
      <w:r w:rsidRPr="0028369F">
        <w:rPr>
          <w:shd w:val="clear" w:color="auto" w:fill="FFFFFF"/>
        </w:rPr>
        <w:t xml:space="preserve">A diferencia de EEUU cuya economía se apoya fundamentalmente en el consumo doméstico, la europea tiene un sesgo manufacturero y exportador que tiene más dificultades de adaptarse a entornos de menor crecimiento. </w:t>
      </w:r>
    </w:p>
    <w:p w:rsidR="008404D4" w:rsidRPr="0028369F" w:rsidRDefault="008404D4" w:rsidP="008404D4">
      <w:pPr>
        <w:pStyle w:val="NormalWeb"/>
        <w:shd w:val="clear" w:color="auto" w:fill="FFFFFF"/>
        <w:spacing w:after="0"/>
        <w:jc w:val="both"/>
        <w:rPr>
          <w:shd w:val="clear" w:color="auto" w:fill="FFFFFF"/>
        </w:rPr>
      </w:pPr>
      <w:r w:rsidRPr="0028369F">
        <w:rPr>
          <w:shd w:val="clear" w:color="auto" w:fill="FFFFFF"/>
        </w:rPr>
        <w:lastRenderedPageBreak/>
        <w:t>La habitual paradoja de Norte pujante y Sur a remolque se ha invertido en Europa en los últimos tiempos. Francia y Alemania, las dos principales economías de la Unión Europea, han pasado a la cola del crecimiento en Europa y bordean la recesión. Francia, sufriendo una gravísima crisis política y arrastrando unas penosas cuentas públicas, ha descartado reducir el déficit fiscal al objetivo del 3% del PIB, pero cree posible aunque se pueda alcanzar ¡en un horizonte de cinco años!, cuando el anterior Gobierno había planeado cumplir la regla fiscal para el año 2027. Nuevo Gobierno y proyecciones a peor.</w:t>
      </w:r>
    </w:p>
    <w:p w:rsidR="008404D4" w:rsidRPr="0028369F" w:rsidRDefault="008404D4" w:rsidP="008404D4">
      <w:pPr>
        <w:pStyle w:val="NormalWeb"/>
        <w:shd w:val="clear" w:color="auto" w:fill="FFFFFF"/>
        <w:spacing w:after="0"/>
        <w:jc w:val="both"/>
        <w:rPr>
          <w:shd w:val="clear" w:color="auto" w:fill="FFFFFF"/>
        </w:rPr>
      </w:pPr>
      <w:r w:rsidRPr="0028369F">
        <w:rPr>
          <w:shd w:val="clear" w:color="auto" w:fill="FFFFFF"/>
        </w:rPr>
        <w:t>Alemania, país netamente industrial y exportador, muy afectado en materia energética por la negativa influencia de la crisis unida a la invasión rusa a Ucrania, es víctima de sus propias políticas energéticas y de su lenta transición a las nuevas tecnologías. Siendo el tercer mayor exportador del mundo (detrás solo de EEUU y de China), verá cómo este año vuelve a descender su producción industrial.</w:t>
      </w:r>
    </w:p>
    <w:p w:rsidR="008404D4" w:rsidRPr="0028369F" w:rsidRDefault="008404D4" w:rsidP="008404D4">
      <w:pPr>
        <w:pStyle w:val="NormalWeb"/>
        <w:shd w:val="clear" w:color="auto" w:fill="FFFFFF"/>
        <w:spacing w:after="0"/>
        <w:jc w:val="both"/>
        <w:rPr>
          <w:shd w:val="clear" w:color="auto" w:fill="FFFFFF"/>
        </w:rPr>
      </w:pPr>
      <w:r w:rsidRPr="0028369F">
        <w:rPr>
          <w:shd w:val="clear" w:color="auto" w:fill="FFFFFF"/>
        </w:rPr>
        <w:t xml:space="preserve">La decaída economía china afecta a los europeos en diversos sectores económicos y es notable la correlación/exposición a su mercado de muchas empresas europeas. El sector más expuesto es el del automóvil, clave en la actividad económica de Alemania y, atención, también en la de España. La correlación de los diferentes sectores de la Eurozona con la economía china se muestra en el siguiente gráfico: </w:t>
      </w:r>
    </w:p>
    <w:p w:rsidR="00914171" w:rsidRDefault="00914171" w:rsidP="008404D4">
      <w:pPr>
        <w:pStyle w:val="NormalWeb"/>
        <w:shd w:val="clear" w:color="auto" w:fill="FFFFFF"/>
        <w:spacing w:after="0"/>
        <w:jc w:val="both"/>
        <w:rPr>
          <w:color w:val="FF0000"/>
          <w:shd w:val="clear" w:color="auto" w:fill="FFFFFF"/>
        </w:rPr>
      </w:pPr>
      <w:r w:rsidRPr="001806E0">
        <w:rPr>
          <w:b/>
          <w:bCs/>
          <w:noProof/>
          <w:sz w:val="29"/>
          <w:szCs w:val="29"/>
        </w:rPr>
        <w:drawing>
          <wp:inline distT="0" distB="0" distL="0" distR="0" wp14:anchorId="6C443D6F" wp14:editId="10F5C1F0">
            <wp:extent cx="5731510" cy="2973070"/>
            <wp:effectExtent l="0" t="0" r="254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2973070"/>
                    </a:xfrm>
                    <a:prstGeom prst="rect">
                      <a:avLst/>
                    </a:prstGeom>
                  </pic:spPr>
                </pic:pic>
              </a:graphicData>
            </a:graphic>
          </wp:inline>
        </w:drawing>
      </w:r>
    </w:p>
    <w:p w:rsidR="00914171" w:rsidRPr="0028369F" w:rsidRDefault="00914171" w:rsidP="008404D4">
      <w:pPr>
        <w:pStyle w:val="NormalWeb"/>
        <w:shd w:val="clear" w:color="auto" w:fill="FFFFFF"/>
        <w:spacing w:after="0"/>
        <w:jc w:val="both"/>
        <w:rPr>
          <w:shd w:val="clear" w:color="auto" w:fill="FFFFFF"/>
        </w:rPr>
      </w:pPr>
      <w:r w:rsidRPr="0028369F">
        <w:rPr>
          <w:shd w:val="clear" w:color="auto" w:fill="FFFFFF"/>
        </w:rPr>
        <w:t>(Fuente: Guillermo Santos Aramburo - El Confidencial - 1/10/24)</w:t>
      </w:r>
    </w:p>
    <w:p w:rsidR="002106E9" w:rsidRPr="0028369F" w:rsidRDefault="002106E9" w:rsidP="002106E9">
      <w:pPr>
        <w:pStyle w:val="NormalWeb"/>
        <w:spacing w:after="600"/>
        <w:jc w:val="both"/>
      </w:pPr>
      <w:r w:rsidRPr="0028369F">
        <w:t xml:space="preserve">Los acontecimientos de los últimos cuatro años han desencadenado un cambio fundamental en el orden internacional. La guerra de Ucrania y el alineamiento político de China con Rusia han puesto fin a la era de la integración económica mundial. Las fuerzas geopolíticas están remodelando intrincadamente los panoramas políticos y económicos en todo el mundo. China ha adoptado una nueva filosofía, reemplazando la estrategia de “esconderse y esperar” del pasado. El presidente Xi ha desarrollado una postura más asertiva, política, diplomática y militarmente. Las tensiones han aumentado en el Mar de China Meridional por las islas artificiales y las reclamaciones de soberanía exclusiva. Japón ha pasado de una modesta postura de defensa a duplicar su gasto en esta partida. India está buscando una mayor cooperación y coordinación con Estados Unidos en asuntos de defensa. </w:t>
      </w:r>
    </w:p>
    <w:p w:rsidR="002106E9" w:rsidRPr="0028369F" w:rsidRDefault="002106E9" w:rsidP="002106E9">
      <w:pPr>
        <w:pStyle w:val="NormalWeb"/>
        <w:spacing w:after="600"/>
        <w:jc w:val="both"/>
      </w:pPr>
      <w:r w:rsidRPr="0028369F">
        <w:lastRenderedPageBreak/>
        <w:t xml:space="preserve">La pandemia de la covid-19 llevó a las empresas a someterse a una reevaluación fundamental de las cadenas de suministro globales. Durante los 30 años anteriores, las empresas impulsaron principalmente el abastecimiento global de materiales y componentes mediante la búsqueda de los costos de insumos más bajos. En la era post-covid, la fiabilidad del suministro se ha convertido en un factor igualmente importante en estas decisiones, provocando un cambio o una duplicación de las cadenas de suministro como cobertura para el futuro. </w:t>
      </w:r>
    </w:p>
    <w:p w:rsidR="002106E9" w:rsidRPr="0028369F" w:rsidRDefault="002106E9" w:rsidP="002106E9">
      <w:pPr>
        <w:pStyle w:val="NormalWeb"/>
        <w:spacing w:after="600"/>
        <w:jc w:val="both"/>
      </w:pPr>
      <w:r w:rsidRPr="0028369F">
        <w:t>El ascenso de China en la cadena de valor productivo mundial ha aumentado las tensiones con otros centros de poder, en particular en lo que respecta a los productos relacionados con la transición energética. Europa y Estados Unidos están considerando ahora restricciones comerciales sobre los vehículos eléctricos y las baterías. Esto se suma a las restricciones de EEUU con respecto a los semiconductores, lo que provoca una ruptura geopolítica en los patrones económicos mundiales.</w:t>
      </w:r>
    </w:p>
    <w:p w:rsidR="002106E9" w:rsidRPr="0028369F" w:rsidRDefault="002106E9" w:rsidP="002106E9">
      <w:pPr>
        <w:pStyle w:val="NormalWeb"/>
        <w:spacing w:after="600"/>
        <w:jc w:val="both"/>
      </w:pPr>
      <w:r w:rsidRPr="0028369F">
        <w:t>En estas condiciones, la Unión Europea se enfrenta a una reducción de su participación en la economía mundial. Tanto en crecimiento como en inversión ha quedado por detrás de los de Estados Unidos y China, las dos economías más potentes del mundo, que están inmersas en esfuerzos multimillonarios para expandir sus industrias tecnológicas y verdes.</w:t>
      </w:r>
    </w:p>
    <w:p w:rsidR="002106E9" w:rsidRPr="0028369F" w:rsidRDefault="002106E9" w:rsidP="002106E9">
      <w:pPr>
        <w:pStyle w:val="NormalWeb"/>
        <w:shd w:val="clear" w:color="auto" w:fill="FFFFFF"/>
        <w:spacing w:after="0"/>
        <w:jc w:val="both"/>
        <w:rPr>
          <w:b/>
          <w:shd w:val="clear" w:color="auto" w:fill="FFFFFF"/>
        </w:rPr>
      </w:pPr>
      <w:r w:rsidRPr="0028369F">
        <w:rPr>
          <w:b/>
          <w:shd w:val="clear" w:color="auto" w:fill="FFFFFF"/>
        </w:rPr>
        <w:t xml:space="preserve">El callejón sin salida de la UE: una tormenta perfecta de indigencia, desidia, necedades, y corrupción… </w:t>
      </w:r>
    </w:p>
    <w:p w:rsidR="002106E9" w:rsidRPr="0028369F" w:rsidRDefault="002106E9" w:rsidP="002106E9">
      <w:pPr>
        <w:pStyle w:val="NormalWeb"/>
        <w:shd w:val="clear" w:color="auto" w:fill="FFFFFF"/>
        <w:spacing w:after="0"/>
        <w:jc w:val="both"/>
        <w:rPr>
          <w:shd w:val="clear" w:color="auto" w:fill="FFFFFF"/>
        </w:rPr>
      </w:pPr>
      <w:r w:rsidRPr="0028369F">
        <w:rPr>
          <w:shd w:val="clear" w:color="auto" w:fill="FFFFFF"/>
        </w:rPr>
        <w:t>Anteriormente he presentado algunos ejemplos (recientes) del absoluto despropósito (donde</w:t>
      </w:r>
      <w:r w:rsidR="00967033" w:rsidRPr="0028369F">
        <w:rPr>
          <w:shd w:val="clear" w:color="auto" w:fill="FFFFFF"/>
        </w:rPr>
        <w:t xml:space="preserve"> la burocra</w:t>
      </w:r>
      <w:r w:rsidRPr="0028369F">
        <w:rPr>
          <w:shd w:val="clear" w:color="auto" w:fill="FFFFFF"/>
        </w:rPr>
        <w:t>cia europea</w:t>
      </w:r>
      <w:r w:rsidR="00967033" w:rsidRPr="0028369F">
        <w:rPr>
          <w:shd w:val="clear" w:color="auto" w:fill="FFFFFF"/>
        </w:rPr>
        <w:t>, y/o los políticos europeos,</w:t>
      </w:r>
      <w:r w:rsidRPr="0028369F">
        <w:rPr>
          <w:shd w:val="clear" w:color="auto" w:fill="FFFFFF"/>
        </w:rPr>
        <w:t xml:space="preserve"> niega</w:t>
      </w:r>
      <w:r w:rsidR="00967033" w:rsidRPr="0028369F">
        <w:rPr>
          <w:shd w:val="clear" w:color="auto" w:fill="FFFFFF"/>
        </w:rPr>
        <w:t>n</w:t>
      </w:r>
      <w:r w:rsidRPr="0028369F">
        <w:rPr>
          <w:shd w:val="clear" w:color="auto" w:fill="FFFFFF"/>
        </w:rPr>
        <w:t xml:space="preserve"> la libertad y el progreso).</w:t>
      </w:r>
    </w:p>
    <w:p w:rsidR="002106E9" w:rsidRPr="00883C7C" w:rsidRDefault="002106E9" w:rsidP="00883C7C">
      <w:pPr>
        <w:pStyle w:val="NormalWeb"/>
        <w:shd w:val="clear" w:color="auto" w:fill="FFFFFF"/>
        <w:spacing w:after="0"/>
        <w:jc w:val="both"/>
      </w:pPr>
      <w:r w:rsidRPr="00883C7C">
        <w:t>La ley de cambio climático, </w:t>
      </w:r>
      <w:hyperlink r:id="rId25" w:tgtFrame="_blank" w:history="1">
        <w:r w:rsidRPr="00883C7C">
          <w:rPr>
            <w:rStyle w:val="Hipervnculo"/>
            <w:bCs/>
            <w:color w:val="auto"/>
            <w:u w:val="none"/>
          </w:rPr>
          <w:t>aprobada en mayo de 2021</w:t>
        </w:r>
      </w:hyperlink>
      <w:r w:rsidRPr="00883C7C">
        <w:t>, dejó la prohibición en negro sobre blanco: “</w:t>
      </w:r>
      <w:r w:rsidRPr="00883C7C">
        <w:rPr>
          <w:rStyle w:val="Textoennegrita"/>
          <w:b w:val="0"/>
        </w:rPr>
        <w:t>No se otorgarán nuevas autorizaciones</w:t>
      </w:r>
      <w:r w:rsidRPr="00883C7C">
        <w:t> de exploración, permisos de investigación y concesiones de explotación de hidrocarburos en todo el territorio nacional”…</w:t>
      </w:r>
    </w:p>
    <w:p w:rsidR="002106E9" w:rsidRDefault="002106E9" w:rsidP="002106E9">
      <w:pPr>
        <w:pStyle w:val="NormalWeb"/>
        <w:shd w:val="clear" w:color="auto" w:fill="FFFFFF"/>
        <w:spacing w:after="0"/>
        <w:jc w:val="both"/>
      </w:pPr>
      <w:r w:rsidRPr="00883C7C">
        <w:rPr>
          <w:color w:val="000000"/>
        </w:rPr>
        <w:t>Sin embargo, ninguna ley prohíbe la importación de hidrocarburos producidos más allá de nuestras fronteras, ni siquiera a través de técnicas como la</w:t>
      </w:r>
      <w:r w:rsidRPr="00883C7C">
        <w:rPr>
          <w:rStyle w:val="Textoennegrita"/>
          <w:color w:val="000000"/>
        </w:rPr>
        <w:t> </w:t>
      </w:r>
      <w:r w:rsidRPr="00883C7C">
        <w:rPr>
          <w:rStyle w:val="Textoennegrita"/>
          <w:b w:val="0"/>
          <w:color w:val="000000"/>
        </w:rPr>
        <w:t>fractura hidráulica</w:t>
      </w:r>
      <w:r w:rsidRPr="00883C7C">
        <w:rPr>
          <w:color w:val="000000"/>
        </w:rPr>
        <w:t> (</w:t>
      </w:r>
      <w:r w:rsidRPr="00883C7C">
        <w:rPr>
          <w:rStyle w:val="nfasis"/>
          <w:color w:val="000000"/>
        </w:rPr>
        <w:t>fracking</w:t>
      </w:r>
      <w:r w:rsidRPr="00883C7C">
        <w:rPr>
          <w:color w:val="000000"/>
        </w:rPr>
        <w:t xml:space="preserve">), mucho más dañina para el entorno </w:t>
      </w:r>
      <w:r w:rsidR="00883C7C">
        <w:rPr>
          <w:color w:val="000000"/>
        </w:rPr>
        <w:t>que la extracción convencional</w:t>
      </w:r>
      <w:r w:rsidR="00883C7C" w:rsidRPr="00883C7C">
        <w:rPr>
          <w:color w:val="000000"/>
        </w:rPr>
        <w:t xml:space="preserve">… </w:t>
      </w:r>
      <w:r w:rsidRPr="00883C7C">
        <w:t>o del siberiano, que </w:t>
      </w:r>
      <w:hyperlink r:id="rId26" w:tgtFrame="_self" w:history="1">
        <w:r w:rsidRPr="00883C7C">
          <w:rPr>
            <w:rStyle w:val="Hipervnculo"/>
            <w:bCs/>
            <w:color w:val="auto"/>
            <w:u w:val="none"/>
          </w:rPr>
          <w:t>ayuda al Kremlin a financiar la guerra en Ucrania</w:t>
        </w:r>
      </w:hyperlink>
      <w:r w:rsidRPr="00883C7C">
        <w:t> y en lo que va de año ya supone</w:t>
      </w:r>
      <w:r w:rsidR="00883C7C" w:rsidRPr="00883C7C">
        <w:rPr>
          <w:rStyle w:val="Textoennegrita"/>
        </w:rPr>
        <w:t> </w:t>
      </w:r>
      <w:r w:rsidR="00883C7C" w:rsidRPr="00883C7C">
        <w:rPr>
          <w:rStyle w:val="Textoennegrita"/>
          <w:b w:val="0"/>
        </w:rPr>
        <w:t>el 23% de las</w:t>
      </w:r>
      <w:r w:rsidRPr="00883C7C">
        <w:rPr>
          <w:rStyle w:val="Textoennegrita"/>
          <w:b w:val="0"/>
        </w:rPr>
        <w:t xml:space="preserve"> importaciones</w:t>
      </w:r>
      <w:r w:rsidR="00883C7C" w:rsidRPr="00883C7C">
        <w:rPr>
          <w:rStyle w:val="Textoennegrita"/>
          <w:b w:val="0"/>
        </w:rPr>
        <w:t xml:space="preserve"> de España</w:t>
      </w:r>
      <w:r w:rsidR="00883C7C" w:rsidRPr="00883C7C">
        <w:t xml:space="preserve"> (</w:t>
      </w:r>
      <w:r w:rsidRPr="00883C7C">
        <w:t>según Enagás, el gestor técnico del sistema</w:t>
      </w:r>
      <w:r w:rsidR="00883C7C" w:rsidRPr="00883C7C">
        <w:t>)</w:t>
      </w:r>
      <w:r w:rsidRPr="00883C7C">
        <w:t>…</w:t>
      </w:r>
    </w:p>
    <w:p w:rsidR="001709B1" w:rsidRDefault="00967033" w:rsidP="002106E9">
      <w:pPr>
        <w:pStyle w:val="NormalWeb"/>
        <w:shd w:val="clear" w:color="auto" w:fill="FFFFFF"/>
        <w:spacing w:after="0"/>
        <w:jc w:val="both"/>
      </w:pPr>
      <w:r>
        <w:t>La Agenda 2030, el Pacto Verde, y las innumerables</w:t>
      </w:r>
      <w:r w:rsidRPr="00967033">
        <w:t xml:space="preserve"> iniciativas políticas cuyo objetivo es situar a la UE en el camino hacia una transición ecológica</w:t>
      </w:r>
      <w:r>
        <w:t xml:space="preserve">, han llevado al abandono de ciertos cultivos en </w:t>
      </w:r>
      <w:r w:rsidR="001709B1">
        <w:t>los países miembro (por ejemplo, tomates, en España),</w:t>
      </w:r>
      <w:r w:rsidRPr="00967033">
        <w:t xml:space="preserve"> </w:t>
      </w:r>
      <w:r w:rsidR="001709B1">
        <w:t xml:space="preserve">mientras se permite la importación de los mismos productos originados en terceros países, que incumplen (o no se les exigen) las mismas medidas de protección al medio ambiente (por ejemplo, tomates, de Marruecos). En este último país, no solo se produce en condiciones de esclavitud de la mano de obra, sino que se ha llegado a comprobar que riegan los </w:t>
      </w:r>
      <w:r w:rsidR="00BB4B85">
        <w:t>cultivos con aguas fecales</w:t>
      </w:r>
      <w:r w:rsidR="001709B1">
        <w:t>.</w:t>
      </w:r>
    </w:p>
    <w:p w:rsidR="00BB4B85" w:rsidRPr="00E777BB" w:rsidRDefault="00BB4B85" w:rsidP="00BB4B85">
      <w:pPr>
        <w:pStyle w:val="NormalWeb"/>
        <w:spacing w:after="0"/>
        <w:jc w:val="both"/>
        <w:textAlignment w:val="baseline"/>
        <w:rPr>
          <w:u w:val="single"/>
        </w:rPr>
      </w:pPr>
      <w:r>
        <w:t xml:space="preserve">P. </w:t>
      </w:r>
      <w:r>
        <w:rPr>
          <w:u w:val="single"/>
        </w:rPr>
        <w:t>¿A qué se debe este este tipo de actitudes</w:t>
      </w:r>
      <w:r w:rsidRPr="00E777BB">
        <w:rPr>
          <w:u w:val="single"/>
        </w:rPr>
        <w:t xml:space="preserve"> en la U</w:t>
      </w:r>
      <w:r>
        <w:rPr>
          <w:u w:val="single"/>
        </w:rPr>
        <w:t>nión Europea</w:t>
      </w:r>
      <w:r w:rsidRPr="00E777BB">
        <w:rPr>
          <w:u w:val="single"/>
        </w:rPr>
        <w:t>?</w:t>
      </w:r>
    </w:p>
    <w:p w:rsidR="00BB4B85" w:rsidRDefault="00BB4B85" w:rsidP="00BB4B85">
      <w:pPr>
        <w:pStyle w:val="NormalWeb"/>
        <w:spacing w:after="0"/>
        <w:jc w:val="both"/>
        <w:textAlignment w:val="baseline"/>
        <w:rPr>
          <w:color w:val="FF0000"/>
          <w:u w:val="single"/>
        </w:rPr>
      </w:pPr>
      <w:r>
        <w:t xml:space="preserve">R. </w:t>
      </w:r>
      <w:r w:rsidRPr="00E777BB">
        <w:rPr>
          <w:color w:val="FF0000"/>
          <w:u w:val="single"/>
        </w:rPr>
        <w:t>A razones medioambientales, sociales y políticas, que no conviene, o porque hay un grupo q</w:t>
      </w:r>
      <w:r>
        <w:rPr>
          <w:color w:val="FF0000"/>
          <w:u w:val="single"/>
        </w:rPr>
        <w:t>ue dice no a todo. Lo que en EE</w:t>
      </w:r>
      <w:r w:rsidRPr="00E777BB">
        <w:rPr>
          <w:color w:val="FF0000"/>
          <w:u w:val="single"/>
        </w:rPr>
        <w:t>UU ll</w:t>
      </w:r>
      <w:r>
        <w:rPr>
          <w:color w:val="FF0000"/>
          <w:u w:val="single"/>
        </w:rPr>
        <w:t>aman nimby: not in my backyard (no en mi patio trasero)</w:t>
      </w:r>
      <w:r w:rsidRPr="00E777BB">
        <w:rPr>
          <w:color w:val="FF0000"/>
          <w:u w:val="single"/>
        </w:rPr>
        <w:t>. No están en contra de la mina, sino de que opere en su casa. Con perdón de la expresión, quieren ir a cagar a la casa del vecino, pero no a la suya; eso es muy europeo.</w:t>
      </w:r>
    </w:p>
    <w:p w:rsidR="00BB4B85" w:rsidRPr="0028369F" w:rsidRDefault="00BB4B85" w:rsidP="00BB4B85">
      <w:pPr>
        <w:pStyle w:val="NormalWeb"/>
        <w:spacing w:after="0"/>
        <w:jc w:val="both"/>
        <w:textAlignment w:val="baseline"/>
      </w:pPr>
      <w:r w:rsidRPr="0028369F">
        <w:lastRenderedPageBreak/>
        <w:t xml:space="preserve">Respuesta del experto holandés, Arnoldus van den Hurk (geólogo), con referencia a los permisos de exploración y explotación de minerales en Europa (Cinco Días - </w:t>
      </w:r>
      <w:r w:rsidRPr="0028369F">
        <w:rPr>
          <w:b/>
        </w:rPr>
        <w:t>27/9/24</w:t>
      </w:r>
      <w:r w:rsidRPr="0028369F">
        <w:t>)</w:t>
      </w:r>
    </w:p>
    <w:p w:rsidR="002106E9" w:rsidRPr="0028369F" w:rsidRDefault="002106E9" w:rsidP="002106E9">
      <w:pPr>
        <w:pStyle w:val="NormalWeb"/>
        <w:shd w:val="clear" w:color="auto" w:fill="FFFFFF"/>
        <w:spacing w:after="0"/>
        <w:jc w:val="both"/>
        <w:rPr>
          <w:shd w:val="clear" w:color="auto" w:fill="FFFFFF"/>
        </w:rPr>
      </w:pPr>
      <w:r w:rsidRPr="0028369F">
        <w:rPr>
          <w:shd w:val="clear" w:color="auto" w:fill="FFFFFF"/>
        </w:rPr>
        <w:t>Todo esto (y mucho más) s</w:t>
      </w:r>
      <w:r w:rsidR="00FE7EFD">
        <w:rPr>
          <w:shd w:val="clear" w:color="auto" w:fill="FFFFFF"/>
        </w:rPr>
        <w:t>e debe a la patología del appará</w:t>
      </w:r>
      <w:r w:rsidRPr="0028369F">
        <w:rPr>
          <w:shd w:val="clear" w:color="auto" w:fill="FFFFFF"/>
        </w:rPr>
        <w:t xml:space="preserve">tchik de Bruselas (verde por fuera -ecologista-, y rojo por dentro -izquierda caviar-): de decirnos a todos lo que debemos hacer en lo económico, lo político, y hasta lo moral, intentando que Europa muera de </w:t>
      </w:r>
      <w:r w:rsidR="00883C7C" w:rsidRPr="0028369F">
        <w:rPr>
          <w:shd w:val="clear" w:color="auto" w:fill="FFFFFF"/>
        </w:rPr>
        <w:t>desidia</w:t>
      </w:r>
      <w:r w:rsidRPr="0028369F">
        <w:rPr>
          <w:shd w:val="clear" w:color="auto" w:fill="FFFFFF"/>
        </w:rPr>
        <w:t>.</w:t>
      </w:r>
    </w:p>
    <w:p w:rsidR="002106E9" w:rsidRPr="0028369F" w:rsidRDefault="002106E9" w:rsidP="002106E9">
      <w:pPr>
        <w:pStyle w:val="NormalWeb"/>
        <w:shd w:val="clear" w:color="auto" w:fill="FFFFFF"/>
        <w:spacing w:after="0"/>
        <w:jc w:val="both"/>
        <w:rPr>
          <w:rStyle w:val="Textoennegrita"/>
          <w:b w:val="0"/>
          <w:bdr w:val="none" w:sz="0" w:space="0" w:color="auto" w:frame="1"/>
          <w:shd w:val="clear" w:color="auto" w:fill="FFFFFF"/>
        </w:rPr>
      </w:pPr>
      <w:r w:rsidRPr="0028369F">
        <w:rPr>
          <w:shd w:val="clear" w:color="auto" w:fill="FFFFFF"/>
        </w:rPr>
        <w:t>Todo esto (y mucho más) se debe al abandono de las ideas liberales y, a la negativa a limitar el gobierno de la Unión Europea a una gestión administrativa, a una voluntad tecnocracia que atenta contra la democracia, el crecimiento económico y la soberanía estratégica </w:t>
      </w:r>
      <w:r w:rsidRPr="0028369F">
        <w:rPr>
          <w:b/>
          <w:shd w:val="clear" w:color="auto" w:fill="FFFFFF"/>
        </w:rPr>
        <w:t>(</w:t>
      </w:r>
      <w:r w:rsidRPr="0028369F">
        <w:rPr>
          <w:rStyle w:val="Textoennegrita"/>
          <w:b w:val="0"/>
          <w:bdr w:val="none" w:sz="0" w:space="0" w:color="auto" w:frame="1"/>
          <w:shd w:val="clear" w:color="auto" w:fill="FFFFFF"/>
        </w:rPr>
        <w:t>sin principios</w:t>
      </w:r>
      <w:r w:rsidR="00BB4B85" w:rsidRPr="0028369F">
        <w:rPr>
          <w:rStyle w:val="Textoennegrita"/>
          <w:b w:val="0"/>
          <w:bdr w:val="none" w:sz="0" w:space="0" w:color="auto" w:frame="1"/>
          <w:shd w:val="clear" w:color="auto" w:fill="FFFFFF"/>
        </w:rPr>
        <w:t>,</w:t>
      </w:r>
      <w:r w:rsidRPr="0028369F">
        <w:rPr>
          <w:rStyle w:val="Textoennegrita"/>
          <w:b w:val="0"/>
          <w:bdr w:val="none" w:sz="0" w:space="0" w:color="auto" w:frame="1"/>
          <w:shd w:val="clear" w:color="auto" w:fill="FFFFFF"/>
        </w:rPr>
        <w:t xml:space="preserve"> y sin norte).</w:t>
      </w:r>
    </w:p>
    <w:p w:rsidR="002106E9" w:rsidRDefault="00E01BC0" w:rsidP="002106E9">
      <w:pPr>
        <w:pStyle w:val="NormalWeb"/>
        <w:shd w:val="clear" w:color="auto" w:fill="FFFFFF"/>
        <w:spacing w:after="0"/>
        <w:jc w:val="both"/>
      </w:pPr>
      <w:r>
        <w:t>Y lo</w:t>
      </w:r>
      <w:r w:rsidR="002106E9">
        <w:t xml:space="preserve"> peor, aún si cabe, es que los burócratas de Bruselas, siguen con el mismo inmoderado afán que antes de los constados percances (</w:t>
      </w:r>
      <w:r w:rsidR="002106E9" w:rsidRPr="00C74361">
        <w:t>sin motivo suficiente y justificado</w:t>
      </w:r>
      <w:r w:rsidR="002106E9">
        <w:t>).</w:t>
      </w:r>
    </w:p>
    <w:p w:rsidR="00967033" w:rsidRDefault="00967033" w:rsidP="00967033">
      <w:pPr>
        <w:shd w:val="clear" w:color="auto" w:fill="F9F8F2"/>
        <w:spacing w:before="100" w:beforeAutospacing="1" w:after="100" w:afterAutospacing="1" w:line="240" w:lineRule="auto"/>
        <w:jc w:val="both"/>
        <w:rPr>
          <w:rFonts w:ascii="Times New Roman" w:hAnsi="Times New Roman" w:cs="Times New Roman"/>
          <w:sz w:val="24"/>
          <w:szCs w:val="24"/>
        </w:rPr>
      </w:pPr>
      <w:r w:rsidRPr="00DD4054">
        <w:rPr>
          <w:rFonts w:ascii="Times New Roman" w:eastAsia="Times New Roman" w:hAnsi="Times New Roman" w:cs="Times New Roman"/>
          <w:sz w:val="24"/>
          <w:szCs w:val="24"/>
          <w:lang w:eastAsia="es-ES"/>
        </w:rPr>
        <w:t xml:space="preserve">Por favor, Don Mario, antes que se me acaben </w:t>
      </w:r>
      <w:r>
        <w:rPr>
          <w:rFonts w:ascii="Times New Roman" w:eastAsia="Times New Roman" w:hAnsi="Times New Roman" w:cs="Times New Roman"/>
          <w:sz w:val="24"/>
          <w:szCs w:val="24"/>
          <w:lang w:eastAsia="es-ES"/>
        </w:rPr>
        <w:t>“</w:t>
      </w:r>
      <w:r w:rsidRPr="00DD4054">
        <w:rPr>
          <w:rFonts w:ascii="Times New Roman" w:eastAsia="Times New Roman" w:hAnsi="Times New Roman" w:cs="Times New Roman"/>
          <w:sz w:val="24"/>
          <w:szCs w:val="24"/>
          <w:lang w:eastAsia="es-ES"/>
        </w:rPr>
        <w:t>las cinco horas</w:t>
      </w:r>
      <w:r w:rsidR="00E01BC0">
        <w:rPr>
          <w:rFonts w:ascii="Times New Roman" w:eastAsia="Times New Roman" w:hAnsi="Times New Roman" w:cs="Times New Roman"/>
          <w:sz w:val="24"/>
          <w:szCs w:val="24"/>
          <w:lang w:eastAsia="es-ES"/>
        </w:rPr>
        <w:t>,</w:t>
      </w:r>
      <w:r w:rsidRPr="00DD4054">
        <w:rPr>
          <w:rFonts w:ascii="Times New Roman" w:eastAsia="Times New Roman" w:hAnsi="Times New Roman" w:cs="Times New Roman"/>
          <w:sz w:val="24"/>
          <w:szCs w:val="24"/>
          <w:lang w:eastAsia="es-ES"/>
        </w:rPr>
        <w:t xml:space="preserve"> con usted”</w:t>
      </w:r>
      <w:r>
        <w:rPr>
          <w:rFonts w:ascii="Times New Roman" w:eastAsia="Times New Roman" w:hAnsi="Times New Roman" w:cs="Times New Roman"/>
          <w:sz w:val="24"/>
          <w:szCs w:val="24"/>
          <w:lang w:eastAsia="es-ES"/>
        </w:rPr>
        <w:t xml:space="preserve">, dígame si </w:t>
      </w:r>
      <w:r>
        <w:rPr>
          <w:rFonts w:ascii="Times New Roman" w:hAnsi="Times New Roman" w:cs="Times New Roman"/>
          <w:sz w:val="24"/>
          <w:szCs w:val="24"/>
        </w:rPr>
        <w:t>¿está en sus</w:t>
      </w:r>
      <w:r w:rsidRPr="00DD4054">
        <w:rPr>
          <w:rFonts w:ascii="Times New Roman" w:hAnsi="Times New Roman" w:cs="Times New Roman"/>
          <w:sz w:val="24"/>
          <w:szCs w:val="24"/>
        </w:rPr>
        <w:t xml:space="preserve"> manos cambiar estas costumbres</w:t>
      </w:r>
      <w:r>
        <w:rPr>
          <w:rFonts w:ascii="Times New Roman" w:hAnsi="Times New Roman" w:cs="Times New Roman"/>
          <w:sz w:val="24"/>
          <w:szCs w:val="24"/>
        </w:rPr>
        <w:t xml:space="preserve"> europeas</w:t>
      </w:r>
      <w:r w:rsidRPr="00DD4054">
        <w:rPr>
          <w:rFonts w:ascii="Times New Roman" w:hAnsi="Times New Roman" w:cs="Times New Roman"/>
          <w:sz w:val="24"/>
          <w:szCs w:val="24"/>
        </w:rPr>
        <w:t xml:space="preserve"> tan corrompidas?</w:t>
      </w:r>
      <w:r>
        <w:rPr>
          <w:rFonts w:ascii="Times New Roman" w:hAnsi="Times New Roman" w:cs="Times New Roman"/>
          <w:sz w:val="24"/>
          <w:szCs w:val="24"/>
        </w:rPr>
        <w:t xml:space="preserve"> o, si po</w:t>
      </w:r>
      <w:r w:rsidR="00A55D09">
        <w:rPr>
          <w:rFonts w:ascii="Times New Roman" w:hAnsi="Times New Roman" w:cs="Times New Roman"/>
          <w:sz w:val="24"/>
          <w:szCs w:val="24"/>
        </w:rPr>
        <w:t>r la teoría del mal menor ¿habrá</w:t>
      </w:r>
      <w:r>
        <w:rPr>
          <w:rFonts w:ascii="Times New Roman" w:hAnsi="Times New Roman" w:cs="Times New Roman"/>
          <w:sz w:val="24"/>
          <w:szCs w:val="24"/>
        </w:rPr>
        <w:t xml:space="preserve"> que seguir tragando con ignorantes, petulantes, codiciosos, corrutos y ladrones? ¿podrá controlar, limitar, o reconvertir a tan delirantes b</w:t>
      </w:r>
      <w:r w:rsidR="00A55D09">
        <w:rPr>
          <w:rFonts w:ascii="Times New Roman" w:hAnsi="Times New Roman" w:cs="Times New Roman"/>
          <w:sz w:val="24"/>
          <w:szCs w:val="24"/>
        </w:rPr>
        <w:t>urócratas, adictos a los Gosplan soviéticos (</w:t>
      </w:r>
      <w:r>
        <w:rPr>
          <w:rFonts w:ascii="Times New Roman" w:hAnsi="Times New Roman" w:cs="Times New Roman"/>
          <w:sz w:val="24"/>
          <w:szCs w:val="24"/>
        </w:rPr>
        <w:t>de triste recuerdo</w:t>
      </w:r>
      <w:r w:rsidR="00A55D09">
        <w:rPr>
          <w:rFonts w:ascii="Times New Roman" w:hAnsi="Times New Roman" w:cs="Times New Roman"/>
          <w:sz w:val="24"/>
          <w:szCs w:val="24"/>
        </w:rPr>
        <w:t>)? ¿cree usted, que con dinero, lanzado desde un helicóptero</w:t>
      </w:r>
      <w:r>
        <w:rPr>
          <w:rFonts w:ascii="Times New Roman" w:hAnsi="Times New Roman" w:cs="Times New Roman"/>
          <w:sz w:val="24"/>
          <w:szCs w:val="24"/>
        </w:rPr>
        <w:t xml:space="preserve"> </w:t>
      </w:r>
      <w:r w:rsidR="00A55D09">
        <w:rPr>
          <w:rFonts w:ascii="Times New Roman" w:hAnsi="Times New Roman" w:cs="Times New Roman"/>
          <w:sz w:val="24"/>
          <w:szCs w:val="24"/>
        </w:rPr>
        <w:t>(</w:t>
      </w:r>
      <w:r>
        <w:rPr>
          <w:rFonts w:ascii="Times New Roman" w:hAnsi="Times New Roman" w:cs="Times New Roman"/>
          <w:sz w:val="24"/>
          <w:szCs w:val="24"/>
        </w:rPr>
        <w:t xml:space="preserve">sin destino, ni control) se podrá resolver tanta torpeza y calamidad (escaso criterio y ninguna voluntad)?  </w:t>
      </w:r>
    </w:p>
    <w:p w:rsidR="00967033" w:rsidRDefault="00967033" w:rsidP="00967033">
      <w:pPr>
        <w:shd w:val="clear" w:color="auto" w:fill="F9F8F2"/>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Con la “montaña de dinero” prevista (800.000 euros por año, durante cinco años), ¿podrá lograr que en Europa las compañías aéreas se equipen íntegramente con Airbus, como lo hacen las norte</w:t>
      </w:r>
      <w:r w:rsidR="00A55D09">
        <w:rPr>
          <w:rFonts w:ascii="Times New Roman" w:eastAsia="Times New Roman" w:hAnsi="Times New Roman" w:cs="Times New Roman"/>
          <w:sz w:val="24"/>
          <w:szCs w:val="24"/>
          <w:lang w:eastAsia="es-ES"/>
        </w:rPr>
        <w:t>a</w:t>
      </w:r>
      <w:r>
        <w:rPr>
          <w:rFonts w:ascii="Times New Roman" w:eastAsia="Times New Roman" w:hAnsi="Times New Roman" w:cs="Times New Roman"/>
          <w:sz w:val="24"/>
          <w:szCs w:val="24"/>
          <w:lang w:eastAsia="es-ES"/>
        </w:rPr>
        <w:t>mericanas con Boeing? ¿podrá lograr que las autoridades europeas pongan un arancel del 100% a los automóviles eléctricos chinos, como hace la admi</w:t>
      </w:r>
      <w:r w:rsidR="00A03936">
        <w:rPr>
          <w:rFonts w:ascii="Times New Roman" w:eastAsia="Times New Roman" w:hAnsi="Times New Roman" w:cs="Times New Roman"/>
          <w:sz w:val="24"/>
          <w:szCs w:val="24"/>
          <w:lang w:eastAsia="es-ES"/>
        </w:rPr>
        <w:t>nistración de los EEUU</w:t>
      </w:r>
      <w:r w:rsidR="00A55D09">
        <w:rPr>
          <w:rFonts w:ascii="Times New Roman" w:eastAsia="Times New Roman" w:hAnsi="Times New Roman" w:cs="Times New Roman"/>
          <w:sz w:val="24"/>
          <w:szCs w:val="24"/>
          <w:lang w:eastAsia="es-ES"/>
        </w:rPr>
        <w:t xml:space="preserve"> (y no sigan debatiendo</w:t>
      </w:r>
      <w:r w:rsidR="00A03936">
        <w:rPr>
          <w:rFonts w:ascii="Times New Roman" w:eastAsia="Times New Roman" w:hAnsi="Times New Roman" w:cs="Times New Roman"/>
          <w:sz w:val="24"/>
          <w:szCs w:val="24"/>
          <w:lang w:eastAsia="es-ES"/>
        </w:rPr>
        <w:t>, muertos de miedo,</w:t>
      </w:r>
      <w:r w:rsidR="00A55D09">
        <w:rPr>
          <w:rFonts w:ascii="Times New Roman" w:eastAsia="Times New Roman" w:hAnsi="Times New Roman" w:cs="Times New Roman"/>
          <w:sz w:val="24"/>
          <w:szCs w:val="24"/>
          <w:lang w:eastAsia="es-ES"/>
        </w:rPr>
        <w:t xml:space="preserve"> si le ponen </w:t>
      </w:r>
      <w:r w:rsidR="00A03936">
        <w:rPr>
          <w:rFonts w:ascii="Times New Roman" w:eastAsia="Times New Roman" w:hAnsi="Times New Roman" w:cs="Times New Roman"/>
          <w:sz w:val="24"/>
          <w:szCs w:val="24"/>
          <w:lang w:eastAsia="es-ES"/>
        </w:rPr>
        <w:t>un 37%, temporal)</w:t>
      </w:r>
      <w:r>
        <w:rPr>
          <w:rFonts w:ascii="Times New Roman" w:eastAsia="Times New Roman" w:hAnsi="Times New Roman" w:cs="Times New Roman"/>
          <w:sz w:val="24"/>
          <w:szCs w:val="24"/>
          <w:lang w:eastAsia="es-ES"/>
        </w:rPr>
        <w:t>? ¿podrá logar que se recupere la industria europea, renunciando al multi</w:t>
      </w:r>
      <w:r w:rsidR="00A03936">
        <w:rPr>
          <w:rFonts w:ascii="Times New Roman" w:eastAsia="Times New Roman" w:hAnsi="Times New Roman" w:cs="Times New Roman"/>
          <w:sz w:val="24"/>
          <w:szCs w:val="24"/>
          <w:lang w:eastAsia="es-ES"/>
        </w:rPr>
        <w:t>l</w:t>
      </w:r>
      <w:r>
        <w:rPr>
          <w:rFonts w:ascii="Times New Roman" w:eastAsia="Times New Roman" w:hAnsi="Times New Roman" w:cs="Times New Roman"/>
          <w:sz w:val="24"/>
          <w:szCs w:val="24"/>
          <w:lang w:eastAsia="es-ES"/>
        </w:rPr>
        <w:t>ateralismo,</w:t>
      </w:r>
      <w:r w:rsidR="00E01BC0">
        <w:rPr>
          <w:rFonts w:ascii="Times New Roman" w:eastAsia="Times New Roman" w:hAnsi="Times New Roman" w:cs="Times New Roman"/>
          <w:sz w:val="24"/>
          <w:szCs w:val="24"/>
          <w:lang w:eastAsia="es-ES"/>
        </w:rPr>
        <w:t xml:space="preserve"> la deslocalización codiciosa,</w:t>
      </w:r>
      <w:r>
        <w:rPr>
          <w:rFonts w:ascii="Times New Roman" w:eastAsia="Times New Roman" w:hAnsi="Times New Roman" w:cs="Times New Roman"/>
          <w:sz w:val="24"/>
          <w:szCs w:val="24"/>
          <w:lang w:eastAsia="es-ES"/>
        </w:rPr>
        <w:t xml:space="preserve"> e impidiendo la competencia desleal?</w:t>
      </w:r>
      <w:r w:rsidR="00A03936">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¿podrá lograr que se deroguen todas las medidas ambientales que condicionan, y limitan, la producción ag</w:t>
      </w:r>
      <w:r w:rsidR="00A03936">
        <w:rPr>
          <w:rFonts w:ascii="Times New Roman" w:eastAsia="Times New Roman" w:hAnsi="Times New Roman" w:cs="Times New Roman"/>
          <w:sz w:val="24"/>
          <w:szCs w:val="24"/>
          <w:lang w:eastAsia="es-ES"/>
        </w:rPr>
        <w:t>ropecuaria europea? ¿podrá lograr</w:t>
      </w:r>
      <w:r>
        <w:rPr>
          <w:rFonts w:ascii="Times New Roman" w:eastAsia="Times New Roman" w:hAnsi="Times New Roman" w:cs="Times New Roman"/>
          <w:sz w:val="24"/>
          <w:szCs w:val="24"/>
          <w:lang w:eastAsia="es-ES"/>
        </w:rPr>
        <w:t xml:space="preserve"> una moratoria para la fabricación d</w:t>
      </w:r>
      <w:r w:rsidR="00A03936">
        <w:rPr>
          <w:rFonts w:ascii="Times New Roman" w:eastAsia="Times New Roman" w:hAnsi="Times New Roman" w:cs="Times New Roman"/>
          <w:sz w:val="24"/>
          <w:szCs w:val="24"/>
          <w:lang w:eastAsia="es-ES"/>
        </w:rPr>
        <w:t>e automóviles eléctricos? ¿podrá</w:t>
      </w:r>
      <w:r>
        <w:rPr>
          <w:rFonts w:ascii="Times New Roman" w:eastAsia="Times New Roman" w:hAnsi="Times New Roman" w:cs="Times New Roman"/>
          <w:sz w:val="24"/>
          <w:szCs w:val="24"/>
          <w:lang w:eastAsia="es-ES"/>
        </w:rPr>
        <w:t xml:space="preserve"> lograr que se reabran, o construyan nuevas centrales nucleares? ¿podrá log</w:t>
      </w:r>
      <w:r w:rsidR="0028369F">
        <w:rPr>
          <w:rFonts w:ascii="Times New Roman" w:eastAsia="Times New Roman" w:hAnsi="Times New Roman" w:cs="Times New Roman"/>
          <w:sz w:val="24"/>
          <w:szCs w:val="24"/>
          <w:lang w:eastAsia="es-ES"/>
        </w:rPr>
        <w:t>r</w:t>
      </w:r>
      <w:r>
        <w:rPr>
          <w:rFonts w:ascii="Times New Roman" w:eastAsia="Times New Roman" w:hAnsi="Times New Roman" w:cs="Times New Roman"/>
          <w:sz w:val="24"/>
          <w:szCs w:val="24"/>
          <w:lang w:eastAsia="es-ES"/>
        </w:rPr>
        <w:t>ar que se deje de comprar gas a Rusia, con cuyo dinero adqui</w:t>
      </w:r>
      <w:r w:rsidR="00A03936">
        <w:rPr>
          <w:rFonts w:ascii="Times New Roman" w:eastAsia="Times New Roman" w:hAnsi="Times New Roman" w:cs="Times New Roman"/>
          <w:sz w:val="24"/>
          <w:szCs w:val="24"/>
          <w:lang w:eastAsia="es-ES"/>
        </w:rPr>
        <w:t>ere las armas con las que agrede a</w:t>
      </w:r>
      <w:r>
        <w:rPr>
          <w:rFonts w:ascii="Times New Roman" w:eastAsia="Times New Roman" w:hAnsi="Times New Roman" w:cs="Times New Roman"/>
          <w:sz w:val="24"/>
          <w:szCs w:val="24"/>
          <w:lang w:eastAsia="es-ES"/>
        </w:rPr>
        <w:t xml:space="preserve"> Ucrania, a la que Europa (cínicamente) apoya en esa guerra? ¿podrá lograr que se autorice la exploración, y explotación, de todos los recursos minerales que hay en el territorio europe</w:t>
      </w:r>
      <w:r w:rsidR="00A03936">
        <w:rPr>
          <w:rFonts w:ascii="Times New Roman" w:eastAsia="Times New Roman" w:hAnsi="Times New Roman" w:cs="Times New Roman"/>
          <w:sz w:val="24"/>
          <w:szCs w:val="24"/>
          <w:lang w:eastAsia="es-ES"/>
        </w:rPr>
        <w:t>o (por cualquiera de los sistema</w:t>
      </w:r>
      <w:r>
        <w:rPr>
          <w:rFonts w:ascii="Times New Roman" w:eastAsia="Times New Roman" w:hAnsi="Times New Roman" w:cs="Times New Roman"/>
          <w:sz w:val="24"/>
          <w:szCs w:val="24"/>
          <w:lang w:eastAsia="es-ES"/>
        </w:rPr>
        <w:t>s disponibles)?...</w:t>
      </w:r>
    </w:p>
    <w:p w:rsidR="00967033" w:rsidRDefault="00967033" w:rsidP="00967033">
      <w:pPr>
        <w:shd w:val="clear" w:color="auto" w:fill="F9F8F2"/>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Si no sirve para ese destino (soberanía, crecimiento, di</w:t>
      </w:r>
      <w:r w:rsidR="00A03936">
        <w:rPr>
          <w:rFonts w:ascii="Times New Roman" w:eastAsia="Times New Roman" w:hAnsi="Times New Roman" w:cs="Times New Roman"/>
          <w:sz w:val="24"/>
          <w:szCs w:val="24"/>
          <w:lang w:eastAsia="es-ES"/>
        </w:rPr>
        <w:t>stribución de rentas…) ¿para qué</w:t>
      </w:r>
      <w:r>
        <w:rPr>
          <w:rFonts w:ascii="Times New Roman" w:eastAsia="Times New Roman" w:hAnsi="Times New Roman" w:cs="Times New Roman"/>
          <w:sz w:val="24"/>
          <w:szCs w:val="24"/>
          <w:lang w:eastAsia="es-ES"/>
        </w:rPr>
        <w:t xml:space="preserve"> puede servir tamaña “montaña de dinero? ¿cómo se puede justificar hipotecar el futuro de las siguientes generaciones con una deuda improductiva, e insostenible? </w:t>
      </w:r>
    </w:p>
    <w:p w:rsidR="00967033" w:rsidRPr="00DD4054" w:rsidRDefault="00967033" w:rsidP="00967033">
      <w:pPr>
        <w:shd w:val="clear" w:color="auto" w:fill="F9F8F2"/>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qué esta vez, será diferente? ¿Qué motivos hay, para no dudarlo?</w:t>
      </w:r>
    </w:p>
    <w:p w:rsidR="00967033" w:rsidRDefault="00967033" w:rsidP="00967033">
      <w:pPr>
        <w:pStyle w:val="NormalWeb"/>
        <w:spacing w:after="600"/>
        <w:jc w:val="both"/>
        <w:rPr>
          <w:color w:val="000000"/>
        </w:rPr>
      </w:pPr>
      <w:r>
        <w:rPr>
          <w:color w:val="000000"/>
        </w:rPr>
        <w:t>No volverá a insistirse en la reiterada y fracasada fórmula del “</w:t>
      </w:r>
      <w:r w:rsidRPr="002D34AF">
        <w:rPr>
          <w:color w:val="000000"/>
        </w:rPr>
        <w:t>milagro económico</w:t>
      </w:r>
      <w:r>
        <w:rPr>
          <w:color w:val="000000"/>
        </w:rPr>
        <w:t xml:space="preserve"> europeo”: </w:t>
      </w:r>
      <w:r w:rsidRPr="002D34AF">
        <w:rPr>
          <w:color w:val="000000"/>
        </w:rPr>
        <w:t>una cultura empresarial adicta a la subvención</w:t>
      </w:r>
      <w:r>
        <w:rPr>
          <w:color w:val="000000"/>
        </w:rPr>
        <w:t xml:space="preserve">. </w:t>
      </w:r>
      <w:r w:rsidR="00A03936">
        <w:rPr>
          <w:color w:val="000000"/>
        </w:rPr>
        <w:t>Cortesanos</w:t>
      </w:r>
      <w:r>
        <w:rPr>
          <w:color w:val="000000"/>
        </w:rPr>
        <w:t xml:space="preserve"> del poder, pegados a la teta presupuestaria, dependientes de los contratos públicos, traficantes de influencias, paracaidistas de oro, jubilados de privile</w:t>
      </w:r>
      <w:r w:rsidR="00A03936">
        <w:rPr>
          <w:color w:val="000000"/>
        </w:rPr>
        <w:t xml:space="preserve">gio, corruptores y corruptos… </w:t>
      </w:r>
      <w:r>
        <w:rPr>
          <w:color w:val="000000"/>
        </w:rPr>
        <w:t xml:space="preserve"> </w:t>
      </w:r>
      <w:r w:rsidR="00A03936">
        <w:rPr>
          <w:color w:val="000000"/>
        </w:rPr>
        <w:t>(</w:t>
      </w:r>
      <w:r>
        <w:rPr>
          <w:color w:val="000000"/>
        </w:rPr>
        <w:t>podría seguir).</w:t>
      </w:r>
    </w:p>
    <w:p w:rsidR="006C0ACF" w:rsidRDefault="00A03936" w:rsidP="00A03936">
      <w:pPr>
        <w:pStyle w:val="NormalWeb"/>
        <w:spacing w:after="600"/>
        <w:jc w:val="both"/>
        <w:rPr>
          <w:color w:val="000000"/>
        </w:rPr>
      </w:pPr>
      <w:r>
        <w:rPr>
          <w:color w:val="000000"/>
        </w:rPr>
        <w:lastRenderedPageBreak/>
        <w:t xml:space="preserve">Así y todo, </w:t>
      </w:r>
      <w:r w:rsidR="00967033">
        <w:rPr>
          <w:color w:val="000000"/>
        </w:rPr>
        <w:t>Don Mario,</w:t>
      </w:r>
      <w:r>
        <w:rPr>
          <w:color w:val="000000"/>
        </w:rPr>
        <w:t xml:space="preserve"> creo</w:t>
      </w:r>
      <w:r w:rsidR="00967033">
        <w:rPr>
          <w:color w:val="000000"/>
        </w:rPr>
        <w:t xml:space="preserve"> que nunca, nunca, la Unión Europea podrá inventar y desarrollar, tecnologías de espionaje, abducción, manipulación, y </w:t>
      </w:r>
      <w:r>
        <w:rPr>
          <w:color w:val="000000"/>
        </w:rPr>
        <w:t>tráfico</w:t>
      </w:r>
      <w:r w:rsidR="00967033">
        <w:rPr>
          <w:color w:val="000000"/>
        </w:rPr>
        <w:t xml:space="preserve"> de datos (Silicon Valley), y armas financieras de destrucción masiva (Wall Street) como los EEUU, y nunca, nunca, podrá fabricar productos al costo de China. Si mi apreciación es válida, Europa, solo puede crecer en base al desarrollo de su mercado interior, y aplicando una política proteccionista racional (acuerdos bilaterales, intercambio compensado, importar lo mínimo imprescindible, y exportar lo suficiente para mantener una balanza de pagos equilibrada). O sea: fin de la globalización, fin del multilateralismo, fin del librecambio, fin de la financierización, fin de los brazos abiertos a la inmigración ilegal, fin de la actitud contemplativa con el islamismo radical, no tener miedo a la Inteligencia Artificial, privilegiando la Inteligencia Humana (que tan abandonada está, en el “museo vacío”, de esta Europa residual)… y, al final, dejar de vivir (ilusoriamente) por encima de sus posibilidades. </w:t>
      </w:r>
    </w:p>
    <w:p w:rsidR="000B74A6" w:rsidRDefault="000B74A6" w:rsidP="000B74A6">
      <w:pPr>
        <w:pStyle w:val="NormalWeb"/>
        <w:jc w:val="both"/>
        <w:rPr>
          <w:b/>
        </w:rPr>
      </w:pPr>
      <w:r>
        <w:rPr>
          <w:b/>
        </w:rPr>
        <w:t>¿Cómo hemos llegado hasta aquí? (algunas reflexiones molestas)</w:t>
      </w:r>
    </w:p>
    <w:p w:rsidR="000B74A6" w:rsidRDefault="000B74A6" w:rsidP="000B74A6">
      <w:pPr>
        <w:pStyle w:val="NormalWeb"/>
        <w:jc w:val="both"/>
        <w:rPr>
          <w:b/>
        </w:rPr>
      </w:pPr>
      <w:r>
        <w:rPr>
          <w:b/>
        </w:rPr>
        <w:t>Primera respuesta: repitiendo los errores del pasado (chapoteando en la oscuridad)</w:t>
      </w:r>
    </w:p>
    <w:p w:rsidR="000B74A6" w:rsidRDefault="000B74A6" w:rsidP="000B74A6">
      <w:pPr>
        <w:pStyle w:val="NormalWeb"/>
        <w:jc w:val="both"/>
        <w:rPr>
          <w:b/>
        </w:rPr>
      </w:pPr>
      <w:r>
        <w:rPr>
          <w:b/>
        </w:rPr>
        <w:t>Segunda respuesta: aumentando el estatismo y la intervención de la economía</w:t>
      </w:r>
    </w:p>
    <w:p w:rsidR="000B74A6" w:rsidRDefault="000B74A6" w:rsidP="000B74A6">
      <w:pPr>
        <w:pStyle w:val="NormalWeb"/>
        <w:jc w:val="both"/>
        <w:rPr>
          <w:b/>
        </w:rPr>
      </w:pPr>
      <w:r>
        <w:rPr>
          <w:b/>
        </w:rPr>
        <w:t>Tercera respuesta: expoliando al contribuyente (déficit, deuda, represión financiera)</w:t>
      </w:r>
    </w:p>
    <w:p w:rsidR="000B74A6" w:rsidRDefault="000B74A6" w:rsidP="000B74A6">
      <w:pPr>
        <w:pStyle w:val="NormalWeb"/>
        <w:jc w:val="both"/>
        <w:rPr>
          <w:b/>
        </w:rPr>
      </w:pPr>
      <w:r>
        <w:rPr>
          <w:b/>
        </w:rPr>
        <w:t>Cuarta respuesta: aplicando una política medioambiental extrema, no proporcional</w:t>
      </w:r>
    </w:p>
    <w:p w:rsidR="000B74A6" w:rsidRDefault="000B74A6" w:rsidP="000B74A6">
      <w:pPr>
        <w:pStyle w:val="NormalWeb"/>
        <w:jc w:val="both"/>
        <w:rPr>
          <w:b/>
        </w:rPr>
      </w:pPr>
      <w:r>
        <w:rPr>
          <w:b/>
        </w:rPr>
        <w:t>Quinta respuesta: sometiéndose a la ideología de género del movimiento LGTBIQ+</w:t>
      </w:r>
    </w:p>
    <w:p w:rsidR="000B74A6" w:rsidRDefault="000B74A6" w:rsidP="000B74A6">
      <w:pPr>
        <w:pStyle w:val="NormalWeb"/>
        <w:jc w:val="both"/>
        <w:rPr>
          <w:b/>
        </w:rPr>
      </w:pPr>
      <w:r>
        <w:rPr>
          <w:b/>
        </w:rPr>
        <w:t>Sexta respuesta: claudicando ante los intereses de los EEUU o China (globalización)</w:t>
      </w:r>
    </w:p>
    <w:p w:rsidR="000B74A6" w:rsidRDefault="000B74A6" w:rsidP="000B74A6">
      <w:pPr>
        <w:pStyle w:val="NormalWeb"/>
        <w:jc w:val="both"/>
        <w:rPr>
          <w:b/>
        </w:rPr>
      </w:pPr>
      <w:r>
        <w:rPr>
          <w:b/>
        </w:rPr>
        <w:t>Séptima respuesta: cediendo el aprovisionamiento de bienes estratégicos a dictadores</w:t>
      </w:r>
    </w:p>
    <w:p w:rsidR="000B74A6" w:rsidRDefault="000B74A6" w:rsidP="000B74A6">
      <w:pPr>
        <w:pStyle w:val="NormalWeb"/>
        <w:jc w:val="both"/>
        <w:rPr>
          <w:b/>
        </w:rPr>
      </w:pPr>
      <w:r>
        <w:rPr>
          <w:b/>
        </w:rPr>
        <w:t>Octava respuesta: desconfiando de la capacidad del ciudadano para elegir su destino</w:t>
      </w:r>
    </w:p>
    <w:p w:rsidR="000B74A6" w:rsidRDefault="000B74A6" w:rsidP="000B74A6">
      <w:pPr>
        <w:pStyle w:val="NormalWeb"/>
        <w:jc w:val="both"/>
        <w:rPr>
          <w:b/>
        </w:rPr>
      </w:pPr>
      <w:r>
        <w:rPr>
          <w:b/>
        </w:rPr>
        <w:t>Novena respuesta: creando una burocracia excesiva, intrusiva, y poco realista</w:t>
      </w:r>
    </w:p>
    <w:p w:rsidR="000B74A6" w:rsidRDefault="000B74A6" w:rsidP="000B74A6">
      <w:pPr>
        <w:pStyle w:val="NormalWeb"/>
        <w:jc w:val="both"/>
        <w:rPr>
          <w:b/>
        </w:rPr>
      </w:pPr>
      <w:r>
        <w:rPr>
          <w:b/>
        </w:rPr>
        <w:t xml:space="preserve">Décima respuesta: mintiendo, manipulando, controlando, y estafando, a los europeos </w:t>
      </w:r>
    </w:p>
    <w:p w:rsidR="000B74A6" w:rsidRPr="0028369F" w:rsidRDefault="006C0ACF" w:rsidP="000B74A6">
      <w:pPr>
        <w:pStyle w:val="NormalWeb"/>
        <w:jc w:val="both"/>
        <w:rPr>
          <w:shd w:val="clear" w:color="auto" w:fill="FFFFFF"/>
        </w:rPr>
      </w:pPr>
      <w:r w:rsidRPr="0028369F">
        <w:rPr>
          <w:b/>
        </w:rPr>
        <w:t xml:space="preserve">La Gran Renuncia (a ser una potencia política, económica y… militar) </w:t>
      </w:r>
      <w:r w:rsidR="007B7A52" w:rsidRPr="0028369F">
        <w:rPr>
          <w:b/>
        </w:rPr>
        <w:t>- “</w:t>
      </w:r>
      <w:r w:rsidRPr="0028369F">
        <w:rPr>
          <w:b/>
        </w:rPr>
        <w:t>Si no te temen, no te respetan</w:t>
      </w:r>
      <w:r w:rsidR="007B7A52" w:rsidRPr="0028369F">
        <w:rPr>
          <w:b/>
        </w:rPr>
        <w:t>”</w:t>
      </w:r>
      <w:r w:rsidR="000B74A6" w:rsidRPr="0028369F">
        <w:rPr>
          <w:b/>
        </w:rPr>
        <w:t xml:space="preserve"> (lo diga</w:t>
      </w:r>
      <w:r w:rsidR="007B7A52" w:rsidRPr="0028369F">
        <w:rPr>
          <w:b/>
        </w:rPr>
        <w:t xml:space="preserve"> Agamenón</w:t>
      </w:r>
      <w:r w:rsidR="000B74A6" w:rsidRPr="0028369F">
        <w:rPr>
          <w:b/>
        </w:rPr>
        <w:t xml:space="preserve"> </w:t>
      </w:r>
      <w:r w:rsidR="007B7A52" w:rsidRPr="0028369F">
        <w:rPr>
          <w:b/>
        </w:rPr>
        <w:t>-</w:t>
      </w:r>
      <w:r w:rsidR="000B74A6" w:rsidRPr="0028369F">
        <w:rPr>
          <w:b/>
        </w:rPr>
        <w:t>Friedrich List</w:t>
      </w:r>
      <w:r w:rsidR="007B7A52" w:rsidRPr="0028369F">
        <w:rPr>
          <w:b/>
        </w:rPr>
        <w:t>-</w:t>
      </w:r>
      <w:r w:rsidR="000B74A6" w:rsidRPr="0028369F">
        <w:rPr>
          <w:b/>
        </w:rPr>
        <w:t xml:space="preserve"> o su</w:t>
      </w:r>
      <w:r w:rsidR="007B7A52" w:rsidRPr="0028369F">
        <w:rPr>
          <w:b/>
        </w:rPr>
        <w:t xml:space="preserve"> porquero -el escribidor-)</w:t>
      </w:r>
      <w:r w:rsidR="000B74A6" w:rsidRPr="0028369F">
        <w:rPr>
          <w:b/>
        </w:rPr>
        <w:t xml:space="preserve"> </w:t>
      </w:r>
    </w:p>
    <w:p w:rsidR="006C0ACF" w:rsidRDefault="006C0ACF" w:rsidP="006C0ACF">
      <w:pPr>
        <w:pStyle w:val="NormalWeb"/>
        <w:jc w:val="both"/>
      </w:pPr>
      <w:r>
        <w:t>Si miramos la “evolución” de la productividad (única forma genuina de mejorar la competitividad, en un mundo globalizado, según la opinión de los “grandes bonetes”) no se puede decir que las “acciones” realizadas por los dirigentes de la Unión Europea hayan servido para que las empresas o los trabajadores aumentaran su eficiencia y renta.</w:t>
      </w:r>
    </w:p>
    <w:p w:rsidR="006C0ACF" w:rsidRDefault="006C0ACF" w:rsidP="006C0ACF">
      <w:pPr>
        <w:pStyle w:val="NormalWeb"/>
        <w:jc w:val="both"/>
      </w:pPr>
      <w:r>
        <w:t xml:space="preserve">Desde el año 2008 en adelante, el largo proceso de devaluación interna, los recortes del estado de bienestar, las precariedad laboral y el empobrecimiento de la clase trabajadora, la larga y penosa represión financiera al ahorrista, la ingente cantidad de recursos públicos que se lanzaron al mercado (aumentando el déficit y la deuda pública), el relajamiento monetario del Banco Central Europeo (incremento exponencial de la masa monetaria), no han logrado mejorar la competitividad de la Unión Europea. </w:t>
      </w:r>
    </w:p>
    <w:p w:rsidR="006C0ACF" w:rsidRDefault="006C0ACF" w:rsidP="006C0ACF">
      <w:pPr>
        <w:pStyle w:val="NormalWeb"/>
        <w:jc w:val="both"/>
      </w:pPr>
      <w:r>
        <w:lastRenderedPageBreak/>
        <w:t xml:space="preserve">Aquello que los analistas llaman la “Gran Renuncia” o la “Gran Dimisión”, que es el goteo masivo de trabajadores estadounidenses que han dicho adiós a sus trabajos, voluntariamente, desde que se inició la recuperación postpandémica, en el caso europeo, podría decirse que la “Gran Renuncia” ha sido la presentada por sus autoridades (Consejo Europeo, Parlamento Europeo, y Comisión Europea -más toda su corte de burócratas-) a ser una potencia política, económica y… militar. De ahí en adelante, todo ha ido “cuesta abajo”, ante la mirada atónita de los ciudadanos europeos (entre “la vergüenza de haber sido y el dolor de ya no ser”). </w:t>
      </w:r>
    </w:p>
    <w:p w:rsidR="006C0ACF" w:rsidRDefault="006C0ACF" w:rsidP="006C0ACF">
      <w:pPr>
        <w:pStyle w:val="NormalWeb"/>
        <w:jc w:val="both"/>
      </w:pPr>
      <w:r>
        <w:t xml:space="preserve">¿Caminando hacia atrás en el futuro (un regreso a la Edad Media), se puede ser más competitivo? ¿no habrá que revisar con quién se comercia, y bajo qué condiciones? </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Falta de claridad a la hora de establecer socios y competidores internacionales. Las amistades peligrosas (¿ingenuidad, debilidad, connivencia, o corrupción?)</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Fue Lord Palmerston (político británico que ocupó el cargo de primer ministro del Reino Unido a mediados del siglo XIX durante dos ocasiones -1855-58 y 1859-65-) quién por primera vez acuñó la frase “Las naciones no tienen amigos ni enemigos permanentes, solo intereses permanentes”. Dominó los asuntos exteriores cuando el Reino Unido estaba en la cumbre de su poder imperial. Más tarde, el General Charles de Gaulle dijo algo parecido. </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ello, muchos desconsideran a la diplomacia, por no estar  encaminada al bien común y al respeto de los altos principios de la humanidad. Y es posible (casi seguro) que por exceso o defecto la Unión Europea haya levantado la bandera de los altos principios abandonando el pragmatismo de los altos negocios.</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esa neblina conceptual (miopía, connivencia, miedo, complejo, pasividad, comodidad, cobardía, descuido, desdeño, decidía…) han cedido la dirección de sus intereses (políticos, económicos, estratégicos, defensivos…) a terceros países fuera del ámbito de la UE.</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¿Es Estados Unidos un país amigo, un socio, un enemigo potencial, o un competidor que se solo se mueve en función de sus intereses? </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¿Es China un país amigo, un socio, un enemigo potencial, o un competidor que se solo se mueve en función de sus intereses?  </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¿Es Japón un país amigo, un socio, un enemigo potencial, o un competidor que se solo se mueve en función de sus intereses?  </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 Rusia un país amigo, un socio, un enemigo potencial, o un competidor que se solo se mueve en función de sus intereses?</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 el Reino Unido un país amigo, un socio, un enemigo potencial, o un competidor que se solo se mueve en función de sus intereses?</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Y así podríamos seguir enumerando regiones o países (avanzados, emergentes, en vías de desarrollo, o subdesarrollados) para los cuales la Unión Europea debería establecer su carácter de socios o competidores internacionales, así como detectar las amistades peligrosas.</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Uno de los “intereses permanentes” que la Unión Europea debería establecer para con ella misma sería el del nivel de competencia que estaría dispuesta a aceptar para abrir su mercado.</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cuando ellos no tienen un sistema de sanidad pública?</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¿Se puede competir con EEUU, cuando ellos no tienen un sistema de pensiones público?</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cuando ellos no tienen un costoso estado de bienestar?</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cuando ellos no tienen las mismas exigencias ambientales?</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cuando ellos no tienen una presión fiscal similar?</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EEUU, haciendo que los repartidores tengan que orinar en una botella, que llevan en el vehículo, para no retrasar el pedido (Amazon)?</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China, cuando ellos no tienen un costoso estado de bienestar?</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China, cuando ellos no tienen las mismas exigencias ambientales?</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China, cuando ellos no tienen las mismas exigencias sanitarias?</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China, cuando ellos no tienen una presión fiscal similar?</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 puede competir con China, haciendo que los trabajadores tengan jornadas laborales de 16 horas, una semana de vacaciones al año, y deban pagar para ir al baño?</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Estas mismas preguntas, o similares, deberían hacerse, y contestarse, los “burócratas” de Bruselas, antes de abrir sus fronteras a los capitales y mercancías de terceros países.</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El libre comercio no puede adoptarse sin reciprocidad, sin igualdad de condiciones, sin normativas equivalentes, o sin los aranceles compensatorios correspondientes. </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libre comercio no puede practicarse con las “cartas marcadas” (juego de tahúres). El mercado europeo (500 millones de consumidores, con uno de los consumos medio per cápita más altos del mundo), en forma “gratuita”, no recíproca, indiscriminada, irrestricta, asimétrica, descompensada, gravosa, desregulada, arbitraria, ruinosa, desleal, insostenible…</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El mercado europeo tiene mucho valor y no se puede entregar a cambio de nada. En el comercio (como ha enseñado Lord Palmerston) solo imperan los intereses. A ver si se enteran los “burócratas” de Bruselas y se dejan de “cantarle a los pájaros”, de ser tan “friendlies”, de ser tan “bizcochables”, de ser tan blanditos, de ser tan conniventes, o de ser tan corruptos. </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la “economía de casino” que la Unión Europea ha aceptado participar (muy a mi pesar, aunque millonario en derrotas), donde se sientan a la mesa de Black Jack los mayores tahúres del mundo mundial, no puede andarse con chiquitas, no se puede estar medio embarazada.</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Hay que ir a “tumba abierta”, asumiendo todos los riesgos, sin medir consecuencias, donde  el único impedimento es la muerte. A ver si se enteran los “burócratas” de Bruselas…</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Con estos “global players” (norteamericanos, chinos, japoneses, rusos, ingleses, emergentes o sumergentes) expertos jugando a las cartas, los dados, etc., y que lo hacen con frecuencia, especialmente para apostar y ganar dinero sirviéndose de su habilidad o recurriendo al engaño y las trampas, “no hay que entrar al trapo”, “no hay que tragarse todos sus faroles”.</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Después del Brexit, tal vez convenga más utilizar una frase del General De Gaulle, que una de Lord Palmerston, para que las autoridades europeas reflexio</w:t>
      </w:r>
      <w:r w:rsidR="001D6CC0">
        <w:rPr>
          <w:rFonts w:ascii="Times New Roman" w:eastAsia="Times New Roman" w:hAnsi="Times New Roman" w:cs="Times New Roman"/>
          <w:sz w:val="24"/>
          <w:szCs w:val="24"/>
          <w:lang w:eastAsia="es-ES"/>
        </w:rPr>
        <w:t xml:space="preserve">nen a la hora de elegir socios. </w:t>
      </w:r>
      <w:r>
        <w:rPr>
          <w:rFonts w:ascii="Times New Roman" w:eastAsia="Times New Roman" w:hAnsi="Times New Roman" w:cs="Times New Roman"/>
          <w:sz w:val="24"/>
          <w:szCs w:val="24"/>
          <w:lang w:eastAsia="es-ES"/>
        </w:rPr>
        <w:t xml:space="preserve">“Francia no tiene amigos, sólo intereses”. Frase en respuesta a la esposa de Winston Churchill, cuando ésta le espetó: “General, no debe odiar a sus amigos más que a sus </w:t>
      </w:r>
      <w:r>
        <w:rPr>
          <w:rFonts w:ascii="Times New Roman" w:eastAsia="Times New Roman" w:hAnsi="Times New Roman" w:cs="Times New Roman"/>
          <w:sz w:val="24"/>
          <w:szCs w:val="24"/>
          <w:lang w:eastAsia="es-ES"/>
        </w:rPr>
        <w:lastRenderedPageBreak/>
        <w:t>enemigos”. La frase se enmarca en otra cita de De Gaulle: “Los hombres pueden tener amigos, los hombres de estado no”.</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Tal vez, si la Unión Europea revisara sus actuales criterios estratégicos, políticos, económicos, sociales, ambientales, y sanitarios, podría desenvolverse en condiciones de mayor autonomía, soberanía,</w:t>
      </w:r>
      <w:r w:rsidR="001D6CC0">
        <w:rPr>
          <w:rFonts w:ascii="Times New Roman" w:eastAsia="Times New Roman" w:hAnsi="Times New Roman" w:cs="Times New Roman"/>
          <w:sz w:val="24"/>
          <w:szCs w:val="24"/>
          <w:lang w:eastAsia="es-ES"/>
        </w:rPr>
        <w:t xml:space="preserve"> emancipación e independencia. </w:t>
      </w:r>
      <w:r>
        <w:rPr>
          <w:rFonts w:ascii="Times New Roman" w:eastAsia="Times New Roman" w:hAnsi="Times New Roman" w:cs="Times New Roman"/>
          <w:sz w:val="24"/>
          <w:szCs w:val="24"/>
          <w:lang w:eastAsia="es-ES"/>
        </w:rPr>
        <w:t>La asignatura pendiente de la Unión Europea estará en convencerse que no puede haber soberanía sin “redaños” (determinación y coraje para hacer algo difícil o desagradable).</w:t>
      </w:r>
    </w:p>
    <w:p w:rsidR="006C0ACF" w:rsidRDefault="006C0ACF" w:rsidP="006C0ACF">
      <w:pPr>
        <w:shd w:val="clear" w:color="auto" w:fill="FFFFFF"/>
        <w:spacing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b/>
          <w:sz w:val="24"/>
          <w:szCs w:val="24"/>
          <w:lang w:eastAsia="es-ES"/>
        </w:rPr>
        <w:t xml:space="preserve">¿Puede la UE ser más segura sin refuerzo (mayor gasto) militar? ¿Dónde está el enemigo (peligro real) de la UE? ¿Cuál debería ser su hipótesis de guerra? Aliados, socios, amigos, competidores, adversarios, rivales, enemigos… </w:t>
      </w:r>
    </w:p>
    <w:p w:rsidR="006C0ACF" w:rsidRDefault="006C0ACF" w:rsidP="006C0ACF">
      <w:pPr>
        <w:shd w:val="clear" w:color="auto" w:fill="FFFFFF"/>
        <w:spacing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mensaje que ha dejado la cumbre de la OTAN celebrada a finales de junio (2022) en Madrid, apunta a un reforzamiento de la unidad y la capacidad defensiva de la Alianza Atlántica, pero también al regreso a un equilibrio geostratégico de oposición entre bloques de naciones. Como era previsible, dado el conflicto bélico desatado en Centroeuropa, el nuevo concepto estratégico aprobado en la cumbre sitúa a Rusia como la amenaza actual más seria para la seguridad de la organización, refuerza la presencia militar de EEUU en Europa y menciona por primera vez a China y el desafío sistémico que esta representa.</w:t>
      </w:r>
    </w:p>
    <w:p w:rsidR="006C0ACF" w:rsidRDefault="006C0ACF" w:rsidP="006C0ACF">
      <w:pPr>
        <w:pStyle w:val="NormalWeb"/>
        <w:jc w:val="both"/>
        <w:rPr>
          <w:shd w:val="clear" w:color="auto" w:fill="FFFFFF"/>
        </w:rPr>
      </w:pPr>
      <w:r>
        <w:rPr>
          <w:shd w:val="clear" w:color="auto" w:fill="FFFFFF"/>
        </w:rPr>
        <w:t>Aunque la primera lectura de esta cumbre es indudablemente política, geoestratégica y militar, la hoja de ruta adoptada por la OTAN tiene unas consecuencias inequívoca e inevitablemente económicas. El estallido de la guerra de Ucrania ha sido el corolario de la destrucción del impulso globalizador que ha reconfigurado la economía mundial en las últimas décadas. Una larga etapa de crecimiento y prosperidad en los flujos comerciales que se interrumpió de forma abrupta con la llegada de la pandemia, la cual obligó a cerrar fronteras, paralizó exportaciones e importaciones y levantó sospechas entre socios comerciales, pero que experimentó sus primeras grietas con acontecimientos como el Brexit o la propia crisis de deuda soberana europea, que en 2012 estuvo a punto de romper el euro.</w:t>
      </w:r>
    </w:p>
    <w:p w:rsidR="006C0ACF" w:rsidRDefault="006C0ACF" w:rsidP="006C0ACF">
      <w:pPr>
        <w:pStyle w:val="NormalWeb"/>
        <w:jc w:val="both"/>
        <w:rPr>
          <w:shd w:val="clear" w:color="auto" w:fill="FFFFFF"/>
        </w:rPr>
      </w:pPr>
      <w:r>
        <w:rPr>
          <w:shd w:val="clear" w:color="auto" w:fill="FFFFFF"/>
        </w:rPr>
        <w:t>La apuesta por un mayor gasto en defensa por parte de Europa no es ni mucho menos una mala noticia para la economía, puesto que gran parte de esa inversión revertirá en la sociedad civil, en la industria y en la I+D de sus países. Lo que sí puede ser una amenaza no solo para Europa, sino para el conjunto de la economía mundial, es el resurgimiento de una polarización geopolítica que inevitablemente limitará las relaciones internacionales, dificultará el comercio, elevará la inflación, ralentizará el crecimiento y puede llevar a las economías mundiales al borde la recesión. En ese marco es en el que Europa deberá diseñar las directrices de una política económica pensada para un mundo que vuelve a tener fronteras.</w:t>
      </w:r>
    </w:p>
    <w:p w:rsidR="006C0ACF" w:rsidRDefault="006C0ACF" w:rsidP="006C0ACF">
      <w:pPr>
        <w:shd w:val="clear" w:color="auto" w:fill="FFFFFF"/>
        <w:spacing w:line="240" w:lineRule="auto"/>
        <w:jc w:val="both"/>
        <w:textAlignment w:val="baseline"/>
        <w:rPr>
          <w:rFonts w:ascii="Times New Roman" w:hAnsi="Times New Roman" w:cs="Times New Roman"/>
          <w:b/>
          <w:sz w:val="24"/>
          <w:szCs w:val="24"/>
        </w:rPr>
      </w:pPr>
      <w:r>
        <w:rPr>
          <w:rFonts w:ascii="Times New Roman" w:hAnsi="Times New Roman" w:cs="Times New Roman"/>
          <w:b/>
          <w:sz w:val="24"/>
          <w:szCs w:val="24"/>
        </w:rPr>
        <w:t>El fin del dividendo de la paz ¿Qué significa defender Europa? ¿una OTAN sin gasto militar? ¿una OTAN más europea? ¿necesita la UE un ejército que garantice su autonomía defensiva? ¿puede Europa seguir siendo hostigada por su “falta de coujones” -sic-?) ¿se hará el refuerzo militar para que Europa sea más segura?</w:t>
      </w:r>
    </w:p>
    <w:p w:rsidR="006C0ACF" w:rsidRDefault="006C0ACF" w:rsidP="006C0ACF">
      <w:pPr>
        <w:pStyle w:val="NormalWeb"/>
        <w:jc w:val="both"/>
        <w:rPr>
          <w:shd w:val="clear" w:color="auto" w:fill="FFFFFF"/>
        </w:rPr>
      </w:pPr>
      <w:r>
        <w:rPr>
          <w:shd w:val="clear" w:color="auto" w:fill="FFFFFF"/>
        </w:rPr>
        <w:t>¿</w:t>
      </w:r>
      <w:r>
        <w:rPr>
          <w:rStyle w:val="Textoennegrita"/>
          <w:bdr w:val="none" w:sz="0" w:space="0" w:color="auto" w:frame="1"/>
          <w:shd w:val="clear" w:color="auto" w:fill="FFFFFF"/>
        </w:rPr>
        <w:t>Cómo puede ser que tanta gloria pasada no sea más que un sueño de futuro</w:t>
      </w:r>
      <w:r>
        <w:rPr>
          <w:shd w:val="clear" w:color="auto" w:fill="FFFFFF"/>
        </w:rPr>
        <w:t>? Tal vez, porque la realidad es bien distinta, producto de la infame política de unos dirigentes europeos cuyas capacidades están por debajo de las necesidades. Que no aciertan ni cuando rectifican.</w:t>
      </w:r>
    </w:p>
    <w:p w:rsidR="006C0ACF" w:rsidRDefault="006C0ACF" w:rsidP="006C0ACF">
      <w:pPr>
        <w:pStyle w:val="NormalWeb"/>
        <w:jc w:val="both"/>
        <w:rPr>
          <w:shd w:val="clear" w:color="auto" w:fill="FFFFFF"/>
        </w:rPr>
      </w:pPr>
      <w:r>
        <w:rPr>
          <w:shd w:val="clear" w:color="auto" w:fill="FFFFFF"/>
        </w:rPr>
        <w:t xml:space="preserve">Se “tragaron” la guerra de Afganistán, de Yugoslavia, de Irak, de Líbano, de Siria, o la primavera árabe, sin “pestañear”… Se “tragaron” la crisis financiera del año 2008 (provocada </w:t>
      </w:r>
      <w:r>
        <w:rPr>
          <w:shd w:val="clear" w:color="auto" w:fill="FFFFFF"/>
        </w:rPr>
        <w:lastRenderedPageBreak/>
        <w:t xml:space="preserve">por EEUU), en un estado de “inmovilidad” tancredista, la crisis sanitaria del año 2020 (provocada por China), sin “reclamar” daños y perjuicios… y eso por no hablar de la ceguera voluntaria o complicidad rentada ante la inmigración ilegal, el tráfico personas, drogas, armas, y capitales, o el refugio indisimulado a oligarcas, sátrapas y dictadores de terceros países… Para, al final (de momento) tragarse el chantaje ruso…  más “callados” que unas momias egipcias.   </w:t>
      </w:r>
    </w:p>
    <w:p w:rsidR="006C0ACF" w:rsidRDefault="006C0ACF" w:rsidP="006C0ACF">
      <w:pPr>
        <w:pStyle w:val="NormalWeb"/>
        <w:jc w:val="both"/>
        <w:rPr>
          <w:shd w:val="clear" w:color="auto" w:fill="FFFFFF"/>
        </w:rPr>
      </w:pPr>
      <w:r>
        <w:rPr>
          <w:shd w:val="clear" w:color="auto" w:fill="FFFFFF"/>
        </w:rPr>
        <w:t>De un estado de “muerte cerebral” como el que está sumida la Unión Europea, por manos y pies de unos dirigentes cínicos, venales, serviles, lacayos y genuflexos (que posan ante las cámaras como unos personajes soberbios, fatuos y arrogantes, aunque sean unos paletos insuperables en su levedad, y su capacidad para causar vergüenza ajena), solo se puede salir (volver a la vida), si la ciudadanía se revela y sale a la calle para exigir un cambio de paradigma… El sueño de una Europa mejor dependerá del resultado de esa lucha moral (dando sentido al reto fundacional de la Unión).</w:t>
      </w:r>
    </w:p>
    <w:p w:rsidR="006C0ACF" w:rsidRDefault="006C0ACF" w:rsidP="006C0ACF">
      <w:pPr>
        <w:pStyle w:val="NormalWeb"/>
        <w:jc w:val="both"/>
        <w:rPr>
          <w:shd w:val="clear" w:color="auto" w:fill="FFFFFF"/>
        </w:rPr>
      </w:pPr>
      <w:r>
        <w:rPr>
          <w:shd w:val="clear" w:color="auto" w:fill="FFFFFF"/>
        </w:rPr>
        <w:t xml:space="preserve">¿Está dispuesta, esta Europa en decadencia, a apostar fuerte por la victoria? No lo parece. </w:t>
      </w:r>
    </w:p>
    <w:p w:rsidR="006C0ACF" w:rsidRDefault="006C0ACF" w:rsidP="006C0ACF">
      <w:pPr>
        <w:pStyle w:val="NormalWeb"/>
        <w:jc w:val="both"/>
        <w:rPr>
          <w:shd w:val="clear" w:color="auto" w:fill="FFFFFF"/>
        </w:rPr>
      </w:pPr>
      <w:r>
        <w:rPr>
          <w:shd w:val="clear" w:color="auto" w:fill="FFFFFF"/>
        </w:rPr>
        <w:t>Ha llegado el momento de la verdad, la hora de afrontar los auténticos desafíos. Después de la “feria de las vanidades” llegan las “facturas” y hay que ab</w:t>
      </w:r>
      <w:r w:rsidR="000B74A6">
        <w:rPr>
          <w:shd w:val="clear" w:color="auto" w:fill="FFFFFF"/>
        </w:rPr>
        <w:t xml:space="preserve">onarlas (rascarse el bolsillo). </w:t>
      </w:r>
      <w:r>
        <w:rPr>
          <w:shd w:val="clear" w:color="auto" w:fill="FFFFFF"/>
        </w:rPr>
        <w:t>Si queremos seguridad, tendremos que pagárnosla. Esta seguridad no solo debe alcanzar los asuntos militares (defensa), sino que debe extenderse a las materias primas, los alimentos, la energía, los insumos, y la tecnología… Todo ello pasa a ser estratégico: todo ello está vinculado a razones de seguridad.  La seguridad militar, alimentaria, energética, de materias primas, insumos y tecnológica, hacen al desarrollo autónomo, independiente y soberano.</w:t>
      </w:r>
    </w:p>
    <w:p w:rsidR="006C0ACF" w:rsidRDefault="006C0ACF" w:rsidP="006C0ACF">
      <w:pPr>
        <w:pStyle w:val="NormalWeb"/>
        <w:jc w:val="both"/>
        <w:rPr>
          <w:shd w:val="clear" w:color="auto" w:fill="FFFFFF"/>
        </w:rPr>
      </w:pPr>
      <w:r>
        <w:rPr>
          <w:shd w:val="clear" w:color="auto" w:fill="FFFFFF"/>
        </w:rPr>
        <w:t xml:space="preserve">No solo es una cuestión de “cojones”, sino también de “inteligencia”. Si no te temen no te respetan… y hoy por hoy, a la Unión Europea no le </w:t>
      </w:r>
      <w:r w:rsidR="001D6CC0">
        <w:rPr>
          <w:shd w:val="clear" w:color="auto" w:fill="FFFFFF"/>
        </w:rPr>
        <w:t xml:space="preserve">temen ni la respetan. </w:t>
      </w:r>
      <w:r>
        <w:rPr>
          <w:shd w:val="clear" w:color="auto" w:fill="FFFFFF"/>
        </w:rPr>
        <w:t xml:space="preserve">No es cuestión de ir por el mundo mundial dando golpes, no es cuestión de invadir terceros países, poner o sacar gobiernos extranjeros, intervenir militarmente cuando se tuercen los negocios, sino en defender las fronteras interiores, en no aceptar bloqueos, en no tolerar chantajes, en sentarse en la mesa de negociación de los países </w:t>
      </w:r>
      <w:r w:rsidR="001D6CC0">
        <w:rPr>
          <w:shd w:val="clear" w:color="auto" w:fill="FFFFFF"/>
        </w:rPr>
        <w:t xml:space="preserve">poderosos y tratase de tú a tú. </w:t>
      </w:r>
      <w:r>
        <w:rPr>
          <w:shd w:val="clear" w:color="auto" w:fill="FFFFFF"/>
        </w:rPr>
        <w:t>No ser más, pero tampoco menos, que otros países de similar poderío económico. A lo único que Europa debe sentir miedo es al miedo mismo. Así dijo Franklin D. Roosevelt: “Lo único que tenemos que temer es al miedo mismo”.</w:t>
      </w:r>
    </w:p>
    <w:p w:rsidR="006C0ACF" w:rsidRDefault="006C0ACF" w:rsidP="006C0ACF">
      <w:pPr>
        <w:pStyle w:val="NormalWeb"/>
        <w:jc w:val="both"/>
        <w:rPr>
          <w:shd w:val="clear" w:color="auto" w:fill="FFFFFF"/>
        </w:rPr>
      </w:pPr>
      <w:r>
        <w:rPr>
          <w:shd w:val="clear" w:color="auto" w:fill="FFFFFF"/>
        </w:rPr>
        <w:t xml:space="preserve">¿Se perderá el miedo haciendo “seguidismo” de los Estados Unidos? ¿mendigándole su protección? ¿recibiendo a unas “tropas de ocupación” como si fueran de la Cruz Roja? ¿permitiéndole que Wall Street infecte los mercados europeos? ¿dejando que Silicon Valley trafique con los datos, espíe, controle, manipule, intoxique, y anestesie, a los europeos? </w:t>
      </w:r>
    </w:p>
    <w:p w:rsidR="006C0ACF" w:rsidRDefault="006C0ACF" w:rsidP="006C0ACF">
      <w:pPr>
        <w:pStyle w:val="NormalWeb"/>
        <w:jc w:val="both"/>
        <w:rPr>
          <w:shd w:val="clear" w:color="auto" w:fill="FFFFFF"/>
        </w:rPr>
      </w:pPr>
      <w:r>
        <w:rPr>
          <w:shd w:val="clear" w:color="auto" w:fill="FFFFFF"/>
        </w:rPr>
        <w:t>¿Se perderá el miedo “regalándole” el mercado interior a China? ¿tolerando que le contagie -accidental o premeditadamente- cualquier virus letal? ¿permitiendo que compre las empresas de bandera? ¿cediéndole la Agenda 2030? ¿dejándola que presida el WEF de Davos?</w:t>
      </w:r>
    </w:p>
    <w:p w:rsidR="007B7A52" w:rsidRDefault="006C0ACF" w:rsidP="007B7A52">
      <w:pPr>
        <w:pStyle w:val="NormalWeb"/>
        <w:jc w:val="both"/>
        <w:rPr>
          <w:shd w:val="clear" w:color="auto" w:fill="FFFFFF"/>
        </w:rPr>
      </w:pPr>
      <w:r>
        <w:rPr>
          <w:shd w:val="clear" w:color="auto" w:fill="FFFFFF"/>
        </w:rPr>
        <w:t>¿Puede progresar la Unión E</w:t>
      </w:r>
      <w:r w:rsidR="000B74A6">
        <w:rPr>
          <w:shd w:val="clear" w:color="auto" w:fill="FFFFFF"/>
        </w:rPr>
        <w:t xml:space="preserve">uropea “caminando de rodillas”? </w:t>
      </w:r>
      <w:r>
        <w:rPr>
          <w:shd w:val="clear" w:color="auto" w:fill="FFFFFF"/>
        </w:rPr>
        <w:t>Ya se ha “experimentado” (¿disfrutado?) con el “dividendo de la paz”, ya se ha visto el precio de “dormir con el enemigo”, ya se ha pagado suficiente por esas “noches de vino y rosas”… después de la “resaca” (crisis del 2008 y 2020) hay que hacer la autocrítica, pedir perdón, tener espíritu de enmienda y… pagar las costas y coste de ser autónomo, soberano, e independiente. Ya está bien de ser el felpudo o alfombrilla de baño de los amos del universo.</w:t>
      </w:r>
    </w:p>
    <w:p w:rsidR="008865A5" w:rsidRPr="001D6CC0" w:rsidRDefault="004805A8" w:rsidP="007B7A52">
      <w:pPr>
        <w:pStyle w:val="NormalWeb"/>
        <w:jc w:val="both"/>
        <w:rPr>
          <w:shd w:val="clear" w:color="auto" w:fill="FFFFFF"/>
        </w:rPr>
      </w:pPr>
      <w:r w:rsidRPr="001D6CC0">
        <w:rPr>
          <w:b/>
        </w:rPr>
        <w:lastRenderedPageBreak/>
        <w:t xml:space="preserve">Anexo I </w:t>
      </w:r>
      <w:r w:rsidR="003565D1" w:rsidRPr="001D6CC0">
        <w:rPr>
          <w:b/>
        </w:rPr>
        <w:t>- Breve recorrido por</w:t>
      </w:r>
      <w:r w:rsidR="008865A5" w:rsidRPr="001D6CC0">
        <w:rPr>
          <w:b/>
        </w:rPr>
        <w:t xml:space="preserve"> la </w:t>
      </w:r>
      <w:r w:rsidR="003565D1" w:rsidRPr="001D6CC0">
        <w:rPr>
          <w:b/>
        </w:rPr>
        <w:t>“</w:t>
      </w:r>
      <w:r w:rsidR="008865A5" w:rsidRPr="001D6CC0">
        <w:rPr>
          <w:b/>
        </w:rPr>
        <w:t>Maldita H</w:t>
      </w:r>
      <w:r w:rsidR="007F6E5D" w:rsidRPr="001D6CC0">
        <w:rPr>
          <w:b/>
        </w:rPr>
        <w:t>emeroteca</w:t>
      </w:r>
      <w:r w:rsidR="0050717C" w:rsidRPr="001D6CC0">
        <w:rPr>
          <w:b/>
        </w:rPr>
        <w:t xml:space="preserve">”, </w:t>
      </w:r>
      <w:r w:rsidR="00E01225" w:rsidRPr="001D6CC0">
        <w:rPr>
          <w:b/>
        </w:rPr>
        <w:t xml:space="preserve">de </w:t>
      </w:r>
      <w:r w:rsidR="003565D1" w:rsidRPr="001D6CC0">
        <w:rPr>
          <w:b/>
        </w:rPr>
        <w:t>septiembre 2024</w:t>
      </w:r>
      <w:r w:rsidR="0050717C" w:rsidRPr="001D6CC0">
        <w:rPr>
          <w:b/>
        </w:rPr>
        <w:t xml:space="preserve"> (up to the point)</w:t>
      </w:r>
    </w:p>
    <w:p w:rsidR="007F6E5D" w:rsidRPr="00AC2A78" w:rsidRDefault="007F6E5D" w:rsidP="007F6E5D">
      <w:pPr>
        <w:pStyle w:val="Ttulo2"/>
        <w:pBdr>
          <w:top w:val="single" w:sz="2" w:space="0" w:color="E5E7EB"/>
          <w:left w:val="single" w:sz="2" w:space="0" w:color="E5E7EB"/>
          <w:bottom w:val="single" w:sz="2" w:space="0" w:color="E5E7EB"/>
          <w:right w:val="single" w:sz="2" w:space="0" w:color="E5E7EB"/>
        </w:pBdr>
        <w:jc w:val="both"/>
        <w:rPr>
          <w:b w:val="0"/>
          <w:sz w:val="24"/>
          <w:szCs w:val="24"/>
        </w:rPr>
      </w:pPr>
      <w:r>
        <w:rPr>
          <w:b w:val="0"/>
          <w:sz w:val="24"/>
          <w:szCs w:val="24"/>
          <w:u w:val="single"/>
        </w:rPr>
        <w:t xml:space="preserve">- </w:t>
      </w:r>
      <w:r w:rsidRPr="00AC2A78">
        <w:rPr>
          <w:b w:val="0"/>
          <w:sz w:val="24"/>
          <w:szCs w:val="24"/>
          <w:u w:val="single"/>
        </w:rPr>
        <w:t>Los expertos recomiendan a Bruselas adaptar la PAC a un sistema alimentario más sostenible</w:t>
      </w:r>
      <w:r>
        <w:rPr>
          <w:b w:val="0"/>
          <w:sz w:val="24"/>
          <w:szCs w:val="24"/>
          <w:u w:val="single"/>
        </w:rPr>
        <w:t xml:space="preserve"> </w:t>
      </w:r>
      <w:r>
        <w:rPr>
          <w:b w:val="0"/>
          <w:sz w:val="24"/>
          <w:szCs w:val="24"/>
        </w:rPr>
        <w:t xml:space="preserve">(El Economista - </w:t>
      </w:r>
      <w:r w:rsidRPr="00AC2A78">
        <w:rPr>
          <w:sz w:val="24"/>
          <w:szCs w:val="24"/>
        </w:rPr>
        <w:t>4/9/24</w:t>
      </w:r>
      <w:r w:rsidRPr="00AC2A78">
        <w:rPr>
          <w:b w:val="0"/>
          <w:sz w:val="24"/>
          <w:szCs w:val="24"/>
        </w:rPr>
        <w:t>)</w:t>
      </w:r>
    </w:p>
    <w:p w:rsidR="007F6E5D" w:rsidRPr="000F303C" w:rsidRDefault="007F6E5D" w:rsidP="007F6E5D">
      <w:pPr>
        <w:pStyle w:val="Ttulo2"/>
        <w:pBdr>
          <w:top w:val="single" w:sz="2" w:space="0" w:color="E5E7EB"/>
          <w:left w:val="single" w:sz="2" w:space="0" w:color="E5E7EB"/>
          <w:bottom w:val="single" w:sz="2" w:space="0" w:color="E5E7EB"/>
          <w:right w:val="single" w:sz="2" w:space="0" w:color="E5E7EB"/>
        </w:pBdr>
        <w:jc w:val="both"/>
        <w:rPr>
          <w:b w:val="0"/>
          <w:sz w:val="24"/>
          <w:szCs w:val="24"/>
        </w:rPr>
      </w:pPr>
      <w:r>
        <w:rPr>
          <w:b w:val="0"/>
          <w:sz w:val="24"/>
          <w:szCs w:val="24"/>
        </w:rPr>
        <w:t xml:space="preserve">(Por </w:t>
      </w:r>
      <w:r w:rsidRPr="000F303C">
        <w:rPr>
          <w:b w:val="0"/>
          <w:sz w:val="24"/>
          <w:szCs w:val="24"/>
        </w:rPr>
        <w:t>Lidia Montes</w:t>
      </w:r>
      <w:r>
        <w:rPr>
          <w:b w:val="0"/>
          <w:sz w:val="24"/>
          <w:szCs w:val="24"/>
        </w:rPr>
        <w:t>)</w:t>
      </w:r>
    </w:p>
    <w:p w:rsidR="007F6E5D" w:rsidRPr="00397732" w:rsidRDefault="007F6E5D" w:rsidP="007F6E5D">
      <w:pPr>
        <w:pStyle w:val="Ttulo2"/>
        <w:pBdr>
          <w:top w:val="single" w:sz="2" w:space="0" w:color="E5E7EB"/>
          <w:left w:val="single" w:sz="2" w:space="0" w:color="E5E7EB"/>
          <w:bottom w:val="single" w:sz="2" w:space="0" w:color="E5E7EB"/>
          <w:right w:val="single" w:sz="2" w:space="0" w:color="E5E7EB"/>
        </w:pBdr>
        <w:jc w:val="both"/>
        <w:rPr>
          <w:b w:val="0"/>
          <w:color w:val="FF0000"/>
          <w:sz w:val="24"/>
          <w:szCs w:val="24"/>
          <w:u w:val="single"/>
        </w:rPr>
      </w:pPr>
      <w:r w:rsidRPr="000F303C">
        <w:rPr>
          <w:b w:val="0"/>
          <w:sz w:val="24"/>
          <w:szCs w:val="24"/>
        </w:rPr>
        <w:t xml:space="preserve">Las manifestaciones agrícolas han marcado en buena manera la actualidad política en la UE y la presidenta de la Comisión Europea, Ursula von der Leyen, dispuso un diálogo estratégico que permitiera satisfacer las demandas del campo. </w:t>
      </w:r>
      <w:r w:rsidRPr="00397732">
        <w:rPr>
          <w:b w:val="0"/>
          <w:color w:val="FF0000"/>
          <w:sz w:val="24"/>
          <w:szCs w:val="24"/>
          <w:u w:val="single"/>
        </w:rPr>
        <w:t>El alza de precios, los altos estándares medioambientales o la intrincada burocracia articulaban parte de los reclamos del sector primario</w:t>
      </w:r>
      <w:r w:rsidRPr="000F303C">
        <w:rPr>
          <w:b w:val="0"/>
          <w:sz w:val="24"/>
          <w:szCs w:val="24"/>
        </w:rPr>
        <w:t xml:space="preserve">. </w:t>
      </w:r>
      <w:r w:rsidRPr="00397732">
        <w:rPr>
          <w:b w:val="0"/>
          <w:color w:val="FF0000"/>
          <w:sz w:val="24"/>
          <w:szCs w:val="24"/>
          <w:u w:val="single"/>
        </w:rPr>
        <w:t>Y entre las conclusiones del análisis elaborado por Bruselas, se apunta la necesidad de adaptar la Política Agraria Común al momento actual y evolucionar hacia un sistema alimentario más competitivo y sostenible.</w:t>
      </w:r>
    </w:p>
    <w:p w:rsidR="007F6E5D" w:rsidRPr="00397732" w:rsidRDefault="007F6E5D" w:rsidP="007F6E5D">
      <w:pPr>
        <w:pStyle w:val="Ttulo2"/>
        <w:pBdr>
          <w:top w:val="single" w:sz="2" w:space="0" w:color="E5E7EB"/>
          <w:left w:val="single" w:sz="2" w:space="0" w:color="E5E7EB"/>
          <w:bottom w:val="single" w:sz="2" w:space="0" w:color="E5E7EB"/>
          <w:right w:val="single" w:sz="2" w:space="0" w:color="E5E7EB"/>
        </w:pBdr>
        <w:jc w:val="both"/>
        <w:rPr>
          <w:b w:val="0"/>
          <w:color w:val="FF0000"/>
          <w:sz w:val="24"/>
          <w:szCs w:val="24"/>
          <w:u w:val="single"/>
        </w:rPr>
      </w:pPr>
      <w:r w:rsidRPr="00397732">
        <w:rPr>
          <w:b w:val="0"/>
          <w:color w:val="FF0000"/>
          <w:sz w:val="24"/>
          <w:szCs w:val="24"/>
          <w:u w:val="single"/>
        </w:rPr>
        <w:t>El análisis encabezado por el profesor Peter Strohschneider, y encargado por el Ejecutivo comunitario, arroja como una de sus principales conclusiones la necesidad de adaptar la Política Agrícola Común (PAC) al contexto actual, en el cual se está produciendo una transición gradual hacia un sistema agroalimentario más sostenible y competitivo.</w:t>
      </w:r>
    </w:p>
    <w:p w:rsidR="007F6E5D" w:rsidRPr="00397732" w:rsidRDefault="007F6E5D" w:rsidP="007F6E5D">
      <w:pPr>
        <w:pStyle w:val="Ttulo2"/>
        <w:pBdr>
          <w:top w:val="single" w:sz="2" w:space="0" w:color="E5E7EB"/>
          <w:left w:val="single" w:sz="2" w:space="0" w:color="E5E7EB"/>
          <w:bottom w:val="single" w:sz="2" w:space="0" w:color="E5E7EB"/>
          <w:right w:val="single" w:sz="2" w:space="0" w:color="E5E7EB"/>
        </w:pBdr>
        <w:jc w:val="both"/>
        <w:rPr>
          <w:b w:val="0"/>
          <w:color w:val="FF0000"/>
          <w:sz w:val="24"/>
          <w:szCs w:val="24"/>
          <w:u w:val="single"/>
        </w:rPr>
      </w:pPr>
      <w:r w:rsidRPr="00397732">
        <w:rPr>
          <w:b w:val="0"/>
          <w:color w:val="FF0000"/>
          <w:sz w:val="24"/>
          <w:szCs w:val="24"/>
          <w:u w:val="single"/>
        </w:rPr>
        <w:t>El informe considera necesario fortalecer la posición de los agricultores en la cadena de valor, ya que es uno de los eslabones más vulnerables a los choques del cambio climático y la oscilación de los precios. Lo que propone es mejorar su capacidad de acceso a financiación y fortalecer estándares internacionales en el comercio.</w:t>
      </w:r>
    </w:p>
    <w:p w:rsidR="007F6E5D" w:rsidRPr="00837B66" w:rsidRDefault="007F6E5D" w:rsidP="007F6E5D">
      <w:pPr>
        <w:pStyle w:val="Ttulo2"/>
        <w:pBdr>
          <w:top w:val="single" w:sz="2" w:space="0" w:color="E5E7EB"/>
          <w:left w:val="single" w:sz="2" w:space="0" w:color="E5E7EB"/>
          <w:bottom w:val="single" w:sz="2" w:space="0" w:color="E5E7EB"/>
          <w:right w:val="single" w:sz="2" w:space="0" w:color="E5E7EB"/>
        </w:pBdr>
        <w:jc w:val="both"/>
        <w:rPr>
          <w:color w:val="FF0000"/>
          <w:sz w:val="24"/>
          <w:szCs w:val="24"/>
          <w:u w:val="single"/>
        </w:rPr>
      </w:pPr>
      <w:r w:rsidRPr="00837B66">
        <w:rPr>
          <w:color w:val="FF0000"/>
          <w:sz w:val="24"/>
          <w:szCs w:val="24"/>
          <w:u w:val="single"/>
        </w:rPr>
        <w:t>En ningún caso plantea el informe una rebaja de los estándares que planteaban las políticas climáticas de la UE. En su lugar, los expertos abogan por un sistema agroalimentario más sostenible. Aboga por impulsar prácticas agrícolas sostenibles, también trasladable al sector ganadero. Además, consideran importante realizar una campaña de concienciación sobre el bienestar animal y de prácticas alimentarias sostenibles y equilibradas para los consumidores.</w:t>
      </w:r>
    </w:p>
    <w:p w:rsidR="007F6E5D" w:rsidRPr="00837B66" w:rsidRDefault="007F6E5D" w:rsidP="007F6E5D">
      <w:pPr>
        <w:pStyle w:val="Ttulo2"/>
        <w:pBdr>
          <w:top w:val="single" w:sz="2" w:space="0" w:color="E5E7EB"/>
          <w:left w:val="single" w:sz="2" w:space="0" w:color="E5E7EB"/>
          <w:bottom w:val="single" w:sz="2" w:space="0" w:color="E5E7EB"/>
          <w:right w:val="single" w:sz="2" w:space="0" w:color="E5E7EB"/>
        </w:pBdr>
        <w:jc w:val="both"/>
        <w:rPr>
          <w:color w:val="FF0000"/>
          <w:sz w:val="24"/>
          <w:szCs w:val="24"/>
          <w:u w:val="single"/>
        </w:rPr>
      </w:pPr>
      <w:r w:rsidRPr="00837B66">
        <w:rPr>
          <w:color w:val="FF0000"/>
          <w:sz w:val="24"/>
          <w:szCs w:val="24"/>
          <w:u w:val="single"/>
        </w:rPr>
        <w:t>Con el cambio climático como telón de fondo y atendiendo a los riesgos que implica en el plano económico, el documento presentado este miércoles resalta la importancia de desarrollar herramientas de gestión de crisis, también preservar y gestionar mejor las tierras de cultivo, promover y desarrollar métodos de cultivo innovadores.</w:t>
      </w:r>
    </w:p>
    <w:p w:rsidR="007F6E5D" w:rsidRPr="000F303C" w:rsidRDefault="007F6E5D" w:rsidP="007F6E5D">
      <w:pPr>
        <w:pStyle w:val="Ttulo2"/>
        <w:pBdr>
          <w:top w:val="single" w:sz="2" w:space="0" w:color="E5E7EB"/>
          <w:left w:val="single" w:sz="2" w:space="0" w:color="E5E7EB"/>
          <w:bottom w:val="single" w:sz="2" w:space="0" w:color="E5E7EB"/>
          <w:right w:val="single" w:sz="2" w:space="0" w:color="E5E7EB"/>
        </w:pBdr>
        <w:jc w:val="both"/>
        <w:rPr>
          <w:b w:val="0"/>
          <w:sz w:val="24"/>
          <w:szCs w:val="24"/>
        </w:rPr>
      </w:pPr>
      <w:r w:rsidRPr="000F303C">
        <w:rPr>
          <w:b w:val="0"/>
          <w:sz w:val="24"/>
          <w:szCs w:val="24"/>
        </w:rPr>
        <w:t xml:space="preserve">El sector, ciertamente falto de relevo generacional, requiere también de medidas que no solo promuevan el relevo generacional sino también la igualdad de género. Se hace hincapié también en la necesidad de mejorar le </w:t>
      </w:r>
      <w:r>
        <w:rPr>
          <w:b w:val="0"/>
          <w:sz w:val="24"/>
          <w:szCs w:val="24"/>
        </w:rPr>
        <w:t>protección de los trabajadores.</w:t>
      </w:r>
    </w:p>
    <w:p w:rsidR="007F6E5D" w:rsidRPr="000F303C" w:rsidRDefault="007F6E5D" w:rsidP="007F6E5D">
      <w:pPr>
        <w:pStyle w:val="Ttulo2"/>
        <w:pBdr>
          <w:top w:val="single" w:sz="2" w:space="0" w:color="E5E7EB"/>
          <w:left w:val="single" w:sz="2" w:space="0" w:color="E5E7EB"/>
          <w:bottom w:val="single" w:sz="2" w:space="0" w:color="E5E7EB"/>
          <w:right w:val="single" w:sz="2" w:space="0" w:color="E5E7EB"/>
        </w:pBdr>
        <w:jc w:val="both"/>
        <w:rPr>
          <w:b w:val="0"/>
          <w:sz w:val="24"/>
          <w:szCs w:val="24"/>
        </w:rPr>
      </w:pPr>
      <w:r w:rsidRPr="000F303C">
        <w:rPr>
          <w:b w:val="0"/>
          <w:sz w:val="24"/>
          <w:szCs w:val="24"/>
        </w:rPr>
        <w:t xml:space="preserve">En su última recomendación, los expertos apuntan a la necesidad de mejorar el acceso al conocimiento y la innovación y sacar el máximo partido </w:t>
      </w:r>
      <w:r>
        <w:rPr>
          <w:b w:val="0"/>
          <w:sz w:val="24"/>
          <w:szCs w:val="24"/>
        </w:rPr>
        <w:t>a la digitalización del sector.</w:t>
      </w:r>
    </w:p>
    <w:p w:rsidR="007F6E5D" w:rsidRPr="007F6E5D" w:rsidRDefault="007B7A52" w:rsidP="007F6E5D">
      <w:pPr>
        <w:pStyle w:val="Ttulo2"/>
        <w:pBdr>
          <w:top w:val="single" w:sz="2" w:space="0" w:color="E5E7EB"/>
          <w:left w:val="single" w:sz="2" w:space="0" w:color="E5E7EB"/>
          <w:bottom w:val="single" w:sz="2" w:space="0" w:color="E5E7EB"/>
          <w:right w:val="single" w:sz="2" w:space="0" w:color="E5E7EB"/>
        </w:pBdr>
        <w:jc w:val="both"/>
        <w:rPr>
          <w:b w:val="0"/>
          <w:sz w:val="24"/>
          <w:szCs w:val="24"/>
        </w:rPr>
      </w:pPr>
      <w:r>
        <w:rPr>
          <w:b w:val="0"/>
          <w:sz w:val="24"/>
          <w:szCs w:val="24"/>
        </w:rPr>
        <w:t>“</w:t>
      </w:r>
      <w:r w:rsidR="007F6E5D" w:rsidRPr="000F303C">
        <w:rPr>
          <w:b w:val="0"/>
          <w:sz w:val="24"/>
          <w:szCs w:val="24"/>
        </w:rPr>
        <w:t>La Comisión estudiará detenidamente estas ideas. Todos queremos un sector agroalimentario próspero e</w:t>
      </w:r>
      <w:r>
        <w:rPr>
          <w:b w:val="0"/>
          <w:sz w:val="24"/>
          <w:szCs w:val="24"/>
        </w:rPr>
        <w:t>n nuestro continente”</w:t>
      </w:r>
      <w:r w:rsidR="007F6E5D" w:rsidRPr="000F303C">
        <w:rPr>
          <w:b w:val="0"/>
          <w:sz w:val="24"/>
          <w:szCs w:val="24"/>
        </w:rPr>
        <w:t>, ha indicado la presidenta de la Comisi</w:t>
      </w:r>
      <w:r>
        <w:rPr>
          <w:b w:val="0"/>
          <w:sz w:val="24"/>
          <w:szCs w:val="24"/>
        </w:rPr>
        <w:t>ón Europea en rueda de prensa. “</w:t>
      </w:r>
      <w:r w:rsidR="007F6E5D" w:rsidRPr="000F303C">
        <w:rPr>
          <w:b w:val="0"/>
          <w:sz w:val="24"/>
          <w:szCs w:val="24"/>
        </w:rPr>
        <w:t>Con este informe, tenemos una base muy sólida para el desarrollo de una nueva visión de la alimenta</w:t>
      </w:r>
      <w:r>
        <w:rPr>
          <w:b w:val="0"/>
          <w:sz w:val="24"/>
          <w:szCs w:val="24"/>
        </w:rPr>
        <w:t>ción y la agricultura en Europa”</w:t>
      </w:r>
      <w:r w:rsidR="007F6E5D" w:rsidRPr="000F303C">
        <w:rPr>
          <w:b w:val="0"/>
          <w:sz w:val="24"/>
          <w:szCs w:val="24"/>
        </w:rPr>
        <w:t>.</w:t>
      </w:r>
    </w:p>
    <w:p w:rsidR="007F6E5D" w:rsidRPr="000F303C" w:rsidRDefault="007F6E5D" w:rsidP="007F6E5D">
      <w:pPr>
        <w:pStyle w:val="Ttulo2"/>
        <w:pBdr>
          <w:top w:val="single" w:sz="2" w:space="0" w:color="E5E7EB"/>
          <w:left w:val="single" w:sz="2" w:space="0" w:color="E5E7EB"/>
          <w:bottom w:val="single" w:sz="2" w:space="0" w:color="E5E7EB"/>
          <w:right w:val="single" w:sz="2" w:space="0" w:color="E5E7EB"/>
        </w:pBdr>
        <w:jc w:val="both"/>
        <w:rPr>
          <w:b w:val="0"/>
          <w:sz w:val="24"/>
          <w:szCs w:val="24"/>
        </w:rPr>
      </w:pPr>
      <w:r>
        <w:rPr>
          <w:b w:val="0"/>
          <w:sz w:val="24"/>
          <w:szCs w:val="24"/>
        </w:rPr>
        <w:lastRenderedPageBreak/>
        <w:t xml:space="preserve">- </w:t>
      </w:r>
      <w:r w:rsidRPr="000F303C">
        <w:rPr>
          <w:b w:val="0"/>
          <w:sz w:val="24"/>
          <w:szCs w:val="24"/>
          <w:u w:val="single"/>
        </w:rPr>
        <w:t>Draghi señala los altos precios de la energía y la baja productividad como retos para la competitividad de la UE</w:t>
      </w:r>
      <w:r>
        <w:rPr>
          <w:b w:val="0"/>
          <w:sz w:val="24"/>
          <w:szCs w:val="24"/>
        </w:rPr>
        <w:t xml:space="preserve"> (El Economista - </w:t>
      </w:r>
      <w:r w:rsidRPr="000F303C">
        <w:rPr>
          <w:sz w:val="24"/>
          <w:szCs w:val="24"/>
        </w:rPr>
        <w:t>4/9/24</w:t>
      </w:r>
      <w:r>
        <w:rPr>
          <w:b w:val="0"/>
          <w:sz w:val="24"/>
          <w:szCs w:val="24"/>
        </w:rPr>
        <w:t>)</w:t>
      </w:r>
    </w:p>
    <w:p w:rsidR="007F6E5D" w:rsidRPr="000F303C" w:rsidRDefault="007F6E5D" w:rsidP="007F6E5D">
      <w:pPr>
        <w:pStyle w:val="Ttulo2"/>
        <w:pBdr>
          <w:top w:val="single" w:sz="2" w:space="0" w:color="E5E7EB"/>
          <w:left w:val="single" w:sz="2" w:space="0" w:color="E5E7EB"/>
          <w:bottom w:val="single" w:sz="2" w:space="0" w:color="E5E7EB"/>
          <w:right w:val="single" w:sz="2" w:space="0" w:color="E5E7EB"/>
        </w:pBdr>
        <w:jc w:val="both"/>
        <w:rPr>
          <w:b w:val="0"/>
          <w:sz w:val="24"/>
          <w:szCs w:val="24"/>
        </w:rPr>
      </w:pPr>
      <w:r>
        <w:rPr>
          <w:b w:val="0"/>
          <w:sz w:val="24"/>
          <w:szCs w:val="24"/>
        </w:rPr>
        <w:t xml:space="preserve">(Por </w:t>
      </w:r>
      <w:r w:rsidRPr="000F303C">
        <w:rPr>
          <w:b w:val="0"/>
          <w:sz w:val="24"/>
          <w:szCs w:val="24"/>
        </w:rPr>
        <w:t>Lidia Montes</w:t>
      </w:r>
      <w:r>
        <w:rPr>
          <w:b w:val="0"/>
          <w:sz w:val="24"/>
          <w:szCs w:val="24"/>
        </w:rPr>
        <w:t>)</w:t>
      </w:r>
    </w:p>
    <w:p w:rsidR="007F6E5D" w:rsidRPr="00837B66" w:rsidRDefault="007F6E5D" w:rsidP="007F6E5D">
      <w:pPr>
        <w:pStyle w:val="Ttulo2"/>
        <w:pBdr>
          <w:top w:val="single" w:sz="2" w:space="0" w:color="E5E7EB"/>
          <w:left w:val="single" w:sz="2" w:space="0" w:color="E5E7EB"/>
          <w:bottom w:val="single" w:sz="2" w:space="0" w:color="E5E7EB"/>
          <w:right w:val="single" w:sz="2" w:space="0" w:color="E5E7EB"/>
        </w:pBdr>
        <w:jc w:val="both"/>
        <w:rPr>
          <w:color w:val="FF0000"/>
          <w:sz w:val="24"/>
          <w:szCs w:val="24"/>
          <w:u w:val="single"/>
        </w:rPr>
      </w:pPr>
      <w:r w:rsidRPr="00837B66">
        <w:rPr>
          <w:b w:val="0"/>
          <w:sz w:val="24"/>
          <w:szCs w:val="24"/>
          <w:u w:val="single"/>
        </w:rPr>
        <w:t>La competitividad de la industria europea se articulará como uno de los pilares del próximo ciclo legislativo. La UE se centra en no perder la carrera contra potencias como Estados Unidos o China y para ello, la presidenta de la Comisión Europea, Ursula von de Leyen, encargó al exprimer ministro italiano, Mario Draghi un análisis sobre la competitividad del bloque.</w:t>
      </w:r>
      <w:r w:rsidRPr="000F303C">
        <w:rPr>
          <w:b w:val="0"/>
          <w:sz w:val="24"/>
          <w:szCs w:val="24"/>
        </w:rPr>
        <w:t xml:space="preserve"> </w:t>
      </w:r>
      <w:r w:rsidRPr="00837B66">
        <w:rPr>
          <w:color w:val="FF0000"/>
          <w:sz w:val="24"/>
          <w:szCs w:val="24"/>
          <w:u w:val="single"/>
        </w:rPr>
        <w:t>Entre sus principales conclusiones, el expresidente del Banco Central Europeo apuntará a los altos precios de la energía y a la productividad del sector tecnológico como principales desafíos de la UE.</w:t>
      </w:r>
    </w:p>
    <w:p w:rsidR="007F6E5D" w:rsidRPr="000F303C" w:rsidRDefault="007F6E5D" w:rsidP="007F6E5D">
      <w:pPr>
        <w:pStyle w:val="Ttulo2"/>
        <w:pBdr>
          <w:top w:val="single" w:sz="2" w:space="0" w:color="E5E7EB"/>
          <w:left w:val="single" w:sz="2" w:space="0" w:color="E5E7EB"/>
          <w:bottom w:val="single" w:sz="2" w:space="0" w:color="E5E7EB"/>
          <w:right w:val="single" w:sz="2" w:space="0" w:color="E5E7EB"/>
        </w:pBdr>
        <w:jc w:val="both"/>
        <w:rPr>
          <w:b w:val="0"/>
          <w:sz w:val="24"/>
          <w:szCs w:val="24"/>
        </w:rPr>
      </w:pPr>
      <w:r w:rsidRPr="000F303C">
        <w:rPr>
          <w:b w:val="0"/>
          <w:sz w:val="24"/>
          <w:szCs w:val="24"/>
        </w:rPr>
        <w:t xml:space="preserve">El italiano ha intercambiado este miércoles puntos de vista con los Embajadores de los veintisiete Estados miembros y con los líderes políticos del Parlamento Europeo en Bruselas a quienes ha presentado su </w:t>
      </w:r>
      <w:r w:rsidRPr="00837B66">
        <w:rPr>
          <w:color w:val="FF0000"/>
          <w:sz w:val="24"/>
          <w:szCs w:val="24"/>
          <w:u w:val="single"/>
        </w:rPr>
        <w:t>informe sobre el futuro de la competitividad europea</w:t>
      </w:r>
      <w:r w:rsidRPr="000F303C">
        <w:rPr>
          <w:b w:val="0"/>
          <w:sz w:val="24"/>
          <w:szCs w:val="24"/>
        </w:rPr>
        <w:t xml:space="preserve">, que los próximos días entregará a la presidenta de la Comisión Europea, han </w:t>
      </w:r>
      <w:r>
        <w:rPr>
          <w:b w:val="0"/>
          <w:sz w:val="24"/>
          <w:szCs w:val="24"/>
        </w:rPr>
        <w:t>explicado fuentes diplomáticas.</w:t>
      </w:r>
    </w:p>
    <w:p w:rsidR="007F6E5D" w:rsidRPr="00837B66" w:rsidRDefault="007F6E5D" w:rsidP="007F6E5D">
      <w:pPr>
        <w:pStyle w:val="Ttulo2"/>
        <w:pBdr>
          <w:top w:val="single" w:sz="2" w:space="0" w:color="E5E7EB"/>
          <w:left w:val="single" w:sz="2" w:space="0" w:color="E5E7EB"/>
          <w:bottom w:val="single" w:sz="2" w:space="0" w:color="E5E7EB"/>
          <w:right w:val="single" w:sz="2" w:space="0" w:color="E5E7EB"/>
        </w:pBdr>
        <w:jc w:val="both"/>
        <w:rPr>
          <w:color w:val="FF0000"/>
          <w:sz w:val="24"/>
          <w:szCs w:val="24"/>
          <w:u w:val="single"/>
        </w:rPr>
      </w:pPr>
      <w:r w:rsidRPr="00837B66">
        <w:rPr>
          <w:color w:val="FF0000"/>
          <w:sz w:val="24"/>
          <w:szCs w:val="24"/>
          <w:u w:val="single"/>
        </w:rPr>
        <w:t>En su análisis, el exprimer ministro italiano apunta que las últimas décadas la competitivida</w:t>
      </w:r>
      <w:r w:rsidR="007B7A52">
        <w:rPr>
          <w:color w:val="FF0000"/>
          <w:sz w:val="24"/>
          <w:szCs w:val="24"/>
          <w:u w:val="single"/>
        </w:rPr>
        <w:t>d europea se ha visto sometida “frenos estructurales”</w:t>
      </w:r>
      <w:r w:rsidRPr="00837B66">
        <w:rPr>
          <w:color w:val="FF0000"/>
          <w:sz w:val="24"/>
          <w:szCs w:val="24"/>
          <w:u w:val="single"/>
        </w:rPr>
        <w:t>. Menciona el retraso en la capacidad de innovación, el aumento de los precios de la energía, la carencia de profesionales cualificados, la necesidad de acelerar rápidamente la digitalización y de reforzar urgentemente las capacidades de defensa comunes de Europa.</w:t>
      </w:r>
    </w:p>
    <w:p w:rsidR="007F6E5D" w:rsidRPr="00837B66" w:rsidRDefault="007F6E5D" w:rsidP="007F6E5D">
      <w:pPr>
        <w:pStyle w:val="Ttulo2"/>
        <w:pBdr>
          <w:top w:val="single" w:sz="2" w:space="0" w:color="E5E7EB"/>
          <w:left w:val="single" w:sz="2" w:space="0" w:color="E5E7EB"/>
          <w:bottom w:val="single" w:sz="2" w:space="0" w:color="E5E7EB"/>
          <w:right w:val="single" w:sz="2" w:space="0" w:color="E5E7EB"/>
        </w:pBdr>
        <w:jc w:val="both"/>
        <w:rPr>
          <w:b w:val="0"/>
          <w:color w:val="FF0000"/>
          <w:sz w:val="24"/>
          <w:szCs w:val="24"/>
          <w:u w:val="single"/>
        </w:rPr>
      </w:pPr>
      <w:r w:rsidRPr="000F303C">
        <w:rPr>
          <w:b w:val="0"/>
          <w:sz w:val="24"/>
          <w:szCs w:val="24"/>
        </w:rPr>
        <w:t xml:space="preserve">Draghi incluye un mensaje claro de urgencia y pide un cambio de dirección al bloque. </w:t>
      </w:r>
      <w:r w:rsidRPr="00837B66">
        <w:rPr>
          <w:b w:val="0"/>
          <w:color w:val="FF0000"/>
          <w:sz w:val="24"/>
          <w:szCs w:val="24"/>
          <w:u w:val="single"/>
        </w:rPr>
        <w:t>Su informe, del que no se conocen aún los detalles, apunta como algunos de los principales problemas para la competitividad de la UE a los altos precios de la energía o la productividad del sector de alta tecnología y a la falta de recursos, han apuntado fuentes europeas.</w:t>
      </w:r>
    </w:p>
    <w:p w:rsidR="007F6E5D" w:rsidRPr="00837B66" w:rsidRDefault="007F6E5D" w:rsidP="007F6E5D">
      <w:pPr>
        <w:pStyle w:val="Ttulo2"/>
        <w:pBdr>
          <w:top w:val="single" w:sz="2" w:space="0" w:color="E5E7EB"/>
          <w:left w:val="single" w:sz="2" w:space="0" w:color="E5E7EB"/>
          <w:bottom w:val="single" w:sz="2" w:space="0" w:color="E5E7EB"/>
          <w:right w:val="single" w:sz="2" w:space="0" w:color="E5E7EB"/>
        </w:pBdr>
        <w:jc w:val="both"/>
        <w:rPr>
          <w:color w:val="FF0000"/>
          <w:sz w:val="24"/>
          <w:szCs w:val="24"/>
          <w:u w:val="single"/>
        </w:rPr>
      </w:pPr>
      <w:r w:rsidRPr="00837B66">
        <w:rPr>
          <w:color w:val="FF0000"/>
          <w:sz w:val="24"/>
          <w:szCs w:val="24"/>
          <w:u w:val="single"/>
        </w:rPr>
        <w:t>El análisis delineará la estrategia de competitividad industrial del bloque en los próximos años y el plan industrial que la presidenta del Ejecutivo comunitario ha prometido como parte de su segundo mandato. Digitalización, defensa o transición energética son algunos de los elementos clave para el próximo lustro para la UE, apuntan las mismas fuentes.</w:t>
      </w:r>
    </w:p>
    <w:p w:rsidR="007F6E5D" w:rsidRPr="000F303C" w:rsidRDefault="007F6E5D" w:rsidP="007F6E5D">
      <w:pPr>
        <w:pStyle w:val="Ttulo2"/>
        <w:pBdr>
          <w:top w:val="single" w:sz="2" w:space="0" w:color="E5E7EB"/>
          <w:left w:val="single" w:sz="2" w:space="0" w:color="E5E7EB"/>
          <w:bottom w:val="single" w:sz="2" w:space="0" w:color="E5E7EB"/>
          <w:right w:val="single" w:sz="2" w:space="0" w:color="E5E7EB"/>
        </w:pBdr>
        <w:jc w:val="both"/>
        <w:rPr>
          <w:b w:val="0"/>
          <w:sz w:val="24"/>
          <w:szCs w:val="24"/>
        </w:rPr>
      </w:pPr>
      <w:r w:rsidRPr="000F303C">
        <w:rPr>
          <w:b w:val="0"/>
          <w:sz w:val="24"/>
          <w:szCs w:val="24"/>
        </w:rPr>
        <w:t>El italiano subrayó que el informe contribuirá a la reflexión sobre los retos a los que se enfrenta Europa y sobre cómo la Unión, sus instituciones, los Estados miembros y las partes interesadas pueden superarlos juntos para recuperar la ventaja competitiva de Europa. Draghi expresó su satisfacción por el hecho de que muchas de sus ideas ya se hayan plasmado en las orientaciones políticas presentadas por Von der Leyen en julio para su segu</w:t>
      </w:r>
      <w:r>
        <w:rPr>
          <w:b w:val="0"/>
          <w:sz w:val="24"/>
          <w:szCs w:val="24"/>
        </w:rPr>
        <w:t>ndo mandato.</w:t>
      </w:r>
    </w:p>
    <w:p w:rsidR="007F6E5D" w:rsidRDefault="007F6E5D" w:rsidP="007F6E5D">
      <w:pPr>
        <w:pStyle w:val="Ttulo2"/>
        <w:pBdr>
          <w:top w:val="single" w:sz="2" w:space="0" w:color="E5E7EB"/>
          <w:left w:val="single" w:sz="2" w:space="0" w:color="E5E7EB"/>
          <w:bottom w:val="single" w:sz="2" w:space="0" w:color="E5E7EB"/>
          <w:right w:val="single" w:sz="2" w:space="0" w:color="E5E7EB"/>
        </w:pBdr>
        <w:jc w:val="both"/>
        <w:rPr>
          <w:color w:val="FF0000"/>
          <w:sz w:val="24"/>
          <w:szCs w:val="24"/>
          <w:u w:val="single"/>
        </w:rPr>
      </w:pPr>
      <w:r w:rsidRPr="00837B66">
        <w:rPr>
          <w:b w:val="0"/>
          <w:color w:val="FF0000"/>
          <w:sz w:val="24"/>
          <w:szCs w:val="24"/>
          <w:u w:val="single"/>
        </w:rPr>
        <w:t xml:space="preserve">Es así como el italiano pedirá una mayor integración en el bloque, que considera que se encuentra en un momento de urgencia tanto a nivel nacional como comunitario. Por eso </w:t>
      </w:r>
      <w:r w:rsidRPr="00837B66">
        <w:rPr>
          <w:color w:val="FF0000"/>
          <w:sz w:val="24"/>
          <w:szCs w:val="24"/>
          <w:u w:val="single"/>
        </w:rPr>
        <w:t>pide tomarse sus recomendaciones muy en serio, porque lo que está en juego es el futuro económico. Aboga por dar empuje a los valores europeos, como los servicios públicos, el mercado laboral o la transición climática y por reforzar la innovación en los próximos cinco años, que será esencial para dar alas a la competitividad de la UE.</w:t>
      </w:r>
    </w:p>
    <w:p w:rsidR="007B7A52" w:rsidRPr="00837B66" w:rsidRDefault="007B7A52" w:rsidP="007F6E5D">
      <w:pPr>
        <w:pStyle w:val="Ttulo2"/>
        <w:pBdr>
          <w:top w:val="single" w:sz="2" w:space="0" w:color="E5E7EB"/>
          <w:left w:val="single" w:sz="2" w:space="0" w:color="E5E7EB"/>
          <w:bottom w:val="single" w:sz="2" w:space="0" w:color="E5E7EB"/>
          <w:right w:val="single" w:sz="2" w:space="0" w:color="E5E7EB"/>
        </w:pBdr>
        <w:jc w:val="both"/>
        <w:rPr>
          <w:color w:val="FF0000"/>
          <w:sz w:val="24"/>
          <w:szCs w:val="24"/>
          <w:u w:val="single"/>
        </w:rPr>
      </w:pPr>
    </w:p>
    <w:p w:rsidR="007F6E5D" w:rsidRPr="000F303C" w:rsidRDefault="007F6E5D" w:rsidP="007F6E5D">
      <w:pPr>
        <w:pStyle w:val="Ttulo2"/>
        <w:pBdr>
          <w:top w:val="single" w:sz="2" w:space="0" w:color="E5E7EB"/>
          <w:left w:val="single" w:sz="2" w:space="0" w:color="E5E7EB"/>
          <w:bottom w:val="single" w:sz="2" w:space="0" w:color="E5E7EB"/>
          <w:right w:val="single" w:sz="2" w:space="0" w:color="E5E7EB"/>
        </w:pBdr>
        <w:jc w:val="both"/>
        <w:rPr>
          <w:b w:val="0"/>
          <w:sz w:val="24"/>
          <w:szCs w:val="24"/>
        </w:rPr>
      </w:pPr>
      <w:r w:rsidRPr="000F303C">
        <w:rPr>
          <w:b w:val="0"/>
          <w:sz w:val="24"/>
          <w:szCs w:val="24"/>
        </w:rPr>
        <w:lastRenderedPageBreak/>
        <w:t>El informe de Enrico Letta</w:t>
      </w:r>
    </w:p>
    <w:p w:rsidR="007F6E5D" w:rsidRPr="003565D1" w:rsidRDefault="007F6E5D" w:rsidP="007F6E5D">
      <w:pPr>
        <w:pStyle w:val="Ttulo2"/>
        <w:pBdr>
          <w:top w:val="single" w:sz="2" w:space="0" w:color="E5E7EB"/>
          <w:left w:val="single" w:sz="2" w:space="0" w:color="E5E7EB"/>
          <w:bottom w:val="single" w:sz="2" w:space="0" w:color="E5E7EB"/>
          <w:right w:val="single" w:sz="2" w:space="0" w:color="E5E7EB"/>
        </w:pBdr>
        <w:jc w:val="both"/>
        <w:rPr>
          <w:color w:val="FF0000"/>
          <w:sz w:val="24"/>
          <w:szCs w:val="24"/>
          <w:u w:val="single"/>
        </w:rPr>
      </w:pPr>
      <w:r w:rsidRPr="000F303C">
        <w:rPr>
          <w:b w:val="0"/>
          <w:sz w:val="24"/>
          <w:szCs w:val="24"/>
        </w:rPr>
        <w:t xml:space="preserve">Corresponderá a los dirigentes de la UE, a los parlamentarios europeos, a las instituciones de la UE y a los países, decidir cómo llevar adelante su trabajo y transformar sus recomendaciones en resultados concretos para los europeos. </w:t>
      </w:r>
      <w:r w:rsidRPr="003565D1">
        <w:rPr>
          <w:color w:val="FF0000"/>
          <w:sz w:val="24"/>
          <w:szCs w:val="24"/>
          <w:u w:val="single"/>
        </w:rPr>
        <w:t>Este análisis se complementa con el presentado a principios de año por otro exprimer ministro italiano, Enrico Letta. Su foco radicaba en impulsar una mayor integración de la unión de mercados de capitales pero coincide en el sector energético com</w:t>
      </w:r>
      <w:r w:rsidR="003565D1">
        <w:rPr>
          <w:color w:val="FF0000"/>
          <w:sz w:val="24"/>
          <w:szCs w:val="24"/>
          <w:u w:val="single"/>
        </w:rPr>
        <w:t>o clave para la competitividad.</w:t>
      </w:r>
    </w:p>
    <w:p w:rsidR="007F6E5D" w:rsidRPr="00837B66" w:rsidRDefault="007F6E5D" w:rsidP="007F6E5D">
      <w:pPr>
        <w:pStyle w:val="Ttulo2"/>
        <w:pBdr>
          <w:top w:val="single" w:sz="2" w:space="0" w:color="E5E7EB"/>
          <w:left w:val="single" w:sz="2" w:space="0" w:color="E5E7EB"/>
          <w:bottom w:val="single" w:sz="2" w:space="0" w:color="E5E7EB"/>
          <w:right w:val="single" w:sz="2" w:space="0" w:color="E5E7EB"/>
        </w:pBdr>
        <w:jc w:val="both"/>
        <w:rPr>
          <w:b w:val="0"/>
          <w:sz w:val="24"/>
          <w:szCs w:val="24"/>
          <w:u w:val="single"/>
        </w:rPr>
      </w:pPr>
      <w:r>
        <w:rPr>
          <w:b w:val="0"/>
          <w:sz w:val="24"/>
          <w:szCs w:val="24"/>
        </w:rPr>
        <w:t xml:space="preserve">- </w:t>
      </w:r>
      <w:r w:rsidRPr="00837B66">
        <w:rPr>
          <w:b w:val="0"/>
          <w:sz w:val="24"/>
          <w:szCs w:val="24"/>
          <w:u w:val="single"/>
        </w:rPr>
        <w:t>Lo que sabemos del informe Draghi tras los intercambios confidenciales de hoy</w:t>
      </w:r>
    </w:p>
    <w:p w:rsidR="007F6E5D" w:rsidRPr="000F303C" w:rsidRDefault="007F6E5D" w:rsidP="007F6E5D">
      <w:pPr>
        <w:pStyle w:val="Ttulo2"/>
        <w:pBdr>
          <w:top w:val="single" w:sz="2" w:space="0" w:color="E5E7EB"/>
          <w:left w:val="single" w:sz="2" w:space="0" w:color="E5E7EB"/>
          <w:bottom w:val="single" w:sz="2" w:space="0" w:color="E5E7EB"/>
          <w:right w:val="single" w:sz="2" w:space="0" w:color="E5E7EB"/>
        </w:pBdr>
        <w:jc w:val="both"/>
        <w:rPr>
          <w:b w:val="0"/>
          <w:sz w:val="24"/>
          <w:szCs w:val="24"/>
        </w:rPr>
      </w:pPr>
      <w:r w:rsidRPr="000F303C">
        <w:rPr>
          <w:b w:val="0"/>
          <w:sz w:val="24"/>
          <w:szCs w:val="24"/>
        </w:rPr>
        <w:t>El informe de Mario Draghi sobre la competitividad es uno de los acontecimientos más esperados en Bruselas este otoño. Hoy, el ex Primer Ministro italiano ha mantenido conversaciones con los líderes de los grupos políticos y los embajadores de los Estados miembros en Bruselas.</w:t>
      </w:r>
    </w:p>
    <w:p w:rsidR="007F6E5D" w:rsidRPr="000F303C" w:rsidRDefault="007F6E5D" w:rsidP="007F6E5D">
      <w:pPr>
        <w:pStyle w:val="Ttulo2"/>
        <w:pBdr>
          <w:top w:val="single" w:sz="2" w:space="0" w:color="E5E7EB"/>
          <w:left w:val="single" w:sz="2" w:space="0" w:color="E5E7EB"/>
          <w:bottom w:val="single" w:sz="2" w:space="0" w:color="E5E7EB"/>
          <w:right w:val="single" w:sz="2" w:space="0" w:color="E5E7EB"/>
        </w:pBdr>
        <w:jc w:val="both"/>
        <w:rPr>
          <w:b w:val="0"/>
          <w:sz w:val="24"/>
          <w:szCs w:val="24"/>
        </w:rPr>
      </w:pPr>
      <w:r w:rsidRPr="000F303C">
        <w:rPr>
          <w:b w:val="0"/>
          <w:sz w:val="24"/>
          <w:szCs w:val="24"/>
        </w:rPr>
        <w:t>Mario Draghi ha debatido hoy en Bruselas con los embajadores de los Estados miembros y los líderes de los grupos políticos del Parlamento Europeo el informe sobre la competitividad europea que le encargó la Presidenta de la Comisión, Ursula von der Leyen, en otoño de 2023. El informe final deberá presentarse a la Presidenta de la</w:t>
      </w:r>
      <w:r>
        <w:rPr>
          <w:b w:val="0"/>
          <w:sz w:val="24"/>
          <w:szCs w:val="24"/>
        </w:rPr>
        <w:t xml:space="preserve"> Comisión en los próximos días.</w:t>
      </w:r>
    </w:p>
    <w:p w:rsidR="007F6E5D" w:rsidRPr="00837B66" w:rsidRDefault="007F6E5D" w:rsidP="007F6E5D">
      <w:pPr>
        <w:pStyle w:val="Ttulo2"/>
        <w:pBdr>
          <w:top w:val="single" w:sz="2" w:space="0" w:color="E5E7EB"/>
          <w:left w:val="single" w:sz="2" w:space="0" w:color="E5E7EB"/>
          <w:bottom w:val="single" w:sz="2" w:space="0" w:color="E5E7EB"/>
          <w:right w:val="single" w:sz="2" w:space="0" w:color="E5E7EB"/>
        </w:pBdr>
        <w:jc w:val="both"/>
        <w:rPr>
          <w:b w:val="0"/>
          <w:color w:val="FF0000"/>
          <w:sz w:val="24"/>
          <w:szCs w:val="24"/>
          <w:u w:val="single"/>
        </w:rPr>
      </w:pPr>
      <w:r w:rsidRPr="00837B66">
        <w:rPr>
          <w:b w:val="0"/>
          <w:color w:val="FF0000"/>
          <w:sz w:val="24"/>
          <w:szCs w:val="24"/>
          <w:u w:val="single"/>
        </w:rPr>
        <w:t>El informe debería basarse en una constatación: en las últimas décadas, la competitividad europea ha tenido que hacer frente a una serie de «frenos estructurales»: el retraso de la innovación, el aumento de los precios de la energía, la falta de cualificaciones, pero también la necesidad de acelerar la digitalización y reforzar las capacidades comunes de defensa.</w:t>
      </w:r>
    </w:p>
    <w:p w:rsidR="007F6E5D" w:rsidRPr="00837B66" w:rsidRDefault="007F6E5D" w:rsidP="007F6E5D">
      <w:pPr>
        <w:pStyle w:val="Ttulo2"/>
        <w:pBdr>
          <w:top w:val="single" w:sz="2" w:space="0" w:color="E5E7EB"/>
          <w:left w:val="single" w:sz="2" w:space="0" w:color="E5E7EB"/>
          <w:bottom w:val="single" w:sz="2" w:space="0" w:color="E5E7EB"/>
          <w:right w:val="single" w:sz="2" w:space="0" w:color="E5E7EB"/>
        </w:pBdr>
        <w:jc w:val="both"/>
        <w:rPr>
          <w:b w:val="0"/>
          <w:color w:val="FF0000"/>
          <w:sz w:val="24"/>
          <w:szCs w:val="24"/>
          <w:u w:val="single"/>
        </w:rPr>
      </w:pPr>
      <w:r w:rsidRPr="000F303C">
        <w:rPr>
          <w:b w:val="0"/>
          <w:sz w:val="24"/>
          <w:szCs w:val="24"/>
        </w:rPr>
        <w:t xml:space="preserve">Según fuentes cercanas, durante estas reuniones </w:t>
      </w:r>
      <w:r w:rsidRPr="00837B66">
        <w:rPr>
          <w:b w:val="0"/>
          <w:color w:val="FF0000"/>
          <w:sz w:val="24"/>
          <w:szCs w:val="24"/>
          <w:u w:val="single"/>
        </w:rPr>
        <w:t>Mario Draghi subrayó que el informe contribuiría a la reflexión sobre los retos actuales a los que se enfrenta Europa y sobre cómo la Unión y los Estados miembros pueden hacerles frente para restaurar la ventaja competitiva de Europa.</w:t>
      </w:r>
    </w:p>
    <w:p w:rsidR="007F6E5D" w:rsidRPr="000F303C" w:rsidRDefault="007F6E5D" w:rsidP="007F6E5D">
      <w:pPr>
        <w:pStyle w:val="Ttulo2"/>
        <w:pBdr>
          <w:top w:val="single" w:sz="2" w:space="0" w:color="E5E7EB"/>
          <w:left w:val="single" w:sz="2" w:space="0" w:color="E5E7EB"/>
          <w:bottom w:val="single" w:sz="2" w:space="0" w:color="E5E7EB"/>
          <w:right w:val="single" w:sz="2" w:space="0" w:color="E5E7EB"/>
        </w:pBdr>
        <w:jc w:val="both"/>
        <w:rPr>
          <w:b w:val="0"/>
          <w:sz w:val="24"/>
          <w:szCs w:val="24"/>
        </w:rPr>
      </w:pPr>
      <w:r w:rsidRPr="000F303C">
        <w:rPr>
          <w:b w:val="0"/>
          <w:sz w:val="24"/>
          <w:szCs w:val="24"/>
        </w:rPr>
        <w:t>También habría declarado que muchas de las propuestas que figurarán en su informe ya han sido recogidas en el discurso de Ursula von der Leyen ante el nuevo Parlamento Europeo en julio, y añadió que los resultados de su informe también deberían figurar en las declaraciones de misión de los Comisarios designados, añadiendo que corresponderá a los líderes europeos, los parlamentarios, las instituciones y los Estados miembros decidir cómo desean aplicar estas recomendaciones.</w:t>
      </w:r>
    </w:p>
    <w:p w:rsidR="007F6E5D" w:rsidRPr="000F303C" w:rsidRDefault="007F6E5D" w:rsidP="007F6E5D">
      <w:pPr>
        <w:pStyle w:val="Ttulo2"/>
        <w:pBdr>
          <w:top w:val="single" w:sz="2" w:space="0" w:color="E5E7EB"/>
          <w:left w:val="single" w:sz="2" w:space="0" w:color="E5E7EB"/>
          <w:bottom w:val="single" w:sz="2" w:space="0" w:color="E5E7EB"/>
          <w:right w:val="single" w:sz="2" w:space="0" w:color="E5E7EB"/>
        </w:pBdr>
        <w:jc w:val="both"/>
        <w:rPr>
          <w:b w:val="0"/>
          <w:sz w:val="24"/>
          <w:szCs w:val="24"/>
        </w:rPr>
      </w:pPr>
      <w:r w:rsidRPr="000F303C">
        <w:rPr>
          <w:b w:val="0"/>
          <w:sz w:val="24"/>
          <w:szCs w:val="24"/>
        </w:rPr>
        <w:t>En su discurso ante el Parlamento Europeo, von der</w:t>
      </w:r>
      <w:r w:rsidR="007B7A52">
        <w:rPr>
          <w:b w:val="0"/>
          <w:sz w:val="24"/>
          <w:szCs w:val="24"/>
        </w:rPr>
        <w:t xml:space="preserve"> Leyen supeditó el Pacto Verde -</w:t>
      </w:r>
      <w:r w:rsidRPr="000F303C">
        <w:rPr>
          <w:b w:val="0"/>
          <w:sz w:val="24"/>
          <w:szCs w:val="24"/>
        </w:rPr>
        <w:t>princi</w:t>
      </w:r>
      <w:r w:rsidR="007B7A52">
        <w:rPr>
          <w:b w:val="0"/>
          <w:sz w:val="24"/>
          <w:szCs w:val="24"/>
        </w:rPr>
        <w:t>pio rector de su primer mandato-</w:t>
      </w:r>
      <w:r w:rsidRPr="000F303C">
        <w:rPr>
          <w:b w:val="0"/>
          <w:sz w:val="24"/>
          <w:szCs w:val="24"/>
        </w:rPr>
        <w:t xml:space="preserve"> a la política industrial y la competitividad de la economía europea, pro</w:t>
      </w:r>
      <w:r w:rsidR="007B7A52">
        <w:rPr>
          <w:b w:val="0"/>
          <w:sz w:val="24"/>
          <w:szCs w:val="24"/>
        </w:rPr>
        <w:t>poniendo la presentación de un “Clean Industrial Deal”</w:t>
      </w:r>
      <w:r w:rsidRPr="000F303C">
        <w:rPr>
          <w:b w:val="0"/>
          <w:sz w:val="24"/>
          <w:szCs w:val="24"/>
        </w:rPr>
        <w:t xml:space="preserve"> en sus primeros 100 días. Pero mientras que la competitividad parece ser un fin en sí mismo para la Presidenta de la Comisión, corresponde a Draghi detal</w:t>
      </w:r>
      <w:r>
        <w:rPr>
          <w:b w:val="0"/>
          <w:sz w:val="24"/>
          <w:szCs w:val="24"/>
        </w:rPr>
        <w:t>lar los medios para alcanzarla.</w:t>
      </w:r>
    </w:p>
    <w:p w:rsidR="007F6E5D" w:rsidRPr="00837B66" w:rsidRDefault="007F6E5D" w:rsidP="007F6E5D">
      <w:pPr>
        <w:pStyle w:val="Ttulo2"/>
        <w:pBdr>
          <w:top w:val="single" w:sz="2" w:space="0" w:color="E5E7EB"/>
          <w:left w:val="single" w:sz="2" w:space="0" w:color="E5E7EB"/>
          <w:bottom w:val="single" w:sz="2" w:space="0" w:color="E5E7EB"/>
          <w:right w:val="single" w:sz="2" w:space="0" w:color="E5E7EB"/>
        </w:pBdr>
        <w:jc w:val="both"/>
        <w:rPr>
          <w:b w:val="0"/>
          <w:color w:val="FF0000"/>
          <w:sz w:val="24"/>
          <w:szCs w:val="24"/>
          <w:u w:val="single"/>
        </w:rPr>
      </w:pPr>
      <w:r w:rsidRPr="00837B66">
        <w:rPr>
          <w:b w:val="0"/>
          <w:color w:val="FF0000"/>
          <w:sz w:val="24"/>
          <w:szCs w:val="24"/>
          <w:u w:val="single"/>
        </w:rPr>
        <w:t>En un discurso pronunciado en Yuste en junio, ya puso de</w:t>
      </w:r>
      <w:r w:rsidR="007B7A52">
        <w:rPr>
          <w:b w:val="0"/>
          <w:color w:val="FF0000"/>
          <w:sz w:val="24"/>
          <w:szCs w:val="24"/>
          <w:u w:val="single"/>
        </w:rPr>
        <w:t xml:space="preserve"> relieve el retraso de Europa: “</w:t>
      </w:r>
      <w:r w:rsidRPr="00837B66">
        <w:rPr>
          <w:b w:val="0"/>
          <w:color w:val="FF0000"/>
          <w:sz w:val="24"/>
          <w:szCs w:val="24"/>
          <w:u w:val="single"/>
        </w:rPr>
        <w:t>Desde principios de la década de 2000, el PIB per cápita en términos ajustados de paridad de poder adquisitivo ha sido alrededor de un tercio inferior al de Estados Unidos, y alrededor del 70% de esta diferencia puede explica</w:t>
      </w:r>
      <w:r w:rsidR="007B7A52">
        <w:rPr>
          <w:b w:val="0"/>
          <w:color w:val="FF0000"/>
          <w:sz w:val="24"/>
          <w:szCs w:val="24"/>
          <w:u w:val="single"/>
        </w:rPr>
        <w:t>rse por una menor productividad”</w:t>
      </w:r>
      <w:r w:rsidRPr="00837B66">
        <w:rPr>
          <w:b w:val="0"/>
          <w:color w:val="FF0000"/>
          <w:sz w:val="24"/>
          <w:szCs w:val="24"/>
          <w:u w:val="single"/>
        </w:rPr>
        <w:t xml:space="preserve"> y la importancia de hacer mayor hincapié en los factores capaces de aumentar </w:t>
      </w:r>
      <w:r w:rsidR="007B7A52">
        <w:rPr>
          <w:b w:val="0"/>
          <w:color w:val="FF0000"/>
          <w:sz w:val="24"/>
          <w:szCs w:val="24"/>
          <w:u w:val="single"/>
        </w:rPr>
        <w:t>la productividad: “</w:t>
      </w:r>
      <w:r w:rsidRPr="00837B66">
        <w:rPr>
          <w:b w:val="0"/>
          <w:color w:val="FF0000"/>
          <w:sz w:val="24"/>
          <w:szCs w:val="24"/>
          <w:u w:val="single"/>
        </w:rPr>
        <w:t xml:space="preserve">Tendremos que </w:t>
      </w:r>
      <w:r w:rsidRPr="00837B66">
        <w:rPr>
          <w:b w:val="0"/>
          <w:color w:val="FF0000"/>
          <w:sz w:val="24"/>
          <w:szCs w:val="24"/>
          <w:u w:val="single"/>
        </w:rPr>
        <w:lastRenderedPageBreak/>
        <w:t>crecer más rápido y mejor. Y la principal forma de hacerlo es</w:t>
      </w:r>
      <w:r w:rsidR="007B7A52">
        <w:rPr>
          <w:b w:val="0"/>
          <w:color w:val="FF0000"/>
          <w:sz w:val="24"/>
          <w:szCs w:val="24"/>
          <w:u w:val="single"/>
        </w:rPr>
        <w:t xml:space="preserve"> aumentar nuestra productividad</w:t>
      </w:r>
      <w:r w:rsidR="007B7A52" w:rsidRPr="007B7A52">
        <w:rPr>
          <w:b w:val="0"/>
          <w:color w:val="FF0000"/>
          <w:sz w:val="24"/>
          <w:szCs w:val="24"/>
        </w:rPr>
        <w:t>”</w:t>
      </w:r>
      <w:r w:rsidRPr="007B7A52">
        <w:rPr>
          <w:b w:val="0"/>
          <w:color w:val="FF0000"/>
          <w:sz w:val="24"/>
          <w:szCs w:val="24"/>
        </w:rPr>
        <w:t>…</w:t>
      </w:r>
    </w:p>
    <w:p w:rsidR="007F6E5D" w:rsidRPr="004705E3" w:rsidRDefault="007F6E5D" w:rsidP="007F6E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705E3">
        <w:rPr>
          <w:rFonts w:ascii="Times New Roman" w:hAnsi="Times New Roman" w:cs="Times New Roman"/>
          <w:sz w:val="24"/>
          <w:szCs w:val="24"/>
          <w:u w:val="single"/>
        </w:rPr>
        <w:t>La caída de los gigantes alemanes: el ocaso de la industria muestra las grietas del motor económico de Europa</w:t>
      </w:r>
      <w:r>
        <w:rPr>
          <w:rFonts w:ascii="Times New Roman" w:hAnsi="Times New Roman" w:cs="Times New Roman"/>
          <w:sz w:val="24"/>
          <w:szCs w:val="24"/>
        </w:rPr>
        <w:t xml:space="preserve"> (El Economista - </w:t>
      </w:r>
      <w:r w:rsidRPr="004705E3">
        <w:rPr>
          <w:rFonts w:ascii="Times New Roman" w:hAnsi="Times New Roman" w:cs="Times New Roman"/>
          <w:b/>
          <w:sz w:val="24"/>
          <w:szCs w:val="24"/>
        </w:rPr>
        <w:t>6/9/24</w:t>
      </w:r>
      <w:r>
        <w:rPr>
          <w:rFonts w:ascii="Times New Roman" w:hAnsi="Times New Roman" w:cs="Times New Roman"/>
          <w:sz w:val="24"/>
          <w:szCs w:val="24"/>
        </w:rPr>
        <w:t>)</w:t>
      </w:r>
    </w:p>
    <w:p w:rsidR="007F6E5D" w:rsidRPr="004705E3" w:rsidRDefault="007F6E5D" w:rsidP="007F6E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Francisco S. Jiménez y </w:t>
      </w:r>
      <w:r w:rsidRPr="004705E3">
        <w:rPr>
          <w:rFonts w:ascii="Times New Roman" w:hAnsi="Times New Roman" w:cs="Times New Roman"/>
          <w:sz w:val="24"/>
          <w:szCs w:val="24"/>
        </w:rPr>
        <w:t>Javier Fernández</w:t>
      </w:r>
      <w:r>
        <w:rPr>
          <w:rFonts w:ascii="Times New Roman" w:hAnsi="Times New Roman" w:cs="Times New Roman"/>
          <w:sz w:val="24"/>
          <w:szCs w:val="24"/>
        </w:rPr>
        <w:t>)</w:t>
      </w:r>
    </w:p>
    <w:p w:rsidR="007F6E5D" w:rsidRPr="00FB0817" w:rsidRDefault="007F6E5D" w:rsidP="007F6E5D">
      <w:pPr>
        <w:spacing w:line="240" w:lineRule="auto"/>
        <w:jc w:val="both"/>
        <w:rPr>
          <w:rFonts w:ascii="Times New Roman" w:hAnsi="Times New Roman" w:cs="Times New Roman"/>
          <w:color w:val="FF0000"/>
          <w:sz w:val="24"/>
          <w:szCs w:val="24"/>
          <w:u w:val="single"/>
        </w:rPr>
      </w:pPr>
      <w:r w:rsidRPr="00FB0817">
        <w:rPr>
          <w:rFonts w:ascii="Times New Roman" w:hAnsi="Times New Roman" w:cs="Times New Roman"/>
          <w:color w:val="FF0000"/>
          <w:sz w:val="24"/>
          <w:szCs w:val="24"/>
          <w:u w:val="single"/>
        </w:rPr>
        <w:t>La principal potencia económica de la Unión Europea vive un momento muy convulso. Su lustrosa industria automovilística está experimentado un proceso febril muy complicado, tal y como evidencian los planes de Volkswagen para cerrar fábricas en Alemania por primera vez en 87 años. Sin embargo, estos síntomas forman parte del cuadro clínico de la industria germana, el cual incluye clausuras de factorías y miles de despidos entre la élite del sector secundario germano. Así, joyas de la corona industrial como BASF, Bosch y Bayer han decidido reducir gastos, aplicando recortes de plantilla. En este complicado contexto, la industria debe también hacer frente a otro grave problema: el envejecimiento de la población.</w:t>
      </w:r>
    </w:p>
    <w:p w:rsidR="007F6E5D" w:rsidRPr="007B7A52" w:rsidRDefault="007F6E5D" w:rsidP="007F6E5D">
      <w:pPr>
        <w:spacing w:line="240" w:lineRule="auto"/>
        <w:jc w:val="both"/>
        <w:rPr>
          <w:rFonts w:ascii="Times New Roman" w:hAnsi="Times New Roman" w:cs="Times New Roman"/>
          <w:b/>
          <w:color w:val="FF0000"/>
          <w:sz w:val="24"/>
          <w:szCs w:val="24"/>
          <w:u w:val="single"/>
        </w:rPr>
      </w:pPr>
      <w:r w:rsidRPr="004705E3">
        <w:rPr>
          <w:rFonts w:ascii="Times New Roman" w:hAnsi="Times New Roman" w:cs="Times New Roman"/>
          <w:sz w:val="24"/>
          <w:szCs w:val="24"/>
        </w:rPr>
        <w:t xml:space="preserve">Ceños fruncidos y preocupación ante </w:t>
      </w:r>
      <w:r w:rsidRPr="007B7A52">
        <w:rPr>
          <w:rFonts w:ascii="Times New Roman" w:hAnsi="Times New Roman" w:cs="Times New Roman"/>
          <w:b/>
          <w:color w:val="FF0000"/>
          <w:sz w:val="24"/>
          <w:szCs w:val="24"/>
          <w:u w:val="single"/>
        </w:rPr>
        <w:t>la extraña mezcla de la melodía electrónica</w:t>
      </w:r>
      <w:r w:rsidRPr="00FB0817">
        <w:rPr>
          <w:rFonts w:ascii="Times New Roman" w:hAnsi="Times New Roman" w:cs="Times New Roman"/>
          <w:color w:val="FF0000"/>
          <w:sz w:val="24"/>
          <w:szCs w:val="24"/>
        </w:rPr>
        <w:t xml:space="preserve"> </w:t>
      </w:r>
      <w:r w:rsidRPr="004705E3">
        <w:rPr>
          <w:rFonts w:ascii="Times New Roman" w:hAnsi="Times New Roman" w:cs="Times New Roman"/>
          <w:sz w:val="24"/>
          <w:szCs w:val="24"/>
        </w:rPr>
        <w:t xml:space="preserve">que emiten los datos laborales germanos. La tasa de paro estaba en el 4,9% en primavera de 2019, en mínimos históricos. Ahora mismo se sitúa en el 6% y en mitad de </w:t>
      </w:r>
      <w:r w:rsidRPr="007B7A52">
        <w:rPr>
          <w:rFonts w:ascii="Times New Roman" w:hAnsi="Times New Roman" w:cs="Times New Roman"/>
          <w:b/>
          <w:color w:val="FF0000"/>
          <w:sz w:val="24"/>
          <w:szCs w:val="24"/>
          <w:u w:val="single"/>
        </w:rPr>
        <w:t>una sensación de crisis generalizada con una economía, que no carbura y que roza la recesión.</w:t>
      </w:r>
    </w:p>
    <w:p w:rsidR="007F6E5D" w:rsidRPr="004705E3" w:rsidRDefault="007F6E5D" w:rsidP="007F6E5D">
      <w:pPr>
        <w:spacing w:line="240" w:lineRule="auto"/>
        <w:jc w:val="both"/>
        <w:rPr>
          <w:rFonts w:ascii="Times New Roman" w:hAnsi="Times New Roman" w:cs="Times New Roman"/>
          <w:sz w:val="24"/>
          <w:szCs w:val="24"/>
        </w:rPr>
      </w:pPr>
      <w:r w:rsidRPr="004705E3">
        <w:rPr>
          <w:rFonts w:ascii="Times New Roman" w:hAnsi="Times New Roman" w:cs="Times New Roman"/>
          <w:sz w:val="24"/>
          <w:szCs w:val="24"/>
        </w:rPr>
        <w:t xml:space="preserve">Casi cualquier país europeo firmaría esas cifras de desempleo, pero la sensación de problemas económicos no solo es una sensación. </w:t>
      </w:r>
      <w:r w:rsidRPr="00FB0817">
        <w:rPr>
          <w:rFonts w:ascii="Times New Roman" w:hAnsi="Times New Roman" w:cs="Times New Roman"/>
          <w:color w:val="FF0000"/>
          <w:sz w:val="24"/>
          <w:szCs w:val="24"/>
          <w:u w:val="single"/>
        </w:rPr>
        <w:t>Por debajo de las grandes cifras de empleo del gigante alemán esconden una destrucción del empleo en la gran industria alemana. El drama viene de que se tratan de trabajos cualificados y bien remunerados. El país sigue generando empleo, pero en servicios, donde los puestos de trabajo están peor pagados.</w:t>
      </w:r>
    </w:p>
    <w:p w:rsidR="007F6E5D" w:rsidRPr="004705E3" w:rsidRDefault="007F6E5D" w:rsidP="007F6E5D">
      <w:pPr>
        <w:spacing w:line="240" w:lineRule="auto"/>
        <w:jc w:val="both"/>
        <w:rPr>
          <w:rFonts w:ascii="Times New Roman" w:hAnsi="Times New Roman" w:cs="Times New Roman"/>
          <w:sz w:val="24"/>
          <w:szCs w:val="24"/>
        </w:rPr>
      </w:pPr>
      <w:r w:rsidRPr="00FB0817">
        <w:rPr>
          <w:rFonts w:ascii="Times New Roman" w:hAnsi="Times New Roman" w:cs="Times New Roman"/>
          <w:sz w:val="24"/>
          <w:szCs w:val="24"/>
          <w:u w:val="single"/>
        </w:rPr>
        <w:t>El sector del motor, la joya de la corona y un emblema en el país, ha destruido un 6,5% de empleo, según la Agencia Federal de Empleo de Alemania</w:t>
      </w:r>
      <w:r w:rsidRPr="004705E3">
        <w:rPr>
          <w:rFonts w:ascii="Times New Roman" w:hAnsi="Times New Roman" w:cs="Times New Roman"/>
          <w:sz w:val="24"/>
          <w:szCs w:val="24"/>
        </w:rPr>
        <w:t xml:space="preserve">. Los últimos datos indican que 780.000 personas trabajan en la industria. </w:t>
      </w:r>
      <w:r w:rsidRPr="00FB0817">
        <w:rPr>
          <w:rFonts w:ascii="Times New Roman" w:hAnsi="Times New Roman" w:cs="Times New Roman"/>
          <w:sz w:val="24"/>
          <w:szCs w:val="24"/>
          <w:u w:val="single"/>
        </w:rPr>
        <w:t>Todavía puede ir a peor si se confirman las intenciones de Volkswagen. Los expertos no descartan el efecto dominó en otras compañías emblemáticas del país como BMW o Mercedes-Benz</w:t>
      </w:r>
      <w:r>
        <w:rPr>
          <w:rFonts w:ascii="Times New Roman" w:hAnsi="Times New Roman" w:cs="Times New Roman"/>
          <w:sz w:val="24"/>
          <w:szCs w:val="24"/>
        </w:rPr>
        <w:t>.</w:t>
      </w:r>
    </w:p>
    <w:p w:rsidR="007F6E5D" w:rsidRPr="00FB0817" w:rsidRDefault="007F6E5D" w:rsidP="007F6E5D">
      <w:pPr>
        <w:spacing w:line="240" w:lineRule="auto"/>
        <w:jc w:val="both"/>
        <w:rPr>
          <w:rFonts w:ascii="Times New Roman" w:hAnsi="Times New Roman" w:cs="Times New Roman"/>
          <w:color w:val="FF0000"/>
          <w:sz w:val="24"/>
          <w:szCs w:val="24"/>
          <w:u w:val="single"/>
        </w:rPr>
      </w:pPr>
      <w:r w:rsidRPr="00FB0817">
        <w:rPr>
          <w:rFonts w:ascii="Times New Roman" w:hAnsi="Times New Roman" w:cs="Times New Roman"/>
          <w:color w:val="FF0000"/>
          <w:sz w:val="24"/>
          <w:szCs w:val="24"/>
          <w:u w:val="single"/>
        </w:rPr>
        <w:t>Evidentemente, el problema tiene origen en los sospechosos habituales, entre los que se encuentran la débil recuperación económica pospandémica, el incremento del coste energético por la guerra en Ucrania, la inflación y la transición verde que ha abierto la puerta a los coches eléctricos chinos y a la que tanto le está costando adaptarse al sector automovilístico.</w:t>
      </w:r>
    </w:p>
    <w:p w:rsidR="007F6E5D" w:rsidRPr="00FB0817" w:rsidRDefault="007B7A52" w:rsidP="007F6E5D">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7F6E5D" w:rsidRPr="00FB0817">
        <w:rPr>
          <w:rFonts w:ascii="Times New Roman" w:hAnsi="Times New Roman" w:cs="Times New Roman"/>
          <w:color w:val="FF0000"/>
          <w:sz w:val="24"/>
          <w:szCs w:val="24"/>
          <w:u w:val="single"/>
        </w:rPr>
        <w:t xml:space="preserve">Los problemas de Volkswagen son en parte autoinfligidos debido a malas decisiones comerciales, pero la compañía también es un buen ejemplo de las enormes dificultades que enfrenta </w:t>
      </w:r>
      <w:r>
        <w:rPr>
          <w:rFonts w:ascii="Times New Roman" w:hAnsi="Times New Roman" w:cs="Times New Roman"/>
          <w:color w:val="FF0000"/>
          <w:sz w:val="24"/>
          <w:szCs w:val="24"/>
          <w:u w:val="single"/>
        </w:rPr>
        <w:t>Alemania como lugar de negocios”</w:t>
      </w:r>
      <w:r w:rsidR="007F6E5D" w:rsidRPr="00FB0817">
        <w:rPr>
          <w:rFonts w:ascii="Times New Roman" w:hAnsi="Times New Roman" w:cs="Times New Roman"/>
          <w:color w:val="FF0000"/>
          <w:sz w:val="24"/>
          <w:szCs w:val="24"/>
          <w:u w:val="single"/>
        </w:rPr>
        <w:t>, explica Carsten Brzeski,</w:t>
      </w:r>
      <w:r>
        <w:rPr>
          <w:rFonts w:ascii="Times New Roman" w:hAnsi="Times New Roman" w:cs="Times New Roman"/>
          <w:color w:val="FF0000"/>
          <w:sz w:val="24"/>
          <w:szCs w:val="24"/>
          <w:u w:val="single"/>
        </w:rPr>
        <w:t xml:space="preserve"> jefe de macroeconomía de ING. “</w:t>
      </w:r>
      <w:r w:rsidR="007F6E5D" w:rsidRPr="00FB0817">
        <w:rPr>
          <w:rFonts w:ascii="Times New Roman" w:hAnsi="Times New Roman" w:cs="Times New Roman"/>
          <w:color w:val="FF0000"/>
          <w:sz w:val="24"/>
          <w:szCs w:val="24"/>
          <w:u w:val="single"/>
        </w:rPr>
        <w:t>Alemania ha estado perdiendo competitividad durante años, y esto ahora también está afectando a las antiguas joyas de l</w:t>
      </w:r>
      <w:r>
        <w:rPr>
          <w:rFonts w:ascii="Times New Roman" w:hAnsi="Times New Roman" w:cs="Times New Roman"/>
          <w:color w:val="FF0000"/>
          <w:sz w:val="24"/>
          <w:szCs w:val="24"/>
          <w:u w:val="single"/>
        </w:rPr>
        <w:t>a corona de la economía alemana”</w:t>
      </w:r>
      <w:r w:rsidR="007F6E5D" w:rsidRPr="00FB0817">
        <w:rPr>
          <w:rFonts w:ascii="Times New Roman" w:hAnsi="Times New Roman" w:cs="Times New Roman"/>
          <w:color w:val="FF0000"/>
          <w:sz w:val="24"/>
          <w:szCs w:val="24"/>
          <w:u w:val="single"/>
        </w:rPr>
        <w:t>.</w:t>
      </w:r>
    </w:p>
    <w:p w:rsidR="007F6E5D" w:rsidRPr="00FB0817" w:rsidRDefault="007F6E5D" w:rsidP="007F6E5D">
      <w:pPr>
        <w:spacing w:line="240" w:lineRule="auto"/>
        <w:jc w:val="both"/>
        <w:rPr>
          <w:rFonts w:ascii="Times New Roman" w:hAnsi="Times New Roman" w:cs="Times New Roman"/>
          <w:color w:val="FF0000"/>
          <w:sz w:val="24"/>
          <w:szCs w:val="24"/>
          <w:u w:val="single"/>
        </w:rPr>
      </w:pPr>
      <w:r w:rsidRPr="004705E3">
        <w:rPr>
          <w:rFonts w:ascii="Times New Roman" w:hAnsi="Times New Roman" w:cs="Times New Roman"/>
          <w:sz w:val="24"/>
          <w:szCs w:val="24"/>
        </w:rPr>
        <w:t xml:space="preserve">Sin embargo, y si bien es cierto que el número de personas con empleo ha alcanzado el récord de 46 millones, </w:t>
      </w:r>
      <w:r w:rsidRPr="00FB0817">
        <w:rPr>
          <w:rFonts w:ascii="Times New Roman" w:hAnsi="Times New Roman" w:cs="Times New Roman"/>
          <w:color w:val="FF0000"/>
          <w:sz w:val="24"/>
          <w:szCs w:val="24"/>
          <w:u w:val="single"/>
        </w:rPr>
        <w:t>la situación del mercado laboral en el caso de los asalariados con elevada cualificación del sector manufacturero muestra peligrosas grietas en el acorazado económico germano.</w:t>
      </w:r>
    </w:p>
    <w:p w:rsidR="007F6E5D" w:rsidRPr="00FB0817" w:rsidRDefault="007F6E5D" w:rsidP="007F6E5D">
      <w:pPr>
        <w:spacing w:line="240" w:lineRule="auto"/>
        <w:jc w:val="both"/>
        <w:rPr>
          <w:rFonts w:ascii="Times New Roman" w:hAnsi="Times New Roman" w:cs="Times New Roman"/>
          <w:color w:val="FF0000"/>
          <w:sz w:val="24"/>
          <w:szCs w:val="24"/>
          <w:u w:val="single"/>
        </w:rPr>
      </w:pPr>
      <w:r w:rsidRPr="00FB0817">
        <w:rPr>
          <w:rFonts w:ascii="Times New Roman" w:hAnsi="Times New Roman" w:cs="Times New Roman"/>
          <w:color w:val="FF0000"/>
          <w:sz w:val="24"/>
          <w:szCs w:val="24"/>
          <w:u w:val="single"/>
        </w:rPr>
        <w:t xml:space="preserve">El estado de los gigantes germanos del motor muestra la profundidad de la ciénaga en la que se encuentra el sector automovilístico europeo, incapaz de competir con los fabricantes </w:t>
      </w:r>
      <w:r w:rsidRPr="00FB0817">
        <w:rPr>
          <w:rFonts w:ascii="Times New Roman" w:hAnsi="Times New Roman" w:cs="Times New Roman"/>
          <w:color w:val="FF0000"/>
          <w:sz w:val="24"/>
          <w:szCs w:val="24"/>
          <w:u w:val="single"/>
        </w:rPr>
        <w:lastRenderedPageBreak/>
        <w:t>chinos de coches eléctricos, afectado por la ralentización de la demanda de este tipo de vehículos y golpeado por el incremento de los costes derivados de la inflación y la guerra de Ucrania. Ariane Reinhart, director de relaciones laborales de Continental, indicó en conversa</w:t>
      </w:r>
      <w:r w:rsidR="007B7A52">
        <w:rPr>
          <w:rFonts w:ascii="Times New Roman" w:hAnsi="Times New Roman" w:cs="Times New Roman"/>
          <w:color w:val="FF0000"/>
          <w:sz w:val="24"/>
          <w:szCs w:val="24"/>
          <w:u w:val="single"/>
        </w:rPr>
        <w:t>ciones con Financial Times que “</w:t>
      </w:r>
      <w:r w:rsidRPr="00FB0817">
        <w:rPr>
          <w:rFonts w:ascii="Times New Roman" w:hAnsi="Times New Roman" w:cs="Times New Roman"/>
          <w:color w:val="FF0000"/>
          <w:sz w:val="24"/>
          <w:szCs w:val="24"/>
          <w:u w:val="single"/>
        </w:rPr>
        <w:t>los buenos año</w:t>
      </w:r>
      <w:r w:rsidR="007B7A52">
        <w:rPr>
          <w:rFonts w:ascii="Times New Roman" w:hAnsi="Times New Roman" w:cs="Times New Roman"/>
          <w:color w:val="FF0000"/>
          <w:sz w:val="24"/>
          <w:szCs w:val="24"/>
          <w:u w:val="single"/>
        </w:rPr>
        <w:t>s de la industria del automóvil”</w:t>
      </w:r>
      <w:r w:rsidRPr="00FB0817">
        <w:rPr>
          <w:rFonts w:ascii="Times New Roman" w:hAnsi="Times New Roman" w:cs="Times New Roman"/>
          <w:color w:val="FF0000"/>
          <w:sz w:val="24"/>
          <w:szCs w:val="24"/>
          <w:u w:val="single"/>
        </w:rPr>
        <w:t xml:space="preserve"> han terminado y ahora se está produciendo su caída.</w:t>
      </w:r>
    </w:p>
    <w:p w:rsidR="007F6E5D" w:rsidRPr="00FB0817" w:rsidRDefault="007F6E5D" w:rsidP="007F6E5D">
      <w:pPr>
        <w:spacing w:line="240" w:lineRule="auto"/>
        <w:jc w:val="both"/>
        <w:rPr>
          <w:rFonts w:ascii="Times New Roman" w:hAnsi="Times New Roman" w:cs="Times New Roman"/>
          <w:color w:val="FF0000"/>
          <w:sz w:val="24"/>
          <w:szCs w:val="24"/>
          <w:u w:val="single"/>
        </w:rPr>
      </w:pPr>
      <w:r w:rsidRPr="00FB0817">
        <w:rPr>
          <w:rFonts w:ascii="Times New Roman" w:hAnsi="Times New Roman" w:cs="Times New Roman"/>
          <w:color w:val="FF0000"/>
          <w:sz w:val="24"/>
          <w:szCs w:val="24"/>
          <w:u w:val="single"/>
        </w:rPr>
        <w:t>Y hay otra perspectiva peor. Las grandes compañías del sector mueven a su alrededor una gran industria auxiliar de miles de empleos. La consultora alemana Horváth publicó una encuesta en la que resaltaba que el 60% de las empresas del sector estaba dispuesta a ajustar plantilla en los próximos cinco años.</w:t>
      </w:r>
    </w:p>
    <w:p w:rsidR="007F6E5D" w:rsidRPr="00FB0817" w:rsidRDefault="007F6E5D" w:rsidP="007F6E5D">
      <w:pPr>
        <w:spacing w:line="240" w:lineRule="auto"/>
        <w:jc w:val="both"/>
        <w:rPr>
          <w:rFonts w:ascii="Times New Roman" w:hAnsi="Times New Roman" w:cs="Times New Roman"/>
          <w:color w:val="FF0000"/>
          <w:sz w:val="24"/>
          <w:szCs w:val="24"/>
          <w:u w:val="single"/>
        </w:rPr>
      </w:pPr>
      <w:r w:rsidRPr="004705E3">
        <w:rPr>
          <w:rFonts w:ascii="Times New Roman" w:hAnsi="Times New Roman" w:cs="Times New Roman"/>
          <w:sz w:val="24"/>
          <w:szCs w:val="24"/>
        </w:rPr>
        <w:t xml:space="preserve">El fabricante de neumáticos Continental no ha esperado tanto. A principio de año anunció una reducción de plantilla de más de 7.000 trabajadores al renunciar al negocio de recambios para el automóvil y centrarse solo en neumáticos. Más de 1.200 empleos afectan directamente a su plantilla en Alemania. </w:t>
      </w:r>
      <w:r w:rsidRPr="00FB0817">
        <w:rPr>
          <w:rFonts w:ascii="Times New Roman" w:hAnsi="Times New Roman" w:cs="Times New Roman"/>
          <w:color w:val="FF0000"/>
          <w:sz w:val="24"/>
          <w:szCs w:val="24"/>
          <w:u w:val="single"/>
        </w:rPr>
        <w:t>El problema para el sector del motor es de fondo. Su futuro pasa por el coche eléctrico y los nuevos automóviles no precisan ni tanta mano de obra, ni tan cualificada, como en las actuales fábricas en los coches de combustión.</w:t>
      </w:r>
    </w:p>
    <w:p w:rsidR="007F6E5D" w:rsidRPr="004705E3" w:rsidRDefault="007F6E5D" w:rsidP="007F6E5D">
      <w:pPr>
        <w:spacing w:line="240" w:lineRule="auto"/>
        <w:jc w:val="both"/>
        <w:rPr>
          <w:rFonts w:ascii="Times New Roman" w:hAnsi="Times New Roman" w:cs="Times New Roman"/>
          <w:sz w:val="24"/>
          <w:szCs w:val="24"/>
        </w:rPr>
      </w:pPr>
      <w:r w:rsidRPr="004705E3">
        <w:rPr>
          <w:rFonts w:ascii="Times New Roman" w:hAnsi="Times New Roman" w:cs="Times New Roman"/>
          <w:sz w:val="24"/>
          <w:szCs w:val="24"/>
        </w:rPr>
        <w:t>Por su parte, ZF, proveedor de repuestos, comunicó este año el cierre de dos fábricas y el despido de 12.000 empleados, es decir, una reducción del 25% de toda su plantilla en suelo alemán. Además, dicha firma tiene planeado aplicar un programa para relocalizar sus instalaciones en India, China o países del este de Europa. Adicionalmente, BMW comunicó que, para final de año, eliminaría 8.100 puestos de trabajo en todo el m</w:t>
      </w:r>
      <w:r>
        <w:rPr>
          <w:rFonts w:ascii="Times New Roman" w:hAnsi="Times New Roman" w:cs="Times New Roman"/>
          <w:sz w:val="24"/>
          <w:szCs w:val="24"/>
        </w:rPr>
        <w:t>undo, 600 de ellos en Alemania.</w:t>
      </w:r>
    </w:p>
    <w:p w:rsidR="007F6E5D" w:rsidRPr="00FB0817" w:rsidRDefault="007F6E5D" w:rsidP="007F6E5D">
      <w:pPr>
        <w:spacing w:line="240" w:lineRule="auto"/>
        <w:jc w:val="both"/>
        <w:rPr>
          <w:rFonts w:ascii="Times New Roman" w:hAnsi="Times New Roman" w:cs="Times New Roman"/>
          <w:color w:val="FF0000"/>
          <w:sz w:val="24"/>
          <w:szCs w:val="24"/>
          <w:u w:val="single"/>
        </w:rPr>
      </w:pPr>
      <w:r w:rsidRPr="00FB0817">
        <w:rPr>
          <w:rFonts w:ascii="Times New Roman" w:hAnsi="Times New Roman" w:cs="Times New Roman"/>
          <w:color w:val="FF0000"/>
          <w:sz w:val="24"/>
          <w:szCs w:val="24"/>
          <w:u w:val="single"/>
        </w:rPr>
        <w:t>La fabricación de automóviles genera alrededor del 4% del valor añadido total en la economía alemana, con un 4% adicional si se tienen en cuenta áreas asociadas como la fabricación de metales o cauc</w:t>
      </w:r>
      <w:r w:rsidR="007B7A52">
        <w:rPr>
          <w:rFonts w:ascii="Times New Roman" w:hAnsi="Times New Roman" w:cs="Times New Roman"/>
          <w:color w:val="FF0000"/>
          <w:sz w:val="24"/>
          <w:szCs w:val="24"/>
          <w:u w:val="single"/>
        </w:rPr>
        <w:t>ho, según Bloomberg Economics. “</w:t>
      </w:r>
      <w:r w:rsidRPr="00FB0817">
        <w:rPr>
          <w:rFonts w:ascii="Times New Roman" w:hAnsi="Times New Roman" w:cs="Times New Roman"/>
          <w:color w:val="FF0000"/>
          <w:sz w:val="24"/>
          <w:szCs w:val="24"/>
          <w:u w:val="single"/>
        </w:rPr>
        <w:t>La importancia de la industria automovilística para la economía alemana ha disminuido en los últimos años, pero sig</w:t>
      </w:r>
      <w:r w:rsidR="007B7A52">
        <w:rPr>
          <w:rFonts w:ascii="Times New Roman" w:hAnsi="Times New Roman" w:cs="Times New Roman"/>
          <w:color w:val="FF0000"/>
          <w:sz w:val="24"/>
          <w:szCs w:val="24"/>
          <w:u w:val="single"/>
        </w:rPr>
        <w:t>ue siendo un sector muy crucial”</w:t>
      </w:r>
      <w:r w:rsidRPr="00FB0817">
        <w:rPr>
          <w:rFonts w:ascii="Times New Roman" w:hAnsi="Times New Roman" w:cs="Times New Roman"/>
          <w:color w:val="FF0000"/>
          <w:sz w:val="24"/>
          <w:szCs w:val="24"/>
          <w:u w:val="single"/>
        </w:rPr>
        <w:t>, explica Martin Ademmer, economista de la firma.</w:t>
      </w:r>
    </w:p>
    <w:p w:rsidR="007F6E5D" w:rsidRPr="004705E3" w:rsidRDefault="007F6E5D" w:rsidP="007F6E5D">
      <w:pPr>
        <w:spacing w:line="240" w:lineRule="auto"/>
        <w:jc w:val="both"/>
        <w:rPr>
          <w:rFonts w:ascii="Times New Roman" w:hAnsi="Times New Roman" w:cs="Times New Roman"/>
          <w:sz w:val="24"/>
          <w:szCs w:val="24"/>
        </w:rPr>
      </w:pPr>
      <w:r w:rsidRPr="004705E3">
        <w:rPr>
          <w:rFonts w:ascii="Times New Roman" w:hAnsi="Times New Roman" w:cs="Times New Roman"/>
          <w:sz w:val="24"/>
          <w:szCs w:val="24"/>
        </w:rPr>
        <w:t>Orgullo alemán dañado</w:t>
      </w:r>
    </w:p>
    <w:p w:rsidR="007F6E5D" w:rsidRPr="004705E3" w:rsidRDefault="007F6E5D" w:rsidP="007F6E5D">
      <w:pPr>
        <w:spacing w:line="240" w:lineRule="auto"/>
        <w:jc w:val="both"/>
        <w:rPr>
          <w:rFonts w:ascii="Times New Roman" w:hAnsi="Times New Roman" w:cs="Times New Roman"/>
          <w:sz w:val="24"/>
          <w:szCs w:val="24"/>
        </w:rPr>
      </w:pPr>
      <w:r w:rsidRPr="00FB0817">
        <w:rPr>
          <w:rFonts w:ascii="Times New Roman" w:hAnsi="Times New Roman" w:cs="Times New Roman"/>
          <w:color w:val="FF0000"/>
          <w:sz w:val="24"/>
          <w:szCs w:val="24"/>
          <w:u w:val="single"/>
        </w:rPr>
        <w:t>Pero los malos momentos de Volkswagen suponen algo más para el orgullo del país. La historia de la compañía es la historia de la Alemania de la posguerra, un ascenso contra viento y marea, ligado a una milagrosa recuperación después de quedar el país destruido por la II Guerra Mundial. Y los automóviles son una parte integral de la identidad moderna de Alemania</w:t>
      </w:r>
      <w:r w:rsidRPr="004705E3">
        <w:rPr>
          <w:rFonts w:ascii="Times New Roman" w:hAnsi="Times New Roman" w:cs="Times New Roman"/>
          <w:sz w:val="24"/>
          <w:szCs w:val="24"/>
        </w:rPr>
        <w:t>, ya sea por la herencia del Beetle, porque Janis Joplin conducía un Porsche psicodélico en los sesenta o porque Trump se quejaba amargamente de ver solo Mercedes-Benz y BMW que circulan por l</w:t>
      </w:r>
      <w:r>
        <w:rPr>
          <w:rFonts w:ascii="Times New Roman" w:hAnsi="Times New Roman" w:cs="Times New Roman"/>
          <w:sz w:val="24"/>
          <w:szCs w:val="24"/>
        </w:rPr>
        <w:t>a Quinta Avenida de Nueva York.</w:t>
      </w:r>
    </w:p>
    <w:p w:rsidR="007F6E5D" w:rsidRDefault="007F6E5D" w:rsidP="007F6E5D">
      <w:pPr>
        <w:spacing w:line="240" w:lineRule="auto"/>
        <w:jc w:val="both"/>
        <w:rPr>
          <w:rFonts w:ascii="Times New Roman" w:hAnsi="Times New Roman" w:cs="Times New Roman"/>
          <w:color w:val="FF0000"/>
          <w:sz w:val="24"/>
          <w:szCs w:val="24"/>
          <w:u w:val="single"/>
        </w:rPr>
      </w:pPr>
      <w:r w:rsidRPr="00FB0817">
        <w:rPr>
          <w:rFonts w:ascii="Times New Roman" w:hAnsi="Times New Roman" w:cs="Times New Roman"/>
          <w:color w:val="FF0000"/>
          <w:sz w:val="24"/>
          <w:szCs w:val="24"/>
          <w:u w:val="single"/>
        </w:rPr>
        <w:t>Volkswagen no solo llegó a conquistar la gran manzana y el sueño americano, también destronó a los gigantes del motor estadounidense al llenar la demanda de coches para una floreciente clase media china a principio de siglo.</w:t>
      </w:r>
    </w:p>
    <w:p w:rsidR="007F6E5D" w:rsidRPr="004705E3" w:rsidRDefault="007F6E5D" w:rsidP="007F6E5D">
      <w:pPr>
        <w:spacing w:line="240" w:lineRule="auto"/>
        <w:jc w:val="both"/>
        <w:rPr>
          <w:rFonts w:ascii="Times New Roman" w:hAnsi="Times New Roman" w:cs="Times New Roman"/>
          <w:sz w:val="24"/>
          <w:szCs w:val="24"/>
        </w:rPr>
      </w:pPr>
      <w:r w:rsidRPr="004705E3">
        <w:rPr>
          <w:rFonts w:ascii="Times New Roman" w:hAnsi="Times New Roman" w:cs="Times New Roman"/>
          <w:sz w:val="24"/>
          <w:szCs w:val="24"/>
        </w:rPr>
        <w:t>Campeones caídos</w:t>
      </w:r>
    </w:p>
    <w:p w:rsidR="007F6E5D" w:rsidRPr="004705E3" w:rsidRDefault="007F6E5D" w:rsidP="007F6E5D">
      <w:pPr>
        <w:spacing w:line="240" w:lineRule="auto"/>
        <w:jc w:val="both"/>
        <w:rPr>
          <w:rFonts w:ascii="Times New Roman" w:hAnsi="Times New Roman" w:cs="Times New Roman"/>
          <w:sz w:val="24"/>
          <w:szCs w:val="24"/>
        </w:rPr>
      </w:pPr>
      <w:r w:rsidRPr="00FB0817">
        <w:rPr>
          <w:rFonts w:ascii="Times New Roman" w:hAnsi="Times New Roman" w:cs="Times New Roman"/>
          <w:color w:val="FF0000"/>
          <w:sz w:val="24"/>
          <w:szCs w:val="24"/>
          <w:u w:val="single"/>
        </w:rPr>
        <w:t>Sin embargo, esta es una de las cabezas del problema bicéfalo que hay en el mercado laboral cualificado, ya que otros sectores industriales están experimentando dificultades. Los despidos anunciados por Bayer, Miele y SAP alcanzaron los 55.000 trabajadores este año.</w:t>
      </w:r>
      <w:r w:rsidRPr="00FB0817">
        <w:rPr>
          <w:rFonts w:ascii="Times New Roman" w:hAnsi="Times New Roman" w:cs="Times New Roman"/>
          <w:color w:val="FF0000"/>
          <w:sz w:val="24"/>
          <w:szCs w:val="24"/>
        </w:rPr>
        <w:t xml:space="preserve"> </w:t>
      </w:r>
      <w:r w:rsidRPr="004705E3">
        <w:rPr>
          <w:rFonts w:ascii="Times New Roman" w:hAnsi="Times New Roman" w:cs="Times New Roman"/>
          <w:sz w:val="24"/>
          <w:szCs w:val="24"/>
        </w:rPr>
        <w:t xml:space="preserve">Además, Miele tiene pensado relocalizar 700 trabajadores en suelo polaco. Asimismo, Bosch, comunicó 4.000 despidos en 2024, mientras que BASF anunció un plan para recortar 1.000 </w:t>
      </w:r>
      <w:r w:rsidRPr="004705E3">
        <w:rPr>
          <w:rFonts w:ascii="Times New Roman" w:hAnsi="Times New Roman" w:cs="Times New Roman"/>
          <w:sz w:val="24"/>
          <w:szCs w:val="24"/>
        </w:rPr>
        <w:lastRenderedPageBreak/>
        <w:t xml:space="preserve">millones de euros en su planta de Ludwigshafen hasta 2026, el cual </w:t>
      </w:r>
      <w:r>
        <w:rPr>
          <w:rFonts w:ascii="Times New Roman" w:hAnsi="Times New Roman" w:cs="Times New Roman"/>
          <w:sz w:val="24"/>
          <w:szCs w:val="24"/>
        </w:rPr>
        <w:t>incluye un recorte de personal.</w:t>
      </w:r>
    </w:p>
    <w:p w:rsidR="007F6E5D" w:rsidRPr="00FB0817" w:rsidRDefault="007F6E5D" w:rsidP="007F6E5D">
      <w:pPr>
        <w:spacing w:line="240" w:lineRule="auto"/>
        <w:jc w:val="both"/>
        <w:rPr>
          <w:rFonts w:ascii="Times New Roman" w:hAnsi="Times New Roman" w:cs="Times New Roman"/>
          <w:color w:val="FF0000"/>
          <w:sz w:val="24"/>
          <w:szCs w:val="24"/>
          <w:u w:val="single"/>
        </w:rPr>
      </w:pPr>
      <w:r w:rsidRPr="00FB0817">
        <w:rPr>
          <w:rFonts w:ascii="Times New Roman" w:hAnsi="Times New Roman" w:cs="Times New Roman"/>
          <w:color w:val="FF0000"/>
          <w:sz w:val="24"/>
          <w:szCs w:val="24"/>
          <w:u w:val="single"/>
        </w:rPr>
        <w:t>No hay duda de que la situación es peliaguda. Ulrich Sittard, analista de Freshfields Bruckhaus Deringer, señaló en declaraciones para el Financial Times que su percepción es que los despidos entre los gigantes empresariales alemanes ha alcanzado su nivel más alto desde la Gran Recesión de 2008. Además, estos sectores no solo deben hacer frente a un panorama económico complicado: también tienen que lidiar con el envejecimiento de la población de Alemania.</w:t>
      </w:r>
    </w:p>
    <w:p w:rsidR="007F6E5D" w:rsidRPr="00FB0817" w:rsidRDefault="007F6E5D" w:rsidP="007F6E5D">
      <w:pPr>
        <w:spacing w:line="240" w:lineRule="auto"/>
        <w:jc w:val="both"/>
        <w:rPr>
          <w:rFonts w:ascii="Times New Roman" w:hAnsi="Times New Roman" w:cs="Times New Roman"/>
          <w:color w:val="FF0000"/>
          <w:sz w:val="24"/>
          <w:szCs w:val="24"/>
          <w:u w:val="single"/>
        </w:rPr>
      </w:pPr>
      <w:r w:rsidRPr="00FB0817">
        <w:rPr>
          <w:rFonts w:ascii="Times New Roman" w:hAnsi="Times New Roman" w:cs="Times New Roman"/>
          <w:sz w:val="24"/>
          <w:szCs w:val="24"/>
          <w:u w:val="single"/>
        </w:rPr>
        <w:t>Los cambios demográficos en el país germano son una de las razones que explican la falta de trabajadores cualificados. Así lo indica un informe del instituto Ifo, el cual indicó que el 36,3% de las compañías alemanas no encontraban asalariados con elevada formación</w:t>
      </w:r>
      <w:r w:rsidRPr="004705E3">
        <w:rPr>
          <w:rFonts w:ascii="Times New Roman" w:hAnsi="Times New Roman" w:cs="Times New Roman"/>
          <w:sz w:val="24"/>
          <w:szCs w:val="24"/>
        </w:rPr>
        <w:t xml:space="preserve">. Si bien esta tasa se redujo respecto a la del 2023 (43,6%), ello se debió a que la demanda por estos asalariados se reduce por el debilitamiento económico. </w:t>
      </w:r>
      <w:r w:rsidRPr="00FB0817">
        <w:rPr>
          <w:rFonts w:ascii="Times New Roman" w:hAnsi="Times New Roman" w:cs="Times New Roman"/>
          <w:color w:val="FF0000"/>
          <w:sz w:val="24"/>
          <w:szCs w:val="24"/>
          <w:u w:val="single"/>
        </w:rPr>
        <w:t>En este sentido, Klaus Wolhra</w:t>
      </w:r>
      <w:r w:rsidR="007B7A52">
        <w:rPr>
          <w:rFonts w:ascii="Times New Roman" w:hAnsi="Times New Roman" w:cs="Times New Roman"/>
          <w:color w:val="FF0000"/>
          <w:sz w:val="24"/>
          <w:szCs w:val="24"/>
          <w:u w:val="single"/>
        </w:rPr>
        <w:t>be, experto de Ifo, señaló que “</w:t>
      </w:r>
      <w:r w:rsidRPr="00FB0817">
        <w:rPr>
          <w:rFonts w:ascii="Times New Roman" w:hAnsi="Times New Roman" w:cs="Times New Roman"/>
          <w:color w:val="FF0000"/>
          <w:sz w:val="24"/>
          <w:szCs w:val="24"/>
          <w:u w:val="single"/>
        </w:rPr>
        <w:t>cuando la economía remonte, la escasez será má</w:t>
      </w:r>
      <w:r w:rsidR="007B7A52">
        <w:rPr>
          <w:rFonts w:ascii="Times New Roman" w:hAnsi="Times New Roman" w:cs="Times New Roman"/>
          <w:color w:val="FF0000"/>
          <w:sz w:val="24"/>
          <w:szCs w:val="24"/>
          <w:u w:val="single"/>
        </w:rPr>
        <w:t>s aguda”, indicando que “</w:t>
      </w:r>
      <w:r w:rsidRPr="00FB0817">
        <w:rPr>
          <w:rFonts w:ascii="Times New Roman" w:hAnsi="Times New Roman" w:cs="Times New Roman"/>
          <w:color w:val="FF0000"/>
          <w:sz w:val="24"/>
          <w:szCs w:val="24"/>
          <w:u w:val="single"/>
        </w:rPr>
        <w:t>el cambio demográfico exacerbará el p</w:t>
      </w:r>
      <w:r w:rsidR="007B7A52">
        <w:rPr>
          <w:rFonts w:ascii="Times New Roman" w:hAnsi="Times New Roman" w:cs="Times New Roman"/>
          <w:color w:val="FF0000"/>
          <w:sz w:val="24"/>
          <w:szCs w:val="24"/>
          <w:u w:val="single"/>
        </w:rPr>
        <w:t>roblema con el paso de los años”</w:t>
      </w:r>
      <w:r w:rsidRPr="00FB0817">
        <w:rPr>
          <w:rFonts w:ascii="Times New Roman" w:hAnsi="Times New Roman" w:cs="Times New Roman"/>
          <w:color w:val="FF0000"/>
          <w:sz w:val="24"/>
          <w:szCs w:val="24"/>
          <w:u w:val="single"/>
        </w:rPr>
        <w:t>.</w:t>
      </w:r>
    </w:p>
    <w:p w:rsidR="007F6E5D" w:rsidRPr="00FB0817" w:rsidRDefault="007F6E5D" w:rsidP="007F6E5D">
      <w:pPr>
        <w:spacing w:line="240" w:lineRule="auto"/>
        <w:jc w:val="both"/>
        <w:rPr>
          <w:rFonts w:ascii="Times New Roman" w:hAnsi="Times New Roman" w:cs="Times New Roman"/>
          <w:color w:val="FF0000"/>
          <w:sz w:val="24"/>
          <w:szCs w:val="24"/>
          <w:u w:val="single"/>
        </w:rPr>
      </w:pPr>
      <w:r w:rsidRPr="00FB0817">
        <w:rPr>
          <w:rFonts w:ascii="Times New Roman" w:hAnsi="Times New Roman" w:cs="Times New Roman"/>
          <w:color w:val="FF0000"/>
          <w:sz w:val="24"/>
          <w:szCs w:val="24"/>
          <w:u w:val="single"/>
        </w:rPr>
        <w:t>Además, el sector industrial ha ido perdiendo peso a lo largo de los años en favor del sector servicios. En el año 2000, el sector secundario representaba el 29,6% de la economía y el terciario concentraba el 69,5%, mientras que ahora concentran el 24% y el 75,1% respectivamente. Ello contribuye a explicar por qué buena parte de la mano de obra migrantes engrosa las filas de los servicios, y no de la industria. Así, el número de trabajadores migrantes en la sanidad casi duplicó entre 2013 y 2019, lo cual ha llevado a los expertos a señalar que, sin ellos, el sistema sanitario alemán colapsaría.</w:t>
      </w:r>
    </w:p>
    <w:p w:rsidR="007F6E5D" w:rsidRPr="00FF7CEE" w:rsidRDefault="007F6E5D" w:rsidP="007F6E5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F7CEE">
        <w:rPr>
          <w:rFonts w:ascii="Times New Roman" w:hAnsi="Times New Roman" w:cs="Times New Roman"/>
          <w:sz w:val="24"/>
          <w:szCs w:val="24"/>
        </w:rPr>
        <w:t>¿</w:t>
      </w:r>
      <w:r w:rsidRPr="00FF7CEE">
        <w:rPr>
          <w:rFonts w:ascii="Times New Roman" w:hAnsi="Times New Roman" w:cs="Times New Roman"/>
          <w:sz w:val="24"/>
          <w:szCs w:val="24"/>
          <w:u w:val="single"/>
        </w:rPr>
        <w:t>Y si quiebra Volkswagen</w:t>
      </w:r>
      <w:r w:rsidRPr="00FF7CEE">
        <w:rPr>
          <w:rFonts w:ascii="Times New Roman" w:hAnsi="Times New Roman" w:cs="Times New Roman"/>
          <w:sz w:val="24"/>
          <w:szCs w:val="24"/>
        </w:rPr>
        <w:t>?</w:t>
      </w:r>
      <w:r>
        <w:rPr>
          <w:rFonts w:ascii="Times New Roman" w:hAnsi="Times New Roman" w:cs="Times New Roman"/>
          <w:sz w:val="24"/>
          <w:szCs w:val="24"/>
        </w:rPr>
        <w:t xml:space="preserve"> (Libertad Digital - </w:t>
      </w:r>
      <w:r w:rsidRPr="00FF7CEE">
        <w:rPr>
          <w:rFonts w:ascii="Times New Roman" w:hAnsi="Times New Roman" w:cs="Times New Roman"/>
          <w:b/>
          <w:sz w:val="24"/>
          <w:szCs w:val="24"/>
        </w:rPr>
        <w:t>6/9/24</w:t>
      </w:r>
      <w:r>
        <w:rPr>
          <w:rFonts w:ascii="Times New Roman" w:hAnsi="Times New Roman" w:cs="Times New Roman"/>
          <w:sz w:val="24"/>
          <w:szCs w:val="24"/>
        </w:rPr>
        <w:t>)</w:t>
      </w:r>
    </w:p>
    <w:p w:rsidR="007F6E5D" w:rsidRPr="00FF7CEE" w:rsidRDefault="007F6E5D" w:rsidP="007F6E5D">
      <w:pPr>
        <w:spacing w:line="240" w:lineRule="auto"/>
        <w:jc w:val="both"/>
        <w:rPr>
          <w:rFonts w:ascii="Times New Roman" w:hAnsi="Times New Roman" w:cs="Times New Roman"/>
          <w:sz w:val="24"/>
          <w:szCs w:val="24"/>
        </w:rPr>
      </w:pPr>
      <w:r>
        <w:rPr>
          <w:rFonts w:ascii="Times New Roman" w:hAnsi="Times New Roman" w:cs="Times New Roman"/>
          <w:sz w:val="24"/>
          <w:szCs w:val="24"/>
        </w:rPr>
        <w:t>(Por Manuel Fernández Ordoñez)</w:t>
      </w:r>
    </w:p>
    <w:p w:rsidR="007F6E5D" w:rsidRPr="00FB0817" w:rsidRDefault="007F6E5D" w:rsidP="007F6E5D">
      <w:pPr>
        <w:spacing w:line="240" w:lineRule="auto"/>
        <w:jc w:val="both"/>
        <w:rPr>
          <w:rFonts w:ascii="Times New Roman" w:hAnsi="Times New Roman" w:cs="Times New Roman"/>
          <w:color w:val="FF0000"/>
          <w:sz w:val="24"/>
          <w:szCs w:val="24"/>
          <w:u w:val="single"/>
        </w:rPr>
      </w:pPr>
      <w:r w:rsidRPr="00FB0817">
        <w:rPr>
          <w:rFonts w:ascii="Times New Roman" w:hAnsi="Times New Roman" w:cs="Times New Roman"/>
          <w:color w:val="FF0000"/>
          <w:sz w:val="24"/>
          <w:szCs w:val="24"/>
          <w:u w:val="single"/>
        </w:rPr>
        <w:t>Alemania lleva tiempo dando signos de agotamiento. El otrora referente industrial a nivel mundial ha perdido buena parte de su peso específico y su economía sufre los envites de la competencia internacional. Todo ello agravado por el marco político de una transición energética forzada, que está dejando fuera de juego a empresas que han sido siempre una referencia… hasta ahora.</w:t>
      </w:r>
    </w:p>
    <w:p w:rsidR="007F6E5D" w:rsidRPr="00FB0817" w:rsidRDefault="007F6E5D" w:rsidP="007F6E5D">
      <w:pPr>
        <w:spacing w:line="240" w:lineRule="auto"/>
        <w:jc w:val="both"/>
        <w:rPr>
          <w:rFonts w:ascii="Times New Roman" w:hAnsi="Times New Roman" w:cs="Times New Roman"/>
          <w:sz w:val="24"/>
          <w:szCs w:val="24"/>
          <w:u w:val="single"/>
        </w:rPr>
      </w:pPr>
      <w:r w:rsidRPr="00FF7CEE">
        <w:rPr>
          <w:rFonts w:ascii="Times New Roman" w:hAnsi="Times New Roman" w:cs="Times New Roman"/>
          <w:sz w:val="24"/>
          <w:szCs w:val="24"/>
        </w:rPr>
        <w:t xml:space="preserve">La compañía automovilística Volkswagen está sufriendo una crisis inédita en su historia que los lleva a plantear el cierre de varias de sus factorías, tanto en Alemania como en Bélgica. La realidad, plasmada por su consejero delegado, es que las ventas de sus vehículos han caído de manera significativa. Como muestra de ello, </w:t>
      </w:r>
      <w:r w:rsidRPr="00FB0817">
        <w:rPr>
          <w:rFonts w:ascii="Times New Roman" w:hAnsi="Times New Roman" w:cs="Times New Roman"/>
          <w:sz w:val="24"/>
          <w:szCs w:val="24"/>
          <w:u w:val="single"/>
        </w:rPr>
        <w:t>la compra de coches en el país germano cayó casi un 30% este pasado mes de agosto mientras que la compra de vehículos eléctricos se desplomó casi un 70%.</w:t>
      </w:r>
    </w:p>
    <w:p w:rsidR="007F6E5D" w:rsidRPr="00FB0817" w:rsidRDefault="007F6E5D" w:rsidP="007F6E5D">
      <w:pPr>
        <w:spacing w:line="240" w:lineRule="auto"/>
        <w:jc w:val="both"/>
        <w:rPr>
          <w:rFonts w:ascii="Times New Roman" w:hAnsi="Times New Roman" w:cs="Times New Roman"/>
          <w:color w:val="FF0000"/>
          <w:sz w:val="24"/>
          <w:szCs w:val="24"/>
          <w:u w:val="single"/>
        </w:rPr>
      </w:pPr>
      <w:r w:rsidRPr="00FB0817">
        <w:rPr>
          <w:rFonts w:ascii="Times New Roman" w:hAnsi="Times New Roman" w:cs="Times New Roman"/>
          <w:color w:val="FF0000"/>
          <w:sz w:val="24"/>
          <w:szCs w:val="24"/>
          <w:u w:val="single"/>
        </w:rPr>
        <w:t>El problema fundamental es que la compañía lleva años gastando más dinero del que gana (según palabras del propio director financiero de la misma) en un intento desesperado por adaptarse a los requerimientos de la transición energética impuesta por los políticos europeos. La realidad es que no han sido capaces de conseguirlo y no se puede vivir eternamente del postureo del marketing.</w:t>
      </w:r>
    </w:p>
    <w:p w:rsidR="007F6E5D" w:rsidRPr="00FB0817" w:rsidRDefault="007F6E5D" w:rsidP="007F6E5D">
      <w:pPr>
        <w:spacing w:line="240" w:lineRule="auto"/>
        <w:jc w:val="both"/>
        <w:rPr>
          <w:rFonts w:ascii="Times New Roman" w:hAnsi="Times New Roman" w:cs="Times New Roman"/>
          <w:b/>
          <w:color w:val="FF0000"/>
          <w:sz w:val="24"/>
          <w:szCs w:val="24"/>
          <w:u w:val="single"/>
        </w:rPr>
      </w:pPr>
      <w:r w:rsidRPr="00FB0817">
        <w:rPr>
          <w:rFonts w:ascii="Times New Roman" w:hAnsi="Times New Roman" w:cs="Times New Roman"/>
          <w:b/>
          <w:color w:val="FF0000"/>
          <w:sz w:val="24"/>
          <w:szCs w:val="24"/>
          <w:u w:val="single"/>
        </w:rPr>
        <w:t xml:space="preserve">Lo he manifestado en numerosas ocasiones, Europa puede jugar a la transición energética o a salvar su industria, pero no puede hacer ambas cosas a la vez. Durante un siglo hemos fabricado, probablemente, los mejores vehículos del mundo, pero ya no somos un referente internacional. La irrupción del coche eléctrico nos va a dejar fuera </w:t>
      </w:r>
      <w:r w:rsidRPr="00FB0817">
        <w:rPr>
          <w:rFonts w:ascii="Times New Roman" w:hAnsi="Times New Roman" w:cs="Times New Roman"/>
          <w:b/>
          <w:color w:val="FF0000"/>
          <w:sz w:val="24"/>
          <w:szCs w:val="24"/>
          <w:u w:val="single"/>
        </w:rPr>
        <w:lastRenderedPageBreak/>
        <w:t>de juego por la competencia de los fabricantes chinos. Cuanto antes lo asumamos, mejor nos irá a todos.</w:t>
      </w:r>
    </w:p>
    <w:p w:rsidR="007F6E5D" w:rsidRPr="00FB0817" w:rsidRDefault="007F6E5D" w:rsidP="007F6E5D">
      <w:pPr>
        <w:spacing w:line="240" w:lineRule="auto"/>
        <w:jc w:val="both"/>
        <w:rPr>
          <w:rFonts w:ascii="Times New Roman" w:hAnsi="Times New Roman" w:cs="Times New Roman"/>
          <w:b/>
          <w:color w:val="FF0000"/>
          <w:sz w:val="24"/>
          <w:szCs w:val="24"/>
          <w:u w:val="single"/>
        </w:rPr>
      </w:pPr>
      <w:r w:rsidRPr="00FB0817">
        <w:rPr>
          <w:rFonts w:ascii="Times New Roman" w:hAnsi="Times New Roman" w:cs="Times New Roman"/>
          <w:b/>
          <w:color w:val="FF0000"/>
          <w:sz w:val="24"/>
          <w:szCs w:val="24"/>
          <w:u w:val="single"/>
        </w:rPr>
        <w:t>Desde Bruselas esto no se quiere aceptar y despliegan una política proteccionista preocupante y dañina para los intereses de los ciudadanos. Establecen aranceles que encarecen artificialmente la importación de vehículos de China y nos obligan a todos a comprar coches más caros en un pueril intento de salvaguardar empresas como Volkswagen. No va a funcionar, nunca funciona.</w:t>
      </w:r>
    </w:p>
    <w:p w:rsidR="007F6E5D" w:rsidRPr="007739BF" w:rsidRDefault="007F6E5D" w:rsidP="007F6E5D">
      <w:pPr>
        <w:spacing w:line="240" w:lineRule="auto"/>
        <w:jc w:val="both"/>
        <w:rPr>
          <w:rFonts w:ascii="Times New Roman" w:hAnsi="Times New Roman" w:cs="Times New Roman"/>
          <w:color w:val="FF0000"/>
          <w:sz w:val="24"/>
          <w:szCs w:val="24"/>
          <w:u w:val="single"/>
        </w:rPr>
      </w:pPr>
      <w:r w:rsidRPr="007739BF">
        <w:rPr>
          <w:rFonts w:ascii="Times New Roman" w:hAnsi="Times New Roman" w:cs="Times New Roman"/>
          <w:color w:val="FF0000"/>
          <w:sz w:val="24"/>
          <w:szCs w:val="24"/>
          <w:u w:val="single"/>
        </w:rPr>
        <w:t>En una economía, la función social de las quiebras es importantísima y pasa muchas veces desapercibida. Que una empresa quiebre significa que no está usando de manera eficiente los recursos disponibles. Si la situación se perpetúa con ayudas públicas u otro tipo de políticas, se está imponiendo un coste a todos los ciudadanos que se ven obligados a mantener artificialmente con vida a una empresa que ya no aporta valor a la sociedad.</w:t>
      </w:r>
    </w:p>
    <w:p w:rsidR="007F6E5D" w:rsidRPr="007739BF" w:rsidRDefault="007F6E5D" w:rsidP="007F6E5D">
      <w:pPr>
        <w:spacing w:line="240" w:lineRule="auto"/>
        <w:jc w:val="both"/>
        <w:rPr>
          <w:rFonts w:ascii="Times New Roman" w:hAnsi="Times New Roman" w:cs="Times New Roman"/>
          <w:b/>
          <w:color w:val="FF0000"/>
          <w:sz w:val="24"/>
          <w:szCs w:val="24"/>
          <w:u w:val="single"/>
        </w:rPr>
      </w:pPr>
      <w:r w:rsidRPr="007739BF">
        <w:rPr>
          <w:rFonts w:ascii="Times New Roman" w:hAnsi="Times New Roman" w:cs="Times New Roman"/>
          <w:b/>
          <w:color w:val="FF0000"/>
          <w:sz w:val="24"/>
          <w:szCs w:val="24"/>
          <w:u w:val="single"/>
        </w:rPr>
        <w:t>En este caso (y esto es lo más grave) la empresa no ha llegado a esta situación sola, sino que la han arrastrado hasta aquí unas nefastas políticas climáticas. Políticas establecidas por esos mismos políticos que, ahora, se oponen al cierre de esas factorías que ellos mismos han quebrado mientras echan la cul</w:t>
      </w:r>
      <w:r w:rsidR="007B7A52">
        <w:rPr>
          <w:rFonts w:ascii="Times New Roman" w:hAnsi="Times New Roman" w:cs="Times New Roman"/>
          <w:b/>
          <w:color w:val="FF0000"/>
          <w:sz w:val="24"/>
          <w:szCs w:val="24"/>
          <w:u w:val="single"/>
        </w:rPr>
        <w:t>pa de todo al capitalismo o al “mercado salvaje”</w:t>
      </w:r>
      <w:r w:rsidRPr="007739BF">
        <w:rPr>
          <w:rFonts w:ascii="Times New Roman" w:hAnsi="Times New Roman" w:cs="Times New Roman"/>
          <w:b/>
          <w:color w:val="FF0000"/>
          <w:sz w:val="24"/>
          <w:szCs w:val="24"/>
          <w:u w:val="single"/>
        </w:rPr>
        <w:t>. El sino de la política, dedicarse a resolver problemas que no existen o que han sido creados por los propios políticos mientras la ciudadanía comulga con ruedas de molinos, un día sí y otro también.</w:t>
      </w:r>
    </w:p>
    <w:p w:rsidR="001F247E" w:rsidRDefault="001F247E" w:rsidP="001F247E">
      <w:pPr>
        <w:pStyle w:val="NormalWeb"/>
        <w:spacing w:after="0"/>
        <w:jc w:val="both"/>
      </w:pPr>
      <w:r>
        <w:t xml:space="preserve">- </w:t>
      </w:r>
      <w:r w:rsidRPr="007C0899">
        <w:rPr>
          <w:u w:val="single"/>
        </w:rPr>
        <w:t>Qué haría falta para despertar a Europa</w:t>
      </w:r>
      <w:r>
        <w:t xml:space="preserve">? (El Economista - </w:t>
      </w:r>
      <w:r w:rsidRPr="007C0899">
        <w:rPr>
          <w:b/>
        </w:rPr>
        <w:t>9/9/24</w:t>
      </w:r>
      <w:r>
        <w:t>)</w:t>
      </w:r>
    </w:p>
    <w:p w:rsidR="001F247E" w:rsidRDefault="001F247E" w:rsidP="001F247E">
      <w:pPr>
        <w:pStyle w:val="NormalWeb"/>
        <w:spacing w:after="0"/>
        <w:jc w:val="both"/>
      </w:pPr>
      <w:r>
        <w:t>(Por Jean Pisani-Ferry)</w:t>
      </w:r>
    </w:p>
    <w:p w:rsidR="001F247E" w:rsidRPr="00873F76" w:rsidRDefault="001F247E" w:rsidP="001F247E">
      <w:pPr>
        <w:pStyle w:val="NormalWeb"/>
        <w:spacing w:after="0"/>
        <w:jc w:val="both"/>
        <w:rPr>
          <w:color w:val="FF0000"/>
          <w:u w:val="single"/>
        </w:rPr>
      </w:pPr>
      <w:r w:rsidRPr="00873F76">
        <w:rPr>
          <w:color w:val="FF0000"/>
          <w:u w:val="single"/>
        </w:rPr>
        <w:t xml:space="preserve">La Unión Europea enfrenta tres crisis importantes. La primera es una </w:t>
      </w:r>
      <w:r w:rsidRPr="00873F76">
        <w:rPr>
          <w:b/>
          <w:color w:val="FF0000"/>
          <w:u w:val="single"/>
        </w:rPr>
        <w:t>crisis de competitividad</w:t>
      </w:r>
      <w:r w:rsidRPr="00873F76">
        <w:rPr>
          <w:color w:val="FF0000"/>
          <w:u w:val="single"/>
        </w:rPr>
        <w:t xml:space="preserve"> que ya se hacía notar a fines de los años 2010 pero que ha empeorado, lo que derivó en resultados deslucidos en materia de productividad y crecimiento. Más recientemente, la invasión rusa de Ucrania creó una </w:t>
      </w:r>
      <w:r w:rsidRPr="00873F76">
        <w:rPr>
          <w:b/>
          <w:color w:val="FF0000"/>
          <w:u w:val="single"/>
        </w:rPr>
        <w:t>crisis de seguridad</w:t>
      </w:r>
      <w:r w:rsidRPr="00873F76">
        <w:rPr>
          <w:color w:val="FF0000"/>
          <w:u w:val="single"/>
        </w:rPr>
        <w:t xml:space="preserve">, agravada por el deterioro de la relación del bloque con China. La guerra también desató una </w:t>
      </w:r>
      <w:r w:rsidRPr="00873F76">
        <w:rPr>
          <w:b/>
          <w:color w:val="FF0000"/>
          <w:u w:val="single"/>
        </w:rPr>
        <w:t>crisis energética</w:t>
      </w:r>
      <w:r w:rsidRPr="00873F76">
        <w:rPr>
          <w:color w:val="FF0000"/>
          <w:u w:val="single"/>
        </w:rPr>
        <w:t xml:space="preserve"> que coloca a Europa en una desventaja relativa frente a sus principales competidores, Estados Unidos y China.</w:t>
      </w:r>
    </w:p>
    <w:p w:rsidR="001F247E" w:rsidRPr="00873F76" w:rsidRDefault="001F247E" w:rsidP="001F247E">
      <w:pPr>
        <w:pStyle w:val="NormalWeb"/>
        <w:spacing w:after="0"/>
        <w:jc w:val="both"/>
        <w:rPr>
          <w:u w:val="single"/>
        </w:rPr>
      </w:pPr>
      <w:r w:rsidRPr="00873F76">
        <w:rPr>
          <w:u w:val="single"/>
        </w:rPr>
        <w:t>Afortunadamente, existe un grado considerable de consenso intelectual sobre cómo enfrentar esta triple crisis. Tres informes relevantes, publicados recientemente o de próxima difusión, llegan más o menos a las mismas concusiones sobre los principales desafíos que enfrenta Europa -y hasta hacen recomendaciones similares para abordarlos.</w:t>
      </w:r>
    </w:p>
    <w:p w:rsidR="001F247E" w:rsidRPr="008359B4" w:rsidRDefault="001F247E" w:rsidP="001F247E">
      <w:pPr>
        <w:pStyle w:val="NormalWeb"/>
        <w:spacing w:after="0"/>
        <w:jc w:val="both"/>
        <w:rPr>
          <w:color w:val="FF0000"/>
          <w:u w:val="single"/>
        </w:rPr>
      </w:pPr>
      <w:r w:rsidRPr="00873F76">
        <w:rPr>
          <w:b/>
          <w:color w:val="FF0000"/>
          <w:u w:val="single"/>
        </w:rPr>
        <w:t>El informe del ex primer m</w:t>
      </w:r>
      <w:r w:rsidR="007B7A52">
        <w:rPr>
          <w:b/>
          <w:color w:val="FF0000"/>
          <w:u w:val="single"/>
        </w:rPr>
        <w:t>inistro italiano Enrico L</w:t>
      </w:r>
      <w:r w:rsidR="00FE7EFD">
        <w:rPr>
          <w:b/>
          <w:color w:val="FF0000"/>
          <w:u w:val="single"/>
        </w:rPr>
        <w:t>etta, “Mucho más que un mercado”</w:t>
      </w:r>
      <w:r w:rsidRPr="00873F76">
        <w:rPr>
          <w:b/>
          <w:color w:val="FF0000"/>
          <w:u w:val="single"/>
        </w:rPr>
        <w:t>, elaborado a petición del Consejo Europeo</w:t>
      </w:r>
      <w:r w:rsidRPr="00873F76">
        <w:rPr>
          <w:u w:val="single"/>
        </w:rPr>
        <w:t>, hace hincapié en la necesidad de una mayor integración del mercado único, un proyecto que fue concebido por primera vez en los años 1980, pero que sigue siendo relevante hoy</w:t>
      </w:r>
      <w:r>
        <w:t xml:space="preserve">. Por ejemplo, la investigación demuestra que cruzar una frontera nacional en Europa reduce el comercio interregional de bienes por un factor de seis. </w:t>
      </w:r>
      <w:r w:rsidRPr="008359B4">
        <w:rPr>
          <w:u w:val="single"/>
        </w:rPr>
        <w:t xml:space="preserve">La fragmentación es especialmente pronunciada </w:t>
      </w:r>
      <w:r w:rsidRPr="008359B4">
        <w:rPr>
          <w:color w:val="FF0000"/>
          <w:u w:val="single"/>
        </w:rPr>
        <w:t>en sectores como la energía, las finanzas y las comunicaciones electrónicas,</w:t>
      </w:r>
      <w:r w:rsidRPr="008359B4">
        <w:rPr>
          <w:u w:val="single"/>
        </w:rPr>
        <w:t xml:space="preserve"> y el comercio entre la UE y Estados Unidos en servicios digitales supera al comercio dentro del mismo bloque</w:t>
      </w:r>
      <w:r>
        <w:t xml:space="preserve">. </w:t>
      </w:r>
      <w:r w:rsidRPr="008359B4">
        <w:rPr>
          <w:color w:val="FF0000"/>
          <w:u w:val="single"/>
        </w:rPr>
        <w:t xml:space="preserve">Como observa Letta, estos sectores fueron excluidos deliberadamente del proceso de integración porque los estados los consideraban demasiado estratégicos como para renunciar a un control nacional. Pero el </w:t>
      </w:r>
      <w:r w:rsidRPr="008359B4">
        <w:rPr>
          <w:color w:val="FF0000"/>
          <w:u w:val="single"/>
        </w:rPr>
        <w:lastRenderedPageBreak/>
        <w:t>informe concluye acertadamente que este freno a la integración se ha vuelto, gradualmente, un obstáculo para la seguridad económica.</w:t>
      </w:r>
    </w:p>
    <w:p w:rsidR="001F247E" w:rsidRPr="008359B4" w:rsidRDefault="001F247E" w:rsidP="001F247E">
      <w:pPr>
        <w:pStyle w:val="NormalWeb"/>
        <w:spacing w:after="0"/>
        <w:jc w:val="both"/>
        <w:rPr>
          <w:color w:val="FF0000"/>
          <w:u w:val="single"/>
        </w:rPr>
      </w:pPr>
      <w:r w:rsidRPr="007B7A52">
        <w:rPr>
          <w:color w:val="FF0000"/>
          <w:u w:val="single"/>
        </w:rPr>
        <w:t xml:space="preserve">La presidenta de la Comisión Europea, Ursula von der Leyen, le encargó a otro ex primer ministro italiano, </w:t>
      </w:r>
      <w:r w:rsidRPr="007B7A52">
        <w:rPr>
          <w:b/>
          <w:color w:val="FF0000"/>
          <w:u w:val="single"/>
        </w:rPr>
        <w:t>Mario Draghi, que realizara un informe sobre el futuro de la competitividad europea.</w:t>
      </w:r>
      <w:r w:rsidRPr="007B7A52">
        <w:rPr>
          <w:color w:val="FF0000"/>
          <w:u w:val="single"/>
        </w:rPr>
        <w:t xml:space="preserve"> </w:t>
      </w:r>
      <w:r w:rsidRPr="007B7A52">
        <w:rPr>
          <w:u w:val="single"/>
        </w:rPr>
        <w:t>Se espera que su difusión tenga lugar en las próximas semanas,</w:t>
      </w:r>
      <w:r w:rsidRPr="007B7A52">
        <w:t xml:space="preserve"> </w:t>
      </w:r>
      <w:r w:rsidRPr="008359B4">
        <w:rPr>
          <w:u w:val="single"/>
        </w:rPr>
        <w:t>pero Draghi ha delineado su estrategia y recomendaciones en discursos recientes. El tono probablemente sea más franco, y las propuestas de políticas, sin duda, serán más radicales, en comparación con el informe de Letta</w:t>
      </w:r>
      <w:r>
        <w:t xml:space="preserve">. </w:t>
      </w:r>
      <w:r w:rsidRPr="008359B4">
        <w:rPr>
          <w:color w:val="FF0000"/>
          <w:u w:val="single"/>
        </w:rPr>
        <w:t>En abril, Draghi criticó la organización, la toma de decisiones y el financiamiento del bloque por consi</w:t>
      </w:r>
      <w:r w:rsidR="00FE7EFD">
        <w:rPr>
          <w:color w:val="FF0000"/>
          <w:u w:val="single"/>
        </w:rPr>
        <w:t>derar que están diseñados para “el mundo de ayer”</w:t>
      </w:r>
      <w:r w:rsidRPr="008359B4">
        <w:rPr>
          <w:color w:val="FF0000"/>
          <w:u w:val="single"/>
        </w:rPr>
        <w:t>. Asimismo, la estrategia estrechamente nacional de la UE frente a la competitividad ha impedido la creación de paladines paneuropeos y ha logrado que los estados miembro compitan entre sí, inclusive en sectores como d</w:t>
      </w:r>
      <w:r w:rsidR="00FE7EFD">
        <w:rPr>
          <w:color w:val="FF0000"/>
          <w:u w:val="single"/>
        </w:rPr>
        <w:t>efensa y energía, donde tienen “profundos intereses comunes”</w:t>
      </w:r>
      <w:r w:rsidRPr="008359B4">
        <w:rPr>
          <w:color w:val="FF0000"/>
          <w:u w:val="single"/>
        </w:rPr>
        <w:t>. En junio, Draghi abogó por una política industrial europea que incluya aranceles y subsidios -un llamado a la acción que, sin duda, estará presente en este reporte.</w:t>
      </w:r>
    </w:p>
    <w:p w:rsidR="001F247E" w:rsidRPr="008359B4" w:rsidRDefault="001F247E" w:rsidP="001F247E">
      <w:pPr>
        <w:pStyle w:val="NormalWeb"/>
        <w:spacing w:after="0"/>
        <w:jc w:val="both"/>
        <w:rPr>
          <w:color w:val="FF0000"/>
          <w:u w:val="single"/>
        </w:rPr>
      </w:pPr>
      <w:r w:rsidRPr="008359B4">
        <w:rPr>
          <w:u w:val="single"/>
        </w:rPr>
        <w:t>Mis colegas de Bruegel prepararon el tercer informe, cuya publicación está programada para la semana próxima</w:t>
      </w:r>
      <w:r>
        <w:t xml:space="preserve">. </w:t>
      </w:r>
      <w:r w:rsidR="007B7A52">
        <w:rPr>
          <w:color w:val="FF0000"/>
          <w:u w:val="single"/>
        </w:rPr>
        <w:t>Estos “</w:t>
      </w:r>
      <w:r w:rsidRPr="008359B4">
        <w:rPr>
          <w:b/>
          <w:color w:val="FF0000"/>
          <w:u w:val="single"/>
        </w:rPr>
        <w:t>Memos para la conducción de la UE</w:t>
      </w:r>
      <w:r w:rsidR="00865E16">
        <w:rPr>
          <w:color w:val="FF0000"/>
          <w:u w:val="single"/>
        </w:rPr>
        <w:t>”</w:t>
      </w:r>
      <w:r w:rsidRPr="008359B4">
        <w:rPr>
          <w:color w:val="FF0000"/>
          <w:u w:val="single"/>
        </w:rPr>
        <w:t xml:space="preserve"> son producidos después de cada elección europea para ayudar a los nuevos comisionados y miembros del Parlamento Europeo a fijar prioridades para el bloque.</w:t>
      </w:r>
      <w:r w:rsidRPr="008359B4">
        <w:rPr>
          <w:color w:val="FF0000"/>
        </w:rPr>
        <w:t xml:space="preserve"> </w:t>
      </w:r>
      <w:r>
        <w:t xml:space="preserve">Como demuestra el adelanto que se dio a conocer en los primeros días de julio, </w:t>
      </w:r>
      <w:r w:rsidRPr="008359B4">
        <w:rPr>
          <w:color w:val="FF0000"/>
          <w:u w:val="single"/>
        </w:rPr>
        <w:t>el informe de próxima publicación también se centra en la necesidad de promover la innovación y el crecimiento, y hace hincapié en los beneficios de construir un mercado único para la energía y de eliminar las barreras para una unión bancaria y de los mercados de capital. Pero en lugar de respaldar una integración generalizada, defiende una profundización del mercado único en las áreas con el mayor impacto de crecimiento y donde el retorno económico claramente supera los costos políticos.</w:t>
      </w:r>
    </w:p>
    <w:p w:rsidR="001F247E" w:rsidRPr="008359B4" w:rsidRDefault="001F247E" w:rsidP="001F247E">
      <w:pPr>
        <w:pStyle w:val="NormalWeb"/>
        <w:spacing w:after="0"/>
        <w:jc w:val="both"/>
        <w:rPr>
          <w:color w:val="FF0000"/>
          <w:u w:val="single"/>
        </w:rPr>
      </w:pPr>
      <w:r w:rsidRPr="008359B4">
        <w:rPr>
          <w:b/>
          <w:color w:val="FF0000"/>
          <w:u w:val="single"/>
        </w:rPr>
        <w:t>El hecho de que los tres informes, en gran medida, coincidan resulta sorprendente. Atrás quedaron las controversias relevantes sobre política macroeconómica, apertura comercial y política industrial, para mencionar solo algunas de las disputas que surgen normalmente. Esto probablemente refleje los enormes desafíos económicos y geoeconómicos que enfrenta hoy la UE</w:t>
      </w:r>
      <w:r>
        <w:t xml:space="preserve">. </w:t>
      </w:r>
      <w:r w:rsidRPr="008359B4">
        <w:rPr>
          <w:color w:val="FF0000"/>
          <w:u w:val="single"/>
        </w:rPr>
        <w:t>La guerra de Ucrania plantea una amenaza existencial, el precio elevado de la energía es un impedimento importante para la competitividad y la incapacidad del bloque para innovar amenaza con convertir a Europa en un espectador en la escena internacional. Aun si el bloque actúa, probablemente no baste para impedir que su situación demográfica empeore o que su peso económico decaiga.</w:t>
      </w:r>
    </w:p>
    <w:p w:rsidR="001F247E" w:rsidRDefault="001F247E" w:rsidP="001F247E">
      <w:pPr>
        <w:pStyle w:val="NormalWeb"/>
        <w:spacing w:after="0"/>
        <w:jc w:val="both"/>
      </w:pPr>
      <w:r w:rsidRPr="008359B4">
        <w:rPr>
          <w:u w:val="single"/>
        </w:rPr>
        <w:t xml:space="preserve">Pero el consenso de los expertos no necesariamente se traduce en políticas. </w:t>
      </w:r>
      <w:r w:rsidRPr="000E0A78">
        <w:rPr>
          <w:color w:val="FF0000"/>
          <w:u w:val="single"/>
        </w:rPr>
        <w:t>El primer obstáculo es la inercia que prevalece entre los estados miembros</w:t>
      </w:r>
      <w:r>
        <w:t xml:space="preserve">. Si bien los desafíos geopolíticos de hoy no tienen precedentes, desde por lo menos el informe Sapir de 2004 que se conocen los problemas de crecimiento, integración y gobernanza que abundan en la UE. Sin embargo, </w:t>
      </w:r>
      <w:r w:rsidRPr="008359B4">
        <w:rPr>
          <w:u w:val="single"/>
        </w:rPr>
        <w:t>el bloque solo ha tomado medidas en situaciones de estrés extremo como la crisis de deuda de la eurozona de 2010-12 y la pandemia del COVID-19</w:t>
      </w:r>
      <w:r>
        <w:t xml:space="preserve">. </w:t>
      </w:r>
      <w:r w:rsidRPr="008359B4">
        <w:rPr>
          <w:u w:val="single"/>
        </w:rPr>
        <w:t>Aun en estos casos, la toma de conciencia tuvo corta vida</w:t>
      </w:r>
      <w:r>
        <w:t>. La unión bancaria, por ejemplo, sigue inconclusa, y no se han tomado decisiones sobre el financiamiento futuro del programa de recuperación pandémica.</w:t>
      </w:r>
    </w:p>
    <w:p w:rsidR="001F247E" w:rsidRPr="000E0A78" w:rsidRDefault="001F247E" w:rsidP="001F247E">
      <w:pPr>
        <w:pStyle w:val="NormalWeb"/>
        <w:spacing w:after="0"/>
        <w:jc w:val="both"/>
        <w:rPr>
          <w:u w:val="single"/>
        </w:rPr>
      </w:pPr>
      <w:r w:rsidRPr="000E0A78">
        <w:rPr>
          <w:color w:val="FF0000"/>
          <w:u w:val="single"/>
        </w:rPr>
        <w:t>El segundo desafío es que cualquier reforma importante tiene ganadores y perdedores</w:t>
      </w:r>
      <w:r>
        <w:t xml:space="preserve">. La fragmentación crea rentas y esas rentas van a manos de ciertos países a expensas de otros. En consecuencia, los países con chances de verse más perjudicados se opondrán a una mayor </w:t>
      </w:r>
      <w:r>
        <w:lastRenderedPageBreak/>
        <w:t xml:space="preserve">integración. Es verdad, pueden perder más en el largo plazo de lo que ganan en el corto plazo. </w:t>
      </w:r>
      <w:r w:rsidRPr="000E0A78">
        <w:rPr>
          <w:u w:val="single"/>
        </w:rPr>
        <w:t>Pero hace falta coraje para superar la miopía.</w:t>
      </w:r>
    </w:p>
    <w:p w:rsidR="001F247E" w:rsidRDefault="001F247E" w:rsidP="001F247E">
      <w:pPr>
        <w:pStyle w:val="NormalWeb"/>
        <w:spacing w:after="0"/>
        <w:jc w:val="both"/>
        <w:rPr>
          <w:u w:val="single"/>
        </w:rPr>
      </w:pPr>
      <w:r w:rsidRPr="000E0A78">
        <w:rPr>
          <w:color w:val="FF0000"/>
          <w:u w:val="single"/>
        </w:rPr>
        <w:t>Por último, el entusiasmo europeo no abunda, especialmente frente al ascenso del nacionalismo económico, y los gobiernos no quieren arriesgarse a enfadar a sus votantes</w:t>
      </w:r>
      <w:r>
        <w:t xml:space="preserve">. </w:t>
      </w:r>
      <w:r w:rsidRPr="000E0A78">
        <w:rPr>
          <w:u w:val="single"/>
        </w:rPr>
        <w:t>El presidente francés, Emmanuel Macron, y el canciller alemán, Olaf Scholz, son extremadamente impopulares y, por ende, no están en condiciones de brindar el liderazgo que se necesita para salir del estancamiento actual. Solo cabe esperar que Von der Leyen esté a la altura del desafío.</w:t>
      </w:r>
    </w:p>
    <w:p w:rsidR="001F247E" w:rsidRDefault="001F247E" w:rsidP="001F247E">
      <w:pPr>
        <w:pStyle w:val="NormalWeb"/>
        <w:spacing w:after="0"/>
        <w:jc w:val="both"/>
      </w:pPr>
      <w:r>
        <w:t>- ¿</w:t>
      </w:r>
      <w:r w:rsidRPr="006A6B1C">
        <w:rPr>
          <w:u w:val="single"/>
        </w:rPr>
        <w:t>Por qué Bruselas odia la creosota</w:t>
      </w:r>
      <w:r>
        <w:t xml:space="preserve">? (Vozpópuli - </w:t>
      </w:r>
      <w:r w:rsidRPr="006A6B1C">
        <w:rPr>
          <w:b/>
        </w:rPr>
        <w:t>9/9/24</w:t>
      </w:r>
      <w:r>
        <w:t>)</w:t>
      </w:r>
    </w:p>
    <w:p w:rsidR="001F247E" w:rsidRDefault="001F247E" w:rsidP="001F247E">
      <w:pPr>
        <w:pStyle w:val="NormalWeb"/>
        <w:spacing w:after="0"/>
        <w:jc w:val="both"/>
      </w:pPr>
      <w:r>
        <w:t>(Por Jesús Banegas)</w:t>
      </w:r>
    </w:p>
    <w:p w:rsidR="001F247E" w:rsidRDefault="001F247E" w:rsidP="001F247E">
      <w:pPr>
        <w:pStyle w:val="NormalWeb"/>
        <w:spacing w:after="0"/>
        <w:jc w:val="both"/>
      </w:pPr>
      <w:r>
        <w:t xml:space="preserve">Es bastante probable que la inmensa mayoría de la población de la Unión Europea no sepa qué es la 'creosota' ni para qué sirve. Sin embargo ha sido víctima de una de las últimas preocupaciones de los socialistas -de todos los partidos- que la gobiernan. </w:t>
      </w:r>
      <w:r w:rsidRPr="000E0A78">
        <w:rPr>
          <w:color w:val="FF0000"/>
          <w:u w:val="single"/>
        </w:rPr>
        <w:t>La UE ha devenido una máquina burocrática intensiva y extensivamente amiga de las prohibiciones de todo tipo, y al tiempo, enemiga de la libertad y la innovación. Mientras tanto, la otra gran potencia económica, los EEUU, operando en sentido contrario cada vez se distancia más de nosotros en innovación tecnológica y consecuentemente en crecimiento de la renta per cápita.</w:t>
      </w:r>
    </w:p>
    <w:p w:rsidR="001F247E" w:rsidRDefault="001F247E" w:rsidP="001F247E">
      <w:pPr>
        <w:pStyle w:val="NormalWeb"/>
        <w:spacing w:after="0"/>
        <w:jc w:val="both"/>
      </w:pPr>
      <w:r>
        <w:t xml:space="preserve">La expansión de las telecomunicaciones se llevó a cabo mediante el tendido de redes de cables sostenidos en postes de madera. Para garantizar su durabilidad, los postes eran tratados con creosota, un producto químico derivado de la hulla. Con el paso del tiempo, los cables fueron enterrados en conducciones subterráneas mientras los seculares postes en desuso se reutilizaban en la construcción, sobre todo en las zonas rurales. Como es natural, cada vez quedan menos, pues dejaron de fabricarse hará, al menos, medio siglo. Pues bien, los escasísimos que existen no pueden comercializarse en la UE, por capricho de políticos, que no siendo capaces de hacer su trabajo -consumar el mercado único, liberalizar de verdad todos los mercados, </w:t>
      </w:r>
      <w:r w:rsidR="00865E16">
        <w:t>facilitar la innovación, etc...-</w:t>
      </w:r>
      <w:r>
        <w:t xml:space="preserve"> se dedican a tonterías populistas -la penúltima, prohibir el consumo de patatas fritas con sabor a jamón- cada vez más ridículas.</w:t>
      </w:r>
    </w:p>
    <w:p w:rsidR="001F247E" w:rsidRPr="000E0A78" w:rsidRDefault="001F247E" w:rsidP="001F247E">
      <w:pPr>
        <w:pStyle w:val="NormalWeb"/>
        <w:spacing w:after="0"/>
        <w:jc w:val="both"/>
        <w:rPr>
          <w:u w:val="single"/>
        </w:rPr>
      </w:pPr>
      <w:r w:rsidRPr="000E0A78">
        <w:rPr>
          <w:u w:val="single"/>
        </w:rPr>
        <w:t>Recién celebradas elecciones al Parlamento Europeo, que han resultado más favorables a los partidos potencialmente más sensatos que a los populismos al uso, es el momento de exigir al nuevo gobierno de la Unión una revisión a fondo de sus políticas, en al menos los siguientes frentes:</w:t>
      </w:r>
    </w:p>
    <w:p w:rsidR="001F247E" w:rsidRPr="000E0A78" w:rsidRDefault="001F247E" w:rsidP="001F247E">
      <w:pPr>
        <w:pStyle w:val="NormalWeb"/>
        <w:spacing w:after="0"/>
        <w:jc w:val="both"/>
        <w:rPr>
          <w:u w:val="single"/>
        </w:rPr>
      </w:pPr>
      <w:r w:rsidRPr="000E0A78">
        <w:rPr>
          <w:b/>
          <w:u w:val="single"/>
        </w:rPr>
        <w:t>Profundización del mercado interior</w:t>
      </w:r>
      <w:r w:rsidRPr="000E0A78">
        <w:rPr>
          <w:u w:val="single"/>
        </w:rPr>
        <w:t>, que sigue sin consumarse por los inconfesables intereses de países como Francia, que evitan así que la innovación y la competitividad progrese y se extienda como sucede en el homogéneo y abierto mercado norteamericano.</w:t>
      </w:r>
    </w:p>
    <w:p w:rsidR="00734564" w:rsidRDefault="001F247E" w:rsidP="001F247E">
      <w:pPr>
        <w:pStyle w:val="NormalWeb"/>
        <w:spacing w:after="0"/>
        <w:jc w:val="both"/>
        <w:rPr>
          <w:u w:val="single"/>
        </w:rPr>
      </w:pPr>
      <w:r w:rsidRPr="006A6B1C">
        <w:rPr>
          <w:b/>
        </w:rPr>
        <w:t xml:space="preserve">Política de la </w:t>
      </w:r>
      <w:r w:rsidRPr="000E0A78">
        <w:rPr>
          <w:b/>
        </w:rPr>
        <w:t>competencia orientada a la eficiencia de los mercados</w:t>
      </w:r>
      <w:r>
        <w:t xml:space="preserve">, que como siempre ha sucedido en EEUU, se ve favorecida por las concentraciones empresariales, y perjudicada por la proliferación de agentes. </w:t>
      </w:r>
      <w:r w:rsidRPr="000E0A78">
        <w:rPr>
          <w:u w:val="single"/>
        </w:rPr>
        <w:t>Es asombrosamente ridículo que en la UE haya más de cien operadores de telecomunicaciones cuando en EEUU y China apenas existen menos de media docena. ¿Por qué los burócratas de la UE evitan la fusión de Iberia y Air Europa?</w:t>
      </w:r>
    </w:p>
    <w:p w:rsidR="001F247E" w:rsidRPr="000E0A78" w:rsidRDefault="001F247E" w:rsidP="001F247E">
      <w:pPr>
        <w:pStyle w:val="NormalWeb"/>
        <w:spacing w:after="0"/>
        <w:jc w:val="both"/>
        <w:rPr>
          <w:u w:val="single"/>
        </w:rPr>
      </w:pPr>
      <w:r w:rsidRPr="006A6B1C">
        <w:rPr>
          <w:b/>
        </w:rPr>
        <w:lastRenderedPageBreak/>
        <w:t>Contención regulatoria</w:t>
      </w:r>
      <w:r>
        <w:t xml:space="preserve">, mediante la aplicación de una norma que se está extendiendo en el mundo anglosajón: </w:t>
      </w:r>
      <w:r w:rsidRPr="000E0A78">
        <w:rPr>
          <w:u w:val="single"/>
        </w:rPr>
        <w:t>cada nueva regulación debiera exigir para su entrada en vigor la eliminación de al menos tres previas.</w:t>
      </w:r>
    </w:p>
    <w:p w:rsidR="001F247E" w:rsidRPr="000E0A78" w:rsidRDefault="001F247E" w:rsidP="001F247E">
      <w:pPr>
        <w:pStyle w:val="NormalWeb"/>
        <w:spacing w:after="0"/>
        <w:jc w:val="both"/>
        <w:rPr>
          <w:u w:val="single"/>
        </w:rPr>
      </w:pPr>
      <w:r w:rsidRPr="006A6B1C">
        <w:rPr>
          <w:b/>
        </w:rPr>
        <w:t>Insostenible Estado de Bienestar</w:t>
      </w:r>
      <w:r>
        <w:t xml:space="preserve">: </w:t>
      </w:r>
      <w:r w:rsidRPr="000E0A78">
        <w:rPr>
          <w:b/>
          <w:color w:val="FF0000"/>
          <w:u w:val="single"/>
        </w:rPr>
        <w:t>La UE, según nos recordó hace algún tiempo Merkel, con sólo el 7% de la población mundial ostenta el 25% del PIB mientras realiza el 50% del gasto social. ¿Alguien en su sano juicio cree que es posible el sostenimiento de esta situación?</w:t>
      </w:r>
      <w:r w:rsidRPr="000E0A78">
        <w:rPr>
          <w:color w:val="FF0000"/>
        </w:rPr>
        <w:t xml:space="preserve"> </w:t>
      </w:r>
      <w:r w:rsidRPr="000E0A78">
        <w:rPr>
          <w:u w:val="single"/>
        </w:rPr>
        <w:t>El traslado -inconsentido- a las nuevas generaciones de la deuda pública de ciertos países europeos, sin que las políticas presupuestarias deficitarias encuentren techo, coincide –porque es causa- con su decadencia económica y en consecuencia de la UE.</w:t>
      </w:r>
    </w:p>
    <w:p w:rsidR="001F247E" w:rsidRPr="000E0A78" w:rsidRDefault="001F247E" w:rsidP="001F247E">
      <w:pPr>
        <w:pStyle w:val="NormalWeb"/>
        <w:spacing w:after="0"/>
        <w:jc w:val="both"/>
        <w:rPr>
          <w:b/>
          <w:color w:val="FF0000"/>
          <w:u w:val="single"/>
        </w:rPr>
      </w:pPr>
      <w:r w:rsidRPr="006A6B1C">
        <w:rPr>
          <w:b/>
        </w:rPr>
        <w:t>Defensa propia</w:t>
      </w:r>
      <w:r>
        <w:t xml:space="preserve">: como suelen argüir los más serios analistas de EEUU, </w:t>
      </w:r>
      <w:r w:rsidRPr="000E0A78">
        <w:rPr>
          <w:b/>
          <w:u w:val="single"/>
        </w:rPr>
        <w:t>no es posible tener política de defensa si no se disponen de medios para ejecutarla</w:t>
      </w:r>
      <w:r>
        <w:t xml:space="preserve">. </w:t>
      </w:r>
      <w:r w:rsidRPr="000E0A78">
        <w:rPr>
          <w:u w:val="single"/>
        </w:rPr>
        <w:t xml:space="preserve">Durante décadas, la UE ha delegado en EEUU su propia defensa, algo inaudito y más aun teniendo en cuenta que los mayores peligros y desafíos están mucho más próximos a nuestras fronteras que a las de nuestro “protector”. </w:t>
      </w:r>
      <w:r w:rsidRPr="000E0A78">
        <w:rPr>
          <w:b/>
          <w:color w:val="FF0000"/>
          <w:u w:val="single"/>
        </w:rPr>
        <w:t>¿Hasta cuándo perdurará esta asombrosa irresponsabilidad histórica?</w:t>
      </w:r>
    </w:p>
    <w:p w:rsidR="001F247E" w:rsidRPr="000E0A78" w:rsidRDefault="001F247E" w:rsidP="001F247E">
      <w:pPr>
        <w:pStyle w:val="NormalWeb"/>
        <w:spacing w:after="0"/>
        <w:jc w:val="both"/>
        <w:rPr>
          <w:color w:val="FF0000"/>
          <w:u w:val="single"/>
        </w:rPr>
      </w:pPr>
      <w:r w:rsidRPr="006A6B1C">
        <w:rPr>
          <w:b/>
        </w:rPr>
        <w:t>La inmigración</w:t>
      </w:r>
      <w:r>
        <w:t xml:space="preserve">, ahora de moda, </w:t>
      </w:r>
      <w:r w:rsidRPr="000E0A78">
        <w:rPr>
          <w:color w:val="FF0000"/>
          <w:u w:val="single"/>
        </w:rPr>
        <w:t>ha venido para quedarse</w:t>
      </w:r>
      <w:r>
        <w:t xml:space="preserve">. La población de los veintisiete países de la Unión Europea descenderá de los 447 millones en 2020 hasta los 416 millones en el año 2100, según proyecciones de Eurostat. Mientras tanto </w:t>
      </w:r>
      <w:r w:rsidRPr="000E0A78">
        <w:rPr>
          <w:color w:val="FF0000"/>
          <w:u w:val="single"/>
        </w:rPr>
        <w:t>la presión migratoria desde los países más pobres no cesará. Frente a esta grave y cada vez más acuciante situación, la UE está obligada a plantearse, acordar y sobre todo ejecutar una política inmigratoria común. Hasta ahora, como en Defensa, venimos mirando para otro lado.</w:t>
      </w:r>
    </w:p>
    <w:p w:rsidR="001F247E" w:rsidRPr="000E0A78" w:rsidRDefault="001F247E" w:rsidP="001F247E">
      <w:pPr>
        <w:pStyle w:val="NormalWeb"/>
        <w:spacing w:after="0"/>
        <w:jc w:val="both"/>
        <w:rPr>
          <w:color w:val="FF0000"/>
          <w:u w:val="single"/>
        </w:rPr>
      </w:pPr>
      <w:r w:rsidRPr="006A6B1C">
        <w:rPr>
          <w:b/>
        </w:rPr>
        <w:t>Cambio climático</w:t>
      </w:r>
      <w:r>
        <w:t xml:space="preserve">: </w:t>
      </w:r>
      <w:r w:rsidRPr="000E0A78">
        <w:rPr>
          <w:b/>
          <w:color w:val="FF0000"/>
          <w:u w:val="single"/>
        </w:rPr>
        <w:t>La UE debe renunciar cuanto antes a su cada vez más ridícula pretensión de salvar el calentamiento global de la tierra por sí misma</w:t>
      </w:r>
      <w:r>
        <w:t xml:space="preserve">. </w:t>
      </w:r>
      <w:r w:rsidRPr="000E0A78">
        <w:rPr>
          <w:u w:val="single"/>
        </w:rPr>
        <w:t>Recientemente se ponía de manifiesto en esta columna que nuestra posible contribución al cambio climático representa menos de una diezmilésima parte del presunto problema.</w:t>
      </w:r>
      <w:r>
        <w:t xml:space="preserve"> </w:t>
      </w:r>
      <w:r w:rsidRPr="000E0A78">
        <w:rPr>
          <w:color w:val="FF0000"/>
          <w:u w:val="single"/>
        </w:rPr>
        <w:t>Cabe añadir que según acaba publicar la revista Science, de l.500 políticas para reducir emisiones, apenas 63 -un 4,3%- resultaron eficaces. Puesto que los costes de oportunidad de la política climática de la UE son cada vez más perjudiciales para su economía y sobre todo para su i</w:t>
      </w:r>
      <w:r w:rsidR="00865E16">
        <w:rPr>
          <w:color w:val="FF0000"/>
          <w:u w:val="single"/>
        </w:rPr>
        <w:t>ndustria, su revisión crítica -“con luz y taquígrafos”-</w:t>
      </w:r>
      <w:r w:rsidRPr="000E0A78">
        <w:rPr>
          <w:color w:val="FF0000"/>
          <w:u w:val="single"/>
        </w:rPr>
        <w:t xml:space="preserve"> es cada más urgente.</w:t>
      </w:r>
    </w:p>
    <w:p w:rsidR="001F247E" w:rsidRPr="003C14C3" w:rsidRDefault="001F247E" w:rsidP="001F247E">
      <w:pPr>
        <w:pStyle w:val="NormalWeb"/>
        <w:spacing w:after="0"/>
        <w:jc w:val="both"/>
        <w:rPr>
          <w:color w:val="FF0000"/>
          <w:u w:val="single"/>
        </w:rPr>
      </w:pPr>
      <w:r w:rsidRPr="000E0A78">
        <w:rPr>
          <w:u w:val="single"/>
        </w:rPr>
        <w:t>En su imprescindible obra maestra Capitalismo y revolución (2017), recientemente reeditada, el maestro Gabriel Tortella, además de glosar el triunfo de la economía de mercado frente al fracaso comunista, señala de paso como la socialdemocracia ha muerto de éxito al haber consumado por el camino sus mejores expectativas</w:t>
      </w:r>
      <w:r w:rsidRPr="003C14C3">
        <w:rPr>
          <w:color w:val="FF0000"/>
          <w:u w:val="single"/>
        </w:rPr>
        <w:t>. Suecia es la quintaesencia de los límites de las políticas socialistas que condujeron al cuarto país más próspero del mundo a principios de los pasados años setenta al lugar décimo cuarto a mediados los noventa</w:t>
      </w:r>
      <w:r>
        <w:t xml:space="preserve">. </w:t>
      </w:r>
      <w:r w:rsidRPr="003C14C3">
        <w:rPr>
          <w:u w:val="single"/>
        </w:rPr>
        <w:t>El regreso a un orden económico menos intervencionista, con medidas liberales que favorecen la libertad ciudadana frente a un estado omnipresente, lleva tiempo rindiendo muy buenos resultados.</w:t>
      </w:r>
      <w:r>
        <w:t xml:space="preserve"> </w:t>
      </w:r>
      <w:r w:rsidRPr="003C14C3">
        <w:rPr>
          <w:color w:val="FF0000"/>
          <w:u w:val="single"/>
        </w:rPr>
        <w:t>¿A qué esperan los demás países de la UE más socializados -con España, Francia e Italia a la cabeza- para operar en consecuencia?</w:t>
      </w:r>
    </w:p>
    <w:p w:rsidR="001F247E" w:rsidRDefault="001F247E" w:rsidP="001F247E">
      <w:pPr>
        <w:pStyle w:val="NormalWeb"/>
        <w:spacing w:after="0"/>
        <w:jc w:val="both"/>
      </w:pPr>
      <w:r>
        <w:t>Las últimas elecciones al Parlamento de la UE han reflejado una cierta dilución de las fuerzas políticas populistas, caracterizadas todas ellas por su animosidad contra “las creosotas de turno” y planteamientos alejados de los temas descritos, mientras que los partidos más convencionales han recuperado peso específico.</w:t>
      </w:r>
    </w:p>
    <w:p w:rsidR="001F247E" w:rsidRDefault="001F247E" w:rsidP="001F247E">
      <w:pPr>
        <w:pStyle w:val="NormalWeb"/>
        <w:spacing w:after="0"/>
        <w:jc w:val="both"/>
      </w:pPr>
      <w:r>
        <w:lastRenderedPageBreak/>
        <w:t>Por otra parte el Partido Popular español ha visto crecer su presencia en la nueva Eurocámara, lo que representa una oportunidad de liderazgo que debería ejercer señalando el camino a seguir a sus colegas. Los postes telefónicos creosotados o las patatas fritas con sabor a jamón, deben dejar paso a los verdaderos problemas de la UE antes planteados. ¿Será capaz el PP de aprovechar esta oportunidad?</w:t>
      </w:r>
    </w:p>
    <w:p w:rsidR="0063398C" w:rsidRDefault="0063398C" w:rsidP="0063398C">
      <w:pPr>
        <w:pStyle w:val="NormalWeb"/>
        <w:spacing w:after="0"/>
        <w:jc w:val="both"/>
      </w:pPr>
      <w:r>
        <w:t xml:space="preserve">- </w:t>
      </w:r>
      <w:r w:rsidRPr="00775783">
        <w:rPr>
          <w:u w:val="single"/>
        </w:rPr>
        <w:t>Futuro angustioso para Alemania: un recuerdo de los extremismos de los años 20 y la amenaza de una larga recesión</w:t>
      </w:r>
      <w:r>
        <w:t xml:space="preserve"> (El Economista - </w:t>
      </w:r>
      <w:r w:rsidRPr="00775783">
        <w:rPr>
          <w:b/>
        </w:rPr>
        <w:t>9/9/24</w:t>
      </w:r>
      <w:r>
        <w:t>)</w:t>
      </w:r>
    </w:p>
    <w:p w:rsidR="0063398C" w:rsidRPr="00775783" w:rsidRDefault="0063398C" w:rsidP="0063398C">
      <w:pPr>
        <w:pStyle w:val="NormalWeb"/>
        <w:spacing w:after="0"/>
        <w:jc w:val="both"/>
      </w:pPr>
      <w:r w:rsidRPr="00775783">
        <w:t>(Por Matthew Lynn)</w:t>
      </w:r>
    </w:p>
    <w:p w:rsidR="0063398C" w:rsidRPr="00583FAB" w:rsidRDefault="0063398C" w:rsidP="0063398C">
      <w:pPr>
        <w:pStyle w:val="NormalWeb"/>
        <w:spacing w:after="0"/>
        <w:jc w:val="both"/>
        <w:rPr>
          <w:u w:val="single"/>
        </w:rPr>
      </w:pPr>
      <w:r w:rsidRPr="00583FAB">
        <w:rPr>
          <w:color w:val="FF0000"/>
          <w:u w:val="single"/>
        </w:rPr>
        <w:t>Es el peor desastre económico desde la Segunda Guerra Mundial. La podredumbre ha calado hondo en el sistema. Y habrá mucho dolor por delante mientras el Gobierno intenta solucionar el lío que ha heredado</w:t>
      </w:r>
      <w:r w:rsidR="00FE7EFD">
        <w:t>. Las advertencias de Sir</w:t>
      </w:r>
      <w:r>
        <w:t xml:space="preserve"> Keir Starmer sobre la grave situación en la que se encuentra el Reino Unido han empezado a ser excesivamente pesimistas. Las cosas no están tan mal como él las pinta. Sin embargo, </w:t>
      </w:r>
      <w:r w:rsidRPr="00583FAB">
        <w:rPr>
          <w:u w:val="single"/>
        </w:rPr>
        <w:t>el nuevo Primer Ministro podría emitir ese veredicto sobre el país que solía ser considerado como el modelo de gestión económica centrista, Alemania, que se dirige hacia una larga y profunda recesión, y es muy difícil ver cómo saldrá de ella.</w:t>
      </w:r>
    </w:p>
    <w:p w:rsidR="0063398C" w:rsidRPr="00583FAB" w:rsidRDefault="0063398C" w:rsidP="0063398C">
      <w:pPr>
        <w:pStyle w:val="NormalWeb"/>
        <w:spacing w:after="0"/>
        <w:jc w:val="both"/>
        <w:rPr>
          <w:color w:val="FF0000"/>
          <w:u w:val="single"/>
        </w:rPr>
      </w:pPr>
      <w:r>
        <w:t xml:space="preserve">En las recientes elecciones regionales, la extrema derecha logró un gran avance. El partido AFD aprovechó la crisis económica y la revuelta contra la inmigración masiva para obtener el primer puesto en Turingia y un ajustado segundo en Sajonia. </w:t>
      </w:r>
      <w:r w:rsidRPr="00583FAB">
        <w:rPr>
          <w:color w:val="FF0000"/>
          <w:u w:val="single"/>
        </w:rPr>
        <w:t>La coalición de socialdemócratas, liberales y verdes liderada por el canciller Olaf Sch</w:t>
      </w:r>
      <w:r w:rsidR="00FE7EFD">
        <w:rPr>
          <w:color w:val="FF0000"/>
          <w:u w:val="single"/>
        </w:rPr>
        <w:t>o</w:t>
      </w:r>
      <w:r w:rsidRPr="00583FAB">
        <w:rPr>
          <w:color w:val="FF0000"/>
          <w:u w:val="single"/>
        </w:rPr>
        <w:t>lz parece ahora abocada a perder el poder el año que viene, y es muy posible que no dure tanto. Cuando caiga, el país se enfrentará a un punto muerto político, ya que ninguno de los principales partidos está dispuesto a trabajar con la AFD, ni es capaz de gobernar sin ellos. Pase lo que pase, será un desastre.</w:t>
      </w:r>
    </w:p>
    <w:p w:rsidR="0063398C" w:rsidRPr="00583FAB" w:rsidRDefault="0063398C" w:rsidP="0063398C">
      <w:pPr>
        <w:pStyle w:val="NormalWeb"/>
        <w:spacing w:after="0"/>
        <w:jc w:val="both"/>
        <w:rPr>
          <w:b/>
          <w:color w:val="FF0000"/>
          <w:u w:val="single"/>
        </w:rPr>
      </w:pPr>
      <w:r w:rsidRPr="00583FAB">
        <w:rPr>
          <w:color w:val="FF0000"/>
          <w:u w:val="single"/>
        </w:rPr>
        <w:t xml:space="preserve">Y todo ello en un contexto de crisis económica a cámara lenta. Los últimos datos publicados a finales de agosto muestran una nueva contracción de la economía en el último cuatrimestre, con una caída de la producción del 0,1%. Los detalles de las cifras eran aún más preocupantes, con una fuerte caída de la inversión, junto con el gasto de los consumidores. Sólo el aumento del gasto público mantuvo la caída bajo control, y sin él habría sido mucho más pronunciada. </w:t>
      </w:r>
      <w:r w:rsidRPr="00583FAB">
        <w:rPr>
          <w:b/>
          <w:color w:val="FF0000"/>
          <w:u w:val="single"/>
        </w:rPr>
        <w:t>Alemania es ahora la economía de crecimiento más lento del G-7, y parece segura otra recesión a finales de año.</w:t>
      </w:r>
    </w:p>
    <w:p w:rsidR="0063398C" w:rsidRPr="001F46C0" w:rsidRDefault="0063398C" w:rsidP="0063398C">
      <w:pPr>
        <w:pStyle w:val="NormalWeb"/>
        <w:spacing w:after="0"/>
        <w:jc w:val="both"/>
        <w:rPr>
          <w:color w:val="FF0000"/>
          <w:u w:val="single"/>
        </w:rPr>
      </w:pPr>
      <w:r w:rsidRPr="00583FAB">
        <w:rPr>
          <w:b/>
          <w:color w:val="FF0000"/>
          <w:u w:val="single"/>
        </w:rPr>
        <w:t>No es difícil averiguar qué salió mal. El país apostó fuerte por la energía barata rusa para alimentar su industria pesada, cerrando sus centrales nucleares e ignorando sus abundantes reservas de petróleo y gas de esquisto. ¿El resultado? Su energía es ahora mayoritariamente importada, y es el doble de cara que en Estados Unidos.</w:t>
      </w:r>
      <w:r w:rsidRPr="00583FAB">
        <w:rPr>
          <w:color w:val="FF0000"/>
          <w:u w:val="single"/>
        </w:rPr>
        <w:t xml:space="preserve"> Esto sería bastante doloroso si Alemania fuera una economía basada en los servicios, como el Reino Unido, donde la electricidad se necesita principalmente para mantener en funcionamiento las presentaciones de Power Point, pero para una economía manufacturera es una carga agobiante.</w:t>
      </w:r>
      <w:r w:rsidRPr="00583FAB">
        <w:rPr>
          <w:u w:val="single"/>
        </w:rPr>
        <w:t xml:space="preserve"> La demanda china de sus exportaciones ha impulsado la economía durante gran parte de los últimos veinte años, ya que China suministraba las máquinas-herramienta para la transformación de ese país en la segunda mayor economía del mundo, pero ahora se está ralentizando rápidamente a medida que se completa el proceso y los fabricantes nacionales compiten con ella para sacarla del mercado</w:t>
      </w:r>
      <w:r>
        <w:t xml:space="preserve">. </w:t>
      </w:r>
      <w:r w:rsidRPr="001F46C0">
        <w:rPr>
          <w:color w:val="FF0000"/>
          <w:u w:val="single"/>
        </w:rPr>
        <w:t xml:space="preserve">Y el paso de los vehículos de gasolina a los eléctricos está destruyendo su poderosa industria automovilística, de la que sigue </w:t>
      </w:r>
      <w:r w:rsidRPr="001F46C0">
        <w:rPr>
          <w:color w:val="FF0000"/>
          <w:u w:val="single"/>
        </w:rPr>
        <w:lastRenderedPageBreak/>
        <w:t xml:space="preserve">dependiendo para su prosperidad. Recientemente, Volkswagen ha planteado la posibilidad de cerrar algunas fábricas por primera vez en su historia, ya que las ventas no alcanzan las expectativas. Al mismo tiempo, no hay indicios de que surjan industrias digitales que sustituyan a las antiguas. Si alguien tiene una aplicación alemana en su teléfono sería una sorpresa. </w:t>
      </w:r>
      <w:r w:rsidRPr="001F46C0">
        <w:rPr>
          <w:b/>
          <w:color w:val="FF0000"/>
          <w:u w:val="single"/>
        </w:rPr>
        <w:t>Si lo sumamos todo, una cosa queda clara. Alemania no sólo está experimentando una recesión cíclica. Es algo mucho más profundo.</w:t>
      </w:r>
    </w:p>
    <w:p w:rsidR="0063398C" w:rsidRPr="001F46C0" w:rsidRDefault="0063398C" w:rsidP="0063398C">
      <w:pPr>
        <w:pStyle w:val="NormalWeb"/>
        <w:spacing w:after="0"/>
        <w:jc w:val="both"/>
        <w:rPr>
          <w:b/>
          <w:color w:val="FF0000"/>
          <w:u w:val="single"/>
        </w:rPr>
      </w:pPr>
      <w:r w:rsidRPr="001F46C0">
        <w:rPr>
          <w:b/>
          <w:color w:val="FF0000"/>
          <w:u w:val="single"/>
        </w:rPr>
        <w:t>Sin embargo, el verdadero problema es el siguiente. No hay una solución fácil para ninguno de esos problemas. No hay sustituto inmediato para el gas ruso barato</w:t>
      </w:r>
      <w:r w:rsidRPr="001F46C0">
        <w:rPr>
          <w:color w:val="FF0000"/>
          <w:u w:val="single"/>
        </w:rPr>
        <w:t xml:space="preserve">. Alemania está construyendo energía verde, y la energía eólica ha aumentado hasta el 22% de su capacidad eléctrica. Pero sigue estando por detrás del carbón, con un 27%, con las emisiones de carbono más altas posibles, e incluso si se puede aumentar no es especialmente barata. Las centrales nucleares tardan al menos cinco años en construirse, si no más, y la clase política sigue oponiéndose totalmente a ellas. Nadie está dispuesto siquiera a hablar del fracking, a pesar de que ha demostrado ser completamente seguro en Estados Unidos y Canadá. </w:t>
      </w:r>
      <w:r w:rsidRPr="001F46C0">
        <w:rPr>
          <w:b/>
          <w:color w:val="FF0000"/>
          <w:u w:val="single"/>
        </w:rPr>
        <w:t>En realidad, la energía de Alemania seguirá siendo una de las más caras del mundo durante muchos años</w:t>
      </w:r>
      <w:r w:rsidRPr="001F46C0">
        <w:rPr>
          <w:color w:val="FF0000"/>
          <w:u w:val="single"/>
        </w:rPr>
        <w:t xml:space="preserve">. Puede que la UE acceda a flexibilizar un poco las normas sobre la eliminación progresiva de los coches de gasolina, pero </w:t>
      </w:r>
      <w:r w:rsidRPr="001F46C0">
        <w:rPr>
          <w:b/>
          <w:color w:val="FF0000"/>
          <w:u w:val="single"/>
        </w:rPr>
        <w:t>con los estrictos objetivos de Red Cero es demasiado tarde para salvar la industria automovilística y los 800.000 puestos de trabajo que mantiene en la actualidad. El daño ya está hecho. Del mismo modo, aunque Alemania es uno de los países tecnológicamente más brillantes del mundo, está tan rezagada en la carrera por crear industrias digitales, y tan completamente atada por las engorrosas normas de la UE, que será muy difícil crearlas ahora.</w:t>
      </w:r>
    </w:p>
    <w:p w:rsidR="0063398C" w:rsidRDefault="0063398C" w:rsidP="0063398C">
      <w:pPr>
        <w:pStyle w:val="NormalWeb"/>
        <w:spacing w:after="0"/>
        <w:jc w:val="both"/>
      </w:pPr>
      <w:r w:rsidRPr="001F46C0">
        <w:rPr>
          <w:b/>
          <w:color w:val="FF0000"/>
          <w:u w:val="single"/>
        </w:rPr>
        <w:t>Y quizás lo más importante, no hay señales del liderazgo político que necesitaría una administración reformista</w:t>
      </w:r>
      <w:r>
        <w:t>. La AFD y el partido de extrema izquierda Wagenknecht hacen campaña casi exclusivamente sobre la inmigración, pero no tienen nada importante que decir sobre la bajada de impuestos, la reducción de la burocracia o el restablecimiento de la competitividad. Ninguno de los partidos mayoritarios trabajará con ellos y, sin embargo, no podrán formar una mayoría por sí solos. ¿Cuál es el resultado? No hay gobierno estable posible, y no se puede cambiar nada.</w:t>
      </w:r>
    </w:p>
    <w:p w:rsidR="0063398C" w:rsidRDefault="0063398C" w:rsidP="0063398C">
      <w:pPr>
        <w:pStyle w:val="NormalWeb"/>
        <w:spacing w:after="0"/>
        <w:jc w:val="both"/>
        <w:rPr>
          <w:b/>
          <w:color w:val="FF0000"/>
          <w:u w:val="single"/>
        </w:rPr>
      </w:pPr>
      <w:r w:rsidRPr="001F46C0">
        <w:rPr>
          <w:b/>
          <w:color w:val="FF0000"/>
          <w:u w:val="single"/>
        </w:rPr>
        <w:t>No debemos engañarnos pensando que se trata de una recesión cíclica. En realidad, Alemania está atrapada en una depresión estructural a largo plazo que durará una década o más. La debilidad de la demanda en la que fue la potencia del continente deprimirá a toda la zona euro. Cada vez será más reacia a pagar las facturas del resto de la Unión Europea. Y su política será cada vez más inestable y extrema, reviviendo recuerdos de los caóticos años veinte. En algún momento, Alemania reinventará su economía, pero la espera será larga.</w:t>
      </w:r>
    </w:p>
    <w:p w:rsidR="00734564" w:rsidRDefault="0063398C" w:rsidP="0063398C">
      <w:pPr>
        <w:pStyle w:val="NormalWeb"/>
        <w:spacing w:after="0"/>
        <w:jc w:val="both"/>
      </w:pPr>
      <w:r>
        <w:t xml:space="preserve">- </w:t>
      </w:r>
      <w:r w:rsidRPr="002832DF">
        <w:rPr>
          <w:u w:val="single"/>
        </w:rPr>
        <w:t>El informe Draghi tiene dos problemas: Alemania y la incapacidad de Europa para absorber la lluvia de millones</w:t>
      </w:r>
      <w:r>
        <w:t xml:space="preserve"> (El Economista - </w:t>
      </w:r>
      <w:r w:rsidRPr="005103DD">
        <w:rPr>
          <w:b/>
        </w:rPr>
        <w:t>11/9/24</w:t>
      </w:r>
      <w:r>
        <w:t>)</w:t>
      </w:r>
    </w:p>
    <w:p w:rsidR="0063398C" w:rsidRDefault="0063398C" w:rsidP="0063398C">
      <w:pPr>
        <w:pStyle w:val="NormalWeb"/>
        <w:spacing w:after="0"/>
        <w:jc w:val="both"/>
      </w:pPr>
      <w:r>
        <w:t>(Por Mario Becedas y Vicente Nieves)</w:t>
      </w:r>
    </w:p>
    <w:p w:rsidR="0063398C" w:rsidRPr="00D03AC3" w:rsidRDefault="0063398C" w:rsidP="0063398C">
      <w:pPr>
        <w:pStyle w:val="NormalWeb"/>
        <w:spacing w:after="0"/>
        <w:jc w:val="both"/>
        <w:rPr>
          <w:b/>
          <w:color w:val="FF0000"/>
          <w:u w:val="single"/>
        </w:rPr>
      </w:pPr>
      <w:r w:rsidRPr="00D03AC3">
        <w:rPr>
          <w:color w:val="FF0000"/>
          <w:u w:val="single"/>
        </w:rPr>
        <w:t>Un viejo conocido ha vuelto a la ciudad y ha hecho ademán de mover de nuevo la manivela del dinero. El mero hecho de imaginarse el chirrido de esa manivela girando una vez más ha llevado a no pocos a salir en tromba para detener</w:t>
      </w:r>
      <w:r w:rsidR="00865E16">
        <w:rPr>
          <w:color w:val="FF0000"/>
          <w:u w:val="single"/>
        </w:rPr>
        <w:t xml:space="preserve"> el paso al hombre que una vez “salvó”</w:t>
      </w:r>
      <w:r w:rsidRPr="00D03AC3">
        <w:rPr>
          <w:color w:val="FF0000"/>
          <w:u w:val="single"/>
        </w:rPr>
        <w:t xml:space="preserve"> a Europa</w:t>
      </w:r>
      <w:r>
        <w:t xml:space="preserve">. El expresidente del Banco Central Europeo (BCE) y exprimer ministro italiano </w:t>
      </w:r>
      <w:r w:rsidRPr="00D03AC3">
        <w:rPr>
          <w:b/>
          <w:color w:val="FF0000"/>
          <w:u w:val="single"/>
        </w:rPr>
        <w:lastRenderedPageBreak/>
        <w:t>Mario Draghi ha querido rescatar esta semana la célebre frase con la que evitó la muerte del euro (whatever it takes, lo que haga falta) para impedir en esta ocasión que el puño americano y el puño chino dejen al Viejo Continente más grogui de lo que está</w:t>
      </w:r>
      <w:r>
        <w:t xml:space="preserve">. </w:t>
      </w:r>
      <w:r w:rsidRPr="00D03AC3">
        <w:rPr>
          <w:color w:val="FF0000"/>
          <w:u w:val="single"/>
        </w:rPr>
        <w:t>El problema es</w:t>
      </w:r>
      <w:r w:rsidR="00865E16">
        <w:rPr>
          <w:color w:val="FF0000"/>
          <w:u w:val="single"/>
        </w:rPr>
        <w:t xml:space="preserve"> que esta vez ese “lo que haga falta”</w:t>
      </w:r>
      <w:r w:rsidRPr="00D03AC3">
        <w:rPr>
          <w:color w:val="FF0000"/>
          <w:u w:val="single"/>
        </w:rPr>
        <w:t xml:space="preserve"> son unos 800.000 millones de nueva deuda europea mancomunada al año a gestionar por la burocracia de Bruselas y los diferentes gobiernos</w:t>
      </w:r>
      <w:r>
        <w:t xml:space="preserve">. </w:t>
      </w:r>
      <w:r w:rsidRPr="00D03AC3">
        <w:rPr>
          <w:b/>
          <w:color w:val="FF0000"/>
          <w:u w:val="single"/>
        </w:rPr>
        <w:t>Las reacciones negativas han ido desde aquellos que ven directamente inviable la ejecución del plan (Alemania -una vez más- en el horizonte y el poco aprovechamiento de los fondos Next Generation) hasta aquellos que recelan de los mismos políticos con más dinero en las manos y los que advierten de una nueva ola inflacionaria si la impresora de billetes se activa de nuevo con fuerza.</w:t>
      </w:r>
    </w:p>
    <w:p w:rsidR="0063398C" w:rsidRPr="00D03AC3" w:rsidRDefault="0063398C" w:rsidP="0063398C">
      <w:pPr>
        <w:pStyle w:val="NormalWeb"/>
        <w:spacing w:after="0"/>
        <w:jc w:val="both"/>
        <w:rPr>
          <w:color w:val="FF0000"/>
          <w:u w:val="single"/>
        </w:rPr>
      </w:pPr>
      <w:r>
        <w:t xml:space="preserve">El lunes Draghi presentaba ante el respetable el informe Competitividad de la UE: mirando hacia el futuro, un encargo de la Comisión Europea en la búsqueda de una hoja de ruta que permita reducir la creciente brecha con EEUU y China. </w:t>
      </w:r>
      <w:r w:rsidRPr="00D03AC3">
        <w:rPr>
          <w:color w:val="FF0000"/>
          <w:u w:val="single"/>
        </w:rPr>
        <w:t>El crecimiento europeo se ha ralentizado hasta el punto de que, en las últimas dos décadas, la brecha entre el PIB de la UE y EEUU se ha ensanchado desde el 15% hasta el 30% y China va ganando terreno, mientras que factores que lo impulsaban, como el crecimiento demográfico, el auge del comercio internacional o la disponibilidad de energía rusa barata van desapareciendo, recuerda el trabajo del italiano.</w:t>
      </w:r>
    </w:p>
    <w:p w:rsidR="0063398C" w:rsidRPr="00D03AC3" w:rsidRDefault="0063398C" w:rsidP="0063398C">
      <w:pPr>
        <w:pStyle w:val="NormalWeb"/>
        <w:spacing w:after="0"/>
        <w:jc w:val="both"/>
        <w:rPr>
          <w:color w:val="FF0000"/>
          <w:u w:val="single"/>
        </w:rPr>
      </w:pPr>
      <w:r w:rsidRPr="00D03AC3">
        <w:rPr>
          <w:b/>
          <w:color w:val="FF0000"/>
          <w:u w:val="single"/>
        </w:rPr>
        <w:t>Dentro del extenso recetario, una propuesta llamaba rápidamente la atención y era sintonizada por todas las antenas: dedicar cada año entre un 4,4% y un 4,7% (extra, es decir, sobre lo que ya se gasta) del PIB europeo en 2023 -entre 750.000 y 800.000 millones, más del doble de lo invertido con el Plan Marshall tras la II Guerra Mundial y el total de lo proyectado por los fondos Next Generation tras el covid- en las transformaciones que la UE necesita a nivel tecnológico, energético, de suministros, de defensa y de seguridad con el fin último de aumentar su productividad</w:t>
      </w:r>
      <w:r>
        <w:t xml:space="preserve">. </w:t>
      </w:r>
      <w:r w:rsidRPr="00D03AC3">
        <w:rPr>
          <w:color w:val="FF0000"/>
          <w:u w:val="single"/>
        </w:rPr>
        <w:t xml:space="preserve">La letra un poco más pequeña del informe recogía que este </w:t>
      </w:r>
      <w:r w:rsidR="00865E16">
        <w:rPr>
          <w:color w:val="FF0000"/>
          <w:u w:val="single"/>
        </w:rPr>
        <w:t>esfuerzo debería llegar de una “</w:t>
      </w:r>
      <w:r w:rsidRPr="00D03AC3">
        <w:rPr>
          <w:color w:val="FF0000"/>
          <w:u w:val="single"/>
        </w:rPr>
        <w:t>emisión de deuda común que financie p</w:t>
      </w:r>
      <w:r w:rsidR="00865E16">
        <w:rPr>
          <w:color w:val="FF0000"/>
          <w:u w:val="single"/>
        </w:rPr>
        <w:t>royectos de inversión conjuntos”</w:t>
      </w:r>
      <w:r w:rsidRPr="00D03AC3">
        <w:rPr>
          <w:color w:val="FF0000"/>
          <w:u w:val="single"/>
        </w:rPr>
        <w:t>. En plata: eurobonos, aunque el informe no los mencione explícitamente. El auténtico pistoletazo de salida</w:t>
      </w:r>
      <w:r w:rsidR="00865E16">
        <w:rPr>
          <w:color w:val="FF0000"/>
          <w:u w:val="single"/>
        </w:rPr>
        <w:t xml:space="preserve"> para los “peros”</w:t>
      </w:r>
      <w:r w:rsidRPr="00D03AC3">
        <w:rPr>
          <w:color w:val="FF0000"/>
          <w:u w:val="single"/>
        </w:rPr>
        <w:t>.</w:t>
      </w:r>
    </w:p>
    <w:p w:rsidR="0063398C" w:rsidRDefault="0063398C" w:rsidP="0063398C">
      <w:pPr>
        <w:pStyle w:val="NormalWeb"/>
        <w:spacing w:after="0"/>
        <w:jc w:val="both"/>
      </w:pPr>
      <w:r>
        <w:t>Aun</w:t>
      </w:r>
      <w:r w:rsidR="00865E16">
        <w:t>que el propio Draghi intentaba “cubrirse”</w:t>
      </w:r>
      <w:r>
        <w:t xml:space="preserve"> en el informe, reconociendo, por ejemplo, que la aplicación de su propuesta podría llevar aparejadas de manera temporal mayores presiones inflacionarias, las críticas no han tardado en llegar, incluso desde moqueta oficial. </w:t>
      </w:r>
      <w:r w:rsidRPr="00D03AC3">
        <w:rPr>
          <w:u w:val="single"/>
        </w:rPr>
        <w:t>El ministro de Finanzas alemán, Christian Lindner, fiel al espíritu de contención del gasto de los anteriores gobiernos alemanes, ha salido raudo a rechazar la idea de los eurobono</w:t>
      </w:r>
      <w:r w:rsidR="00865E16">
        <w:rPr>
          <w:u w:val="single"/>
        </w:rPr>
        <w:t>s, apareciéndosele a Draghi el “fantasma”</w:t>
      </w:r>
      <w:r w:rsidRPr="00D03AC3">
        <w:rPr>
          <w:u w:val="single"/>
        </w:rPr>
        <w:t xml:space="preserve"> de Merkel cuando Europa zozobraba en el precipicio</w:t>
      </w:r>
      <w:r>
        <w:t>.</w:t>
      </w:r>
    </w:p>
    <w:p w:rsidR="0063398C" w:rsidRPr="00D03AC3" w:rsidRDefault="0063398C" w:rsidP="0063398C">
      <w:pPr>
        <w:pStyle w:val="NormalWeb"/>
        <w:spacing w:after="0"/>
        <w:jc w:val="both"/>
        <w:rPr>
          <w:color w:val="FF0000"/>
          <w:u w:val="single"/>
        </w:rPr>
      </w:pPr>
      <w:r w:rsidRPr="00D03AC3">
        <w:rPr>
          <w:color w:val="FF0000"/>
          <w:u w:val="single"/>
        </w:rPr>
        <w:t>Lindner, al igual que otros expertos cuya opinión se expone a continuación, cree que intentar e</w:t>
      </w:r>
      <w:r w:rsidR="00865E16">
        <w:rPr>
          <w:color w:val="FF0000"/>
          <w:u w:val="single"/>
        </w:rPr>
        <w:t>stimular la inversión de forma “teledirigida”</w:t>
      </w:r>
      <w:r w:rsidRPr="00D03AC3">
        <w:rPr>
          <w:color w:val="FF0000"/>
          <w:u w:val="single"/>
        </w:rPr>
        <w:t xml:space="preserve"> y a través de más deuda no es la solución. La deuda pública de la eurozona roza el 90% del P</w:t>
      </w:r>
      <w:r w:rsidR="00865E16">
        <w:rPr>
          <w:color w:val="FF0000"/>
          <w:u w:val="single"/>
        </w:rPr>
        <w:t>IB (el objetivo es alcanzar el “saludable”</w:t>
      </w:r>
      <w:r w:rsidRPr="00D03AC3">
        <w:rPr>
          <w:color w:val="FF0000"/>
          <w:u w:val="single"/>
        </w:rPr>
        <w:t xml:space="preserve"> 60%), y este plan tendría un impacto notable en el corto plazo sobre los niveles de endeudamiento. Si encima las inversiones no terminan siendo adecuadas, la losa sobre la deuda y el déficit puede terminar siendo estructural.</w:t>
      </w:r>
    </w:p>
    <w:p w:rsidR="0063398C" w:rsidRPr="00D03AC3" w:rsidRDefault="0063398C" w:rsidP="0063398C">
      <w:pPr>
        <w:pStyle w:val="NormalWeb"/>
        <w:spacing w:after="0"/>
        <w:jc w:val="both"/>
        <w:rPr>
          <w:u w:val="single"/>
        </w:rPr>
      </w:pPr>
      <w:r w:rsidRPr="00D03AC3">
        <w:rPr>
          <w:u w:val="single"/>
        </w:rPr>
        <w:t>Lindner, cuyo partido liberal ha sufrido una sangría de votos en las últimas elecciones estatales y europeas, ha declarado al medio POLI</w:t>
      </w:r>
      <w:r w:rsidR="00865E16">
        <w:rPr>
          <w:u w:val="single"/>
        </w:rPr>
        <w:t>TICO que la puesta en común de “</w:t>
      </w:r>
      <w:r w:rsidRPr="00D03AC3">
        <w:rPr>
          <w:u w:val="single"/>
        </w:rPr>
        <w:t>riesgos y responsabilidades crea problemas democ</w:t>
      </w:r>
      <w:r w:rsidR="00865E16">
        <w:rPr>
          <w:u w:val="single"/>
        </w:rPr>
        <w:t>ráticos y fiscales”</w:t>
      </w:r>
      <w:r w:rsidRPr="00D03AC3">
        <w:rPr>
          <w:u w:val="single"/>
        </w:rPr>
        <w:t>.</w:t>
      </w:r>
    </w:p>
    <w:p w:rsidR="0063398C" w:rsidRPr="00D03AC3" w:rsidRDefault="00865E16" w:rsidP="0063398C">
      <w:pPr>
        <w:pStyle w:val="NormalWeb"/>
        <w:spacing w:after="0"/>
        <w:jc w:val="both"/>
        <w:rPr>
          <w:b/>
          <w:color w:val="FF0000"/>
          <w:u w:val="single"/>
        </w:rPr>
      </w:pPr>
      <w:r>
        <w:rPr>
          <w:b/>
          <w:color w:val="FF0000"/>
          <w:u w:val="single"/>
        </w:rPr>
        <w:lastRenderedPageBreak/>
        <w:t>“Alemania no aceptará esto”</w:t>
      </w:r>
      <w:r w:rsidR="0063398C" w:rsidRPr="00D03AC3">
        <w:rPr>
          <w:b/>
          <w:color w:val="FF0000"/>
          <w:u w:val="single"/>
        </w:rPr>
        <w:t>, sentencia Lindner</w:t>
      </w:r>
      <w:r w:rsidR="0063398C" w:rsidRPr="00D03AC3">
        <w:rPr>
          <w:color w:val="FF0000"/>
          <w:u w:val="single"/>
        </w:rPr>
        <w:t xml:space="preserve">. Este político de corte liberal y con cierta influencia en Alemania defiende que la inversión en la economía debe llegar desde el sector privado que, buscando su beneficio propio, encuentra los nichos y ramas en las que invertir, logrando una mayor prosperidad. El sector público debe limitarse a facilitar este movimiento a través de una regulación justa y laxa que permita a las empresas tomar decisiones, basándose en los incentivos y la información del mercado. </w:t>
      </w:r>
      <w:r w:rsidR="0063398C" w:rsidRPr="00D03AC3">
        <w:rPr>
          <w:b/>
          <w:color w:val="FF0000"/>
          <w:u w:val="single"/>
        </w:rPr>
        <w:t>Más allá de Alemania, tampoco resultaría extraño que países como Finlandia, Austria, Estonia o Austria salgan pronto a rechazar por completo este plan que incluye mutualización de deuda y más gasto. Los frugales ven este tipo de fórmulas como un peligro para su futuro y estabilidad financiera.</w:t>
      </w:r>
    </w:p>
    <w:p w:rsidR="0063398C" w:rsidRPr="00D03AC3" w:rsidRDefault="0063398C" w:rsidP="0063398C">
      <w:pPr>
        <w:pStyle w:val="NormalWeb"/>
        <w:spacing w:after="0"/>
        <w:jc w:val="both"/>
        <w:rPr>
          <w:color w:val="FF0000"/>
          <w:u w:val="single"/>
        </w:rPr>
      </w:pPr>
      <w:r w:rsidRPr="00D03AC3">
        <w:rPr>
          <w:u w:val="single"/>
        </w:rPr>
        <w:t>El plan de Draghi es todo lo contrario. Son cientos de miles de millones de inversión pública que, de llevarse a cabo, se implementaría de forma discrecional y teledirigida, como señala Lindner</w:t>
      </w:r>
      <w:r>
        <w:t xml:space="preserve">. </w:t>
      </w:r>
      <w:r w:rsidRPr="00D03AC3">
        <w:rPr>
          <w:u w:val="single"/>
        </w:rPr>
        <w:t>Los liberales argumentan que articular un plan de inversión guiado por una persona o un organismo es un riesgo, puesto que la probabilidad de 'fallar' y terminar invirtiendo en un sector sin futuro o que no genere prosperidad es más elevado que si ese dinero se deja en el bolsillo del consumidor y son millones de decisiones (los consumidores) los que deciden con sus compras dónde hay que invertir.</w:t>
      </w:r>
      <w:r>
        <w:t xml:space="preserve"> </w:t>
      </w:r>
      <w:r w:rsidRPr="00D03AC3">
        <w:rPr>
          <w:color w:val="FF0000"/>
          <w:u w:val="single"/>
        </w:rPr>
        <w:t>Siempre que se habla de estimular la economía en los últimos años, el único plan consiste en un aumento de gasto público, algo que hasta ahora no ha funcionado. ¿Por qué esta vez iba a ser diferente?</w:t>
      </w:r>
    </w:p>
    <w:p w:rsidR="0063398C" w:rsidRPr="00D03AC3" w:rsidRDefault="00865E16" w:rsidP="0063398C">
      <w:pPr>
        <w:pStyle w:val="NormalWeb"/>
        <w:spacing w:after="0"/>
        <w:jc w:val="both"/>
        <w:rPr>
          <w:b/>
          <w:color w:val="FF0000"/>
          <w:u w:val="single"/>
        </w:rPr>
      </w:pPr>
      <w:r>
        <w:rPr>
          <w:b/>
          <w:color w:val="FF0000"/>
          <w:u w:val="single"/>
        </w:rPr>
        <w:t>“</w:t>
      </w:r>
      <w:r w:rsidR="0063398C" w:rsidRPr="00D03AC3">
        <w:rPr>
          <w:b/>
          <w:color w:val="FF0000"/>
          <w:u w:val="single"/>
        </w:rPr>
        <w:t>Nuestro problema no es la falta de subsidios o ayudas, sino el encadenamiento de la burocr</w:t>
      </w:r>
      <w:r>
        <w:rPr>
          <w:b/>
          <w:color w:val="FF0000"/>
          <w:u w:val="single"/>
        </w:rPr>
        <w:t>acia y una economía planificada”, asegura Lindner. “</w:t>
      </w:r>
      <w:r w:rsidR="0063398C" w:rsidRPr="00D03AC3">
        <w:rPr>
          <w:b/>
          <w:color w:val="FF0000"/>
          <w:u w:val="single"/>
        </w:rPr>
        <w:t>Más deuda gubernamental cuesta intereses, pero no nece</w:t>
      </w:r>
      <w:r>
        <w:rPr>
          <w:b/>
          <w:color w:val="FF0000"/>
          <w:u w:val="single"/>
        </w:rPr>
        <w:t>sariamente crea más crecimiento”</w:t>
      </w:r>
      <w:r w:rsidR="0063398C" w:rsidRPr="00D03AC3">
        <w:rPr>
          <w:b/>
          <w:color w:val="FF0000"/>
          <w:u w:val="single"/>
        </w:rPr>
        <w:t>, sentencia este político.</w:t>
      </w:r>
      <w:r w:rsidR="0063398C">
        <w:t xml:space="preserve"> </w:t>
      </w:r>
      <w:r w:rsidR="0063398C" w:rsidRPr="00D03AC3">
        <w:rPr>
          <w:b/>
          <w:color w:val="FF0000"/>
          <w:u w:val="single"/>
        </w:rPr>
        <w:t>La Unión Europea debería, quizá, preocuparse más por averiguar por qué las empresas del Viejo Continente no invierten tanto o invierten sin demasiada fortuna (los obstáculos regulatorios o una educación que carece de universidades a la altura de la competencia global), en lugar intentar sustituir al sector privado en las decisiones de inversión. El clima para la innovación empresarial en Europa no es óptimo. Mientras que otras regiones se han convertido en potencias industriales y de innovación, la UE se ha convertido en una potencia de generar regulaciones para esas innovaciones.</w:t>
      </w:r>
    </w:p>
    <w:p w:rsidR="0063398C" w:rsidRPr="00D03AC3" w:rsidRDefault="0063398C" w:rsidP="0063398C">
      <w:pPr>
        <w:pStyle w:val="NormalWeb"/>
        <w:spacing w:after="0"/>
        <w:jc w:val="both"/>
        <w:rPr>
          <w:color w:val="FF0000"/>
          <w:u w:val="single"/>
        </w:rPr>
      </w:pPr>
      <w:r w:rsidRPr="00D03AC3">
        <w:rPr>
          <w:color w:val="FF0000"/>
          <w:u w:val="single"/>
        </w:rPr>
        <w:t>La presidenta de la Comisión Europea, Ursula von der Leyen, que estuvo junto a Draghi cuando presentó su informe, presentó dos formas de obtener más dinero: aumentar la cantidad que la UE puede recaudar directamente y solicitar a los países contribuciones mayores.</w:t>
      </w:r>
    </w:p>
    <w:p w:rsidR="0063398C" w:rsidRPr="00D03AC3" w:rsidRDefault="0063398C" w:rsidP="0063398C">
      <w:pPr>
        <w:pStyle w:val="NormalWeb"/>
        <w:spacing w:after="0"/>
        <w:jc w:val="both"/>
        <w:rPr>
          <w:color w:val="FF0000"/>
          <w:u w:val="single"/>
        </w:rPr>
      </w:pPr>
      <w:r w:rsidRPr="00D03AC3">
        <w:rPr>
          <w:color w:val="FF0000"/>
          <w:u w:val="single"/>
        </w:rPr>
        <w:t>Del lado de los analistas, las críti</w:t>
      </w:r>
      <w:r w:rsidR="00865E16">
        <w:rPr>
          <w:color w:val="FF0000"/>
          <w:u w:val="single"/>
        </w:rPr>
        <w:t>cas se solapan con la poca fe. “</w:t>
      </w:r>
      <w:r w:rsidRPr="00D03AC3">
        <w:rPr>
          <w:color w:val="FF0000"/>
          <w:u w:val="single"/>
        </w:rPr>
        <w:t xml:space="preserve">El informe Draghi sobre lo que debe hacer Europa para contener su decadencia y poder competir de manera aseada con China y con los EEUU es una decepción. </w:t>
      </w:r>
      <w:r w:rsidR="00865E16">
        <w:rPr>
          <w:color w:val="FF0000"/>
          <w:u w:val="single"/>
        </w:rPr>
        <w:t>Inesperada, dado de quien viene”</w:t>
      </w:r>
      <w:r w:rsidRPr="00D03AC3">
        <w:rPr>
          <w:color w:val="FF0000"/>
          <w:u w:val="single"/>
        </w:rPr>
        <w:t>, escribe en su boletín el e</w:t>
      </w:r>
      <w:r w:rsidR="00865E16">
        <w:rPr>
          <w:color w:val="FF0000"/>
          <w:u w:val="single"/>
        </w:rPr>
        <w:t>conomista Juan Ignacio Crespo. “</w:t>
      </w:r>
      <w:r w:rsidRPr="00D03AC3">
        <w:rPr>
          <w:color w:val="FF0000"/>
          <w:u w:val="single"/>
        </w:rPr>
        <w:t>No sé si es que (Draghi) no ha podido, no ha sabido o no se ha atrevido a ir contra la corriente esta vez, espantando, si así lo hubiera hecho, a quien le encargó el informe; al estamento político y respectivos gobiernos de los diferentes países de la Unión (que solo piensan en revalidar su mandato y después de ellos... ¡el Diluvio!); a la burocracia de Bruselas, que ya no despertará de su sueño reglamentista ni con un cañonazo;</w:t>
      </w:r>
      <w:r w:rsidR="00865E16">
        <w:rPr>
          <w:color w:val="FF0000"/>
          <w:u w:val="single"/>
        </w:rPr>
        <w:t xml:space="preserve"> ... o qué es lo que habrá sido”</w:t>
      </w:r>
      <w:r w:rsidRPr="00D03AC3">
        <w:rPr>
          <w:color w:val="FF0000"/>
          <w:u w:val="single"/>
        </w:rPr>
        <w:t>.</w:t>
      </w:r>
    </w:p>
    <w:p w:rsidR="0063398C" w:rsidRDefault="0063398C" w:rsidP="0063398C">
      <w:pPr>
        <w:pStyle w:val="NormalWeb"/>
        <w:spacing w:after="0"/>
        <w:jc w:val="both"/>
      </w:pPr>
      <w:r>
        <w:t>La dificultad para absorber tal inversión</w:t>
      </w:r>
    </w:p>
    <w:p w:rsidR="0063398C" w:rsidRPr="00D03AC3" w:rsidRDefault="00865E16" w:rsidP="0063398C">
      <w:pPr>
        <w:pStyle w:val="NormalWeb"/>
        <w:spacing w:after="0"/>
        <w:jc w:val="both"/>
        <w:rPr>
          <w:color w:val="FF0000"/>
          <w:u w:val="single"/>
        </w:rPr>
      </w:pPr>
      <w:r>
        <w:rPr>
          <w:b/>
          <w:color w:val="FF0000"/>
          <w:u w:val="single"/>
        </w:rPr>
        <w:t>“</w:t>
      </w:r>
      <w:r w:rsidR="0063398C" w:rsidRPr="00D03AC3">
        <w:rPr>
          <w:b/>
          <w:color w:val="FF0000"/>
          <w:u w:val="single"/>
        </w:rPr>
        <w:t xml:space="preserve">¿Cómo Draghi no ha caído en la cuenta de tamaña enormidad? No es solo que la mutualización, o emisión conjunta de deuda europea (...) por esas cantidades, sería una </w:t>
      </w:r>
      <w:r w:rsidR="0063398C" w:rsidRPr="00D03AC3">
        <w:rPr>
          <w:b/>
          <w:color w:val="FF0000"/>
          <w:u w:val="single"/>
        </w:rPr>
        <w:lastRenderedPageBreak/>
        <w:t>tarea políticamente muy ardua, sino que la economía europea en su conjunto no puede absorber, y mucho menos invertir de forma productiva, cantidades tan abultadas.</w:t>
      </w:r>
      <w:r w:rsidR="0063398C" w:rsidRPr="00D03AC3">
        <w:rPr>
          <w:color w:val="FF0000"/>
        </w:rPr>
        <w:t xml:space="preserve"> </w:t>
      </w:r>
      <w:r w:rsidR="0063398C" w:rsidRPr="00D03AC3">
        <w:rPr>
          <w:color w:val="FF0000"/>
          <w:u w:val="single"/>
        </w:rPr>
        <w:t>Se ha demostrado con los fondos llamados Next Generation y eso que la cifra de 750.000 millones de euros estaba destinada a ser desembolsada du</w:t>
      </w:r>
      <w:r>
        <w:rPr>
          <w:color w:val="FF0000"/>
          <w:u w:val="single"/>
        </w:rPr>
        <w:t>rante un período de varios años”</w:t>
      </w:r>
      <w:r w:rsidR="0063398C" w:rsidRPr="00D03AC3">
        <w:rPr>
          <w:color w:val="FF0000"/>
          <w:u w:val="single"/>
        </w:rPr>
        <w:t>, continúa Crespo. En la actualidad, España está teniendo serios problemas para absorber estos fondos, lo que se una a la l</w:t>
      </w:r>
      <w:r>
        <w:rPr>
          <w:color w:val="FF0000"/>
          <w:u w:val="single"/>
        </w:rPr>
        <w:t>arga lista de incapacidad para “gastar”</w:t>
      </w:r>
      <w:r w:rsidR="0063398C" w:rsidRPr="00D03AC3">
        <w:rPr>
          <w:color w:val="FF0000"/>
          <w:u w:val="single"/>
        </w:rPr>
        <w:t xml:space="preserve"> otras partidas que provienen de los fondos estructurales, de cohesión...</w:t>
      </w:r>
    </w:p>
    <w:p w:rsidR="0063398C" w:rsidRDefault="0063398C" w:rsidP="0063398C">
      <w:pPr>
        <w:pStyle w:val="NormalWeb"/>
        <w:spacing w:after="0"/>
        <w:jc w:val="both"/>
      </w:pPr>
      <w:r w:rsidRPr="00D03AC3">
        <w:rPr>
          <w:color w:val="FF0000"/>
          <w:u w:val="single"/>
        </w:rPr>
        <w:t>Aunque los fondos para la recuperación tras el covid es</w:t>
      </w:r>
      <w:r w:rsidR="00865E16">
        <w:rPr>
          <w:color w:val="FF0000"/>
          <w:u w:val="single"/>
        </w:rPr>
        <w:t>tán siendo una especie de “cajón de sastre”</w:t>
      </w:r>
      <w:r w:rsidRPr="00D03AC3">
        <w:rPr>
          <w:color w:val="FF0000"/>
          <w:u w:val="single"/>
        </w:rPr>
        <w:t xml:space="preserve"> y los que propone Draghi tienen el fin concreto de espolear la</w:t>
      </w:r>
      <w:r w:rsidR="00865E16">
        <w:rPr>
          <w:color w:val="FF0000"/>
          <w:u w:val="single"/>
        </w:rPr>
        <w:t xml:space="preserve"> industria europea, las trabas “burocráticas”</w:t>
      </w:r>
      <w:r w:rsidRPr="00D03AC3">
        <w:rPr>
          <w:color w:val="FF0000"/>
          <w:u w:val="single"/>
        </w:rPr>
        <w:t xml:space="preserve"> y de gestión pueden ser las mismas o mayores, preocupando a los expertos</w:t>
      </w:r>
      <w:r w:rsidR="00865E16">
        <w:t>. “</w:t>
      </w:r>
      <w:r>
        <w:t>En España resultaba evidente desde el principio que no había tal capacidad (lo comenté reiteradamente en su momento, desde abril de 2020) y a estas alturas está todavía por conocerse bien donde han ido a parar -los Next Generation- y en qué destino productivo apreciable se han empleado, si es que lo h</w:t>
      </w:r>
      <w:r w:rsidR="00865E16">
        <w:t>a habido en cantidad apreciable”</w:t>
      </w:r>
      <w:r>
        <w:t>, prosigue Crespo.</w:t>
      </w:r>
    </w:p>
    <w:p w:rsidR="0063398C" w:rsidRPr="00202E0E" w:rsidRDefault="0063398C" w:rsidP="0063398C">
      <w:pPr>
        <w:pStyle w:val="NormalWeb"/>
        <w:spacing w:after="0"/>
        <w:jc w:val="both"/>
        <w:rPr>
          <w:b/>
          <w:color w:val="FF0000"/>
          <w:u w:val="single"/>
        </w:rPr>
      </w:pPr>
      <w:r w:rsidRPr="00202E0E">
        <w:rPr>
          <w:b/>
          <w:color w:val="FF0000"/>
          <w:u w:val="single"/>
        </w:rPr>
        <w:t xml:space="preserve">El diagnóstico de Draghi seguramente es correcto en muchas de sus facetas, admite Crespo, pero adolece </w:t>
      </w:r>
      <w:r w:rsidR="00865E16">
        <w:rPr>
          <w:b/>
          <w:color w:val="FF0000"/>
          <w:u w:val="single"/>
        </w:rPr>
        <w:t>de dos defectos fundamentales: “</w:t>
      </w:r>
      <w:r w:rsidRPr="00202E0E">
        <w:rPr>
          <w:b/>
          <w:color w:val="FF0000"/>
          <w:u w:val="single"/>
        </w:rPr>
        <w:t>1) Sin poner patas arriba el tablero de Bruselas esos fondos terminarían en buena parte destinados al gasto improductivo y a tranquilizar a los gobiernos (además de afianzarlos en el poder) con un aumento de ese gasto, y 2) muchos de los objetivos que plantea son incompatibles entre sí: el esfuerzo hercúleo de la lucha contra el cambio climático y de la protección del Medio Ambiente tiene un coste y los recursos parece que siguen siendo escasos y susceptibles de usos alternativos, por lo que todo lo que se dedique a esos fines se detraerá de la mejora de la p</w:t>
      </w:r>
      <w:r w:rsidR="00865E16">
        <w:rPr>
          <w:b/>
          <w:color w:val="FF0000"/>
          <w:u w:val="single"/>
        </w:rPr>
        <w:t>roductividad”</w:t>
      </w:r>
      <w:r w:rsidRPr="00202E0E">
        <w:rPr>
          <w:b/>
          <w:color w:val="FF0000"/>
          <w:u w:val="single"/>
        </w:rPr>
        <w:t>.</w:t>
      </w:r>
    </w:p>
    <w:p w:rsidR="0063398C" w:rsidRPr="00202E0E" w:rsidRDefault="0063398C" w:rsidP="0063398C">
      <w:pPr>
        <w:pStyle w:val="NormalWeb"/>
        <w:spacing w:after="0"/>
        <w:jc w:val="both"/>
        <w:rPr>
          <w:color w:val="FF0000"/>
          <w:u w:val="single"/>
        </w:rPr>
      </w:pPr>
      <w:r w:rsidRPr="00202E0E">
        <w:rPr>
          <w:color w:val="FF0000"/>
          <w:u w:val="single"/>
        </w:rPr>
        <w:t>Desde la casa de análisis Capital Economics, su economista jefe para Europa, Jack Allen Reynolds ve proco probable que este informe de Draghi marque un punto de inflexión en el desempeño económico de Europa e incide en que los intereses de Draghi no tienen por qué alinearse con los de los nuevos comisarios elegidos tras unas elecciones europeas que han dejado un panorama político mucho más fragmentado como mayor representación de fuerzas euroescépticas en Estrasburgo. Las disensiones entre naciones tambié</w:t>
      </w:r>
      <w:r w:rsidR="00865E16">
        <w:rPr>
          <w:color w:val="FF0000"/>
          <w:u w:val="single"/>
        </w:rPr>
        <w:t>n se harán patentes, ya que el “bazooka”</w:t>
      </w:r>
      <w:r w:rsidRPr="00202E0E">
        <w:rPr>
          <w:color w:val="FF0000"/>
          <w:u w:val="single"/>
        </w:rPr>
        <w:t xml:space="preserve"> de Draghi iría en detrimento de partidas como la Política Agrícola Común (PAC) o los fondos de cohesión, apunta Michel Martinez, analista de Société Générale, en una nota para clientes</w:t>
      </w:r>
    </w:p>
    <w:p w:rsidR="0063398C" w:rsidRPr="00202E0E" w:rsidRDefault="0063398C" w:rsidP="0063398C">
      <w:pPr>
        <w:pStyle w:val="NormalWeb"/>
        <w:spacing w:after="0"/>
        <w:jc w:val="both"/>
        <w:rPr>
          <w:color w:val="FF0000"/>
          <w:u w:val="single"/>
        </w:rPr>
      </w:pPr>
      <w:r w:rsidRPr="00202E0E">
        <w:rPr>
          <w:color w:val="FF0000"/>
          <w:u w:val="single"/>
        </w:rPr>
        <w:t>En Capital Economics también llaman la atención sobre el aspecto fiscal. Según el informe de Draghi, la proporción de inversión en el PIB de la UE tendrá que aumentar del 22% al 27%, y esto tendrá que ser financiado en parte por los gobiernos. Pero las restricciones fiscales son mayores en la eurozona que en los EEUU debido a las reglas fiscales de Europa y a la mayor tolerancia de los inversores a los grandes déficits presupuestarios en los EEUU, recuerdan desde la firma.</w:t>
      </w:r>
    </w:p>
    <w:p w:rsidR="0063398C" w:rsidRPr="00202E0E" w:rsidRDefault="0063398C" w:rsidP="0063398C">
      <w:pPr>
        <w:pStyle w:val="NormalWeb"/>
        <w:spacing w:after="0"/>
        <w:jc w:val="both"/>
        <w:rPr>
          <w:color w:val="FF0000"/>
          <w:u w:val="single"/>
        </w:rPr>
      </w:pPr>
      <w:r w:rsidRPr="00202E0E">
        <w:rPr>
          <w:color w:val="FF0000"/>
          <w:u w:val="single"/>
        </w:rPr>
        <w:t>La emisión conjunta de deuda permanente será la parte más difícil, aunque reciba el apoyo de Von der Leyen, co</w:t>
      </w:r>
      <w:r w:rsidR="00865E16">
        <w:rPr>
          <w:color w:val="FF0000"/>
          <w:u w:val="single"/>
        </w:rPr>
        <w:t>incide Martinez desde Société. “</w:t>
      </w:r>
      <w:r w:rsidRPr="00202E0E">
        <w:rPr>
          <w:color w:val="FF0000"/>
          <w:u w:val="single"/>
        </w:rPr>
        <w:t>Aunque las nuevas normas fiscales intentan fomentar el gasto en inversión, no han modificado mucho el margen de maniobra fiscal. Todos los países acogidos al procedimiento de déficit excesivo (Francia, Italia) deben ajustar su déficit global en un 0,5% del PIB anual, mientras que Alemania, España y los Países Bajos se enfrentan a una situación política que probablemente impedirá cualquier nueva emisión conjunta de deuda</w:t>
      </w:r>
      <w:r w:rsidR="00865E16">
        <w:rPr>
          <w:color w:val="FF0000"/>
          <w:u w:val="single"/>
        </w:rPr>
        <w:t xml:space="preserve"> después de los Next Generation”</w:t>
      </w:r>
      <w:r w:rsidRPr="00202E0E">
        <w:rPr>
          <w:color w:val="FF0000"/>
          <w:u w:val="single"/>
        </w:rPr>
        <w:t>, indica.</w:t>
      </w:r>
    </w:p>
    <w:p w:rsidR="0063398C" w:rsidRPr="00202E0E" w:rsidRDefault="00865E16" w:rsidP="0063398C">
      <w:pPr>
        <w:pStyle w:val="NormalWeb"/>
        <w:spacing w:after="0"/>
        <w:jc w:val="both"/>
        <w:rPr>
          <w:color w:val="FF0000"/>
          <w:u w:val="single"/>
        </w:rPr>
      </w:pPr>
      <w:r>
        <w:rPr>
          <w:color w:val="FF0000"/>
          <w:u w:val="single"/>
        </w:rPr>
        <w:lastRenderedPageBreak/>
        <w:t>“</w:t>
      </w:r>
      <w:r w:rsidR="0063398C" w:rsidRPr="00202E0E">
        <w:rPr>
          <w:color w:val="FF0000"/>
          <w:u w:val="single"/>
        </w:rPr>
        <w:t>A corto plazo, dado el actual estancamiento político tras las elecciones de la UE (especialmente con la oposición de Alemania, que celebrará elecciones en poco más de un año), el limitado espacio fiscal a nivel nacional (Francia, Italia) y el requisito de unanimidad en el proceso de decisión de la UE, nuestras expectativas de un rápido avance en la armonización de los procedimientos de impago y la emisión de u</w:t>
      </w:r>
      <w:r>
        <w:rPr>
          <w:color w:val="FF0000"/>
          <w:u w:val="single"/>
        </w:rPr>
        <w:t>n activo seguro común son bajas”</w:t>
      </w:r>
      <w:r w:rsidR="0063398C" w:rsidRPr="00202E0E">
        <w:rPr>
          <w:color w:val="FF0000"/>
          <w:u w:val="single"/>
        </w:rPr>
        <w:t>, agrega el analista del banco francés.</w:t>
      </w:r>
    </w:p>
    <w:p w:rsidR="0063398C" w:rsidRPr="00202E0E" w:rsidRDefault="0063398C" w:rsidP="0063398C">
      <w:pPr>
        <w:pStyle w:val="NormalWeb"/>
        <w:spacing w:after="0"/>
        <w:jc w:val="both"/>
        <w:rPr>
          <w:b/>
          <w:color w:val="FF0000"/>
          <w:u w:val="single"/>
        </w:rPr>
      </w:pPr>
      <w:r w:rsidRPr="00202E0E">
        <w:rPr>
          <w:b/>
          <w:color w:val="FF0000"/>
          <w:u w:val="single"/>
        </w:rPr>
        <w:t>Más allá del entramado político de Bruselas, resuelve Allen Reynolds, la cuestión es que un mercado único incompleto está lejos de ser el único fact</w:t>
      </w:r>
      <w:r w:rsidR="00865E16">
        <w:rPr>
          <w:b/>
          <w:color w:val="FF0000"/>
          <w:u w:val="single"/>
        </w:rPr>
        <w:t>or que frena la productividad. “</w:t>
      </w:r>
      <w:r w:rsidRPr="00202E0E">
        <w:rPr>
          <w:b/>
          <w:color w:val="FF0000"/>
          <w:u w:val="single"/>
        </w:rPr>
        <w:t>Los países de la UE tienden a obtener malos resultados en los indicadores internacionales del entorno empresarial y la innovación debido a una serie de factores, entre ellos mercados laborales más rígidos, niveles comparativamente altos de regulación, mala gestión, menores habilidades y, posiblemente, cultura. Muchos de estos problemas tienen poco o nada que v</w:t>
      </w:r>
      <w:r w:rsidR="00865E16">
        <w:rPr>
          <w:b/>
          <w:color w:val="FF0000"/>
          <w:u w:val="single"/>
        </w:rPr>
        <w:t>er con la UE o el mercado único”</w:t>
      </w:r>
      <w:r w:rsidRPr="00202E0E">
        <w:rPr>
          <w:b/>
          <w:color w:val="FF0000"/>
          <w:u w:val="single"/>
        </w:rPr>
        <w:t>, expone.</w:t>
      </w:r>
    </w:p>
    <w:p w:rsidR="0063398C" w:rsidRPr="00202E0E" w:rsidRDefault="0063398C" w:rsidP="0063398C">
      <w:pPr>
        <w:pStyle w:val="NormalWeb"/>
        <w:spacing w:after="0"/>
        <w:jc w:val="both"/>
        <w:rPr>
          <w:color w:val="FF0000"/>
          <w:u w:val="single"/>
        </w:rPr>
      </w:pPr>
      <w:r w:rsidRPr="00202E0E">
        <w:rPr>
          <w:color w:val="FF0000"/>
          <w:u w:val="single"/>
        </w:rPr>
        <w:t>Por último, plantea Allen Reynolds, las reformas propuestas no sólo apuntan a aumentar la productividad, sino también a limitar el daño que la mayor competencia de EEUU y Chin</w:t>
      </w:r>
      <w:r w:rsidR="00865E16">
        <w:rPr>
          <w:color w:val="FF0000"/>
          <w:u w:val="single"/>
        </w:rPr>
        <w:t>a le causa a la productividad. “</w:t>
      </w:r>
      <w:r w:rsidRPr="00202E0E">
        <w:rPr>
          <w:color w:val="FF0000"/>
          <w:u w:val="single"/>
        </w:rPr>
        <w:t xml:space="preserve">En otras palabras, apuntan a proteger la participación de Europa en la producción global, en lugar de aumentar simultáneamente la producción en Europa y en el mundo. Se trata de un objetivo perfectamente sensato, pero no deberíamos esperar que todas las medidas propuestas resulten en </w:t>
      </w:r>
      <w:r w:rsidR="00865E16">
        <w:rPr>
          <w:color w:val="FF0000"/>
          <w:u w:val="single"/>
        </w:rPr>
        <w:t>ganancias absolutas para Europa”</w:t>
      </w:r>
      <w:r w:rsidRPr="00202E0E">
        <w:rPr>
          <w:color w:val="FF0000"/>
          <w:u w:val="single"/>
        </w:rPr>
        <w:t>, ahonda Allen Reynolds.</w:t>
      </w:r>
    </w:p>
    <w:p w:rsidR="0063398C" w:rsidRPr="00202E0E" w:rsidRDefault="0063398C" w:rsidP="0063398C">
      <w:pPr>
        <w:pStyle w:val="NormalWeb"/>
        <w:spacing w:after="0"/>
        <w:jc w:val="both"/>
        <w:rPr>
          <w:color w:val="FF0000"/>
          <w:u w:val="single"/>
        </w:rPr>
      </w:pPr>
      <w:r>
        <w:t>Con todo, quedan optimistas con el trabajo d</w:t>
      </w:r>
      <w:r w:rsidR="00865E16">
        <w:t>el antiguo maquinista del BCE. “</w:t>
      </w:r>
      <w:r>
        <w:t xml:space="preserve">La reacción inicial a los planes de Draghi podría resumirse como grandes ideas, pero casi imposibles de aplicar, dados los divergentes intereses nacionales. </w:t>
      </w:r>
      <w:r w:rsidRPr="00202E0E">
        <w:rPr>
          <w:color w:val="FF0000"/>
          <w:u w:val="single"/>
        </w:rPr>
        <w:t>Pero quizá en un segundo vistazo, el informe de Draghi podría abrir la puerta al cambio. Francamente, el estado actual de la economía europea, la pérdida de competitividad internacional y el retraso respecto a China y Estados Unidos no son sólo el resultado de la pandemia, la guerra y la geopolítica. También se derivan de la crisis del euro y de la falta de medidas más audaces. Tal vez alguien de la talla de Draghi pueda infundir ahora ese sentido de urgenci</w:t>
      </w:r>
      <w:r w:rsidR="00865E16">
        <w:rPr>
          <w:color w:val="FF0000"/>
          <w:u w:val="single"/>
        </w:rPr>
        <w:t>a que actualmente parece faltar”</w:t>
      </w:r>
      <w:r w:rsidRPr="00202E0E">
        <w:rPr>
          <w:color w:val="FF0000"/>
          <w:u w:val="single"/>
        </w:rPr>
        <w:t>, opinan Bert Colijn, Carsten Br</w:t>
      </w:r>
      <w:r w:rsidR="00FE7EFD">
        <w:rPr>
          <w:color w:val="FF0000"/>
          <w:u w:val="single"/>
        </w:rPr>
        <w:t>zeski y Peter Vanden Houte, la “</w:t>
      </w:r>
      <w:r w:rsidRPr="00202E0E">
        <w:rPr>
          <w:color w:val="FF0000"/>
          <w:u w:val="single"/>
        </w:rPr>
        <w:t>guardia ma</w:t>
      </w:r>
      <w:r w:rsidR="00FE7EFD">
        <w:rPr>
          <w:color w:val="FF0000"/>
          <w:u w:val="single"/>
        </w:rPr>
        <w:t>yor”</w:t>
      </w:r>
      <w:r w:rsidRPr="00202E0E">
        <w:rPr>
          <w:color w:val="FF0000"/>
          <w:u w:val="single"/>
        </w:rPr>
        <w:t xml:space="preserve"> del servicio de estudios de ING.</w:t>
      </w:r>
    </w:p>
    <w:p w:rsidR="0063398C" w:rsidRDefault="0063398C" w:rsidP="0063398C">
      <w:pPr>
        <w:pStyle w:val="NormalWeb"/>
        <w:spacing w:after="0"/>
        <w:jc w:val="both"/>
      </w:pPr>
      <w:r>
        <w:t xml:space="preserve">- </w:t>
      </w:r>
      <w:r w:rsidRPr="00D55BF5">
        <w:rPr>
          <w:u w:val="single"/>
        </w:rPr>
        <w:t>Para China no será tan fácil producir coches en el extranjero como hizo Japón</w:t>
      </w:r>
      <w:r>
        <w:t xml:space="preserve"> (El Confidencial - </w:t>
      </w:r>
      <w:r w:rsidRPr="00D55BF5">
        <w:rPr>
          <w:b/>
        </w:rPr>
        <w:t>12/9/24</w:t>
      </w:r>
      <w:r>
        <w:t>)</w:t>
      </w:r>
    </w:p>
    <w:p w:rsidR="0063398C" w:rsidRDefault="0063398C" w:rsidP="0063398C">
      <w:pPr>
        <w:pStyle w:val="NormalWeb"/>
        <w:spacing w:after="0"/>
        <w:jc w:val="both"/>
      </w:pPr>
      <w:r>
        <w:t>(Por Alicia García Herrero)</w:t>
      </w:r>
    </w:p>
    <w:p w:rsidR="0063398C" w:rsidRPr="006745A2" w:rsidRDefault="0063398C" w:rsidP="0063398C">
      <w:pPr>
        <w:pStyle w:val="NormalWeb"/>
        <w:spacing w:after="0"/>
        <w:jc w:val="both"/>
        <w:rPr>
          <w:u w:val="single"/>
        </w:rPr>
      </w:pPr>
      <w:r w:rsidRPr="006745A2">
        <w:rPr>
          <w:color w:val="FF0000"/>
          <w:u w:val="single"/>
        </w:rPr>
        <w:t>De ser un país rezagado en la industria de los motores de combustión, China ha pasado a liderar la producción y el consumo de vehículos eléctricos (VE). Cómo ha podido China llegar hasta ahí tan rápido es una combinación de política industrial, pero también la transferencia tecnológica de empresas extranjeras a cambio de acceso al mercado chino</w:t>
      </w:r>
      <w:r>
        <w:t xml:space="preserve">. </w:t>
      </w:r>
      <w:r w:rsidRPr="006745A2">
        <w:rPr>
          <w:u w:val="single"/>
        </w:rPr>
        <w:t>En lo que se refiere a la planificación, los vehículos eléctricos ocuparon un lugar destacado en la lista del plan de política ind</w:t>
      </w:r>
      <w:r w:rsidR="00865E16">
        <w:rPr>
          <w:u w:val="single"/>
        </w:rPr>
        <w:t>ustrial más agresivo de China, “Made in China 2025”</w:t>
      </w:r>
      <w:r w:rsidRPr="006745A2">
        <w:rPr>
          <w:u w:val="single"/>
        </w:rPr>
        <w:t>, lo cual explica el enorme aumento de la inversión durante los últimos años. Dicha inversión se ha destinado a incrementar la producción.</w:t>
      </w:r>
      <w:r>
        <w:t xml:space="preserve"> En primer lugar, para cubrir el fuerte crecimiento de la demanda interna apoyada por los subsidios a los consumidores (más allá de aquellos otorgados a los productores). En segundo lugar, y </w:t>
      </w:r>
      <w:r w:rsidRPr="006745A2">
        <w:rPr>
          <w:u w:val="single"/>
        </w:rPr>
        <w:t xml:space="preserve">al mismo tiempo que los subsidios a los consumidores chinos llegaban a su fin a principios de 2023, los productores de VE en China </w:t>
      </w:r>
      <w:r w:rsidRPr="006745A2">
        <w:rPr>
          <w:u w:val="single"/>
        </w:rPr>
        <w:lastRenderedPageBreak/>
        <w:t>se lanzaron a los mercados internacionales con un crecimiento de sus exportaciones del 22% en 2023, frente a solo el 2,7% de 2019. A pesar del fuerte crecimiento en 2023, es importante entender que la salida de los VE producidos en China hacia mercados internacionales es muy reciente, con solo el 20% de los vehículos exportados hasta la fecha. Si la referencia son los paneles solares, las exportaciones podrían llegar a dos tercios de la producción a futuro, con las consecuencias que puede tener para el resto del mundo.</w:t>
      </w:r>
    </w:p>
    <w:p w:rsidR="0063398C" w:rsidRPr="006745A2" w:rsidRDefault="0063398C" w:rsidP="0063398C">
      <w:pPr>
        <w:pStyle w:val="NormalWeb"/>
        <w:spacing w:after="0"/>
        <w:jc w:val="both"/>
        <w:rPr>
          <w:color w:val="FF0000"/>
          <w:u w:val="single"/>
        </w:rPr>
      </w:pPr>
      <w:r w:rsidRPr="006745A2">
        <w:rPr>
          <w:color w:val="FF0000"/>
          <w:u w:val="single"/>
        </w:rPr>
        <w:t>Si bien las perspectivas anteriores pueden parecer optimistas a primera vista, los riesgos no hacen más que crecer. El proteccionismo es probablemente el primero en la lista, y no solo por razones económicas, sino también por razones de seguridad nacional, especialmente en lo que solía ser el mayor mercado de exportación de China: Estados Unidos. Se han introducido abundantes instrumentos para impedir que los vehículos eléctricos chinos entren en el mercado estadounidense, desde subvencionar a otros productores, como el coreano y el mexicano, a través de la Ley de Reducción de la Inflación, hasta duplicar los aranceles de importación (hasta un 100% tras el último anuncio de la Administración Biden).</w:t>
      </w:r>
    </w:p>
    <w:p w:rsidR="0063398C" w:rsidRPr="006745A2" w:rsidRDefault="0063398C" w:rsidP="0063398C">
      <w:pPr>
        <w:pStyle w:val="NormalWeb"/>
        <w:spacing w:after="0"/>
        <w:jc w:val="both"/>
        <w:rPr>
          <w:color w:val="FF0000"/>
          <w:u w:val="single"/>
        </w:rPr>
      </w:pPr>
      <w:r w:rsidRPr="006745A2">
        <w:rPr>
          <w:b/>
          <w:color w:val="FF0000"/>
          <w:u w:val="single"/>
        </w:rPr>
        <w:t>La Unión Europea (UE), que es con diferencia el mayor mercado de exportación de vehículos eléctricos de China, con el 55% de las exportaciones totales, también ha impuesto recientemente derechos compensatorios a los vehículos eléctricos chinos, aunque a un ritmo mucho más moderado que Estados Unidos</w:t>
      </w:r>
      <w:r w:rsidRPr="006745A2">
        <w:rPr>
          <w:color w:val="FF0000"/>
          <w:u w:val="single"/>
        </w:rPr>
        <w:t>. Canadá, India, Tailandia y Turquía también han impuesto aranceles u otras restricciones a las importaciones de vehículos desde China, con lo que no está nada claro que el Sur Global esté dispuesto a absorber la enorme producción de EV de China.</w:t>
      </w:r>
    </w:p>
    <w:p w:rsidR="0063398C" w:rsidRPr="006745A2" w:rsidRDefault="0063398C" w:rsidP="0063398C">
      <w:pPr>
        <w:pStyle w:val="NormalWeb"/>
        <w:spacing w:after="0"/>
        <w:jc w:val="both"/>
        <w:rPr>
          <w:u w:val="single"/>
        </w:rPr>
      </w:pPr>
      <w:r w:rsidRPr="006745A2">
        <w:rPr>
          <w:color w:val="FF0000"/>
          <w:u w:val="single"/>
        </w:rPr>
        <w:t>El segundo riesgo proviene de un posible retraso en las sendas de descarbonización de muchos países, como prevé la Agencia Internacional de la Energía. En el caso de la UE, el nuevo Parlamento Europeo, tras las elecciones de junio, parece haber mitigado su interés por una rápida descarbonización, ya que han aparecido problemas más acuciantes, tras la invasión rusa de Ucrania, en concreto, la seguridad nacional y también la seguridad económica, inseparable de la primera</w:t>
      </w:r>
      <w:r>
        <w:t xml:space="preserve">. La tasa de utilización de la industria automotriz china se redujo al 73% en junio del 78% en 2019 </w:t>
      </w:r>
      <w:r w:rsidRPr="006745A2">
        <w:rPr>
          <w:color w:val="FF0000"/>
          <w:u w:val="single"/>
        </w:rPr>
        <w:t>El tercer riesgo es consecuencia de los dos primeros, combinado con el estancamiento de la demanda interna china de los últimos dos años. Con una inversión en la producción de vehículos eléctricos que crece entre un 20 y un 30% y una demanda interna estancada, la tasa de utilización de la industria automotriz de China se ha reducido al 73% el pasado mes de junio desde el 78% en 2019</w:t>
      </w:r>
      <w:r>
        <w:t xml:space="preserve">. </w:t>
      </w:r>
      <w:r w:rsidRPr="006745A2">
        <w:rPr>
          <w:b/>
          <w:color w:val="FF0000"/>
          <w:u w:val="single"/>
        </w:rPr>
        <w:t>La pregunta entonces es qué estrategia pueden seguir los fabricantes chinos de vehículos eléctricos en las circunstancias actuales</w:t>
      </w:r>
      <w:r>
        <w:t xml:space="preserve">. </w:t>
      </w:r>
      <w:r w:rsidRPr="006745A2">
        <w:rPr>
          <w:u w:val="single"/>
        </w:rPr>
        <w:t>La experiencia de Japón en la década de 1980 puede resultar útil. Cuando los fabricantes de automóviles japoneses se vieron afectados por las medidas proteccionistas de Estados Unidos, trasladaron sus plantas al extranjero para sortear esos obstáculos. Esta decisión acabó siendo bastante exitosa para los fabricantes de automóviles japoneses, ya que lograron mantener un negocio rentable, pero no tanto para la economía japonesa, ya que se redujo la capacidad manufacturera del país</w:t>
      </w:r>
      <w:r>
        <w:t xml:space="preserve">. Esto, junto con el colapso de la burbuja inmobiliaria, generó presiones deflacionarias, exactamente como está sucediendo ahora en China. </w:t>
      </w:r>
      <w:r w:rsidRPr="006745A2">
        <w:rPr>
          <w:u w:val="single"/>
        </w:rPr>
        <w:t>Los productores de automóviles chinos parecen estar siguiendo los pasos de Japón en los ochenta, aunque están aún en los primeros compases</w:t>
      </w:r>
      <w:r>
        <w:t xml:space="preserve">. </w:t>
      </w:r>
      <w:r w:rsidRPr="006745A2">
        <w:rPr>
          <w:color w:val="FF0000"/>
          <w:u w:val="single"/>
        </w:rPr>
        <w:t>El asunto es si los productores chinos podrán realmente hacer lo mismo, y la realidad es que parece mucho más difícil de lo que lo fue para Japón</w:t>
      </w:r>
      <w:r>
        <w:t xml:space="preserve">. </w:t>
      </w:r>
      <w:r w:rsidRPr="006745A2">
        <w:rPr>
          <w:u w:val="single"/>
        </w:rPr>
        <w:t xml:space="preserve">En primer lugar, los costos laborales en Japón eran mucho más altos en la década de 1980 que lo que son ahora en China, lo que hizo que fuera más atractivo para los fabricantes de automóviles japoneses deslocalizar la producción. En segundo lugar, China se enfrenta ahora a una escasez de puestos de trabajo con un alto </w:t>
      </w:r>
      <w:r w:rsidRPr="006745A2">
        <w:rPr>
          <w:u w:val="single"/>
        </w:rPr>
        <w:lastRenderedPageBreak/>
        <w:t>desempleo juvenil, mientras que Japón estaba en pleno empleo con un mercado laboral sobrecalentado. En tercer lugar, China cuenta con una red de infraestructuras logísticas, como puertos y ferrocarril, que ha construido con mucho esfuerzo y coste para seguir exportando.</w:t>
      </w:r>
    </w:p>
    <w:p w:rsidR="0063398C" w:rsidRDefault="0063398C" w:rsidP="0063398C">
      <w:pPr>
        <w:pStyle w:val="NormalWeb"/>
        <w:spacing w:after="0"/>
        <w:jc w:val="both"/>
      </w:pPr>
      <w:r w:rsidRPr="006745A2">
        <w:rPr>
          <w:color w:val="FF0000"/>
          <w:u w:val="single"/>
        </w:rPr>
        <w:t>Parece difícil que China deje de exportar para producir en el país donde los bienes –en este caso, VE –se vayan a consumir. Por último, China podría hacer frente a medidas proteccionistas incluso cuando se trata de establecer plantas en otros países, por motivos de seguridad nacional que no existían con Japón</w:t>
      </w:r>
      <w:r>
        <w:t xml:space="preserve">. Este es el caso, en particular, de Estados Unidos, pero también de la India, mientras que otros países siguen ansiosos por atraer plantas chinas, incluso ofreciendo subvenciones, como es el caso de España y, más recientemente, Tailandia. </w:t>
      </w:r>
      <w:r w:rsidRPr="006745A2">
        <w:rPr>
          <w:color w:val="FF0000"/>
          <w:u w:val="single"/>
        </w:rPr>
        <w:t>En otras palabras, para China eludir los aranceles de importación de vehículos a través de la deslocalización no será tan conveniente ni tan fácil como lo fue para Japón</w:t>
      </w:r>
      <w:r>
        <w:t xml:space="preserve">. </w:t>
      </w:r>
      <w:r w:rsidRPr="006745A2">
        <w:rPr>
          <w:color w:val="FF0000"/>
          <w:u w:val="single"/>
        </w:rPr>
        <w:t>Los argumentos geopolíticos tienen mucho más peso para China de lo que tenían para Japón, que era un competidor económico, pero no un rival sistémico</w:t>
      </w:r>
      <w:r>
        <w:t xml:space="preserve">. Mientras que los productores chinos de vehículos eléctricos intentan producir fuera donde aún se les recibe, la respuesta más obvia a corto plazo es seguir exportando a precios más bajos para mitigar el impacto de los aranceles de importación sobre los consumidores extranjeros. Esto significa que los consumidores extranjeros podrían no verse perjudicados por las medidas proteccionistas de sus gobiernos, mientras que los productores chinos verán reducidos sus márgenes de beneficio. Aunque duela, este sigue siendo un mal menor, vista la dificultad de que la estrategia de China sea la de Japón en los años ochenta. </w:t>
      </w:r>
    </w:p>
    <w:p w:rsidR="0063398C" w:rsidRDefault="00734564" w:rsidP="0063398C">
      <w:pPr>
        <w:pStyle w:val="NormalWeb"/>
        <w:spacing w:after="0"/>
        <w:jc w:val="both"/>
      </w:pPr>
      <w:r>
        <w:t>(</w:t>
      </w:r>
      <w:r w:rsidR="0063398C">
        <w:t>Alicia García Herrero, economista jefe para Asia Pacífico en Natixis e investigador senior en Bruegel</w:t>
      </w:r>
      <w:r>
        <w:t>)</w:t>
      </w:r>
    </w:p>
    <w:p w:rsidR="0063398C" w:rsidRDefault="0063398C" w:rsidP="0063398C">
      <w:pPr>
        <w:pStyle w:val="NormalWeb"/>
        <w:spacing w:after="0"/>
        <w:jc w:val="both"/>
      </w:pPr>
      <w:r>
        <w:t xml:space="preserve">- </w:t>
      </w:r>
      <w:r w:rsidRPr="0048514E">
        <w:rPr>
          <w:u w:val="single"/>
        </w:rPr>
        <w:t>El informe Draghi, la luna y el dedo</w:t>
      </w:r>
      <w:r>
        <w:t xml:space="preserve"> (Vozpópuli - </w:t>
      </w:r>
      <w:r w:rsidRPr="00420371">
        <w:rPr>
          <w:b/>
        </w:rPr>
        <w:t>13/9/24</w:t>
      </w:r>
      <w:r>
        <w:t>)</w:t>
      </w:r>
    </w:p>
    <w:p w:rsidR="0063398C" w:rsidRDefault="0063398C" w:rsidP="0063398C">
      <w:pPr>
        <w:pStyle w:val="NormalWeb"/>
        <w:spacing w:after="0"/>
        <w:jc w:val="both"/>
      </w:pPr>
      <w:r>
        <w:t>(Por Enrique Feás)</w:t>
      </w:r>
    </w:p>
    <w:p w:rsidR="0063398C" w:rsidRPr="00C818DE" w:rsidRDefault="0063398C" w:rsidP="0063398C">
      <w:pPr>
        <w:pStyle w:val="NormalWeb"/>
        <w:spacing w:after="0"/>
        <w:jc w:val="both"/>
        <w:rPr>
          <w:u w:val="single"/>
        </w:rPr>
      </w:pPr>
      <w:r w:rsidRPr="00C818DE">
        <w:rPr>
          <w:u w:val="single"/>
        </w:rPr>
        <w:t>Tras meses de expectación, Mario Draghi presentó el pasado 9 de septiembre su informe “El futuro de la competitividad de Europa”. Para ser un hombre de pocas palabras, entregar un documento de casi 400 páginas podría parecer raro, pero al leerlo se explica el motivo: hay mucho trigo y poca paja. Sin duda, mucho trabajo detrás.</w:t>
      </w:r>
    </w:p>
    <w:p w:rsidR="0063398C" w:rsidRPr="00C818DE" w:rsidRDefault="0063398C" w:rsidP="0063398C">
      <w:pPr>
        <w:pStyle w:val="NormalWeb"/>
        <w:spacing w:after="0"/>
        <w:jc w:val="both"/>
        <w:rPr>
          <w:color w:val="FF0000"/>
          <w:u w:val="single"/>
        </w:rPr>
      </w:pPr>
      <w:r w:rsidRPr="00C818DE">
        <w:rPr>
          <w:color w:val="FF0000"/>
          <w:u w:val="single"/>
        </w:rPr>
        <w:t>El Informe consta de seis apartados: una descripción inicial de la situación actual, los tres principales desafíos (el cierre del diferencial de innovación respecto a Estados Unidos, la compatibilización de descarbonización y competitividad y la mejora de la seguridad económica) y dos requisitos para lograrlo: más inversión y un refuerzo de la gobernanza europea.</w:t>
      </w:r>
    </w:p>
    <w:p w:rsidR="0063398C" w:rsidRPr="00C818DE" w:rsidRDefault="0063398C" w:rsidP="0063398C">
      <w:pPr>
        <w:pStyle w:val="NormalWeb"/>
        <w:spacing w:after="0"/>
        <w:jc w:val="both"/>
        <w:rPr>
          <w:color w:val="FF0000"/>
          <w:u w:val="single"/>
        </w:rPr>
      </w:pPr>
      <w:r w:rsidRPr="00C818DE">
        <w:rPr>
          <w:color w:val="FF0000"/>
          <w:u w:val="single"/>
        </w:rPr>
        <w:t>El informe está muy bien escrito y contiene numerosas propuestas. El diagnóstico, en sí mismo, no es especialmente original: numerosos artículos e informes han venido destacando que la Unión Europea se está quedando atrás. Ni siquiera la cifra de las necesidades de inversión son novedosas</w:t>
      </w:r>
      <w:r>
        <w:t xml:space="preserve">. </w:t>
      </w:r>
      <w:r w:rsidRPr="00C818DE">
        <w:rPr>
          <w:color w:val="FF0000"/>
          <w:u w:val="single"/>
        </w:rPr>
        <w:t>Donde el Informe Draghi resulta más relevante es en el contenido y detalle de las numerosas propuestas en distintos ámbitos, reflejadas sobre todo en la segunda parte (el grueso del informe) y que son más difíciles de sintetizar, pero es ahí donde reside su valor: en este tipo de documentos rara vez se pasa de las musas al teatro.</w:t>
      </w:r>
    </w:p>
    <w:p w:rsidR="0063398C" w:rsidRPr="00C818DE" w:rsidRDefault="0063398C" w:rsidP="0063398C">
      <w:pPr>
        <w:pStyle w:val="NormalWeb"/>
        <w:spacing w:after="0"/>
        <w:jc w:val="both"/>
        <w:rPr>
          <w:b/>
          <w:color w:val="FF0000"/>
          <w:u w:val="single"/>
        </w:rPr>
      </w:pPr>
      <w:r w:rsidRPr="00C818DE">
        <w:rPr>
          <w:color w:val="FF0000"/>
          <w:u w:val="single"/>
        </w:rPr>
        <w:t xml:space="preserve">Por otro lado, la autoridad intelectual de Mario Draghi, respetado internacionalmente, da un peso específico considerable a este Informe. </w:t>
      </w:r>
      <w:r w:rsidRPr="00C818DE">
        <w:rPr>
          <w:b/>
          <w:color w:val="FF0000"/>
          <w:u w:val="single"/>
        </w:rPr>
        <w:t xml:space="preserve">Draghi, poco dado a la hipérbole, no duda en </w:t>
      </w:r>
      <w:r w:rsidRPr="00C818DE">
        <w:rPr>
          <w:b/>
          <w:color w:val="FF0000"/>
          <w:u w:val="single"/>
        </w:rPr>
        <w:lastRenderedPageBreak/>
        <w:t>señalar que estamos en “un momento existencial para la UE”, en el que, si Europa no consigue ser más productiva, “tendrá que elegir” entre ser líder en nuevas tecnologías, líder en responsabilidad climática o actor independiente en el escenario mundial (pero nunca todo a la vez), y además “no podrá financiar su modelo social”. No son mensajes gratuitos.</w:t>
      </w:r>
    </w:p>
    <w:p w:rsidR="0063398C" w:rsidRPr="00C818DE" w:rsidRDefault="0063398C" w:rsidP="0063398C">
      <w:pPr>
        <w:pStyle w:val="NormalWeb"/>
        <w:spacing w:after="0"/>
        <w:jc w:val="both"/>
        <w:rPr>
          <w:b/>
          <w:color w:val="FF0000"/>
          <w:u w:val="single"/>
        </w:rPr>
      </w:pPr>
      <w:r w:rsidRPr="00C818DE">
        <w:rPr>
          <w:u w:val="single"/>
        </w:rPr>
        <w:t>Es una lástima, sin embargo, que la mayor parte de la prensa, al hablar del Informe Draghi, se quede en las cifras y en la parte menos original del texto, o que políticos como el ministro de Economía alemán corran a negar cualquier posibilidad de deuda conjunta, sin antes estudiar y valorar el fondo de las muchas propuestas para mejorar la competitividad en distintos sectores y ámbitos horizontales.</w:t>
      </w:r>
      <w:r>
        <w:t xml:space="preserve"> </w:t>
      </w:r>
      <w:r w:rsidRPr="00C818DE">
        <w:rPr>
          <w:color w:val="FF0000"/>
          <w:u w:val="single"/>
        </w:rPr>
        <w:t>Resumir el Informe Draghi en que Europa necesita emitir 800.000 millones anuales de deuda conjunta es simplemente una forma de pereza intelectual.</w:t>
      </w:r>
      <w:r w:rsidRPr="00C818DE">
        <w:rPr>
          <w:color w:val="FF0000"/>
        </w:rPr>
        <w:t xml:space="preserve"> </w:t>
      </w:r>
      <w:r w:rsidRPr="00C818DE">
        <w:rPr>
          <w:b/>
          <w:color w:val="FF0000"/>
          <w:u w:val="single"/>
        </w:rPr>
        <w:t>Draghi, por supuesto, nos recuerda lo evidente: que no se puede innovar y crecer sin inversión, y marca un objetivo. Lo que señala al mismo tiempo es cómo invertir bien y cómo regular mucho mejor para que la inversión sea efectiva.</w:t>
      </w:r>
    </w:p>
    <w:p w:rsidR="0063398C" w:rsidRPr="00C818DE" w:rsidRDefault="0063398C" w:rsidP="0063398C">
      <w:pPr>
        <w:pStyle w:val="NormalWeb"/>
        <w:spacing w:after="0"/>
        <w:jc w:val="both"/>
        <w:rPr>
          <w:color w:val="FF0000"/>
          <w:u w:val="single"/>
        </w:rPr>
      </w:pPr>
      <w:r w:rsidRPr="00C818DE">
        <w:rPr>
          <w:color w:val="FF0000"/>
          <w:u w:val="single"/>
        </w:rPr>
        <w:t>Con respecto al problema del diferencial tecnológico, el Informe insiste en que en Europa no falta capacidad de innovación, pero muchas empresas innovadoras terminan yéndose porque fuera tienen más posibilidades de expansión. Para reducir el gap con EEUU se proponen diversas medidas financieras que promuevan la innovación disruptiva, medidas de excelencia académica, inversión en infraestructuras, más gasto conjunto en I+D, un ecosistema regulatorio más sencillo y claves para mejorar las habilidades de los trabajadores.</w:t>
      </w:r>
    </w:p>
    <w:p w:rsidR="0063398C" w:rsidRPr="00C818DE" w:rsidRDefault="0063398C" w:rsidP="0063398C">
      <w:pPr>
        <w:pStyle w:val="NormalWeb"/>
        <w:spacing w:after="0"/>
        <w:jc w:val="both"/>
        <w:rPr>
          <w:color w:val="FF0000"/>
          <w:u w:val="single"/>
        </w:rPr>
      </w:pPr>
      <w:r w:rsidRPr="00C818DE">
        <w:rPr>
          <w:color w:val="FF0000"/>
          <w:u w:val="single"/>
        </w:rPr>
        <w:t>Compatibilizar de forma adecuada descarbonización y competitividad es aún más difícil, ya que existen numerosos trade-offs. La descarbonización puede mejorar o deteriorar la competitividad, según como se plantee, pero está claro que las empresas europeas no pueden seguir soportando precios de la electricidad y del gas</w:t>
      </w:r>
      <w:r w:rsidR="00865E16">
        <w:rPr>
          <w:color w:val="FF0000"/>
          <w:u w:val="single"/>
        </w:rPr>
        <w:t>,</w:t>
      </w:r>
      <w:r w:rsidRPr="00C818DE">
        <w:rPr>
          <w:color w:val="FF0000"/>
          <w:u w:val="single"/>
        </w:rPr>
        <w:t xml:space="preserve"> tan superiores a los de Estados Unidos, y que los combustibles fósiles sigan marcando el precio de la energía hasta 2030. Aquí se plantea un dilema: incrementar la dependencia con China puede ser una forma de acelerar la descarbonización, pero hacerlo puede hundir sectores clave para la competitividad futura. Definir dichos sectores “clave” no es tarea fácil, pero Draghi lo intenta con rigor. Además, propone reformar el mercado energético europeo para que los beneficios de la energía limpia se trasladen a los precios, apoyar la innovación y garantizar la competencia leal frente a otros bloques. La política industrial no es fácil de hacer, pero es inevitable si tus competidores la hacen. Lo que se trata es de hacerla bien, y no cada Estado miembro por su cuenta.</w:t>
      </w:r>
    </w:p>
    <w:p w:rsidR="0063398C" w:rsidRPr="00C818DE" w:rsidRDefault="0063398C" w:rsidP="0063398C">
      <w:pPr>
        <w:pStyle w:val="NormalWeb"/>
        <w:spacing w:after="0"/>
        <w:jc w:val="both"/>
        <w:rPr>
          <w:color w:val="FF0000"/>
          <w:u w:val="single"/>
        </w:rPr>
      </w:pPr>
      <w:r w:rsidRPr="00C818DE">
        <w:rPr>
          <w:color w:val="FF0000"/>
          <w:u w:val="single"/>
        </w:rPr>
        <w:t>El tercer desafío es aumentar la seguridad económica. En un contexto geopolítico hostil, la UE se encuentra particularmente expuesta, con una elevada dependencia en materias primas fundamentales y en componentes tecnológicos. Por eso debe comportarse a efectos de política económica exterior como un solo bloque, fomentando acuerdos comerciales e inversión directa con países ricos en recursos, aumentando los stocks de determinadas materias primas y tecnologías críticas y creando asociaciones industriales para asegurar la cadena de suministro de tecnologías clave. También debe aprovechar que la dependencia es doble: China proporciona elementos clave a la UE, pero sin la UE jamás podría colocar toda su producción. Por último, resulta imprescindible aumentar la capacidad industrial de defensa europea, demasiado fragmentada.</w:t>
      </w:r>
    </w:p>
    <w:p w:rsidR="0063398C" w:rsidRPr="00C818DE" w:rsidRDefault="0063398C" w:rsidP="0063398C">
      <w:pPr>
        <w:pStyle w:val="NormalWeb"/>
        <w:spacing w:after="0"/>
        <w:jc w:val="both"/>
        <w:rPr>
          <w:color w:val="FF0000"/>
          <w:u w:val="single"/>
        </w:rPr>
      </w:pPr>
      <w:r w:rsidRPr="00C818DE">
        <w:rPr>
          <w:color w:val="FF0000"/>
          <w:u w:val="single"/>
        </w:rPr>
        <w:t xml:space="preserve">Para lograr todos estos objetivos, Europa requerirá una inversión anual adicional de más de 800.000 millones de euros (casi el 5% del PIB europeo). Ello exige mejorar la financiación privada (y se detallan muchas medidas para ello, incluida la integración de los mercados </w:t>
      </w:r>
      <w:r w:rsidRPr="00C818DE">
        <w:rPr>
          <w:color w:val="FF0000"/>
          <w:u w:val="single"/>
        </w:rPr>
        <w:lastRenderedPageBreak/>
        <w:t>europeos de capitales), pero eso no es suficiente: habrá que promover la financiación pública de proyectos conjuntos.</w:t>
      </w:r>
    </w:p>
    <w:p w:rsidR="0063398C" w:rsidRDefault="0063398C" w:rsidP="0063398C">
      <w:pPr>
        <w:pStyle w:val="NormalWeb"/>
        <w:spacing w:after="0"/>
        <w:jc w:val="both"/>
      </w:pPr>
      <w:r>
        <w:t>Cómo adaptarse a los nuevos tiempos</w:t>
      </w:r>
    </w:p>
    <w:p w:rsidR="0063398C" w:rsidRPr="00C818DE" w:rsidRDefault="0063398C" w:rsidP="0063398C">
      <w:pPr>
        <w:pStyle w:val="NormalWeb"/>
        <w:spacing w:after="0"/>
        <w:jc w:val="both"/>
        <w:rPr>
          <w:color w:val="FF0000"/>
          <w:u w:val="single"/>
        </w:rPr>
      </w:pPr>
      <w:r w:rsidRPr="00C818DE">
        <w:rPr>
          <w:b/>
          <w:color w:val="FF0000"/>
          <w:u w:val="single"/>
        </w:rPr>
        <w:t>Sin duda uno de los apartados más interesantes del Informe es el referido a la simplificación de la regulación europea (páginas 317 a 327) “demasiado costosa para las pymes y contraproducente para los sectores digitales”.</w:t>
      </w:r>
      <w:r w:rsidRPr="00C818DE">
        <w:rPr>
          <w:color w:val="FF0000"/>
        </w:rPr>
        <w:t xml:space="preserve"> </w:t>
      </w:r>
      <w:r>
        <w:t xml:space="preserve">Draghi advierte que más de la mitad de las pymes europeas señalan como su mayor desafío “los obstáculos regulatorios y la carga administrativa”. </w:t>
      </w:r>
      <w:r w:rsidRPr="00C818DE">
        <w:rPr>
          <w:color w:val="FF0000"/>
          <w:u w:val="single"/>
        </w:rPr>
        <w:t>La regulación europea es no solo lenta, sino además abrumadora y acumulativa, y no usa un análisis coste-beneficio estructurado y uniforme para todas las instituciones. El Informe hace numerosas propuestas de reforma, y además entran en detalles de cómo evitar que la trasposición de directivas acumule carga burocrática y en cómo adaptar la política de competencia europea a los nuevos tiempos.</w:t>
      </w:r>
    </w:p>
    <w:p w:rsidR="0063398C" w:rsidRDefault="0063398C" w:rsidP="0063398C">
      <w:pPr>
        <w:pStyle w:val="NormalWeb"/>
        <w:spacing w:after="0"/>
        <w:jc w:val="both"/>
        <w:rPr>
          <w:b/>
          <w:color w:val="FF0000"/>
          <w:u w:val="single"/>
        </w:rPr>
      </w:pPr>
      <w:r w:rsidRPr="00C818DE">
        <w:rPr>
          <w:b/>
          <w:color w:val="FF0000"/>
          <w:u w:val="single"/>
        </w:rPr>
        <w:t>En resumen, conviene dedicar tiempo a leer un informe verdaderamente interesante y complejo como el de Draghi y no caer en la tentación de confundir lo que es simplemente una condición necesaria para ganar competitividad (invertir mucho más) con la condición suficiente: crear un marco regulatorio y un entorno empresarial ágil, funcional y pragmático para aprovechar el enorme potencial de crecimiento, innovación y competitividad de la Unión Europea. El sabio Draghi nos está señalando la luna (y no duda en proponer para ello una radical reforma de las ineficiencias de la burocracia europea), pero los necios, por desgracia, insisten en seguir mirando el dedo.</w:t>
      </w:r>
    </w:p>
    <w:p w:rsidR="0063398C" w:rsidRDefault="0063398C" w:rsidP="0063398C">
      <w:pPr>
        <w:pStyle w:val="NormalWeb"/>
        <w:spacing w:after="0"/>
        <w:jc w:val="both"/>
      </w:pPr>
      <w:r>
        <w:t xml:space="preserve">- </w:t>
      </w:r>
      <w:r w:rsidRPr="00F64249">
        <w:rPr>
          <w:u w:val="single"/>
        </w:rPr>
        <w:t>Europa pierde la carrera de la cuarta revolución industrial</w:t>
      </w:r>
      <w:r>
        <w:t xml:space="preserve"> (El Economista - </w:t>
      </w:r>
      <w:r w:rsidRPr="00F64249">
        <w:rPr>
          <w:b/>
        </w:rPr>
        <w:t>13/9/24</w:t>
      </w:r>
      <w:r>
        <w:t>)</w:t>
      </w:r>
    </w:p>
    <w:p w:rsidR="0063398C" w:rsidRDefault="0063398C" w:rsidP="0063398C">
      <w:pPr>
        <w:pStyle w:val="NormalWeb"/>
        <w:spacing w:after="0"/>
        <w:jc w:val="both"/>
      </w:pPr>
      <w:r>
        <w:t>(Por Amador G. Ayora)</w:t>
      </w:r>
    </w:p>
    <w:p w:rsidR="0063398C" w:rsidRDefault="0063398C" w:rsidP="0063398C">
      <w:pPr>
        <w:pStyle w:val="NormalWeb"/>
        <w:spacing w:after="0"/>
        <w:jc w:val="both"/>
      </w:pPr>
      <w:r>
        <w:t xml:space="preserve">En la misma semana que el ex primer ministro de Italia y ex presidente del Banco Central Europeo, Mario Draghi, </w:t>
      </w:r>
      <w:r w:rsidR="00865E16">
        <w:t>presentó su informe sobre “</w:t>
      </w:r>
      <w:r>
        <w:t>El futuro</w:t>
      </w:r>
      <w:r w:rsidR="00865E16">
        <w:t xml:space="preserve"> de la competitividad de Europa”</w:t>
      </w:r>
      <w:r>
        <w:t xml:space="preserve"> en el que advierte de la creciente penetración de productos chinos en el continente, Sánchez se pronuncia en contra de los aranceles a la industria del automóvil de este país, una de las medidas tomadas por la Unión Europea para proteger su industria. Sánchez fue amonestado por un portavoz de la UE.</w:t>
      </w:r>
    </w:p>
    <w:p w:rsidR="0063398C" w:rsidRDefault="0063398C" w:rsidP="0063398C">
      <w:pPr>
        <w:pStyle w:val="NormalWeb"/>
        <w:spacing w:after="0"/>
        <w:jc w:val="both"/>
      </w:pPr>
      <w:r>
        <w:t>Sus palabras se produjeron justo después de su entrevista con el primer ministro, Xi Jinping, y de que la china Envision anunciara la construcción de una fábrica de electrolizadores en nuestro país por mil millones. España es, además, uno de los firmes candidatos a atraer la futura fábrica de MG, la automovilística china que más vende en Europa, para evitar los aranceles del 37 por ciento que Bruselas acordó a partir del próximo año.</w:t>
      </w:r>
    </w:p>
    <w:p w:rsidR="0063398C" w:rsidRDefault="0063398C" w:rsidP="0063398C">
      <w:pPr>
        <w:pStyle w:val="NormalWeb"/>
        <w:spacing w:after="0"/>
        <w:jc w:val="both"/>
      </w:pPr>
      <w:r>
        <w:t>Mientas Sánchez se rasga las vestiduras con los aranceles, altos cargos del Ministerio de Industria se frotan las manos. Ven una gran oportunidad porque cada vez más empresas chinas se verán forzadas a trasladar su producción a Europa para evitar los aranceles. Este verano</w:t>
      </w:r>
      <w:r w:rsidR="00865E16">
        <w:t>,</w:t>
      </w:r>
      <w:r>
        <w:t xml:space="preserve"> se anunciaron media docena de plantas chinas en España e se espera que con la visita de Sánchez más constructores se animen.</w:t>
      </w:r>
    </w:p>
    <w:p w:rsidR="0063398C" w:rsidRDefault="0063398C" w:rsidP="0063398C">
      <w:pPr>
        <w:pStyle w:val="NormalWeb"/>
        <w:spacing w:after="0"/>
        <w:jc w:val="both"/>
      </w:pPr>
      <w:r>
        <w:t xml:space="preserve">La paradoja es que mientras Draghi anuncia que Europa está perdiendo la carrera de la innovación y cada vez tiene más dificultades para compatibilizar la descarbonización con la competitividad, el presidente español se lance a por los inversores chinos gracias al talonario </w:t>
      </w:r>
      <w:r>
        <w:lastRenderedPageBreak/>
        <w:t>de los fondos Next Generation. El Gobierno utilizará un truco para puentear a Europa: la presencia de un socio español en los consorcios que se formen y la promesa de que la tecnología se quede aquí.</w:t>
      </w:r>
    </w:p>
    <w:p w:rsidR="0063398C" w:rsidRDefault="0063398C" w:rsidP="0063398C">
      <w:pPr>
        <w:pStyle w:val="NormalWeb"/>
        <w:spacing w:after="0"/>
        <w:jc w:val="both"/>
      </w:pPr>
      <w:r>
        <w:t>Una fórmula ensayada con éxito en Zona Franca, donde la china Chery construirá los modelos Omoda 5 y Jaecoo 7 a cambio de recibir ayudas europeas para su instalación tras su partenariado con la española Ebro. ¿Dónde está la innovación? En ninguna parte. Más bien se trata de importar tecnología china, subvencionada por su Gobierno, para acabar de rematar a la industria europea.</w:t>
      </w:r>
    </w:p>
    <w:p w:rsidR="0063398C" w:rsidRDefault="0063398C" w:rsidP="0063398C">
      <w:pPr>
        <w:pStyle w:val="NormalWeb"/>
        <w:spacing w:after="0"/>
        <w:jc w:val="both"/>
      </w:pPr>
      <w:r>
        <w:t>La semana anterior al viaje de Sánchez, Volkswagen anunciaba que, por primera vez en su historia, se planteaba el cierre de un par de plantas en Alemania, la cuna de la marca, por la caída de las ventas en torno al diez por ciento. La noticia cayó como una bomba en el primer productor europeo del motor, sede tres de los cinco grandes grupos europeos del sector. El gigante germano es la marca europea con más dificultades para alcanzar los objetivos de reducción de emisiones planteados hasta 2030, por lo que tendrá que hacer frente a cuantiosas sanciones económicas, que agravarán su débil competitividad. El informe Draghi dibuja con claridad la situación.</w:t>
      </w:r>
    </w:p>
    <w:p w:rsidR="0063398C" w:rsidRDefault="00865E16" w:rsidP="0063398C">
      <w:pPr>
        <w:pStyle w:val="NormalWeb"/>
        <w:spacing w:after="0"/>
        <w:jc w:val="both"/>
      </w:pPr>
      <w:r>
        <w:t>“</w:t>
      </w:r>
      <w:r w:rsidR="0063398C">
        <w:t>Si los beneficios de la energía limpia no se traducen en menores precios, los elevados costes energéticos termi</w:t>
      </w:r>
      <w:r>
        <w:t>narán por frenar el crecimiento”</w:t>
      </w:r>
      <w:r w:rsidR="0063398C">
        <w:t>. Asimismo, advierte que si hogares y empresas no perciben los beneficios de la descarbonización, este proceso podría acabar por perder apoyo social. En este sentido, señala que incrementar la dependencia con China podría ser una forma de acelerar la descarbonización, pero a riesgo de que sectores estratégicos y claves para la competitividad se hundan, como el automovilístico. Europa adoptó un ambicioso objetivo de cero emisiones en el tubo de escape en 2035, sin asegurarse un impulso similar en la cadena de suministro ni en el desarrollo de una red de infraestructura de carga. Por ejemplo, la Comisión no lanzó la Alianza de Baterías hasta 2017.</w:t>
      </w:r>
    </w:p>
    <w:p w:rsidR="0063398C" w:rsidRPr="000B1A01" w:rsidRDefault="0063398C" w:rsidP="0063398C">
      <w:pPr>
        <w:pStyle w:val="NormalWeb"/>
        <w:spacing w:after="0"/>
        <w:jc w:val="both"/>
        <w:rPr>
          <w:u w:val="single"/>
        </w:rPr>
      </w:pPr>
      <w:r w:rsidRPr="000B1A01">
        <w:rPr>
          <w:color w:val="FF0000"/>
          <w:u w:val="single"/>
        </w:rPr>
        <w:t>China domina el mercado de las tierras raras, desde el litio al níquel, utilizado en las baterías, lo que aumenta la dependencia y las dificultades para competir con el gigante asiático</w:t>
      </w:r>
      <w:r>
        <w:t xml:space="preserve">. </w:t>
      </w:r>
      <w:r w:rsidRPr="000B1A01">
        <w:rPr>
          <w:u w:val="single"/>
        </w:rPr>
        <w:t>¿Por qué Europa no apostó en paralelo por los combustibles alternativos, que permiten mantener su ventaja competitiva en la construcción de motores, donde fue líder durante décadas? Y más cuando la venta de eléctricos está estancándose en toda Europa, por la desconfianza que genera entre los consumidores y los problemas para su recarga.</w:t>
      </w:r>
    </w:p>
    <w:p w:rsidR="0063398C" w:rsidRPr="000B1A01" w:rsidRDefault="0063398C" w:rsidP="0063398C">
      <w:pPr>
        <w:pStyle w:val="NormalWeb"/>
        <w:spacing w:after="0"/>
        <w:jc w:val="both"/>
        <w:rPr>
          <w:color w:val="FF0000"/>
          <w:u w:val="single"/>
        </w:rPr>
      </w:pPr>
      <w:r w:rsidRPr="000B1A01">
        <w:rPr>
          <w:color w:val="FF0000"/>
          <w:u w:val="single"/>
        </w:rPr>
        <w:t xml:space="preserve">China, por el contrario, desarrolló desde 2012 sus cadenas de suministro para vehículos eléctricos, con avances más rápidos en todos los frentes. El resultado es que los automóviles chinos son por término medio un tercio más baratos que los europeos. Este porcentaje alcanza hasta el 50 por ciento, en el caso de los eléctricos. Por ello, las importaciones se multiplicaron por cinco entre 2017 y 2022. ¿Cómo va a superar Europa este gap de competitividad con una economía que crece al ralentí? El gas barato sobre el que basó su industrialización el Norte de Europa desapareció con la crisis rusa. Draghi señala que Europa paga por su energía entre dos y cuatro veces </w:t>
      </w:r>
      <w:r w:rsidR="00865E16" w:rsidRPr="000B1A01">
        <w:rPr>
          <w:color w:val="FF0000"/>
          <w:u w:val="single"/>
        </w:rPr>
        <w:t>más</w:t>
      </w:r>
      <w:r w:rsidRPr="000B1A01">
        <w:rPr>
          <w:color w:val="FF0000"/>
          <w:u w:val="single"/>
        </w:rPr>
        <w:t xml:space="preserve"> que EEUU </w:t>
      </w:r>
      <w:r w:rsidR="00FE7EFD" w:rsidRPr="000B1A01">
        <w:rPr>
          <w:color w:val="FF0000"/>
          <w:u w:val="single"/>
        </w:rPr>
        <w:t>o</w:t>
      </w:r>
      <w:r w:rsidRPr="000B1A01">
        <w:rPr>
          <w:color w:val="FF0000"/>
          <w:u w:val="single"/>
        </w:rPr>
        <w:t xml:space="preserve"> China.</w:t>
      </w:r>
    </w:p>
    <w:p w:rsidR="0063398C" w:rsidRDefault="0063398C" w:rsidP="0063398C">
      <w:pPr>
        <w:pStyle w:val="NormalWeb"/>
        <w:spacing w:after="0"/>
        <w:jc w:val="both"/>
      </w:pPr>
      <w:r w:rsidRPr="000B1A01">
        <w:rPr>
          <w:color w:val="FF0000"/>
          <w:u w:val="single"/>
        </w:rPr>
        <w:t>La guerra de Ucrania también acabó con el paraguas de seguridad que proporcionaba EEUU, lo que obligará a desarrollar una industria defensiva junto a las políticas de seguridad nacional para reducir la dependencia externa.</w:t>
      </w:r>
      <w:r>
        <w:t xml:space="preserve"> Draghi aboga por un fuerte alza de la inversión pública y privada y una reforma de la gobernanza, que incluya la política de Competencia. El ex primer ministro sugiere una pausa normativa. No se trataría sólo de parar la regulación </w:t>
      </w:r>
      <w:r>
        <w:lastRenderedPageBreak/>
        <w:t>durante unos años, sino de regular mejor, con unos análisis de impacto bien justificados y las consultas respectivas con sector privado y agentes sociales, para el despliegue de las nuevas tecnologías.</w:t>
      </w:r>
    </w:p>
    <w:p w:rsidR="0063398C" w:rsidRPr="000B1A01" w:rsidRDefault="0063398C" w:rsidP="0063398C">
      <w:pPr>
        <w:pStyle w:val="NormalWeb"/>
        <w:spacing w:after="0"/>
        <w:jc w:val="both"/>
        <w:rPr>
          <w:color w:val="FF0000"/>
          <w:u w:val="single"/>
        </w:rPr>
      </w:pPr>
      <w:r w:rsidRPr="00771829">
        <w:rPr>
          <w:color w:val="FF0000"/>
          <w:u w:val="single"/>
        </w:rPr>
        <w:t>Un tercio los unicornios europeos acaban marchándose a EEUU por las trabas regulatorias y financieras para crecer. Entre 2009 y 2014, EEUU aprobó 3.500 regulaciones y la UE 13.000, y además carece de un análisis coste-beneficio</w:t>
      </w:r>
      <w:r>
        <w:t xml:space="preserve">. ¿Y cómo se financia todo esto? El ex presidente del BCE pide invertir 800.000 millones anuales, el 5 por ciento del PIB, en un total de 10 sectores: energía, materiales críticos, digitalización y tecnologías avanzadas, industrias intensivas en energía, tecnologías limpias, sector del automóvil, defensa, espacio, sector farmacéutico y transporte. </w:t>
      </w:r>
      <w:r w:rsidRPr="000B1A01">
        <w:rPr>
          <w:color w:val="FF0000"/>
          <w:u w:val="single"/>
        </w:rPr>
        <w:t>La financiación exigiría más recursos privados, una mejora de los mercados europeos de capitales, así como completar la Unión Bancaria. Pero, sobre todo, mayores recursos públicos que serían sufragados con deuda conjunta europea.</w:t>
      </w:r>
    </w:p>
    <w:p w:rsidR="0063398C" w:rsidRDefault="0063398C" w:rsidP="0063398C">
      <w:pPr>
        <w:pStyle w:val="NormalWeb"/>
        <w:spacing w:after="0"/>
        <w:jc w:val="both"/>
      </w:pPr>
      <w:r w:rsidRPr="000B1A01">
        <w:rPr>
          <w:color w:val="FF0000"/>
          <w:u w:val="single"/>
        </w:rPr>
        <w:t>El problema es que desde hace años hay fuertes resistencias de los países del Norte. Ya se opusieron a la emisión de deuda conjunta para los Next Generation que, por otro lado, no están generando el impulso económico esperado</w:t>
      </w:r>
      <w:r>
        <w:t>. La presidenta de la Comisión Europea, Úrsula von der Leyen, prometió convertir el informe Draghi en su plan de gobierno o, por lo menos, en su hoja de ruta, lo que ofrece cierta confianza en que algunos de los graves errores cometidos en los últimos años sean corregidos en la nueva legislatura.</w:t>
      </w:r>
    </w:p>
    <w:p w:rsidR="0063398C" w:rsidRDefault="0063398C" w:rsidP="0063398C">
      <w:pPr>
        <w:pStyle w:val="NormalWeb"/>
        <w:spacing w:after="0"/>
        <w:jc w:val="both"/>
      </w:pPr>
      <w:r>
        <w:t xml:space="preserve">Pero las dificultades internas de la coalición del canciller Scholz para mantenerse en pie o del presidente Macron para formar un gobierno de consenso en Francia, así como la presión migratoria que soporta Giorgia Meloni en Italia hacen temer que se dé prioridad a los problemas nacionales y las reformas urgentes que Draghi detalla en su informe acaben en un segundo plano </w:t>
      </w:r>
      <w:r w:rsidR="00FE7EFD">
        <w:t>o</w:t>
      </w:r>
      <w:r>
        <w:t xml:space="preserve"> en el baúl de los recuerdos. Sánchez quiere convertir España en la puerta de entrada de las </w:t>
      </w:r>
      <w:r w:rsidR="00FE7EFD">
        <w:t>automovilísticas</w:t>
      </w:r>
      <w:r>
        <w:t xml:space="preserve"> chinas, una esp</w:t>
      </w:r>
      <w:r w:rsidR="00FE7EFD">
        <w:t>ecie de Bienvenido Míster Marsha</w:t>
      </w:r>
      <w:r>
        <w:t>ll chino, sin considerar los riesgos económicos y de seguridad. Ahora entenderán porqué Europa está al borde de perder la carrera por la cuarta revolución industrial.</w:t>
      </w:r>
    </w:p>
    <w:p w:rsidR="0063398C" w:rsidRDefault="0063398C" w:rsidP="0063398C">
      <w:pPr>
        <w:pStyle w:val="NormalWeb"/>
        <w:spacing w:after="0"/>
        <w:jc w:val="both"/>
      </w:pPr>
      <w:r>
        <w:t>PD.-El presidente se quitó la careta en la inauguración del curso político al anunciar una subida de impuestos para "los del Lamborghini". Pero los últimos datos facilitados por Hacienda muestran una caída por primera vez de los declarantes de Patrimonio. El primer ministro francés, François Holland, ya creó un impuesto a las grandes fortunas que provocó la diáspora de los grandes patrimonios franceses.</w:t>
      </w:r>
    </w:p>
    <w:p w:rsidR="00D85D60" w:rsidRDefault="00D85D60" w:rsidP="00D85D60">
      <w:pPr>
        <w:pStyle w:val="NormalWeb"/>
        <w:spacing w:after="0"/>
        <w:jc w:val="both"/>
      </w:pPr>
      <w:r>
        <w:t xml:space="preserve">- </w:t>
      </w:r>
      <w:r w:rsidRPr="00127DE3">
        <w:rPr>
          <w:u w:val="single"/>
        </w:rPr>
        <w:t>No es dinero, es libertad</w:t>
      </w:r>
      <w:r>
        <w:t xml:space="preserve"> (Vozpópuli - 15/9/24)</w:t>
      </w:r>
    </w:p>
    <w:p w:rsidR="00D85D60" w:rsidRDefault="00D85D60" w:rsidP="00D85D60">
      <w:pPr>
        <w:pStyle w:val="NormalWeb"/>
        <w:spacing w:after="0"/>
        <w:jc w:val="both"/>
      </w:pPr>
      <w:r>
        <w:t>(Por Jesús Cacho)</w:t>
      </w:r>
    </w:p>
    <w:p w:rsidR="00D85D60" w:rsidRDefault="00D85D60" w:rsidP="00D85D60">
      <w:pPr>
        <w:pStyle w:val="NormalWeb"/>
        <w:spacing w:after="0"/>
        <w:jc w:val="both"/>
      </w:pPr>
      <w:r>
        <w:t xml:space="preserve"> “Autónomo desde mi juventud, me acabo de jubilar”, escribía un lector de este diario (alias Lareforma2024) en el foro del espléndido artículo que Enrique Feas (“El informe Draghi, la luna y el dedo”) dedicaba este viernes al grito de alarma del ex gobernador del Banco Central Europeo que esta semana ha conmocionado los cimientos de la Unión Europea. “Podría haber seguido trabajando porque me gustaba mi trabajo y físicamente estoy bien, con lo que hubiera podido mantener el modesto empleo que generaba. Pero me he ido hastiado y, sobre todo, incapaz de seguir adaptándome a las nuevas y constantes leyes y normas regulatorias que salen de Bruselas para controlar hasta el aire que se respira en la empresa. Nuevas reglas que implican siempre coste económico, lo que la hace menos competitiva. En lugar de simplificar normas de trabajo y producción, la UE regula y regula y regula ad infinitum, sobre todo y </w:t>
      </w:r>
      <w:r>
        <w:lastRenderedPageBreak/>
        <w:t xml:space="preserve">sobre todos, dejando el campo libre a la competencia externa”. Un párrafo que resume la frustración que hoy embarga a millones de europeos y a gran parte de sus empresas con el funcionamiento de una UE que en los últimos 10 o 15 años se ha convertido en una infernal máquina burocrática controlada por una elite muy bien pagada que ha hecho de Bruselas el fortín desde el que aparentemente piensa seguir mandando incluso contra, o al margen, de los intereses de los Gobiernos y de los ciudadanos europeos. </w:t>
      </w:r>
    </w:p>
    <w:p w:rsidR="00D85D60" w:rsidRDefault="00D85D60" w:rsidP="00D85D60">
      <w:pPr>
        <w:pStyle w:val="NormalWeb"/>
        <w:spacing w:after="0"/>
        <w:jc w:val="both"/>
      </w:pPr>
      <w:r>
        <w:t xml:space="preserve">“El cobro de la PAC está vinculado a una obsesiva elaboración documental de todo lo que piensas sembrar en tus fincas, con qué vas a tratar los cultivos, cuándo y cómo lo vas a recoger, a qué sector animal o segmento de población va a ir dirigido… El incumplimiento de cualquiera de esas exigencias supone perder la subvención de ese año o a verla rebajada en un determinado porcentaje. Y rara es la semana que no aparecen nuevas normas”, se contaba aquí (“La rebelión de los labrantines”) el pasado 11 de febrero. Agricultores y ganaderos de toda Europa se han visto obligados en no pocos casos a contratar los servicios de gestorías especializadas para poder cumplir con el papeleo que imponen las nuevas normas. “Que la UE no es una gran promotora del libre mercado, el espíritu empresarial y la innovación, sino más bien una máquina de producir reglamentos es un hecho conocido”, escribía por su parte Kai Weiss en Disidentia el pasado mayo. “No hay más que ver los 109 reglamentos sobre almohadas, los 50 sobre sábanas y edredones o las 31 leyes sobre cepillos de dientes que ha elaborado Bruselas. O la explicación detallada de cómo debe ser un plátano y cómo tiene que estar libre de malformaciones o curvaturas anormales”. </w:t>
      </w:r>
    </w:p>
    <w:p w:rsidR="00D85D60" w:rsidRDefault="00D85D60" w:rsidP="00D85D60">
      <w:pPr>
        <w:pStyle w:val="NormalWeb"/>
        <w:spacing w:after="0"/>
        <w:jc w:val="both"/>
      </w:pPr>
      <w:r>
        <w:t>La respuesta exasperada de agricultores y ganaderos fueron las movilizaciones que a primeros de año llenaron de tractores las calles de muchas ciudades españolas y europeas. La situación es particularmente gravosa en España para todo tipo de empresas, víctimas propiciatorias de una sindicalista comunista semianalfabeta reciclada como vicepresidenta del Gobierno y ministra de Trabajo, que disfruta trasponiendo normas de Bruselas e inventándose otras nuevas destinadas a entorpecer, nunca a facilitar, el libre funcionamiento de las compañías. Si a ello se le añade la existencia de una maraña regulatoria que obstaculiza, cuando no imposibilita, las fusiones y adquisiciones empresariales, tendremos dibujado a grandes rasgos el drama de un estamento empresarial que trabaja con una mano atada a la espalda frente a sus competidores norteamericanos y chinos. Todo son barreras al crecimiento. El resultado es que hace 20 años o más que las economías europeas no crecen o lo hacen de forma raquítica, incapaces de crear empleo suficiente y riqueza bastante para mantener unos Estados del Bienestar imposibles de financiar si no es mediante el recurso a la deuda, con el BCE como prestamista de último recurso. El Tesoro español necesita pedir prestados entre 70.000/80.000 millones todos los años. La deuda pública ha superado ya los 1,6 billones. La francesa ha rebasado los 3,16 billones. De la italiana ni hablamos.</w:t>
      </w:r>
    </w:p>
    <w:p w:rsidR="00D85D60" w:rsidRDefault="00D85D60" w:rsidP="00D85D60">
      <w:pPr>
        <w:pStyle w:val="NormalWeb"/>
        <w:spacing w:after="0"/>
        <w:jc w:val="both"/>
      </w:pPr>
      <w:r>
        <w:t xml:space="preserve">El modelo socialdemócrata (unas veces gestionado por la izquierda y otras por la derecha, tradicional taller de reparaciones de los destrozos socialistas) que ha imperado en Europa desde el final de la II Guerra Mundial está más que agotado. Cada uno de enero, la parte del león de los Presupuestos estatales está ya comprometida cuando los Gobiernos levantan el telón. Todas las cartas repartidas. El Estado francés destina el 57% del suyo a gasto social y algo parecido, aunque en menor medida, ocurre en España. Para mantener esta máquina imparable de gasto público los Gobiernos -que en el fondo hacen lo que les piden sus votantes- asfixian a ciudadanos y empresas con una fiscalidad insoportable. Se paga por todo, por lo que uno gana y por lo que gasta, por lo que presta y por lo que dona o lega. También por la rentabilidad de los ahorros. La voracidad de esta socialdemocracia keynesiana que soportamos mansamente es insaciable. La UE, heredera de aquel Mercado Común que nació </w:t>
      </w:r>
      <w:r>
        <w:lastRenderedPageBreak/>
        <w:t>para aprovechar las sinergías entre países, se ha convertido en un monstruo al servicio exclusivo de los Gobiernos, no de los ciudadanos y de las empresas.</w:t>
      </w:r>
    </w:p>
    <w:p w:rsidR="00D85D60" w:rsidRDefault="00D85D60" w:rsidP="00D85D60">
      <w:pPr>
        <w:pStyle w:val="NormalWeb"/>
        <w:spacing w:after="0"/>
        <w:jc w:val="both"/>
      </w:pPr>
      <w:r>
        <w:t xml:space="preserve">El resultado ha sido la pérdida constante de posiciones competitivas. Los europeos somos cada año menos ricos y sobre todo, menos libres, víctimas propiciatorias de las nuevas ideologías basura (lo “woke” y sus flecos) que se han apoderado de esas élites de Bruselas, una de cuyas palabras favoritas es “decrecimiento”. La brecha entre los niveles de PIB de los Estados Unidos y de la UE, que en el 2002 era del 15%, se ha disparado en 2023 hasta el 30%. En términos per cápita, el ingreso real disponible de los hogares ha crecido casi el doble en EE.UU. que en la UE desde el año 2000. La situación es particularmente gravosa para los españoles si tenemos en cuenta que nuestra renta per cápita es hoy, año 2024, inferior a la de 2004. Veinte años perdidos, 14 de los cuales bajo gobierno socialista, con 6 dilapidados en el mandarinato bobo de Mariano Rajoy. Las multinacionales españolas, que a finales de siglo parecían destinadas a comerse el mundo, cotizan hoy a precio de ganga, con la excepción de Inditex e Iberdrola. Buena parte de los unicornios europeos emigran rápidamente a USA. De las 50 principales empresas tecnológicas mundiales, sólo cuatro son europeas. Peor aún, en los últimos 50 años no se ha creado ninguna empresa europea con una capitalización bursátil superior a los 100.000 millones, mientras que las seis grandes americanas cuyo valor en bolsa supera el billón de euros han nacido todas en este período. </w:t>
      </w:r>
    </w:p>
    <w:p w:rsidR="00D85D60" w:rsidRDefault="00D85D60" w:rsidP="00D85D60">
      <w:pPr>
        <w:pStyle w:val="NormalWeb"/>
        <w:spacing w:after="0"/>
        <w:jc w:val="both"/>
      </w:pPr>
      <w:r>
        <w:t xml:space="preserve">El informe Draghi entregado esta semana ha venido a dar la voz de alarma. La UE se enfrenta a un “drama existencial”, en expresión del político italiano. Se trata de un estudio riguroso que debería servir para provocar un cambio radical de rumbo en las instituciones comunitarias. Les ahorro detalles. El citado artículo de Feas puede servir de perfecta introducción a un trabajo cuya lectura sosegada merece la pena. Curiosamente o no tanto, los resultados de las últimas elecciones europeas han venido a dar la razón a Mario Draghi, en tanto en cuanto han supuesto un toque de atención a esa clase política parasitaria parapetada en Bruselas. Pero, ¿ha servido para algo? Rápidamente populares y socialistas se han puesto de acuerdo para reelegir como presidenta de la Comisión a un mujer digna de toda sospecha, Ursula Von der Leyen, sobre cuya probada ineficacia pesan serias sospechas de corrupción en el caso de las vacunas. La contradicción no puede ser más deslumbrante: Draghi anunciando el fin del mundo y la clase política europea enviando a la ciudadanía el mensaje de que aquí no pasa nada, y si algo pasa es que nos vamos a seguir repartiendo el pastel como siempre, a base de cuotas. A España le corresponde nombrar un comisario y nuestro sátrapa ha decidido enchufar a una de sus “servants”, Teresa Ribera, actual ministra de Energía y no sé cuántas cosas más, una sectaria de tomo y lomo sobre la que pesan también serias sospechas -en realidad sobre toda la banda Sánchez- de corrupción compartidas con su marido, el Bacigalupo de turno, un tipo con mando en plaza primero en la CNMC y después, porque yo lo valgo, en la CNMV. Algunos seres angelicales se han alegrado en Madrid de que los nórdicos le hayan quitado Clima y Energía, saben de qué pie cojea la dama, y de que, como mal menor, le vayan a adjudicar Competencia, sin reparar en que quizá sea peor el remedio que la enfermedad porque el destrozo causado por esta incompetente en Competencia podría ser aún mayor que en cualquier otra área. El misterio debería sustanciarse este miércoles en el pleno del Parlamento de Estrasburgo, bajo amenaza socialista de no dar el visto bueno a la nueva Comisión si lo de la doña no sale adelante. La mafia pretende seguir chupando del bote a cualquier precio. </w:t>
      </w:r>
    </w:p>
    <w:p w:rsidR="00D85D60" w:rsidRDefault="00D85D60" w:rsidP="00D85D60">
      <w:pPr>
        <w:pStyle w:val="NormalWeb"/>
        <w:spacing w:after="0"/>
        <w:jc w:val="both"/>
      </w:pPr>
      <w:r>
        <w:t xml:space="preserve">Es este tipo de cosas las que inducen a pensar que el informe Draghi dormirá el sueño de los justos en un cajón del despacho de Von der Leyen. Es verdad que nuestra integración en el club europeo resultó capital a la hora de modernizar España e integrarla en el concierto de las </w:t>
      </w:r>
      <w:r>
        <w:lastRenderedPageBreak/>
        <w:t>democracias desarrolladas (aunque nada garantiza que Bruselas vaya a convertirse en el vigilante de la playa, asusta pensar lo que sería de nuestras libertades bajo el autócrata que nos preside -la Turquía de Erdogan en el mejor de los casos; la Venezuela de Maduro en el peor-  si España estuviera hoy fuera del paraguas comunitario), pero el proyecto está muerto a menos que ocurra una auténtica revolución democrática. ¿Qué haría la burocracia de Bruselas con esos 800.000 millones adicionales de gasto anual que propone Draghi para cerrar el “gap” tecnológico con USA y China? Seguramente lo mismo que hizo con el Plan de Crecimiento y Empleo diseñado tras las crisis financiera de 2008, o con los 700.000 millones del Plan Juncker, o con el mayor estímulo fiscal de la historia reciente (BCE mediante y sus tipos nominales negativos), o con los tropecientos mil millones de los Fondos Next Generation, 72.000 de los cuales gratis total para España, de los cuales nada se sabe ni nada se sabrá aunque cabe sospechar que una parte de ellos terminarán en los bolsillos de siempre.</w:t>
      </w:r>
    </w:p>
    <w:p w:rsidR="00D85D60" w:rsidRDefault="00D85D60" w:rsidP="00D85D60">
      <w:pPr>
        <w:pStyle w:val="NormalWeb"/>
        <w:spacing w:after="0"/>
        <w:jc w:val="both"/>
      </w:pPr>
      <w:r>
        <w:t>La clase política europea sigue, sin embargo, aferrada a las tres reglas de oro del keynesianismo: primero, lo que hicimos no fue suficiente; segundo, hubiera sido peor no hacerlo; tercero y último, volvamos a repetir el experimento, volvamos a echar dinero bueno sobre dinero malo. La solución, empero, no parece estar ya en el dinero, sino en la libertad. Libertad para emprender, para crear, para construir, para crecer sin ataduras, sin cepos fiscales, sin grilletes regulatorios. De aquellos valores que un día defendieron Ronald Reagan en EE.UU. y Margaret Thatcher en Europa no queda hoy nada. El valor del talento, la recompensa del trabajo bien hecho, el libre disfrute del esfuerzo. Hay que hacer posible un entorno favorable al crecimiento, con bajos impuestos, buenas prácticas regulatorias, derecho de propiedad, libertad de empresa y todo lo demás. Entronizar al individuo, a su razón y a su esfuerzo, el individuo afincado en su “tadeonta” (eso que en griego clásico significa lo apropiado, lo conveniente, lo justo) en el frontispicio de la Unión. Y terminar con la odiosa tiranía de la igualdad por decreto. Acabar con la pobreza. Dice Draghi que "la UE ha llegado a un punto en el que, si no actúa, tendrá que comprometer su bienestar, el medio ambiente o su libertad". Yo creo que las tres condiciones no son excluyentes y que si no cambia de forma rápida y contundente lo acabará perdiendo todo. Bienestar y libertad desde luego. Imposible pensar otra cosa viendo el timón de Bruselas en manos de ineptos, corruptos y protodelincuentes.</w:t>
      </w:r>
    </w:p>
    <w:p w:rsidR="00D85D60" w:rsidRDefault="00D0629F" w:rsidP="00D85D60">
      <w:pPr>
        <w:pStyle w:val="NormalWeb"/>
        <w:spacing w:after="0"/>
        <w:jc w:val="both"/>
        <w:rPr>
          <w:color w:val="FF0000"/>
          <w:shd w:val="clear" w:color="auto" w:fill="FFFFFF"/>
        </w:rPr>
      </w:pPr>
      <w:r>
        <w:rPr>
          <w:color w:val="FF0000"/>
          <w:u w:val="single"/>
          <w:shd w:val="clear" w:color="auto" w:fill="FFFFFF"/>
        </w:rPr>
        <w:t>“</w:t>
      </w:r>
      <w:r w:rsidR="00D85D60" w:rsidRPr="002D0151">
        <w:rPr>
          <w:color w:val="FF0000"/>
          <w:u w:val="single"/>
          <w:shd w:val="clear" w:color="auto" w:fill="FFFFFF"/>
        </w:rPr>
        <w:t>Añádasele </w:t>
      </w:r>
      <w:r w:rsidR="00D85D60" w:rsidRPr="002D0151">
        <w:rPr>
          <w:rStyle w:val="Textoennegrita"/>
          <w:color w:val="FF0000"/>
          <w:u w:val="single"/>
          <w:bdr w:val="none" w:sz="0" w:space="0" w:color="auto" w:frame="1"/>
          <w:shd w:val="clear" w:color="auto" w:fill="FFFFFF"/>
        </w:rPr>
        <w:t>el señuelo d</w:t>
      </w:r>
      <w:r w:rsidR="00FE7EFD">
        <w:rPr>
          <w:rStyle w:val="Textoennegrita"/>
          <w:color w:val="FF0000"/>
          <w:u w:val="single"/>
          <w:bdr w:val="none" w:sz="0" w:space="0" w:color="auto" w:frame="1"/>
          <w:shd w:val="clear" w:color="auto" w:fill="FFFFFF"/>
        </w:rPr>
        <w:t>el monstruoso dispendio de Dragh</w:t>
      </w:r>
      <w:r w:rsidR="00D85D60" w:rsidRPr="002D0151">
        <w:rPr>
          <w:rStyle w:val="Textoennegrita"/>
          <w:color w:val="FF0000"/>
          <w:u w:val="single"/>
          <w:bdr w:val="none" w:sz="0" w:space="0" w:color="auto" w:frame="1"/>
          <w:shd w:val="clear" w:color="auto" w:fill="FFFFFF"/>
        </w:rPr>
        <w:t>i</w:t>
      </w:r>
      <w:r w:rsidR="00D85D60" w:rsidRPr="002D0151">
        <w:rPr>
          <w:color w:val="FF0000"/>
          <w:u w:val="single"/>
          <w:shd w:val="clear" w:color="auto" w:fill="FFFFFF"/>
        </w:rPr>
        <w:t> que, como los Next-Generation, no se sabe adónde irán ni cómo se repartirán. El nuevo atraco a la deuda pública de 800.000 millones es una garantía de opacidad y corrupción. Podrían adjudicarle los ingresos que se les ocurra y no habría forma de desmentirlos. Nadie sabe qué pasará, pero si pasa lo mismo que hace tres años, que es lo normal,</w:t>
      </w:r>
      <w:r w:rsidR="00D85D60" w:rsidRPr="002D0151">
        <w:rPr>
          <w:rStyle w:val="Textoennegrita"/>
          <w:color w:val="FF0000"/>
          <w:u w:val="single"/>
          <w:bdr w:val="none" w:sz="0" w:space="0" w:color="auto" w:frame="1"/>
          <w:shd w:val="clear" w:color="auto" w:fill="FFFFFF"/>
        </w:rPr>
        <w:t> la opacidad presupuestaria en los países de la UE</w:t>
      </w:r>
      <w:r w:rsidR="00D85D60" w:rsidRPr="002D0151">
        <w:rPr>
          <w:color w:val="FF0000"/>
          <w:u w:val="single"/>
          <w:shd w:val="clear" w:color="auto" w:fill="FFFFFF"/>
        </w:rPr>
        <w:t> será tenebrosa. Y en España, más</w:t>
      </w:r>
      <w:r>
        <w:rPr>
          <w:color w:val="FF0000"/>
          <w:u w:val="single"/>
          <w:shd w:val="clear" w:color="auto" w:fill="FFFFFF"/>
        </w:rPr>
        <w:t>”..</w:t>
      </w:r>
      <w:r w:rsidR="00D85D60" w:rsidRPr="00915DAB">
        <w:rPr>
          <w:color w:val="FF0000"/>
          <w:shd w:val="clear" w:color="auto" w:fill="FFFFFF"/>
        </w:rPr>
        <w:t>. (Jiménez Losantos -</w:t>
      </w:r>
      <w:r>
        <w:rPr>
          <w:color w:val="FF0000"/>
          <w:shd w:val="clear" w:color="auto" w:fill="FFFFFF"/>
        </w:rPr>
        <w:t xml:space="preserve"> LD - </w:t>
      </w:r>
      <w:r w:rsidR="00D85D60" w:rsidRPr="00915DAB">
        <w:rPr>
          <w:color w:val="FF0000"/>
          <w:shd w:val="clear" w:color="auto" w:fill="FFFFFF"/>
        </w:rPr>
        <w:t>15/9)</w:t>
      </w:r>
    </w:p>
    <w:p w:rsidR="00D85D60" w:rsidRDefault="00D85D60" w:rsidP="00D85D60">
      <w:pPr>
        <w:pStyle w:val="NormalWeb"/>
        <w:spacing w:after="0"/>
        <w:jc w:val="both"/>
      </w:pPr>
      <w:r>
        <w:t xml:space="preserve">- </w:t>
      </w:r>
      <w:r w:rsidRPr="00C11F81">
        <w:rPr>
          <w:u w:val="single"/>
        </w:rPr>
        <w:t>Del infierno normativo al atasco de fondos: España es un pésimo ejemplo para Draghi</w:t>
      </w:r>
      <w:r>
        <w:t xml:space="preserve"> (Vozpópuli - </w:t>
      </w:r>
      <w:r w:rsidRPr="00C11F81">
        <w:rPr>
          <w:b/>
        </w:rPr>
        <w:t>15/9/24</w:t>
      </w:r>
      <w:r>
        <w:t>)</w:t>
      </w:r>
    </w:p>
    <w:p w:rsidR="00D85D60" w:rsidRDefault="00D85D60" w:rsidP="00D85D60">
      <w:pPr>
        <w:pStyle w:val="NormalWeb"/>
        <w:spacing w:after="0"/>
        <w:jc w:val="both"/>
      </w:pPr>
      <w:r>
        <w:t>(Por Juan T. Delgado)</w:t>
      </w:r>
    </w:p>
    <w:p w:rsidR="00D85D60" w:rsidRDefault="00D85D60" w:rsidP="00D85D60">
      <w:pPr>
        <w:pStyle w:val="NormalWeb"/>
        <w:spacing w:after="0"/>
        <w:jc w:val="both"/>
      </w:pPr>
      <w:r>
        <w:t>Tiene casi 400 páginas y examina a fondo los retos económicos que afronta la UE. Hablamos del conocido como Informe Draghi, un profundo análisis impulsado por el ex primer ministro italiano. A Mario Draghi se le atribuye un papel esencial en la salvación del euro en la última crisis financiera, desde su atalaya de presidente del Banco Central Europeo. Por eso goza de tanto predicamento entre mandatarios, analistas y economistas del continente.</w:t>
      </w:r>
    </w:p>
    <w:p w:rsidR="00D85D60" w:rsidRDefault="00D85D60" w:rsidP="00D85D60">
      <w:pPr>
        <w:pStyle w:val="NormalWeb"/>
        <w:spacing w:after="0"/>
        <w:jc w:val="both"/>
      </w:pPr>
      <w:r>
        <w:lastRenderedPageBreak/>
        <w:t>Draghi presentó este lunes su esperado informe sobre la competitividad en la UE. Incluye, de entrada, una medida llamativa: movilizar hasta 800.000 millones de euros al año, buena parte de ellos públicos, para acortar la brecha económica que separa a la</w:t>
      </w:r>
      <w:r w:rsidR="00734564">
        <w:t xml:space="preserve"> UE de Estados Unidos y China. “Manguerazo”</w:t>
      </w:r>
      <w:r>
        <w:t xml:space="preserve"> financiero a parte, Draghi identifica una serie de problemas y soluciones. España, a su pesar, sirve de ejemplo de lo mucho que se está haciendo mal y del camino que le queda por recorrer a Europa.</w:t>
      </w:r>
    </w:p>
    <w:p w:rsidR="00D85D60" w:rsidRDefault="00D85D60" w:rsidP="00D85D60">
      <w:pPr>
        <w:pStyle w:val="NormalWeb"/>
        <w:spacing w:after="0"/>
        <w:jc w:val="both"/>
      </w:pPr>
      <w:r>
        <w:t>Burocracia insufrible</w:t>
      </w:r>
    </w:p>
    <w:p w:rsidR="00D85D60" w:rsidRDefault="002D0151" w:rsidP="00D85D60">
      <w:pPr>
        <w:pStyle w:val="NormalWeb"/>
        <w:spacing w:after="0"/>
        <w:jc w:val="both"/>
      </w:pPr>
      <w:r>
        <w:t>“</w:t>
      </w:r>
      <w:r w:rsidR="00D85D60">
        <w:t>La carga regulatoria que pesa sobre las empresas europe</w:t>
      </w:r>
      <w:r>
        <w:t>as es elevada y sigue creciendo”</w:t>
      </w:r>
      <w:r w:rsidR="00D85D60">
        <w:t>, alerta el Informe Draghi. Ese exceso de burocracia y de regulación tiene dos efectos claros. Por un lado, rale</w:t>
      </w:r>
      <w:r>
        <w:t>ntiza la innovación -auténtico “</w:t>
      </w:r>
      <w:r w:rsidR="00D85D60">
        <w:t>ta</w:t>
      </w:r>
      <w:r>
        <w:t>lón de Aquiles”</w:t>
      </w:r>
      <w:r w:rsidR="00D85D60">
        <w:t xml:space="preserve"> de la UE frente a EEUU-. Por otro, impide a las empresas ganar tamaño.</w:t>
      </w:r>
    </w:p>
    <w:p w:rsidR="00D85D60" w:rsidRDefault="002D0151" w:rsidP="00D85D60">
      <w:pPr>
        <w:pStyle w:val="NormalWeb"/>
        <w:spacing w:after="0"/>
        <w:jc w:val="both"/>
      </w:pPr>
      <w:r>
        <w:t>“</w:t>
      </w:r>
      <w:r w:rsidR="00D85D60">
        <w:t>El efecto de esta carga regulatoria es que sólo las empresas más grandes tienen la capacidad financiera y los incentivos para sopo</w:t>
      </w:r>
      <w:r>
        <w:t>rtar los costes de cumplimiento”</w:t>
      </w:r>
      <w:r w:rsidR="00D85D60">
        <w:t>, indica el estudio. El problema lo tienen las de menor tamaño, muchas de ellas tecnológicas y clave</w:t>
      </w:r>
      <w:r>
        <w:t>s, por tanto en la innovación. “</w:t>
      </w:r>
      <w:r w:rsidR="00D85D60">
        <w:t>Las empresas innovadoras que quieren crecer en Europa se ven obstaculizadas en cada etapa por políticas inconsistentes y restricti</w:t>
      </w:r>
      <w:r>
        <w:t>vas”</w:t>
      </w:r>
      <w:r w:rsidR="00FE7EFD">
        <w:t>, añade. Dragh</w:t>
      </w:r>
      <w:r w:rsidR="00D85D60">
        <w:t>i se queja de que los Gobiernos siempre pregonan que qu</w:t>
      </w:r>
      <w:r>
        <w:t>ieren favorecer la innovación. “</w:t>
      </w:r>
      <w:r w:rsidR="00D85D60">
        <w:t>Pero seguimos añadiendo cargas</w:t>
      </w:r>
      <w:r>
        <w:t xml:space="preserve"> regulatorias nuestras empresas”</w:t>
      </w:r>
      <w:r w:rsidR="00D85D60">
        <w:t>, lamenta.</w:t>
      </w:r>
    </w:p>
    <w:p w:rsidR="00D85D60" w:rsidRDefault="002D0151" w:rsidP="00D85D60">
      <w:pPr>
        <w:pStyle w:val="NormalWeb"/>
        <w:spacing w:after="0"/>
        <w:jc w:val="both"/>
      </w:pPr>
      <w:r>
        <w:t>Si algo sobra</w:t>
      </w:r>
      <w:r w:rsidR="00D85D60">
        <w:t xml:space="preserve"> en nuestro país son trabas normativas. Según un análisis publicado por el Banco de España, entre 1995 y 2020 han visto la luz 206.777 normas. En los últimos años, la tendencia se ha acelerado, por la intensa actividad del Gobierno central y, sobre todo, de las comunidades autónomas. La patronal ANGED cuantificó 683 nuevas normas en 2023 dirigidas sólo al sector de la distribución (casi dos al día).</w:t>
      </w:r>
    </w:p>
    <w:p w:rsidR="00D85D60" w:rsidRDefault="00D85D60" w:rsidP="00D85D60">
      <w:pPr>
        <w:pStyle w:val="NormalWeb"/>
        <w:spacing w:after="0"/>
        <w:jc w:val="both"/>
      </w:pPr>
      <w:r>
        <w:t>CEOE hizo otro recuento ilustrativo: el número de páginas publicadas por los Boletines Oficiales de ámbito estatal y autonómico superó las 1.275.000 el año pasado (3.494 pág</w:t>
      </w:r>
      <w:r w:rsidR="002D0151">
        <w:t>inas al día). En ese “infierno normativo”</w:t>
      </w:r>
      <w:r>
        <w:t>, la Comunidad de Madrid se alza como una especie de oasis (en tres años, han suprimido 343 trabas). Pero la región que gobierna Isabel Díaz Ayuso es, prácticamente, una excepción en el territorio nacional.</w:t>
      </w:r>
    </w:p>
    <w:p w:rsidR="00D85D60" w:rsidRDefault="00D85D60" w:rsidP="00D85D60">
      <w:pPr>
        <w:pStyle w:val="NormalWeb"/>
        <w:spacing w:after="0"/>
        <w:jc w:val="both"/>
      </w:pPr>
      <w:r>
        <w:t>Nuevos fondos pese al atasco de los antiguos</w:t>
      </w:r>
    </w:p>
    <w:p w:rsidR="00D85D60" w:rsidRDefault="002D0151" w:rsidP="00D85D60">
      <w:pPr>
        <w:pStyle w:val="NormalWeb"/>
        <w:spacing w:after="0"/>
        <w:jc w:val="both"/>
      </w:pPr>
      <w:r>
        <w:t>“</w:t>
      </w:r>
      <w:r w:rsidR="00D85D60">
        <w:t>La UE debería continuar siguiendo el model</w:t>
      </w:r>
      <w:r>
        <w:t>o de los fondos Next Generation”</w:t>
      </w:r>
      <w:r w:rsidR="00D85D60">
        <w:t>, asegura el ex primer min</w:t>
      </w:r>
      <w:r>
        <w:t>istro italiano. Propone emitir “</w:t>
      </w:r>
      <w:r w:rsidR="00D85D60">
        <w:t>instrumentos de deuda comunes, que se utilizarían para financiar proyectos de inversión conjuntos que aumenten la competi</w:t>
      </w:r>
      <w:r>
        <w:t>tividad y la seguridad de la UE”</w:t>
      </w:r>
      <w:r w:rsidR="00D85D60">
        <w:t>.</w:t>
      </w:r>
    </w:p>
    <w:p w:rsidR="00D85D60" w:rsidRDefault="00D85D60" w:rsidP="00D85D60">
      <w:pPr>
        <w:pStyle w:val="NormalWeb"/>
        <w:spacing w:after="0"/>
        <w:jc w:val="both"/>
      </w:pPr>
      <w:r>
        <w:t>El informe da una cifra de grandes dimensiones: la UE debería invertir cerca de 800.000 millones de euros anuales, equivalentes al 5% del PIB de la Unión. Esa cantidad supera con creces a</w:t>
      </w:r>
      <w:r w:rsidR="002D0151">
        <w:t>l viejo “Plan Marshall”</w:t>
      </w:r>
      <w:r>
        <w:t xml:space="preserve"> y buena parte debería proceder de las arcas públicas. Draghi no especifica cuánto, pero el planteamiento</w:t>
      </w:r>
      <w:r w:rsidR="002D0151">
        <w:t xml:space="preserve"> está claro: es necesario otro “manantial”</w:t>
      </w:r>
      <w:r>
        <w:t xml:space="preserve"> de dinero público para impulsar la débil industria europea. Sí dio una pista: las ayudas beneficiarían, sobre todo, a los sectores energético y tecnológico.</w:t>
      </w:r>
    </w:p>
    <w:p w:rsidR="00D85D60" w:rsidRDefault="00D85D60" w:rsidP="00D85D60">
      <w:pPr>
        <w:pStyle w:val="NormalWeb"/>
        <w:spacing w:after="0"/>
        <w:jc w:val="both"/>
      </w:pPr>
      <w:r>
        <w:lastRenderedPageBreak/>
        <w:t>Draghi plantea abrir de nuevo el grifo de la financiación, cuando los Estados miembros aún están enfangados con los Next Generation, que suponen mucho dinero (750.000 millones) y que van destinados en gran parte a los mismos sectores en mente de Draghi.</w:t>
      </w:r>
    </w:p>
    <w:p w:rsidR="00D85D60" w:rsidRDefault="00D85D60" w:rsidP="00D85D60">
      <w:pPr>
        <w:pStyle w:val="NormalWeb"/>
        <w:spacing w:after="0"/>
        <w:jc w:val="both"/>
      </w:pPr>
      <w:r>
        <w:t>El gran ejemplo de los problemas de ejecución está en España. En un informe reciente, el Tribunal de Cuentas de la UE saca los colores a España por la gestión de los fondos europeos. Se queja, entre otras cosas, de la f</w:t>
      </w:r>
      <w:r w:rsidR="002D0151">
        <w:t>alta de medidas para favorecer “</w:t>
      </w:r>
      <w:r>
        <w:t>la simplificación de los</w:t>
      </w:r>
      <w:r w:rsidR="002D0151">
        <w:t xml:space="preserve"> procedimientos administrativos”</w:t>
      </w:r>
      <w:r>
        <w:t>. El mal eterno de la burocracia. El FMI ta</w:t>
      </w:r>
      <w:r w:rsidR="002D0151">
        <w:t>mbién calcula que nuestro país “perderá”</w:t>
      </w:r>
      <w:r>
        <w:t xml:space="preserve"> 57.000 millones del dinero comunitario, porque no será capaz de emplearlo. Tampoco supo nunca exprimir los fondos de cohesión.</w:t>
      </w:r>
    </w:p>
    <w:p w:rsidR="00D85D60" w:rsidRDefault="00D85D60" w:rsidP="00D85D60">
      <w:pPr>
        <w:pStyle w:val="NormalWeb"/>
        <w:spacing w:after="0"/>
        <w:jc w:val="both"/>
      </w:pPr>
      <w:r>
        <w:t>La productividad no levanta cabeza</w:t>
      </w:r>
    </w:p>
    <w:p w:rsidR="00D85D60" w:rsidRDefault="002D0151" w:rsidP="00D85D60">
      <w:pPr>
        <w:pStyle w:val="NormalWeb"/>
        <w:spacing w:after="0"/>
        <w:jc w:val="both"/>
      </w:pPr>
      <w:r>
        <w:t>“</w:t>
      </w:r>
      <w:r w:rsidR="00D85D60">
        <w:t xml:space="preserve">Europa necesita un crecimiento más rápido de la productividad para mantener tasas de crecimiento sostenibles frente a una situación demográfica </w:t>
      </w:r>
      <w:r>
        <w:t>adversa”</w:t>
      </w:r>
      <w:r w:rsidR="00D85D60">
        <w:t>, recuerd</w:t>
      </w:r>
      <w:r>
        <w:t>a, de entrada, el informe. Esa “profunda desaceleración”</w:t>
      </w:r>
      <w:r w:rsidR="00D85D60">
        <w:t xml:space="preserve"> de la productividad es una</w:t>
      </w:r>
      <w:r>
        <w:t xml:space="preserve"> de las principales causas de “a amplia brecha en el PIB”</w:t>
      </w:r>
      <w:r w:rsidR="00D85D60">
        <w:t xml:space="preserve"> que se ha abierto entre la UE y los EEUU.</w:t>
      </w:r>
    </w:p>
    <w:p w:rsidR="00D85D60" w:rsidRDefault="00D85D60" w:rsidP="00D85D60">
      <w:pPr>
        <w:pStyle w:val="NormalWeb"/>
        <w:spacing w:after="0"/>
        <w:jc w:val="both"/>
      </w:pPr>
      <w:r>
        <w:t xml:space="preserve">El equipo de </w:t>
      </w:r>
      <w:r w:rsidR="002D0151">
        <w:t>analistas de Draghi señala que “</w:t>
      </w:r>
      <w:r>
        <w:t>para 2040, se prevé que la fuerza laboral se reducirá en cerca de dos mi</w:t>
      </w:r>
      <w:r w:rsidR="002D0151">
        <w:t>llones de trabajadores cada año”. No queda otra, pues, que “</w:t>
      </w:r>
      <w:r>
        <w:t>apoyarnos más en productivid</w:t>
      </w:r>
      <w:r w:rsidR="002D0151">
        <w:t>ad para impulsar el crecimiento”</w:t>
      </w:r>
      <w:r>
        <w:t>.</w:t>
      </w:r>
    </w:p>
    <w:p w:rsidR="00D85D60" w:rsidRDefault="00D85D60" w:rsidP="00D85D60">
      <w:pPr>
        <w:pStyle w:val="NormalWeb"/>
        <w:spacing w:after="0"/>
        <w:jc w:val="both"/>
      </w:pPr>
      <w:r>
        <w:t xml:space="preserve">La </w:t>
      </w:r>
      <w:r w:rsidR="002D0151">
        <w:t>economía española tiene muchos “hándicaps”</w:t>
      </w:r>
      <w:r>
        <w:t>, pero la baja productividad está entre los peores. El Banco de Espa</w:t>
      </w:r>
      <w:r w:rsidR="002D0151">
        <w:t>ña y la inmensa mayoría de los “thinks tanks”</w:t>
      </w:r>
      <w:r>
        <w:t xml:space="preserve"> privados (Funcas, Instituto de Estudios Económicos o Equipo Económico) coinciden en que la productividad se ha convertido en un problema estructural, causante de la brecha de PIB per </w:t>
      </w:r>
      <w:r w:rsidR="00FE7EFD">
        <w:t>cápita</w:t>
      </w:r>
      <w:r>
        <w:t xml:space="preserve"> entre la economía española y la europea. El Banco de España aporta dos datos su último informe anual: la productividad ha crecido un 13% menos que en Alemania desde que arrancó el siglo, y un 17% por debajo de Estados Unidos. </w:t>
      </w:r>
    </w:p>
    <w:p w:rsidR="00D85D60" w:rsidRDefault="00D85D60" w:rsidP="00D85D60">
      <w:pPr>
        <w:pStyle w:val="NormalWeb"/>
        <w:spacing w:after="0"/>
        <w:jc w:val="both"/>
      </w:pPr>
      <w:r>
        <w:t>Una industria demasiado débil</w:t>
      </w:r>
    </w:p>
    <w:p w:rsidR="00D85D60" w:rsidRDefault="00D85D60" w:rsidP="00D85D60">
      <w:pPr>
        <w:pStyle w:val="NormalWeb"/>
        <w:spacing w:after="0"/>
        <w:jc w:val="both"/>
      </w:pPr>
      <w:r>
        <w:t>La transformación de la economía europea para atajar a EEUU y China pasa por impulsar una nueva est</w:t>
      </w:r>
      <w:r w:rsidR="002D0151">
        <w:t>rategia industrial para la UE. “</w:t>
      </w:r>
      <w:r>
        <w:t>Europa está atrapada en una estructura industrial estática, con pocas empresas nuevas que surjan para alterar las industrias existentes o desarrolla</w:t>
      </w:r>
      <w:r w:rsidR="002D0151">
        <w:t>r nuevos motores de crecimiento”</w:t>
      </w:r>
      <w:r>
        <w:t>, señala el informe.</w:t>
      </w:r>
    </w:p>
    <w:p w:rsidR="00D85D60" w:rsidRDefault="00D85D60" w:rsidP="00D85D60">
      <w:pPr>
        <w:pStyle w:val="NormalWeb"/>
        <w:spacing w:after="0"/>
        <w:jc w:val="both"/>
      </w:pPr>
      <w:r>
        <w:t>A continuación, aporta un dato: no hay ninguna empresa de la UE con una capitalización bursátil superior a 100.000 millones de euros que se haya creado desde cero en los últimos 50 años, mientras que las seis empresas estadounidenses con una valoración superior al billón de euros han sido constituidas en este período.</w:t>
      </w:r>
    </w:p>
    <w:p w:rsidR="00D85D60" w:rsidRDefault="00D85D60" w:rsidP="00D85D60">
      <w:pPr>
        <w:pStyle w:val="NormalWeb"/>
        <w:spacing w:after="0"/>
        <w:jc w:val="both"/>
      </w:pPr>
      <w:r>
        <w:t>La ausencia de una industria potente obedece a l</w:t>
      </w:r>
      <w:r w:rsidR="002D0151">
        <w:t>as causas anteriores, desde el “infierno”</w:t>
      </w:r>
      <w:r>
        <w:t xml:space="preserve"> normativo a la baja productividad, pasando los altos costes de producción. Ambos factores sobresalen en España, de ahí que la industria nacional siga representando apenas un 15% del PIB. Lo peor es que sigue aumentando la brecha con el sector servicios, que ya acapara casi un 70% de la riqueza nacional. El pasado año superó por primera vez el billón de euros.</w:t>
      </w:r>
    </w:p>
    <w:p w:rsidR="00D85D60" w:rsidRDefault="00D85D60" w:rsidP="00D85D60">
      <w:pPr>
        <w:pStyle w:val="NormalWeb"/>
        <w:spacing w:after="0"/>
        <w:jc w:val="both"/>
      </w:pPr>
      <w:r>
        <w:t xml:space="preserve">De poco sirve que España tenga compañías con grandes proyectos industriales como Repsol, Iberdrola o Cepsa. Es conocido el choque que el consejero delegado de Repsol, Josu Jon </w:t>
      </w:r>
      <w:r>
        <w:lastRenderedPageBreak/>
        <w:t>Imaz, tuvo con la vicepresidenta tercera, Teresa Ribera, tras denunciar el directivo la continua arbitrariedad jurídica y normativa que sufren las empresas. Imaz se ha convertido en un abanderado de la lucha por una industria nacional sólida. Pero la falta de apoyo gubernamental sigue condenando al sector a lucir una cuota ínfima en el PIB.</w:t>
      </w:r>
    </w:p>
    <w:p w:rsidR="00D85D60" w:rsidRDefault="00D85D60" w:rsidP="00D85D60">
      <w:pPr>
        <w:pStyle w:val="NormalWeb"/>
        <w:spacing w:after="0"/>
        <w:jc w:val="both"/>
      </w:pPr>
      <w:r>
        <w:t>El divorcio de la educación con la empresa</w:t>
      </w:r>
    </w:p>
    <w:p w:rsidR="00D85D60" w:rsidRDefault="00D85D60" w:rsidP="00D85D60">
      <w:pPr>
        <w:pStyle w:val="NormalWeb"/>
        <w:spacing w:after="0"/>
        <w:jc w:val="both"/>
      </w:pPr>
      <w:r>
        <w:t>Sin una conexión potente entre el mundo empresarial y el académico, es muy difícil que despegue con fuerza la industria y, por supuesto, la innovación. El Informe Draghi es especialmente crítico con la calidad de la enseñanza en la UE, porque se convierte en un factor diferencial desfavorable frente a los competidores americanos o asiáticos.</w:t>
      </w:r>
    </w:p>
    <w:p w:rsidR="00D85D60" w:rsidRDefault="002D0151" w:rsidP="00D85D60">
      <w:pPr>
        <w:pStyle w:val="NormalWeb"/>
        <w:spacing w:after="0"/>
        <w:jc w:val="both"/>
      </w:pPr>
      <w:r>
        <w:t>“</w:t>
      </w:r>
      <w:r w:rsidR="00D85D60">
        <w:t>No hay suficientes instituciones académicas que alcancen los máximos niveles de excelencia y el canal que va de la innovación</w:t>
      </w:r>
      <w:r>
        <w:t xml:space="preserve"> a la comercialización es débil”, indican los expertos. “</w:t>
      </w:r>
      <w:r w:rsidR="00D85D60">
        <w:t>El problema no es que a Eu</w:t>
      </w:r>
      <w:r>
        <w:t>ropa le falten ideas o ambición”</w:t>
      </w:r>
      <w:r w:rsidR="00D85D60">
        <w:t xml:space="preserve">, aseveró Draghi este lunes en </w:t>
      </w:r>
      <w:r>
        <w:t>Bruselas, sino que “</w:t>
      </w:r>
      <w:r w:rsidR="00D85D60">
        <w:t>la innovación está bloqueada en la siguiente fase: no conseguimos traducir la</w:t>
      </w:r>
      <w:r>
        <w:t xml:space="preserve"> innovación en comercialización”</w:t>
      </w:r>
      <w:r w:rsidR="00D85D60">
        <w:t>.</w:t>
      </w:r>
    </w:p>
    <w:p w:rsidR="00D85D60" w:rsidRDefault="00D85D60" w:rsidP="00D85D60">
      <w:pPr>
        <w:pStyle w:val="NormalWeb"/>
        <w:spacing w:after="0"/>
        <w:jc w:val="both"/>
      </w:pPr>
      <w:r>
        <w:t>España, a su pesar, vuelve a figurar como un mal ejemplo en términos académicos. Gasta en educación partidas similares a sus vecinos europeos (4,9% del PIB). Sin embargo, según el último balance de la OCDE, el 26% de los jóvenes entre 25 y 34 años no han completado la educación secundaria. Otro dato: España es el segundo país occidental con mayor proporción de repetidores en secundaria.</w:t>
      </w:r>
    </w:p>
    <w:p w:rsidR="00D85D60" w:rsidRDefault="00D85D60" w:rsidP="00D85D60">
      <w:pPr>
        <w:pStyle w:val="NormalWeb"/>
        <w:spacing w:after="0"/>
        <w:jc w:val="both"/>
      </w:pPr>
      <w:r>
        <w:t>Y uno más, publicado en Vozpópuli: el 83% de los titulados superiores se encuentra trabajando en el sector de los servicios, frente al 12% en la industria. El modelo económico español y la falta de conexión entre la universidad y la empresa provocan el lamentable éxodo de mano de obra formada.</w:t>
      </w:r>
    </w:p>
    <w:p w:rsidR="00D85D60" w:rsidRDefault="00D85D60" w:rsidP="00D85D60">
      <w:pPr>
        <w:pStyle w:val="NormalWeb"/>
        <w:spacing w:after="0"/>
        <w:jc w:val="both"/>
      </w:pPr>
      <w:r>
        <w:t>Mercado fragmentado y ausencia de pactos</w:t>
      </w:r>
    </w:p>
    <w:p w:rsidR="00D85D60" w:rsidRDefault="00D85D60" w:rsidP="00D85D60">
      <w:pPr>
        <w:pStyle w:val="NormalWeb"/>
        <w:spacing w:after="0"/>
        <w:jc w:val="both"/>
      </w:pPr>
      <w:r>
        <w:t>Las barreras aún existentes dentro del mercado europeo siguen impidiendo el avance de las empresas</w:t>
      </w:r>
      <w:r w:rsidR="002D0151">
        <w:t xml:space="preserve"> con potencial de crecimiento. “</w:t>
      </w:r>
      <w:r>
        <w:t>La falta de un verdadero mercado único impide que suficientes empresas alcancen sus objetivos tamaño suficiente para acelerar la ad</w:t>
      </w:r>
      <w:r w:rsidR="002D0151">
        <w:t>opción de tecnologías avanzadas”</w:t>
      </w:r>
      <w:r>
        <w:t>, recuerda el informe.</w:t>
      </w:r>
    </w:p>
    <w:p w:rsidR="00D85D60" w:rsidRDefault="00D85D60" w:rsidP="00D85D60">
      <w:pPr>
        <w:pStyle w:val="NormalWeb"/>
        <w:spacing w:after="0"/>
        <w:jc w:val="both"/>
      </w:pPr>
      <w:r>
        <w:t xml:space="preserve">Para remediarlo, el equipo de Draghi incide en la importancia de que las administraciones, el sector público y </w:t>
      </w:r>
      <w:r w:rsidR="002D0151">
        <w:t>el privado avancen de la mano. “</w:t>
      </w:r>
      <w:r>
        <w:t>La gobernanza de los Planes de Acción debería apuntar a minimizar la burocracia e involucrar a una amplia gama de partes interesadas: Estados miembros, expertos técnicos, el sector privado e instituciones y agencias de l</w:t>
      </w:r>
      <w:r w:rsidR="002D0151">
        <w:t>a UE”</w:t>
      </w:r>
      <w:r>
        <w:t>.</w:t>
      </w:r>
    </w:p>
    <w:p w:rsidR="00D85D60" w:rsidRDefault="00D85D60" w:rsidP="00D85D60">
      <w:pPr>
        <w:pStyle w:val="NormalWeb"/>
        <w:spacing w:after="0"/>
        <w:jc w:val="both"/>
      </w:pPr>
      <w:r>
        <w:t>España, para desgracia de las empresas, es un ejemplo de mercado fragmentado, por la profusión de normativas autonómicas. Y si algo ha demostrado este país es su incapacidad para que gobernantes, políticos, agentes sociales y empresarios remen juntos por el bien común. Hay un caso muy reciente: el Gobierno ha impuesto una cúpula política en una de las instituciones económicas clave (el Banco de España), pasando por encima de la oposición.</w:t>
      </w:r>
    </w:p>
    <w:p w:rsidR="00D85D60" w:rsidRPr="003612ED" w:rsidRDefault="00D85D60" w:rsidP="00D85D60">
      <w:pPr>
        <w:pStyle w:val="NormalWeb"/>
        <w:spacing w:after="0"/>
        <w:jc w:val="both"/>
      </w:pPr>
      <w:r>
        <w:t xml:space="preserve">Ese espíritu de confrontación es el que explica la falta de grandes pactos de estado en asuntos vitales como la educación, la sanidad o el futuro de las pensiones. Esta misma semana, sin ir </w:t>
      </w:r>
      <w:r>
        <w:lastRenderedPageBreak/>
        <w:t>más lejos, el Círculo de Empresarios, presidido por Juan María Nin, reclamaba un pacto para atajar el gasto público, una premisa básica para no complicar, más aún, el futuro de las nuevas generaciones. Quienes propugnan los grandes pactos defienden que, sin unión, España tendrá menos fuerza para crecer. Y para dar algún día un buen ejemplo de cara a Europa.</w:t>
      </w:r>
    </w:p>
    <w:p w:rsidR="00D85D60" w:rsidRDefault="00D85D60" w:rsidP="002D0151">
      <w:pPr>
        <w:pStyle w:val="author-names"/>
        <w:shd w:val="clear" w:color="auto" w:fill="FFFFFF"/>
        <w:spacing w:before="0" w:beforeAutospacing="0" w:after="0" w:afterAutospacing="0"/>
        <w:jc w:val="both"/>
        <w:rPr>
          <w:rStyle w:val="author-names-item"/>
        </w:rPr>
      </w:pPr>
      <w:r>
        <w:rPr>
          <w:b/>
          <w:bCs/>
        </w:rPr>
        <w:t xml:space="preserve">- </w:t>
      </w:r>
      <w:r w:rsidRPr="00C11F81">
        <w:rPr>
          <w:b/>
          <w:bCs/>
        </w:rPr>
        <w:t>¿</w:t>
      </w:r>
      <w:r w:rsidRPr="00B80CB2">
        <w:rPr>
          <w:bCs/>
          <w:u w:val="single"/>
        </w:rPr>
        <w:t>Está gripado el sector automovilístico europeo</w:t>
      </w:r>
      <w:r w:rsidRPr="00C11F81">
        <w:rPr>
          <w:bCs/>
        </w:rPr>
        <w:t xml:space="preserve">? Valores para comprar con potencial (Vozpópuli - </w:t>
      </w:r>
      <w:hyperlink r:id="rId27" w:history="1">
        <w:r w:rsidRPr="00C11F81">
          <w:rPr>
            <w:rStyle w:val="Hipervnculo"/>
            <w:color w:val="auto"/>
            <w:u w:val="none"/>
          </w:rPr>
          <w:t>Estrategiasdeinversion.com</w:t>
        </w:r>
      </w:hyperlink>
      <w:r>
        <w:rPr>
          <w:rStyle w:val="author-names-item"/>
        </w:rPr>
        <w:t xml:space="preserve"> - </w:t>
      </w:r>
      <w:r w:rsidRPr="00C11F81">
        <w:rPr>
          <w:rStyle w:val="author-names-item"/>
          <w:b/>
        </w:rPr>
        <w:t>14/9/24</w:t>
      </w:r>
      <w:r>
        <w:rPr>
          <w:rStyle w:val="author-names-item"/>
        </w:rPr>
        <w:t>)</w:t>
      </w:r>
    </w:p>
    <w:p w:rsidR="002D0151" w:rsidRPr="002D0151" w:rsidRDefault="002D0151" w:rsidP="002D0151">
      <w:pPr>
        <w:pStyle w:val="author-names"/>
        <w:shd w:val="clear" w:color="auto" w:fill="FFFFFF"/>
        <w:spacing w:before="0" w:beforeAutospacing="0" w:after="0" w:afterAutospacing="0"/>
        <w:jc w:val="both"/>
      </w:pPr>
    </w:p>
    <w:p w:rsidR="00D85D60" w:rsidRPr="00C11F81" w:rsidRDefault="00D85D60" w:rsidP="00D85D60">
      <w:pPr>
        <w:pStyle w:val="Ttulo2"/>
        <w:spacing w:before="0" w:beforeAutospacing="0" w:after="300" w:afterAutospacing="0"/>
        <w:jc w:val="both"/>
        <w:rPr>
          <w:b w:val="0"/>
          <w:bCs w:val="0"/>
          <w:sz w:val="24"/>
          <w:szCs w:val="24"/>
        </w:rPr>
      </w:pPr>
      <w:r w:rsidRPr="00C11F81">
        <w:rPr>
          <w:b w:val="0"/>
          <w:bCs w:val="0"/>
          <w:sz w:val="24"/>
          <w:szCs w:val="24"/>
        </w:rPr>
        <w:t xml:space="preserve">La industria automovilística atraviesa una situación complicada en el Viejo Continente al calor de </w:t>
      </w:r>
      <w:r w:rsidR="002D0151">
        <w:rPr>
          <w:b w:val="0"/>
          <w:bCs w:val="0"/>
          <w:sz w:val="24"/>
          <w:szCs w:val="24"/>
        </w:rPr>
        <w:t>un coche eléctrico europeo que “se queda sin batería”</w:t>
      </w:r>
      <w:r w:rsidRPr="00C11F81">
        <w:rPr>
          <w:b w:val="0"/>
          <w:bCs w:val="0"/>
          <w:sz w:val="24"/>
          <w:szCs w:val="24"/>
        </w:rPr>
        <w:t>, en detrimento de los fabricantes chinos de vehículos electrificados. Sin embargo, a nivel bursátil, y tras las correcciones vividas en los últimos meses, los analistas siguen apostando por el sector y son varios los valores que están para comprar y podrían subir a doble dígito el próximo año</w:t>
      </w:r>
    </w:p>
    <w:p w:rsidR="00D85D60" w:rsidRPr="00C11F81" w:rsidRDefault="00D85D60" w:rsidP="00D85D60">
      <w:pPr>
        <w:pStyle w:val="NormalWeb"/>
        <w:shd w:val="clear" w:color="auto" w:fill="FFFFFF"/>
        <w:spacing w:before="0" w:beforeAutospacing="0" w:after="300" w:afterAutospacing="0"/>
        <w:jc w:val="both"/>
      </w:pPr>
      <w:r w:rsidRPr="00C11F81">
        <w:t>El del automóvil es un sector que ya venía resintiéndose en los últimos años. Sin embargo, en este 2024 la frenada está siendo ca</w:t>
      </w:r>
      <w:r w:rsidR="002D0151">
        <w:t>da vez “más seca”</w:t>
      </w:r>
      <w:r w:rsidRPr="00C11F81">
        <w:t>. Si tenemos en cuenta los datos de España, es cierto que nuestro país sigue siendo uno de los diez mayores fabricantes automovilísticos a nivel mundial, pero también lo es que el volumen de turismos salidos de las fábricas españolas en 2023 se situó por debajo de los 2,5 millones por cuarta vez consecutiva.</w:t>
      </w:r>
    </w:p>
    <w:p w:rsidR="00D85D60" w:rsidRPr="00C11F81" w:rsidRDefault="00D85D60" w:rsidP="00D85D60">
      <w:pPr>
        <w:pStyle w:val="NormalWeb"/>
        <w:shd w:val="clear" w:color="auto" w:fill="FFFFFF"/>
        <w:spacing w:before="0" w:beforeAutospacing="0" w:after="300" w:afterAutospacing="0"/>
        <w:jc w:val="both"/>
      </w:pPr>
      <w:r w:rsidRPr="00C11F81">
        <w:t>Además, si nos atenemos a los datos más recientes el ralentí es más notable. En </w:t>
      </w:r>
      <w:r w:rsidRPr="00C11F81">
        <w:rPr>
          <w:rStyle w:val="Textoennegrita"/>
          <w:b w:val="0"/>
          <w:bCs w:val="0"/>
        </w:rPr>
        <w:t>España, el mercado automovilístico cayó un 6,5% en agosto</w:t>
      </w:r>
      <w:r w:rsidRPr="00C11F81">
        <w:t> (52.322 turismos matriculados) y, al paso que van, las matriculaciones acabarán el año por debajo del listón del millón de vehículos por quinto año consecutivo. Con este panorama, la Asociación Española de Fabricantes de Automóviles y Camiones (</w:t>
      </w:r>
      <w:r w:rsidRPr="00C11F81">
        <w:rPr>
          <w:rStyle w:val="Textoennegrita"/>
          <w:b w:val="0"/>
          <w:bCs w:val="0"/>
        </w:rPr>
        <w:t>Anfac</w:t>
      </w:r>
      <w:r w:rsidRPr="00C11F81">
        <w:t>)</w:t>
      </w:r>
      <w:r w:rsidRPr="00C11F81">
        <w:rPr>
          <w:rStyle w:val="Textoennegrita"/>
          <w:b w:val="0"/>
          <w:bCs w:val="0"/>
        </w:rPr>
        <w:t> ya ha corregido a la baja su previsión de cierre de 2024 al pasar de un millón a 980.000 automóviles.</w:t>
      </w:r>
    </w:p>
    <w:p w:rsidR="00D85D60" w:rsidRPr="00C11F81" w:rsidRDefault="00D85D60" w:rsidP="00D85D60">
      <w:pPr>
        <w:pStyle w:val="Ttulo2"/>
        <w:shd w:val="clear" w:color="auto" w:fill="FFFFFF"/>
        <w:spacing w:before="0" w:beforeAutospacing="0"/>
        <w:jc w:val="both"/>
        <w:rPr>
          <w:b w:val="0"/>
          <w:bCs w:val="0"/>
          <w:sz w:val="24"/>
          <w:szCs w:val="24"/>
        </w:rPr>
      </w:pPr>
      <w:r w:rsidRPr="00C11F81">
        <w:rPr>
          <w:rStyle w:val="Textoennegrita"/>
          <w:sz w:val="24"/>
          <w:szCs w:val="24"/>
        </w:rPr>
        <w:t>Países líderes a nivel mundial</w:t>
      </w:r>
    </w:p>
    <w:p w:rsidR="00D85D60" w:rsidRPr="00C11F81" w:rsidRDefault="00D85D60" w:rsidP="00D85D60">
      <w:pPr>
        <w:pStyle w:val="NormalWeb"/>
        <w:shd w:val="clear" w:color="auto" w:fill="FFFFFF"/>
        <w:spacing w:before="0" w:beforeAutospacing="0" w:after="300" w:afterAutospacing="0"/>
        <w:jc w:val="both"/>
      </w:pPr>
      <w:r w:rsidRPr="00C11F81">
        <w:t>A nivel global, en 2023 se produjeron alrededor de 93,6 millones de vehículos a motor, lo que supuso un aumento del 10% en comparación con el año anterior y una cifra que se sitúa muy cerca de los valores registrados entre 2016 y 2018.</w:t>
      </w:r>
    </w:p>
    <w:p w:rsidR="00D85D60" w:rsidRPr="00C11F81" w:rsidRDefault="00D85D60" w:rsidP="00D85D60">
      <w:pPr>
        <w:shd w:val="clear" w:color="auto" w:fill="FFFFFF"/>
        <w:spacing w:line="240" w:lineRule="auto"/>
        <w:jc w:val="both"/>
        <w:rPr>
          <w:rFonts w:ascii="Times New Roman" w:hAnsi="Times New Roman" w:cs="Times New Roman"/>
          <w:sz w:val="24"/>
          <w:szCs w:val="24"/>
        </w:rPr>
      </w:pPr>
      <w:r w:rsidRPr="00C11F81">
        <w:rPr>
          <w:rFonts w:ascii="Times New Roman" w:hAnsi="Times New Roman" w:cs="Times New Roman"/>
          <w:noProof/>
          <w:sz w:val="24"/>
          <w:szCs w:val="24"/>
          <w:lang w:eastAsia="es-ES"/>
        </w:rPr>
        <w:drawing>
          <wp:inline distT="0" distB="0" distL="0" distR="0" wp14:anchorId="2900DE0F" wp14:editId="2153A8D0">
            <wp:extent cx="5638800" cy="2774950"/>
            <wp:effectExtent l="0" t="0" r="0" b="6350"/>
            <wp:docPr id="35" name="Imagen 35" descr="https://www.estrategiasdeinversion.com/uploads/noticias_redaccion/graficos_dentro/202409/semana_2/vehiculos_producidos_2000_-_2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estrategiasdeinversion.com/uploads/noticias_redaccion/graficos_dentro/202409/semana_2/vehiculos_producidos_2000_-_2023.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38800" cy="2774950"/>
                    </a:xfrm>
                    <a:prstGeom prst="rect">
                      <a:avLst/>
                    </a:prstGeom>
                    <a:noFill/>
                    <a:ln>
                      <a:noFill/>
                    </a:ln>
                  </pic:spPr>
                </pic:pic>
              </a:graphicData>
            </a:graphic>
          </wp:inline>
        </w:drawing>
      </w:r>
    </w:p>
    <w:p w:rsidR="00D85D60" w:rsidRDefault="00D85D60" w:rsidP="00D85D60">
      <w:pPr>
        <w:shd w:val="clear" w:color="auto" w:fill="FFFFFF"/>
        <w:spacing w:line="240" w:lineRule="auto"/>
        <w:jc w:val="both"/>
        <w:rPr>
          <w:rFonts w:ascii="Times New Roman" w:hAnsi="Times New Roman" w:cs="Times New Roman"/>
          <w:sz w:val="24"/>
          <w:szCs w:val="24"/>
        </w:rPr>
      </w:pPr>
      <w:r w:rsidRPr="00C11F81">
        <w:rPr>
          <w:rFonts w:ascii="Times New Roman" w:hAnsi="Times New Roman" w:cs="Times New Roman"/>
          <w:noProof/>
          <w:sz w:val="24"/>
          <w:szCs w:val="24"/>
          <w:lang w:eastAsia="es-ES"/>
        </w:rPr>
        <w:lastRenderedPageBreak/>
        <w:drawing>
          <wp:inline distT="0" distB="0" distL="0" distR="0" wp14:anchorId="217FF25B" wp14:editId="448148C7">
            <wp:extent cx="5543550" cy="3232150"/>
            <wp:effectExtent l="0" t="0" r="0" b="6350"/>
            <wp:docPr id="34" name="Imagen 34" descr="https://www.estrategiasdeinversion.com/uploads/noticias_redaccion/graficos_dentro/202409/semana_2/principales_paises_productores_sector_automoc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estrategiasdeinversion.com/uploads/noticias_redaccion/graficos_dentro/202409/semana_2/principales_paises_productores_sector_automocion.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43550" cy="3232150"/>
                    </a:xfrm>
                    <a:prstGeom prst="rect">
                      <a:avLst/>
                    </a:prstGeom>
                    <a:noFill/>
                    <a:ln>
                      <a:noFill/>
                    </a:ln>
                  </pic:spPr>
                </pic:pic>
              </a:graphicData>
            </a:graphic>
          </wp:inline>
        </w:drawing>
      </w:r>
    </w:p>
    <w:p w:rsidR="002D0151" w:rsidRDefault="002D0151" w:rsidP="00D85D60">
      <w:pPr>
        <w:pStyle w:val="NormalWeb"/>
        <w:shd w:val="clear" w:color="auto" w:fill="FFFFFF"/>
        <w:spacing w:before="0" w:beforeAutospacing="0" w:after="300" w:afterAutospacing="0"/>
        <w:jc w:val="both"/>
      </w:pPr>
      <w:r w:rsidRPr="00C11F81">
        <w:rPr>
          <w:rStyle w:val="Textoennegrita"/>
          <w:b w:val="0"/>
          <w:bCs w:val="0"/>
        </w:rPr>
        <w:t>China</w:t>
      </w:r>
      <w:r w:rsidRPr="00C11F81">
        <w:t> lideró la clasificación mundial de vehículos a motor producidos el año pasado (con aproximadamente 30,2 millones),</w:t>
      </w:r>
      <w:r>
        <w:t xml:space="preserve"> </w:t>
      </w:r>
      <w:r w:rsidRPr="00C11F81">
        <w:t>y lo hizo con una diferencia de más de 19 millones del segundo mayor fabricante automovilístico, </w:t>
      </w:r>
      <w:r w:rsidRPr="00C11F81">
        <w:rPr>
          <w:rStyle w:val="Textoennegrita"/>
          <w:b w:val="0"/>
          <w:bCs w:val="0"/>
        </w:rPr>
        <w:t>Estados Unidos. Japón</w:t>
      </w:r>
      <w:r w:rsidRPr="00C11F81">
        <w:t>, por su parte, completó el podio. En conjunto, estas tres naciones fueron </w:t>
      </w:r>
      <w:r w:rsidRPr="00C11F81">
        <w:rPr>
          <w:rStyle w:val="Textoennegrita"/>
          <w:b w:val="0"/>
          <w:bCs w:val="0"/>
        </w:rPr>
        <w:t>responsables de más de la mitad de la producción global </w:t>
      </w:r>
      <w:r w:rsidRPr="00C11F81">
        <w:t>del sector, lo que no sorprende si se considera que algunas de las empresas más relevantes na</w:t>
      </w:r>
      <w:r>
        <w:t>cieron dentro de sus fronteras.</w:t>
      </w:r>
    </w:p>
    <w:p w:rsidR="00D85D60" w:rsidRPr="00C11F81" w:rsidRDefault="00D85D60" w:rsidP="00D85D60">
      <w:pPr>
        <w:pStyle w:val="NormalWeb"/>
        <w:shd w:val="clear" w:color="auto" w:fill="FFFFFF"/>
        <w:spacing w:before="0" w:beforeAutospacing="0" w:after="300" w:afterAutospacing="0"/>
        <w:jc w:val="both"/>
      </w:pPr>
      <w:r w:rsidRPr="00C11F81">
        <w:t>Por su parte, Alemania y España fueron los dos países europeos del ranking de los diez principales productores del sector de automoción mundial, con el sexto y octavo puesto, respectivamente (Francia ocupa el puesto 12).</w:t>
      </w:r>
    </w:p>
    <w:p w:rsidR="00D85D60" w:rsidRPr="00C11F81" w:rsidRDefault="00D85D60" w:rsidP="00D85D60">
      <w:pPr>
        <w:pStyle w:val="Ttulo2"/>
        <w:shd w:val="clear" w:color="auto" w:fill="FFFFFF"/>
        <w:spacing w:before="0" w:beforeAutospacing="0"/>
        <w:jc w:val="both"/>
        <w:rPr>
          <w:b w:val="0"/>
          <w:bCs w:val="0"/>
          <w:sz w:val="24"/>
          <w:szCs w:val="24"/>
        </w:rPr>
      </w:pPr>
      <w:r w:rsidRPr="00C11F81">
        <w:rPr>
          <w:rStyle w:val="Textoennegrita"/>
          <w:sz w:val="24"/>
          <w:szCs w:val="24"/>
        </w:rPr>
        <w:t>Señales de alarma en Europa</w:t>
      </w:r>
    </w:p>
    <w:p w:rsidR="00D85D60" w:rsidRDefault="00D85D60" w:rsidP="00D85D60">
      <w:pPr>
        <w:pStyle w:val="NormalWeb"/>
        <w:shd w:val="clear" w:color="auto" w:fill="FFFFFF"/>
        <w:spacing w:before="0" w:beforeAutospacing="0" w:after="300" w:afterAutospacing="0"/>
        <w:jc w:val="both"/>
      </w:pPr>
      <w:r w:rsidRPr="00C11F81">
        <w:t>Y es que, la industria automotriz desempeña un papel importante en la economía europea: empleó a 13,8 millones de personas, aportó el 8% del valor agregado de la industria y ostentó un superávit comercial de 117.000 millones de euros en 2023. Sin embargo, este legado está amenazado. El sector está experimentando su transformación más significativa en más de un siglo, impulsada por el énfasis en los vehículos de cero emisiones, el cambio de la demanda hacia los mercados emergentes y la integración de tecnologías digitales.</w:t>
      </w:r>
    </w:p>
    <w:p w:rsidR="00B61D0D" w:rsidRPr="00C11F81" w:rsidRDefault="00B61D0D" w:rsidP="00B61D0D">
      <w:pPr>
        <w:pStyle w:val="NormalWeb"/>
        <w:shd w:val="clear" w:color="auto" w:fill="FFFFFF"/>
        <w:spacing w:before="0" w:beforeAutospacing="0" w:after="300" w:afterAutospacing="0"/>
        <w:jc w:val="both"/>
      </w:pPr>
      <w:r w:rsidRPr="00C11F81">
        <w:t>En este sentido, no es un secreto que </w:t>
      </w:r>
      <w:r w:rsidRPr="00C11F81">
        <w:rPr>
          <w:rStyle w:val="Textoennegrita"/>
          <w:b w:val="0"/>
          <w:bCs w:val="0"/>
        </w:rPr>
        <w:t>la demanda de vehículos eléctricos (VE) no ha dejado de crecer</w:t>
      </w:r>
      <w:r w:rsidRPr="00C11F81">
        <w:t> en la última década, alcanzado un </w:t>
      </w:r>
      <w:r w:rsidRPr="00C11F81">
        <w:rPr>
          <w:rStyle w:val="Textoennegrita"/>
          <w:b w:val="0"/>
          <w:bCs w:val="0"/>
        </w:rPr>
        <w:t>nuevo máximo en 2023</w:t>
      </w:r>
      <w:r w:rsidRPr="00C11F81">
        <w:t>. En concreto, se vendieron más de 14 millones de coches de este tipo en el planeta, con una parte importante de ellos comercializados en China. De hecho, la compañía china </w:t>
      </w:r>
      <w:r w:rsidRPr="00C11F81">
        <w:rPr>
          <w:rStyle w:val="Textoennegrita"/>
          <w:b w:val="0"/>
          <w:bCs w:val="0"/>
        </w:rPr>
        <w:t>BYD</w:t>
      </w:r>
      <w:r w:rsidRPr="00C11F81">
        <w:t> es la </w:t>
      </w:r>
      <w:r w:rsidRPr="00C11F81">
        <w:rPr>
          <w:rStyle w:val="Textoennegrita"/>
          <w:b w:val="0"/>
          <w:bCs w:val="0"/>
        </w:rPr>
        <w:t>líder cuando se habla de coches eléctricos, </w:t>
      </w:r>
      <w:r w:rsidRPr="00C11F81">
        <w:t>con una participación en el mercado del 21,1%, seguida por </w:t>
      </w:r>
      <w:hyperlink r:id="rId30" w:tgtFrame="_blank" w:history="1">
        <w:r w:rsidRPr="002D0151">
          <w:rPr>
            <w:rStyle w:val="Textoennegrita"/>
            <w:b w:val="0"/>
            <w:bCs w:val="0"/>
          </w:rPr>
          <w:t>Tesla</w:t>
        </w:r>
      </w:hyperlink>
      <w:r w:rsidRPr="002D0151">
        <w:t> </w:t>
      </w:r>
      <w:r>
        <w:t>que se quedó con un 16,01%.</w:t>
      </w:r>
    </w:p>
    <w:p w:rsidR="00B61D0D" w:rsidRPr="00C11F81" w:rsidRDefault="00B61D0D" w:rsidP="00D85D60">
      <w:pPr>
        <w:pStyle w:val="NormalWeb"/>
        <w:shd w:val="clear" w:color="auto" w:fill="FFFFFF"/>
        <w:spacing w:before="0" w:beforeAutospacing="0" w:after="300" w:afterAutospacing="0"/>
        <w:jc w:val="both"/>
      </w:pPr>
      <w:r w:rsidRPr="00C11F81">
        <w:t>Si miramos datos más recientes, </w:t>
      </w:r>
      <w:r w:rsidRPr="00C11F81">
        <w:rPr>
          <w:rStyle w:val="Textoennegrita"/>
          <w:b w:val="0"/>
          <w:bCs w:val="0"/>
        </w:rPr>
        <w:t>entre enero y julio de este 2024 </w:t>
      </w:r>
      <w:r w:rsidRPr="00C11F81">
        <w:t xml:space="preserve">se han vendido 8,4 millones de vehículos eléctricos, lo que representa un incremento del 21% en comparación con el mismo período de 2023, con China manteniéndose como el líder indiscutible en este </w:t>
      </w:r>
      <w:r w:rsidRPr="00C11F81">
        <w:lastRenderedPageBreak/>
        <w:t>mercado, con 5 millones de unidades vendidas hasta julio, lo que supone un aumento del 31% en comparación co</w:t>
      </w:r>
      <w:r>
        <w:t>n los 7 primeros meses de 2023.</w:t>
      </w:r>
    </w:p>
    <w:p w:rsidR="00D85D60" w:rsidRDefault="00D85D60" w:rsidP="00D85D60">
      <w:pPr>
        <w:shd w:val="clear" w:color="auto" w:fill="FFFFFF"/>
        <w:spacing w:line="240" w:lineRule="auto"/>
        <w:jc w:val="both"/>
        <w:rPr>
          <w:rFonts w:ascii="Times New Roman" w:hAnsi="Times New Roman" w:cs="Times New Roman"/>
          <w:sz w:val="24"/>
          <w:szCs w:val="24"/>
        </w:rPr>
      </w:pPr>
      <w:r w:rsidRPr="00C11F81">
        <w:rPr>
          <w:rFonts w:ascii="Times New Roman" w:hAnsi="Times New Roman" w:cs="Times New Roman"/>
          <w:noProof/>
          <w:sz w:val="24"/>
          <w:szCs w:val="24"/>
          <w:lang w:eastAsia="es-ES"/>
        </w:rPr>
        <w:drawing>
          <wp:inline distT="0" distB="0" distL="0" distR="0" wp14:anchorId="2ED1CB38" wp14:editId="416DDD6A">
            <wp:extent cx="5664200" cy="3600450"/>
            <wp:effectExtent l="0" t="0" r="0" b="0"/>
            <wp:docPr id="33" name="Imagen 33" descr="https://www.estrategiasdeinversion.com/uploads/noticias_redaccion/graficos_dentro/202409/semana_2/marcas_que_venden_mas_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estrategiasdeinversion.com/uploads/noticias_redaccion/graficos_dentro/202409/semana_2/marcas_que_venden_mas_v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64200" cy="3600450"/>
                    </a:xfrm>
                    <a:prstGeom prst="rect">
                      <a:avLst/>
                    </a:prstGeom>
                    <a:noFill/>
                    <a:ln>
                      <a:noFill/>
                    </a:ln>
                  </pic:spPr>
                </pic:pic>
              </a:graphicData>
            </a:graphic>
          </wp:inline>
        </w:drawing>
      </w:r>
    </w:p>
    <w:p w:rsidR="002D0151" w:rsidRPr="00C11F81" w:rsidRDefault="002D0151" w:rsidP="002D0151">
      <w:pPr>
        <w:pStyle w:val="NormalWeb"/>
        <w:shd w:val="clear" w:color="auto" w:fill="FFFFFF"/>
        <w:spacing w:before="0" w:beforeAutospacing="0" w:after="300" w:afterAutospacing="0"/>
        <w:jc w:val="both"/>
      </w:pPr>
      <w:r w:rsidRPr="00C11F81">
        <w:t>En este sentido, no es un secreto que </w:t>
      </w:r>
      <w:r w:rsidRPr="00C11F81">
        <w:rPr>
          <w:rStyle w:val="Textoennegrita"/>
          <w:b w:val="0"/>
          <w:bCs w:val="0"/>
        </w:rPr>
        <w:t>la demanda de vehículos eléctricos (VE) no ha dejado de crecer</w:t>
      </w:r>
      <w:r w:rsidRPr="00C11F81">
        <w:t> en la última década, alcanzado un </w:t>
      </w:r>
      <w:r w:rsidRPr="00C11F81">
        <w:rPr>
          <w:rStyle w:val="Textoennegrita"/>
          <w:b w:val="0"/>
          <w:bCs w:val="0"/>
        </w:rPr>
        <w:t>nuevo máximo en 2023</w:t>
      </w:r>
      <w:r w:rsidRPr="00C11F81">
        <w:t>. En concreto, se vendieron más de 14 millones de coches de este tipo en el planeta, con una parte importante de ellos comercializados en China. De hecho, la compañía china </w:t>
      </w:r>
      <w:r w:rsidRPr="00C11F81">
        <w:rPr>
          <w:rStyle w:val="Textoennegrita"/>
          <w:b w:val="0"/>
          <w:bCs w:val="0"/>
        </w:rPr>
        <w:t>BYD</w:t>
      </w:r>
      <w:r w:rsidRPr="00C11F81">
        <w:t> es la </w:t>
      </w:r>
      <w:r w:rsidRPr="00C11F81">
        <w:rPr>
          <w:rStyle w:val="Textoennegrita"/>
          <w:b w:val="0"/>
          <w:bCs w:val="0"/>
        </w:rPr>
        <w:t>líder cuando se habla de coches eléctricos, </w:t>
      </w:r>
      <w:r w:rsidRPr="00C11F81">
        <w:t>con una participación en el mercado del 21,1%, seguida por </w:t>
      </w:r>
      <w:hyperlink r:id="rId32" w:tgtFrame="_blank" w:history="1">
        <w:r w:rsidRPr="002D0151">
          <w:rPr>
            <w:rStyle w:val="Textoennegrita"/>
            <w:b w:val="0"/>
            <w:bCs w:val="0"/>
          </w:rPr>
          <w:t>Tesla</w:t>
        </w:r>
      </w:hyperlink>
      <w:r w:rsidRPr="002D0151">
        <w:t> </w:t>
      </w:r>
      <w:r>
        <w:t>que se quedó con un 16,01%.</w:t>
      </w:r>
    </w:p>
    <w:p w:rsidR="00D85D60" w:rsidRPr="00C11F81" w:rsidRDefault="00D85D60" w:rsidP="00D85D60">
      <w:pPr>
        <w:pStyle w:val="NormalWeb"/>
        <w:shd w:val="clear" w:color="auto" w:fill="FFFFFF"/>
        <w:spacing w:before="0" w:beforeAutospacing="0" w:after="300" w:afterAutospacing="0"/>
        <w:jc w:val="both"/>
      </w:pPr>
      <w:r w:rsidRPr="00C11F81">
        <w:t>Si miramos datos más recientes, </w:t>
      </w:r>
      <w:r w:rsidRPr="00C11F81">
        <w:rPr>
          <w:rStyle w:val="Textoennegrita"/>
          <w:b w:val="0"/>
          <w:bCs w:val="0"/>
        </w:rPr>
        <w:t>entre enero y julio de este 2024 </w:t>
      </w:r>
      <w:r w:rsidRPr="00C11F81">
        <w:t>se han vendido 8,4 millones de vehículos eléctricos, lo que representa un incremento del 21% en comparación con el mismo período de 2023, con China manteniéndose como el líder indiscutible en este mercado, con 5 millones de unidades vendidas hasta julio, lo que supone un aumento del 31% en comparación con los 7 primeros meses de 2023.</w:t>
      </w:r>
    </w:p>
    <w:p w:rsidR="00D85D60" w:rsidRPr="00C11F81" w:rsidRDefault="00D85D60" w:rsidP="00D85D60">
      <w:pPr>
        <w:pStyle w:val="NormalWeb"/>
        <w:shd w:val="clear" w:color="auto" w:fill="FFFFFF"/>
        <w:spacing w:before="0" w:beforeAutospacing="0" w:after="300" w:afterAutospacing="0"/>
        <w:jc w:val="both"/>
      </w:pPr>
      <w:r w:rsidRPr="00C11F81">
        <w:t>En este mismo período, en Norteamérica las ventas de VE también han mostrado un crecimiento sólido, aunque más moderado en comparación con el país asiático. En concreto, en Estados Unidos y Canadá se han vendido un millón de vehículos eléctricos hasta julio de 2024, un 10% más.</w:t>
      </w:r>
    </w:p>
    <w:p w:rsidR="00D85D60" w:rsidRPr="00C11F81" w:rsidRDefault="00D85D60" w:rsidP="00D85D60">
      <w:pPr>
        <w:pStyle w:val="NormalWeb"/>
        <w:shd w:val="clear" w:color="auto" w:fill="FFFFFF"/>
        <w:spacing w:before="0" w:beforeAutospacing="0" w:after="300" w:afterAutospacing="0"/>
        <w:jc w:val="both"/>
      </w:pPr>
      <w:r w:rsidRPr="00C11F81">
        <w:t>Por su parte, los mercados emergentes, aunque aún pequeños, están comenzando a adoptar vehículos eléctricos a un ritmo acelerado, lo que sugiere un cambio en el panorama global de la movilidad eléctrica; en concreto, sus ventas han crecido un 31% en lo que va de año, aunque todavía representan una porción más pequeña del mercado global.</w:t>
      </w:r>
    </w:p>
    <w:p w:rsidR="00D85D60" w:rsidRPr="00C11F81" w:rsidRDefault="00D85D60" w:rsidP="00D85D60">
      <w:pPr>
        <w:pStyle w:val="NormalWeb"/>
        <w:shd w:val="clear" w:color="auto" w:fill="FFFFFF"/>
        <w:spacing w:before="0" w:beforeAutospacing="0" w:after="300" w:afterAutospacing="0"/>
        <w:jc w:val="both"/>
      </w:pPr>
      <w:r w:rsidRPr="00C11F81">
        <w:t>En contraste, el </w:t>
      </w:r>
      <w:r w:rsidRPr="00C11F81">
        <w:rPr>
          <w:rStyle w:val="Textoennegrita"/>
          <w:b w:val="0"/>
          <w:bCs w:val="0"/>
        </w:rPr>
        <w:t>mercado europeo,</w:t>
      </w:r>
      <w:r w:rsidRPr="00C11F81">
        <w:t> que incluye a la Unión Europea (UE), la Asociación Europea de Libre Comercio (AELC) y el Reino Unido, ha mostrado </w:t>
      </w:r>
      <w:r w:rsidRPr="00C11F81">
        <w:rPr>
          <w:rStyle w:val="Textoennegrita"/>
          <w:b w:val="0"/>
          <w:bCs w:val="0"/>
        </w:rPr>
        <w:t xml:space="preserve">señales de </w:t>
      </w:r>
      <w:r w:rsidRPr="00C11F81">
        <w:rPr>
          <w:rStyle w:val="Textoennegrita"/>
          <w:b w:val="0"/>
          <w:bCs w:val="0"/>
        </w:rPr>
        <w:lastRenderedPageBreak/>
        <w:t>estancamiento,</w:t>
      </w:r>
      <w:r w:rsidRPr="00C11F81">
        <w:t> con unas ventas que se han mantenido estables y sin mostrar crecimientos acumulados en los siete primeros meses de este año en comparación con el mismo período de 2023. Por países, mientras Francia y el Reino Unido han logrado aumentar sus ventas, con el mercado francés creciendo un 6% en lo que va de ejercicio, Alemania ha experimentado una caída significativa en su facturación de VE, lo que se atribuye, en gran parte, al fin de los subsidios que habían impulsado el mercado en años anteriores.</w:t>
      </w:r>
    </w:p>
    <w:p w:rsidR="00D85D60" w:rsidRPr="00C11F81" w:rsidRDefault="00D85D60" w:rsidP="00D85D60">
      <w:pPr>
        <w:pStyle w:val="Ttulo2"/>
        <w:shd w:val="clear" w:color="auto" w:fill="FFFFFF"/>
        <w:spacing w:before="0" w:beforeAutospacing="0"/>
        <w:jc w:val="both"/>
        <w:rPr>
          <w:b w:val="0"/>
          <w:bCs w:val="0"/>
          <w:sz w:val="24"/>
          <w:szCs w:val="24"/>
        </w:rPr>
      </w:pPr>
      <w:r w:rsidRPr="00C11F81">
        <w:rPr>
          <w:rStyle w:val="Textoennegrita"/>
          <w:sz w:val="24"/>
          <w:szCs w:val="24"/>
        </w:rPr>
        <w:t>Salidas a un futuro incierto</w:t>
      </w:r>
    </w:p>
    <w:p w:rsidR="00D85D60" w:rsidRPr="00C11F81" w:rsidRDefault="00D85D60" w:rsidP="00D85D60">
      <w:pPr>
        <w:pStyle w:val="NormalWeb"/>
        <w:shd w:val="clear" w:color="auto" w:fill="FFFFFF"/>
        <w:spacing w:before="0" w:beforeAutospacing="0" w:after="300" w:afterAutospacing="0"/>
        <w:jc w:val="both"/>
      </w:pPr>
      <w:r w:rsidRPr="00C11F81">
        <w:t>Malos datos para Europa con un mercado global que vira hacia la movilidad ecológica con los VE y los automóviles definidos por software. En este sentido, se estima que </w:t>
      </w:r>
      <w:r w:rsidRPr="00C11F81">
        <w:rPr>
          <w:rStyle w:val="Textoennegrita"/>
          <w:b w:val="0"/>
          <w:bCs w:val="0"/>
        </w:rPr>
        <w:t>para 2035 cerca del 70% de las ventas totales de vehículos ligeros corresponderán a automóviles eléctricos</w:t>
      </w:r>
      <w:r w:rsidR="002D0151">
        <w:t>. Además, según la “</w:t>
      </w:r>
      <w:r w:rsidRPr="00C11F81">
        <w:t>Pers</w:t>
      </w:r>
      <w:r w:rsidR="002D0151">
        <w:t>pectiva de vehículos eléctricos”</w:t>
      </w:r>
      <w:r w:rsidRPr="00C11F81">
        <w:t xml:space="preserve"> 2024, publicada por la Agencia Internacional de la Energía (IEA), se prevé que casi uno de cada cinco vehículos en la UE será eléctrico para 2030, lo que conllevará una reducción de las emisiones contaminantes.</w:t>
      </w:r>
    </w:p>
    <w:p w:rsidR="00D85D60" w:rsidRPr="00C11F81" w:rsidRDefault="00D85D60" w:rsidP="00D85D60">
      <w:pPr>
        <w:pStyle w:val="NormalWeb"/>
        <w:shd w:val="clear" w:color="auto" w:fill="FFFFFF"/>
        <w:spacing w:before="0" w:beforeAutospacing="0" w:after="300" w:afterAutospacing="0"/>
        <w:jc w:val="both"/>
      </w:pPr>
      <w:r w:rsidRPr="00C11F81">
        <w:t>La ralentización en la adopción de los coches eléctricos, unida al auge de los baratos vehículos electrificados fabricados por firmas chinas, está presionando sobremanera a la industria automotriz del Viejo Continente. Este escenario podría complicarse aún más para Europa sino es capaz de enfrentar otros desafíos claves que van desde los altos costos de producción y la fragmentación de la cadena de suministro hasta los rápidos avances tecnológicos de los competidores globales, pasando por una posible política arancelaria</w:t>
      </w:r>
      <w:r w:rsidR="002D0151">
        <w:t>,</w:t>
      </w:r>
      <w:r w:rsidRPr="00C11F81">
        <w:t xml:space="preserve"> de la UE a los VE chinos.</w:t>
      </w:r>
    </w:p>
    <w:p w:rsidR="00D85D60" w:rsidRPr="00C11F81" w:rsidRDefault="00D85D60" w:rsidP="00D85D60">
      <w:pPr>
        <w:pStyle w:val="NormalWeb"/>
        <w:shd w:val="clear" w:color="auto" w:fill="FFFFFF"/>
        <w:spacing w:before="0" w:beforeAutospacing="0" w:after="300" w:afterAutospacing="0"/>
        <w:jc w:val="both"/>
      </w:pPr>
      <w:r w:rsidRPr="00C11F81">
        <w:t>En este sentido, el reci</w:t>
      </w:r>
      <w:r w:rsidR="002D0151">
        <w:t>ente informe de la UE titulado “</w:t>
      </w:r>
      <w:r w:rsidRPr="00C11F81">
        <w:t>El futu</w:t>
      </w:r>
      <w:r w:rsidR="002D0151">
        <w:t>ro de la competitividad europea”</w:t>
      </w:r>
      <w:r w:rsidRPr="00C11F81">
        <w:t>, dirigido por Mario Draghi, analiza el estado actual de la industria automotriz y describe un conjunto integral de propuestas necesarias para garantizar que la región siga manteniendo su ventaja competitiva, a través de una acción coordinada en materia de infraestructura, reforma regulatoria, costes competitivos en materia de salarios y energía, desarrollo de capacidad</w:t>
      </w:r>
      <w:r w:rsidR="002D0151">
        <w:t>es e innovación. Según Draghi, “</w:t>
      </w:r>
      <w:r w:rsidRPr="00C11F81">
        <w:t>es necesario un planteamiento glo</w:t>
      </w:r>
      <w:r w:rsidR="004805A8">
        <w:t>bal que abarque todas las fases”</w:t>
      </w:r>
      <w:r w:rsidRPr="00C11F81">
        <w:t xml:space="preserve"> de la producción automovilística, desde la investigación y la extracción hasta los datos, la fabricación y el reciclado.</w:t>
      </w:r>
    </w:p>
    <w:p w:rsidR="00D85D60" w:rsidRPr="00C11F81" w:rsidRDefault="00D85D60" w:rsidP="00D85D60">
      <w:pPr>
        <w:pStyle w:val="Ttulo2"/>
        <w:shd w:val="clear" w:color="auto" w:fill="FFFFFF"/>
        <w:spacing w:before="0" w:beforeAutospacing="0"/>
        <w:jc w:val="both"/>
        <w:rPr>
          <w:b w:val="0"/>
          <w:bCs w:val="0"/>
          <w:sz w:val="24"/>
          <w:szCs w:val="24"/>
        </w:rPr>
      </w:pPr>
      <w:r w:rsidRPr="00C11F81">
        <w:rPr>
          <w:rStyle w:val="Textoennegrita"/>
          <w:sz w:val="24"/>
          <w:szCs w:val="24"/>
        </w:rPr>
        <w:t>Volkswagen lanza la alarma y golpea a la élite europea</w:t>
      </w:r>
    </w:p>
    <w:p w:rsidR="00D85D60" w:rsidRPr="00C11F81" w:rsidRDefault="00D85D60" w:rsidP="00D85D60">
      <w:pPr>
        <w:pStyle w:val="NormalWeb"/>
        <w:shd w:val="clear" w:color="auto" w:fill="FFFFFF"/>
        <w:spacing w:before="0" w:beforeAutospacing="0" w:after="300" w:afterAutospacing="0"/>
        <w:jc w:val="both"/>
      </w:pPr>
      <w:r w:rsidRPr="00C11F81">
        <w:t>Pero, hasta que eso ocurra, la realidad es que las automovilísticas europeas están teniendo muchas dificultades para mudar su piel de combustión por una eléctrica, y los problemas ya se están haciendo notar a nivel empresarial. De momento, </w:t>
      </w:r>
      <w:hyperlink r:id="rId33" w:tgtFrame="_blank" w:history="1">
        <w:r w:rsidRPr="004805A8">
          <w:rPr>
            <w:rStyle w:val="Textoennegrita"/>
            <w:b w:val="0"/>
            <w:bCs w:val="0"/>
          </w:rPr>
          <w:t>Volkswagen</w:t>
        </w:r>
      </w:hyperlink>
      <w:r w:rsidRPr="00C11F81">
        <w:t> solo ha sido la primera (pero no será la última) afectada. Hace apenas diez días el grupo automotriz alemán informaba que no descartaba cerrar algunas de las fábricas en Alemania, despidiendo así forzosamente a parte de su equipo, ante la necesidad de reducir costos.</w:t>
      </w:r>
    </w:p>
    <w:p w:rsidR="00D85D60" w:rsidRPr="00C11F81" w:rsidRDefault="00D85D60" w:rsidP="00D85D60">
      <w:pPr>
        <w:pStyle w:val="NormalWeb"/>
        <w:shd w:val="clear" w:color="auto" w:fill="FFFFFF"/>
        <w:spacing w:before="0" w:beforeAutospacing="0" w:after="300" w:afterAutospacing="0"/>
        <w:jc w:val="both"/>
      </w:pPr>
      <w:r w:rsidRPr="00B61D0D">
        <w:t>De manera similar, </w:t>
      </w:r>
      <w:hyperlink r:id="rId34" w:tgtFrame="_blank" w:history="1">
        <w:r w:rsidRPr="00B61D0D">
          <w:rPr>
            <w:rStyle w:val="Textoennegrita"/>
            <w:b w:val="0"/>
            <w:bCs w:val="0"/>
          </w:rPr>
          <w:t>Stellantis</w:t>
        </w:r>
      </w:hyperlink>
      <w:r w:rsidRPr="00B61D0D">
        <w:t> comunicó en junio sus planes para clausurar las fábricas en Luton y Ellesmere Port, ubicadas en Reino Unido, debido a la inesperada lentitud de la demanda de eléctricos; la matriz de Citroën y Fiat alertó que si el gobierno británico no aplicaba estímulos a la compra de los vehículos electrificados, cerraría sus instalaciones en ambas ciudades. Por su parte,</w:t>
      </w:r>
      <w:r w:rsidR="00B61D0D" w:rsidRPr="00B61D0D">
        <w:t xml:space="preserve"> </w:t>
      </w:r>
      <w:hyperlink r:id="rId35" w:tgtFrame="_blank" w:history="1">
        <w:r w:rsidRPr="00B61D0D">
          <w:rPr>
            <w:rStyle w:val="Textoennegrita"/>
            <w:b w:val="0"/>
            <w:bCs w:val="0"/>
          </w:rPr>
          <w:t>Renault</w:t>
        </w:r>
      </w:hyperlink>
      <w:r w:rsidRPr="00B61D0D">
        <w:t> paró en marzo la producción en la fábrica de Flins-sur-Seine, tras 72 años de actividad, inici</w:t>
      </w:r>
      <w:r w:rsidR="004805A8" w:rsidRPr="00B61D0D">
        <w:t>ando una reconversión hacia la “economía circular”</w:t>
      </w:r>
      <w:r w:rsidRPr="00B61D0D">
        <w:t>; el</w:t>
      </w:r>
      <w:r w:rsidRPr="00C11F81">
        <w:t xml:space="preserve"> </w:t>
      </w:r>
      <w:r w:rsidRPr="00C11F81">
        <w:lastRenderedPageBreak/>
        <w:t>fin de la fabricación de vehículos de la firma en dicha fábrica coincidió con el aviso de fallos en la fabricación de los modelos eléctricos Zoé y Megane IV.</w:t>
      </w:r>
    </w:p>
    <w:p w:rsidR="00D85D60" w:rsidRPr="00C11F81" w:rsidRDefault="00D85D60" w:rsidP="00D85D60">
      <w:pPr>
        <w:pStyle w:val="NormalWeb"/>
        <w:shd w:val="clear" w:color="auto" w:fill="FFFFFF"/>
        <w:spacing w:before="0" w:beforeAutospacing="0" w:after="300" w:afterAutospacing="0"/>
        <w:jc w:val="both"/>
      </w:pPr>
      <w:r w:rsidRPr="00C11F81">
        <w:t>Por otro lado, el fabricante sueco </w:t>
      </w:r>
      <w:hyperlink r:id="rId36" w:tgtFrame="_blank" w:history="1">
        <w:r w:rsidRPr="004805A8">
          <w:rPr>
            <w:rStyle w:val="Textoennegrita"/>
            <w:b w:val="0"/>
            <w:bCs w:val="0"/>
          </w:rPr>
          <w:t>VOLVO</w:t>
        </w:r>
      </w:hyperlink>
      <w:r w:rsidRPr="00C11F81">
        <w:t> ha renunciado a su plan de vender el 100% de sus vehículos electrificados para 2030. Ahora, la empresa espera que los eléctricos e híbridos supongan un 90%-100% del total de sus ventas para finales de la década.</w:t>
      </w:r>
    </w:p>
    <w:p w:rsidR="00D85D60" w:rsidRPr="00C11F81" w:rsidRDefault="00D85D60" w:rsidP="00D85D60">
      <w:pPr>
        <w:pStyle w:val="NormalWeb"/>
        <w:shd w:val="clear" w:color="auto" w:fill="FFFFFF"/>
        <w:spacing w:before="0" w:beforeAutospacing="0" w:after="300" w:afterAutospacing="0"/>
        <w:jc w:val="both"/>
      </w:pPr>
      <w:r w:rsidRPr="00C11F81">
        <w:t>Esta misma semana también llegaban malas noticias al sector con </w:t>
      </w:r>
      <w:hyperlink r:id="rId37" w:tgtFrame="_blank" w:history="1">
        <w:r w:rsidRPr="004805A8">
          <w:rPr>
            <w:rStyle w:val="Textoennegrita"/>
            <w:b w:val="0"/>
            <w:bCs w:val="0"/>
          </w:rPr>
          <w:t>BMW</w:t>
        </w:r>
      </w:hyperlink>
      <w:r w:rsidRPr="00C11F81">
        <w:t>, al reconocer que tendrán que llamar a revisión 1,5 millones de vehículos en su sistema de frenado, lo que ha propiciado una revisión a la baja de sus perspectivas para 2024. ¿El reflejo en bolsa? Caídas de doble dígito para el valor, que afectaron negativamente a todo el sector automotriz europeo.</w:t>
      </w:r>
    </w:p>
    <w:p w:rsidR="00D85D60" w:rsidRPr="00C11F81" w:rsidRDefault="00D85D60" w:rsidP="00D85D60">
      <w:pPr>
        <w:pStyle w:val="NormalWeb"/>
        <w:shd w:val="clear" w:color="auto" w:fill="FFFFFF"/>
        <w:spacing w:before="0" w:beforeAutospacing="0" w:after="300" w:afterAutospacing="0"/>
        <w:jc w:val="both"/>
      </w:pPr>
      <w:r w:rsidRPr="00C11F81">
        <w:t>A todo ello hay que añadir otro gran problema para los fabricantes en forma de multas millonarias si no cumplen con los objetivos climáticos de la UE. En concreto, </w:t>
      </w:r>
      <w:r w:rsidRPr="00C11F81">
        <w:rPr>
          <w:rStyle w:val="Textoennegrita"/>
          <w:b w:val="0"/>
          <w:bCs w:val="0"/>
        </w:rPr>
        <w:t>la industria podría enfrentarse a sanciones de hasta 15.000 millones de euros</w:t>
      </w:r>
      <w:r w:rsidRPr="00C11F81">
        <w:t> si no se aceleran las ventas de los VE fijadas por Europa: para 2025 estas firmas deberían reducir las emisiones de sus vehículos de 116 a 94 gramos/km.</w:t>
      </w:r>
    </w:p>
    <w:p w:rsidR="00D85D60" w:rsidRPr="00C11F81" w:rsidRDefault="00D85D60" w:rsidP="00D85D60">
      <w:pPr>
        <w:pStyle w:val="Ttulo2"/>
        <w:shd w:val="clear" w:color="auto" w:fill="FFFFFF"/>
        <w:spacing w:before="0" w:beforeAutospacing="0"/>
        <w:jc w:val="both"/>
        <w:rPr>
          <w:b w:val="0"/>
          <w:bCs w:val="0"/>
          <w:sz w:val="24"/>
          <w:szCs w:val="24"/>
        </w:rPr>
      </w:pPr>
      <w:r w:rsidRPr="00C11F81">
        <w:rPr>
          <w:rStyle w:val="Textoennegrita"/>
          <w:sz w:val="24"/>
          <w:szCs w:val="24"/>
        </w:rPr>
        <w:t>¿Es momento de vender en bolsa?</w:t>
      </w:r>
    </w:p>
    <w:p w:rsidR="00D85D60" w:rsidRPr="00C11F81" w:rsidRDefault="00D85D60" w:rsidP="00D85D60">
      <w:pPr>
        <w:pStyle w:val="NormalWeb"/>
        <w:shd w:val="clear" w:color="auto" w:fill="FFFFFF"/>
        <w:spacing w:before="0" w:beforeAutospacing="0" w:after="300" w:afterAutospacing="0"/>
        <w:jc w:val="both"/>
      </w:pPr>
      <w:r w:rsidRPr="00C11F81">
        <w:t>Por su parte, las casas de análisis ya han reaccionado también. La última ha sido </w:t>
      </w:r>
      <w:r w:rsidRPr="00C11F81">
        <w:rPr>
          <w:rStyle w:val="Textoennegrita"/>
          <w:b w:val="0"/>
          <w:bCs w:val="0"/>
        </w:rPr>
        <w:t>Berenberg,</w:t>
      </w:r>
      <w:r w:rsidRPr="00C11F81">
        <w:t> que espera que el sector automovilístico europeo se mantenga volátil en medio de la desaceleración del impulso de los VE, las tensiones comerciales con China y las incertidumbres regulatorias. El bróker</w:t>
      </w:r>
      <w:r w:rsidRPr="00C11F81">
        <w:rPr>
          <w:rStyle w:val="Textoennegrita"/>
          <w:b w:val="0"/>
          <w:bCs w:val="0"/>
        </w:rPr>
        <w:t> reduce su perspectiva de beneficio operativo automotriz OEM 2024-26 en aproximadamente un 10% en promedio</w:t>
      </w:r>
      <w:r w:rsidRPr="00C11F81">
        <w:t>. Además, señala que aunque los aranceles de la UE a las i</w:t>
      </w:r>
      <w:r w:rsidR="004805A8">
        <w:t>mportaciones chinas ofrecen un “alivio temporal”, son “</w:t>
      </w:r>
      <w:r w:rsidRPr="00C11F81">
        <w:t>demasiado bajos para tener un impacto significativo en la evolución de la cuota de mercado de los vehículos el</w:t>
      </w:r>
      <w:r w:rsidR="004805A8">
        <w:t>éctricos europeos a largo plazo”</w:t>
      </w:r>
      <w:r w:rsidRPr="00C11F81">
        <w:t>.</w:t>
      </w:r>
    </w:p>
    <w:p w:rsidR="00D85D60" w:rsidRDefault="00D85D60" w:rsidP="00D85D60">
      <w:pPr>
        <w:pStyle w:val="NormalWeb"/>
        <w:shd w:val="clear" w:color="auto" w:fill="FFFFFF"/>
        <w:spacing w:before="0" w:beforeAutospacing="0" w:after="300" w:afterAutospacing="0"/>
        <w:jc w:val="both"/>
      </w:pPr>
      <w:r w:rsidRPr="00C11F81">
        <w:t>¿Esto quiere decir que los inversores deban de olvidarse del sector? Pues a juzgar por lo que podemos ver en el consenso de Reuters, no parece que los analistas piensen eso:</w:t>
      </w:r>
    </w:p>
    <w:p w:rsidR="00D85D60" w:rsidRPr="00C11F81" w:rsidRDefault="00D85D60" w:rsidP="00D85D60">
      <w:pPr>
        <w:pStyle w:val="NormalWeb"/>
        <w:shd w:val="clear" w:color="auto" w:fill="FFFFFF"/>
        <w:spacing w:before="0" w:beforeAutospacing="0" w:after="300" w:afterAutospacing="0"/>
        <w:jc w:val="both"/>
      </w:pPr>
      <w:r>
        <w:t xml:space="preserve">                      </w:t>
      </w:r>
      <w:r w:rsidRPr="00C11F81">
        <w:rPr>
          <w:noProof/>
        </w:rPr>
        <w:drawing>
          <wp:inline distT="0" distB="0" distL="0" distR="0" wp14:anchorId="2ED3FC95" wp14:editId="158DA823">
            <wp:extent cx="3956050" cy="2012950"/>
            <wp:effectExtent l="0" t="0" r="6350" b="635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3956604" cy="2013232"/>
                    </a:xfrm>
                    <a:prstGeom prst="rect">
                      <a:avLst/>
                    </a:prstGeom>
                  </pic:spPr>
                </pic:pic>
              </a:graphicData>
            </a:graphic>
          </wp:inline>
        </w:drawing>
      </w:r>
    </w:p>
    <w:p w:rsidR="00D85D60" w:rsidRPr="00D0629F" w:rsidRDefault="00D85D60" w:rsidP="00D85D60">
      <w:pPr>
        <w:pStyle w:val="NormalWeb"/>
        <w:shd w:val="clear" w:color="auto" w:fill="FFFFFF"/>
        <w:spacing w:before="0" w:beforeAutospacing="0" w:after="300" w:afterAutospacing="0"/>
        <w:jc w:val="both"/>
        <w:rPr>
          <w:color w:val="000000"/>
          <w:sz w:val="20"/>
          <w:szCs w:val="20"/>
        </w:rPr>
      </w:pPr>
      <w:r w:rsidRPr="00D0629F">
        <w:rPr>
          <w:color w:val="000000"/>
          <w:sz w:val="20"/>
          <w:szCs w:val="20"/>
        </w:rPr>
        <w:t>De los 8 principales valores del sector europeo, 6 cuentan con recomendación de compra y, de ellos, 5 tienen además un potencial de doble dígito a medio plazo: </w:t>
      </w:r>
      <w:hyperlink r:id="rId39" w:tgtFrame="_blank" w:history="1">
        <w:r w:rsidRPr="00D0629F">
          <w:rPr>
            <w:rStyle w:val="Textoennegrita"/>
            <w:b w:val="0"/>
            <w:bCs w:val="0"/>
            <w:color w:val="000000"/>
            <w:sz w:val="20"/>
            <w:szCs w:val="20"/>
          </w:rPr>
          <w:t>Stellantis</w:t>
        </w:r>
      </w:hyperlink>
      <w:r w:rsidRPr="00D0629F">
        <w:rPr>
          <w:color w:val="000000"/>
          <w:sz w:val="20"/>
          <w:szCs w:val="20"/>
        </w:rPr>
        <w:t> (48,8%), </w:t>
      </w:r>
      <w:hyperlink r:id="rId40" w:tgtFrame="_blank" w:history="1">
        <w:r w:rsidRPr="00D0629F">
          <w:rPr>
            <w:rStyle w:val="Textoennegrita"/>
            <w:b w:val="0"/>
            <w:bCs w:val="0"/>
            <w:color w:val="000000"/>
            <w:sz w:val="20"/>
            <w:szCs w:val="20"/>
          </w:rPr>
          <w:t>Renault</w:t>
        </w:r>
      </w:hyperlink>
      <w:r w:rsidRPr="00D0629F">
        <w:rPr>
          <w:color w:val="000000"/>
          <w:sz w:val="20"/>
          <w:szCs w:val="20"/>
        </w:rPr>
        <w:t> (48,2%), Mercedes (42,7%), </w:t>
      </w:r>
      <w:hyperlink r:id="rId41" w:tgtFrame="_blank" w:history="1">
        <w:r w:rsidRPr="00D0629F">
          <w:rPr>
            <w:rStyle w:val="Textoennegrita"/>
            <w:b w:val="0"/>
            <w:bCs w:val="0"/>
            <w:color w:val="000000"/>
            <w:sz w:val="20"/>
            <w:szCs w:val="20"/>
          </w:rPr>
          <w:t>Volkswagen</w:t>
        </w:r>
      </w:hyperlink>
      <w:r w:rsidRPr="00D0629F">
        <w:rPr>
          <w:color w:val="000000"/>
          <w:sz w:val="20"/>
          <w:szCs w:val="20"/>
        </w:rPr>
        <w:t> (42,1%) y Volvo (21,6%).</w:t>
      </w:r>
    </w:p>
    <w:p w:rsidR="003565D1" w:rsidRDefault="003565D1" w:rsidP="003565D1">
      <w:pPr>
        <w:pStyle w:val="NormalWeb"/>
        <w:spacing w:after="375"/>
        <w:jc w:val="both"/>
      </w:pPr>
      <w:r>
        <w:lastRenderedPageBreak/>
        <w:t xml:space="preserve">- </w:t>
      </w:r>
      <w:r w:rsidRPr="005C47DD">
        <w:rPr>
          <w:u w:val="single"/>
        </w:rPr>
        <w:t>El peligro del neoproteccionismo</w:t>
      </w:r>
      <w:r>
        <w:t xml:space="preserve"> (The Objective - </w:t>
      </w:r>
      <w:r w:rsidRPr="005C47DD">
        <w:rPr>
          <w:b/>
        </w:rPr>
        <w:t>16/9/24</w:t>
      </w:r>
      <w:r>
        <w:t>)</w:t>
      </w:r>
    </w:p>
    <w:p w:rsidR="003565D1" w:rsidRDefault="00B61D0D" w:rsidP="003565D1">
      <w:pPr>
        <w:pStyle w:val="NormalWeb"/>
        <w:spacing w:after="375"/>
        <w:jc w:val="both"/>
      </w:pPr>
      <w:r>
        <w:t xml:space="preserve"> </w:t>
      </w:r>
      <w:r w:rsidR="003565D1">
        <w:t>(Por Juan E. Iranzo)</w:t>
      </w:r>
    </w:p>
    <w:p w:rsidR="003565D1" w:rsidRDefault="003565D1" w:rsidP="003565D1">
      <w:pPr>
        <w:pStyle w:val="NormalWeb"/>
        <w:spacing w:after="375"/>
        <w:jc w:val="both"/>
      </w:pPr>
      <w:r>
        <w:t>El desarrollo económico de la gran mayoría de los países se ha producido en el marco de una economía de mercado, con presencia de las empresas privadas en los procesos productivos, y con un comercio internacional que se liberalizó significativamente desde los acuerdos de Bretton Woods, en 1944. En este lugar, los Países Aliados se reunieron para organizar el mundo económico de la posguerra, e impulsar el progreso de la economía mundial. Se crearon el Fondo Monetario Internacional y el Banco Mundial, pero no se alcanzó un consenso respecto a la creación de La Organización Mundial del Comercio.</w:t>
      </w:r>
    </w:p>
    <w:p w:rsidR="003565D1" w:rsidRDefault="003565D1" w:rsidP="003565D1">
      <w:pPr>
        <w:pStyle w:val="NormalWeb"/>
        <w:spacing w:after="375"/>
        <w:jc w:val="both"/>
      </w:pPr>
      <w:r>
        <w:t>Sin embargo, en el año 1947 se firmó el famoso Acuerdo General sobre Aranceles y Comercio, GATT, que impulsó la reducción paulatina de las barreras proteccionistas, tan arraigadas hasta esos momentos; sobre todo, a través de la denomi</w:t>
      </w:r>
      <w:r w:rsidR="004805A8">
        <w:t>nada “</w:t>
      </w:r>
      <w:r>
        <w:t>Cláus</w:t>
      </w:r>
      <w:r w:rsidR="004805A8">
        <w:t>ula de la nación más favorecida”</w:t>
      </w:r>
      <w:r>
        <w:t>, es decir si un país concedía ventajas arancelarias a otro, esta se debía aplicar a todos los países miembros; lo que permitió una importante reducción de las barreras al comercio y un fuerte impulso al mismo.</w:t>
      </w:r>
    </w:p>
    <w:p w:rsidR="003565D1" w:rsidRDefault="003565D1" w:rsidP="003565D1">
      <w:pPr>
        <w:pStyle w:val="NormalWeb"/>
        <w:spacing w:after="375"/>
        <w:jc w:val="both"/>
      </w:pPr>
      <w:r>
        <w:t>Hay que recordar que el libre comercio es fundamental para impulsar el crecimiento y el desarrollo. David R</w:t>
      </w:r>
      <w:r w:rsidR="00F00F0E">
        <w:t>icardo, en su famosa teoría de “</w:t>
      </w:r>
      <w:r>
        <w:t xml:space="preserve">las ventajas relativas del comercio </w:t>
      </w:r>
      <w:r w:rsidR="00F00F0E">
        <w:t>internacional”</w:t>
      </w:r>
      <w:r>
        <w:t xml:space="preserve"> demostró que la economía puede ser un ejercicio de suma positiva. En efecto, estableció que, aunque un país produjese más caro todos sus productos que otro, cada uno de ellos se debería especializar en producir aquello para lo que se tuviesen ventajas competitivas; si los intercambian, los dos países pueden salir beneficiados. La demanda interna de un producto se satisface con menor esfuerzo si se produce ese intercambio comercial que si se produce mediante autarquía, es decir, con producción interna. La teoría de Ricardo ha sido ratificada ampliamente por la realidad empírica observada, fundamentalmente, desde el fin de la Segunda Guerra Mundial.</w:t>
      </w:r>
    </w:p>
    <w:p w:rsidR="003565D1" w:rsidRDefault="003565D1" w:rsidP="003565D1">
      <w:pPr>
        <w:pStyle w:val="NormalWeb"/>
        <w:spacing w:after="375"/>
        <w:jc w:val="both"/>
      </w:pPr>
      <w:r>
        <w:t>A esta teoría siempre se opuso la denominada «teoría de la dependencia» impulsada por la Cepal a principios de los años 70, que partía de la hipótesis que el comercio internacional favorecía solo a los países desarrollados y penalizaba a las emergentes; puesto que la relación real de intercambio favorecía a los primeros, que importaban de los segundos materias primas con poco valor añadido y, sin embargo, exportaban a los segundos productos industriales de mayor valor.</w:t>
      </w:r>
    </w:p>
    <w:p w:rsidR="003565D1" w:rsidRDefault="003565D1" w:rsidP="003565D1">
      <w:pPr>
        <w:pStyle w:val="NormalWeb"/>
        <w:spacing w:after="375"/>
        <w:jc w:val="both"/>
      </w:pPr>
      <w:r>
        <w:t xml:space="preserve">Esta escuela de pensamiento, a la vez que Organismo Internacional, establecía que la única forma de poder desarrollarse las economías emergentes era mediante la ruptura de estos vínculos comerciales y el impulso de un proceso autárquico de crecimiento interno. La realidad ha sido muy distinta, puesto que un proceso de desarrollo e industrialización autárquica colapsa por los desequilibrios que provoca; por lo que es necesario abrirse al exterior para seguir creciendo, como sucedió en España durante la década de los años 40, en la que un ligero crecimiento de la industria, frente a una economía agraria en la década anterior, provocó el colapso del modelo, a través de fuertes procesos inflacionistas, elevados desequilibrios de las cuentas públicas y falta de solvencia exterior por escasez de divisas. </w:t>
      </w:r>
    </w:p>
    <w:p w:rsidR="003565D1" w:rsidRDefault="003565D1" w:rsidP="003565D1">
      <w:pPr>
        <w:pStyle w:val="NormalWeb"/>
        <w:spacing w:after="375"/>
        <w:jc w:val="both"/>
      </w:pPr>
      <w:r>
        <w:t xml:space="preserve">En efecto, en España históricamente, cada vez que surgía un problema de competitividad, en lugar de reaccionar para resolverlo, la estructura productiva se aislaba cada vez más del exterior. Ocurrió con el Arancel Cambo de 1922, extremadamente proteccionista; lo que </w:t>
      </w:r>
      <w:r>
        <w:lastRenderedPageBreak/>
        <w:t xml:space="preserve">provocó un empobrecimiento relativo intenso, respecto a los países de nuestro entorno, que alcanzó su máxima expresión durante la Autarquía entre 1939 y 1959. </w:t>
      </w:r>
    </w:p>
    <w:p w:rsidR="003565D1" w:rsidRDefault="003565D1" w:rsidP="003565D1">
      <w:pPr>
        <w:pStyle w:val="NormalWeb"/>
        <w:spacing w:after="375"/>
        <w:jc w:val="both"/>
      </w:pPr>
      <w:r>
        <w:t>La economía española solo ha crecido intensamente con modelos abiertos. El desarrollismo de los años 60 del SXX, se debió, fundamentalmente, al impulso de la apertura exterior incluida en el Plan de Estabilización de 1959. Asimismo, El tratado Comercial con la CEE en 1970, la incorporación a la Unión Europea en 1986 y al euro en 1999, fueron fundamentales para impulsar nuestro desarrollo y bienestar.</w:t>
      </w:r>
    </w:p>
    <w:p w:rsidR="003565D1" w:rsidRDefault="003565D1" w:rsidP="003565D1">
      <w:pPr>
        <w:pStyle w:val="NormalWeb"/>
        <w:spacing w:after="375"/>
        <w:jc w:val="both"/>
      </w:pPr>
      <w:r>
        <w:t>Sin embargo, resulta preocupante y sorprendente el creciente proceso de proteccionismo que se está viviendo en la mayoría de los países de la OCDE, sobre todo desde la crisis de la pandemia del COVID-19, y el colapso que provocó en las cadenas de producción. Este neoproteccionismo se está aplicando tanto a través de los mecanismos tradicionales, es decir, mediante la elevación de los aranceles a las importaciones, como a través del establecimiento de contingentes o límites a la importación. Además, se están empleando nuevas trabas al comercio como las normas de etiquetado, empaquetado, subvenciones, etc.; lo que sí tiene sentido es el aumento de los controles sanitarios.</w:t>
      </w:r>
    </w:p>
    <w:p w:rsidR="003565D1" w:rsidRDefault="003565D1" w:rsidP="003565D1">
      <w:pPr>
        <w:pStyle w:val="NormalWeb"/>
        <w:spacing w:after="375"/>
        <w:jc w:val="both"/>
      </w:pPr>
      <w:r>
        <w:t>La OMC estima que desde el año 2019 se han implementado unas 27.000 medidas intervencionistas que atentan al comercio internacional. Hay múltiples ejemplos, como son los recientes aranceles establecidos para la importación de automóviles eléctricos chinos, o a nuestro aceite de oliva. Estas medidas penalizan lógicamente al crecimiento económico mundial, a los países exportadores, pero también a los import</w:t>
      </w:r>
      <w:r w:rsidR="004805A8">
        <w:t>adores proteccionistas, que en “</w:t>
      </w:r>
      <w:r>
        <w:t>el pecado llevan</w:t>
      </w:r>
      <w:r w:rsidR="004805A8">
        <w:t xml:space="preserve"> la penitencia”</w:t>
      </w:r>
      <w:r>
        <w:t>. Si se aplican aranceles a las importaciones, estos encarecen los bienes disponibles en el interior, tanto de importación como de producción nacional; y en el país protector se genera inflación, se penaliza a los consumidores y a los productores, se reduce la competitividad, y se exporta menos, deteriorándose claramente el crecimiento de su PIB y el empleo.</w:t>
      </w:r>
    </w:p>
    <w:p w:rsidR="003565D1" w:rsidRDefault="003565D1" w:rsidP="003565D1">
      <w:pPr>
        <w:pStyle w:val="NormalWeb"/>
        <w:spacing w:after="375"/>
        <w:jc w:val="both"/>
      </w:pPr>
      <w:r>
        <w:t>Si se consolida el proteccionismo, los consumidores seremos los más perjudicados, puesto que se reduce nuestra capacidad de elección de bienes y servicios y estos se encadenarán. Además, se penalizará el desarrollo y el bienestar del conjunto de la sociedad.</w:t>
      </w:r>
    </w:p>
    <w:p w:rsidR="003565D1" w:rsidRDefault="003565D1" w:rsidP="003565D1">
      <w:pPr>
        <w:pStyle w:val="NormalWeb"/>
        <w:spacing w:before="0" w:beforeAutospacing="0" w:after="375" w:afterAutospacing="0"/>
        <w:jc w:val="both"/>
      </w:pPr>
      <w:r>
        <w:t xml:space="preserve">Solo a través de un modelo de economía abierta, se puede garantizar un crecimiento sostenido en el </w:t>
      </w:r>
      <w:r w:rsidR="004805A8">
        <w:t>tiempo, para lo que es necesaria</w:t>
      </w:r>
      <w:r>
        <w:t xml:space="preserve"> una creciente especialización y un aumento de las ganancias de productividad y competitividad.</w:t>
      </w:r>
    </w:p>
    <w:p w:rsidR="00B61D0D" w:rsidRDefault="00B61D0D" w:rsidP="00B61D0D">
      <w:pPr>
        <w:pStyle w:val="NormalWeb"/>
        <w:spacing w:after="375"/>
        <w:jc w:val="both"/>
      </w:pPr>
      <w:r>
        <w:t>(Juan E. Iranzo - Catedrático de Economía Aplicada de la UNED, Académico de número de La Real Academia de Doctores de España, director de ArmadatA y miembro Consejos Asesores de algunas empresas. Ha sido Decano/presidente del Colegio de Economistas de Madrid y director general del IEE)</w:t>
      </w:r>
    </w:p>
    <w:p w:rsidR="00F00F0E" w:rsidRPr="00961D50" w:rsidRDefault="001E1A1C" w:rsidP="00F00F0E">
      <w:pPr>
        <w:pStyle w:val="NormalWeb"/>
        <w:shd w:val="clear" w:color="auto" w:fill="FFFFFF"/>
        <w:spacing w:after="0"/>
        <w:jc w:val="both"/>
        <w:rPr>
          <w:b/>
          <w:shd w:val="clear" w:color="auto" w:fill="FFFFFF"/>
        </w:rPr>
      </w:pPr>
      <w:r w:rsidRPr="00961D50">
        <w:rPr>
          <w:b/>
          <w:shd w:val="clear" w:color="auto" w:fill="FFFFFF"/>
        </w:rPr>
        <w:t xml:space="preserve">Nota: </w:t>
      </w:r>
      <w:r w:rsidR="00F00F0E" w:rsidRPr="00961D50">
        <w:rPr>
          <w:b/>
          <w:shd w:val="clear" w:color="auto" w:fill="FFFFFF"/>
        </w:rPr>
        <w:t xml:space="preserve">Termina el recorrido de la “maldita hemeroteca” </w:t>
      </w:r>
      <w:r w:rsidR="00F00F0E" w:rsidRPr="00961D50">
        <w:rPr>
          <w:shd w:val="clear" w:color="auto" w:fill="FFFFFF"/>
        </w:rPr>
        <w:t>d</w:t>
      </w:r>
      <w:r w:rsidR="00F00F0E" w:rsidRPr="00961D50">
        <w:rPr>
          <w:rStyle w:val="Textoennegrita"/>
          <w:bCs w:val="0"/>
          <w:shd w:val="clear" w:color="auto" w:fill="FFFFFF"/>
        </w:rPr>
        <w:t>el mes de septiembre 2024 (como me había propuesto, y prometido a los pacientes lectores). Un mes más (y ya van…) en el que se pudo constatar que la Unión Europea</w:t>
      </w:r>
      <w:r w:rsidR="00F00F0E" w:rsidRPr="00961D50">
        <w:rPr>
          <w:rStyle w:val="Textoennegrita"/>
          <w:b w:val="0"/>
          <w:bCs w:val="0"/>
          <w:shd w:val="clear" w:color="auto" w:fill="FFFFFF"/>
        </w:rPr>
        <w:t> </w:t>
      </w:r>
      <w:r w:rsidR="00F00F0E" w:rsidRPr="00961D50">
        <w:rPr>
          <w:b/>
          <w:shd w:val="clear" w:color="auto" w:fill="FFFFFF"/>
        </w:rPr>
        <w:t>“está llena de fisuras y pierde por todos lados” (como se sentía Tiberio).</w:t>
      </w:r>
    </w:p>
    <w:p w:rsidR="00F00F0E" w:rsidRPr="00961D50" w:rsidRDefault="00F00F0E" w:rsidP="00F00F0E">
      <w:pPr>
        <w:pStyle w:val="NormalWeb"/>
        <w:shd w:val="clear" w:color="auto" w:fill="FFFFFF"/>
        <w:spacing w:after="0"/>
        <w:jc w:val="both"/>
        <w:rPr>
          <w:b/>
          <w:shd w:val="clear" w:color="auto" w:fill="FFFFFF"/>
        </w:rPr>
      </w:pPr>
      <w:r w:rsidRPr="00961D50">
        <w:rPr>
          <w:b/>
          <w:shd w:val="clear" w:color="auto" w:fill="FFFFFF"/>
        </w:rPr>
        <w:t>Y el mes de octubre llega cargadito, y con ganas de bronca. El foco se posa, en forma inevitable, sobre los</w:t>
      </w:r>
      <w:r w:rsidR="001E1A1C" w:rsidRPr="00961D50">
        <w:rPr>
          <w:b/>
          <w:shd w:val="clear" w:color="auto" w:fill="FFFFFF"/>
        </w:rPr>
        <w:t xml:space="preserve"> líderes europeos (patriotas de hojalata</w:t>
      </w:r>
      <w:r w:rsidRPr="00961D50">
        <w:rPr>
          <w:b/>
          <w:shd w:val="clear" w:color="auto" w:fill="FFFFFF"/>
        </w:rPr>
        <w:t>), y</w:t>
      </w:r>
      <w:r w:rsidR="001E1A1C" w:rsidRPr="00961D50">
        <w:rPr>
          <w:b/>
          <w:shd w:val="clear" w:color="auto" w:fill="FFFFFF"/>
        </w:rPr>
        <w:t xml:space="preserve"> de la Comisión Europea </w:t>
      </w:r>
      <w:r w:rsidR="001E1A1C" w:rsidRPr="00961D50">
        <w:rPr>
          <w:b/>
          <w:shd w:val="clear" w:color="auto" w:fill="FFFFFF"/>
        </w:rPr>
        <w:lastRenderedPageBreak/>
        <w:t xml:space="preserve">(bobos solemnes) por sus fragilidades, </w:t>
      </w:r>
      <w:r w:rsidRPr="00961D50">
        <w:rPr>
          <w:b/>
          <w:shd w:val="clear" w:color="auto" w:fill="FFFFFF"/>
        </w:rPr>
        <w:t>fallos, y contratiempos, que bordean ya</w:t>
      </w:r>
      <w:r w:rsidR="001E1A1C" w:rsidRPr="00961D50">
        <w:rPr>
          <w:b/>
          <w:shd w:val="clear" w:color="auto" w:fill="FFFFFF"/>
        </w:rPr>
        <w:t>,</w:t>
      </w:r>
      <w:r w:rsidRPr="00961D50">
        <w:rPr>
          <w:b/>
          <w:shd w:val="clear" w:color="auto" w:fill="FFFFFF"/>
        </w:rPr>
        <w:t xml:space="preserve"> el territorio del peligro.</w:t>
      </w:r>
    </w:p>
    <w:p w:rsidR="00F00F0E" w:rsidRPr="00961D50" w:rsidRDefault="00F00F0E" w:rsidP="00F00F0E">
      <w:pPr>
        <w:pStyle w:val="NormalWeb"/>
        <w:shd w:val="clear" w:color="auto" w:fill="FFFFFF"/>
        <w:spacing w:after="0"/>
        <w:jc w:val="both"/>
        <w:rPr>
          <w:b/>
          <w:shd w:val="clear" w:color="auto" w:fill="FFFFFF"/>
        </w:rPr>
      </w:pPr>
      <w:r w:rsidRPr="00961D50">
        <w:rPr>
          <w:b/>
          <w:shd w:val="clear" w:color="auto" w:fill="FFFFFF"/>
        </w:rPr>
        <w:t>Dentro del conjunto de asuntos sospechables de prevaricación continuada, administración desleal, apropiación indebida, malversa</w:t>
      </w:r>
      <w:r w:rsidR="00B61D0D" w:rsidRPr="00961D50">
        <w:rPr>
          <w:b/>
          <w:shd w:val="clear" w:color="auto" w:fill="FFFFFF"/>
        </w:rPr>
        <w:t>ción… y otras delitos</w:t>
      </w:r>
      <w:r w:rsidRPr="00961D50">
        <w:rPr>
          <w:b/>
          <w:shd w:val="clear" w:color="auto" w:fill="FFFFFF"/>
        </w:rPr>
        <w:t>, que pueblan el código penal, para dejar un pequeño anticipo de la continuidad en la “cuesta abajo” de la des-Unión Europea, les ofrezco los primeros (que no los últimos) titulares del mes de octubre (2024).</w:t>
      </w:r>
    </w:p>
    <w:p w:rsidR="00F00F0E" w:rsidRDefault="00F00F0E" w:rsidP="00F00F0E">
      <w:pPr>
        <w:pStyle w:val="NormalWeb"/>
        <w:shd w:val="clear" w:color="auto" w:fill="FFFFFF"/>
        <w:spacing w:after="0"/>
        <w:jc w:val="both"/>
      </w:pPr>
      <w:r>
        <w:t xml:space="preserve">- </w:t>
      </w:r>
      <w:r w:rsidRPr="00412A90">
        <w:rPr>
          <w:u w:val="single"/>
        </w:rPr>
        <w:t>La UE derrapa con el coche eléctr</w:t>
      </w:r>
      <w:r w:rsidR="001E1A1C">
        <w:rPr>
          <w:u w:val="single"/>
        </w:rPr>
        <w:t>ico: el gran dilema de “salvar”</w:t>
      </w:r>
      <w:r w:rsidRPr="00412A90">
        <w:rPr>
          <w:u w:val="single"/>
        </w:rPr>
        <w:t xml:space="preserve"> a los fabricantes o regalar la industria a China</w:t>
      </w:r>
      <w:r>
        <w:t xml:space="preserve"> (El Economista - </w:t>
      </w:r>
      <w:r w:rsidRPr="00412A90">
        <w:rPr>
          <w:b/>
        </w:rPr>
        <w:t>4/10/24</w:t>
      </w:r>
      <w:r>
        <w:t>)</w:t>
      </w:r>
    </w:p>
    <w:p w:rsidR="00F00F0E" w:rsidRPr="001E1A1C" w:rsidRDefault="00F00F0E" w:rsidP="00F00F0E">
      <w:pPr>
        <w:pStyle w:val="NormalWeb"/>
        <w:shd w:val="clear" w:color="auto" w:fill="FFFFFF"/>
        <w:spacing w:after="0"/>
        <w:jc w:val="both"/>
        <w:rPr>
          <w:color w:val="FF0000"/>
        </w:rPr>
      </w:pPr>
      <w:r w:rsidRPr="001E1A1C">
        <w:rPr>
          <w:color w:val="FF0000"/>
        </w:rPr>
        <w:t xml:space="preserve">La crisis de la industria automotriz europea está ligada a la dificultad del sector a adaptarse a la producción del coche eléctrico. Bruselas mantiene un ambicioso calendario para que en 2035 los fabricantes de vehículos dejen de vender coches con motores de combustión, pero la dura realidad es que muchas marcas están frenando la producción de los coches eléctricos, ante la caída de la demanda y la retirada de ayudas públicas. Volvo, Fiat, Audi o Mercedes han dado pasos para retrasar su estrategia de electrificación. Mientras Bruselas levanta aranceles contra los coches eléctricos de China para intentar frenar el desembarco de coches baratos, todavía falta una estrategia seria con fuertes inversiones públicas para el sector. De lo contrario, Bruselas permitirá a Pekín acceder al dominio del mercado </w:t>
      </w:r>
      <w:r w:rsidR="00D0629F">
        <w:rPr>
          <w:color w:val="FF0000"/>
        </w:rPr>
        <w:t xml:space="preserve">de coches eléctricos en Europa. </w:t>
      </w:r>
      <w:r w:rsidRPr="001E1A1C">
        <w:rPr>
          <w:color w:val="FF0000"/>
        </w:rPr>
        <w:t>Históricos titanes del motor europeo como Volkswagen, BMW y Mercedes están atravesando una gran crisis en mitad de una carrera en la</w:t>
      </w:r>
      <w:r w:rsidR="00A333DF">
        <w:rPr>
          <w:color w:val="FF0000"/>
        </w:rPr>
        <w:t xml:space="preserve"> que nadie en la industria sabe</w:t>
      </w:r>
      <w:r w:rsidRPr="001E1A1C">
        <w:rPr>
          <w:color w:val="FF0000"/>
        </w:rPr>
        <w:t xml:space="preserve"> dónde está el final. La situación es compleja: por un lado, tienen que cumplir con los objetivos de descarbonización y, al mismo tiempo, mantener su estatus en el mercado global.</w:t>
      </w:r>
    </w:p>
    <w:p w:rsidR="00F00F0E" w:rsidRDefault="00F00F0E" w:rsidP="00F00F0E">
      <w:pPr>
        <w:pStyle w:val="NormalWeb"/>
        <w:shd w:val="clear" w:color="auto" w:fill="FFFFFF"/>
        <w:spacing w:after="0"/>
        <w:jc w:val="both"/>
      </w:pPr>
      <w:r>
        <w:t xml:space="preserve">- </w:t>
      </w:r>
      <w:r w:rsidRPr="00412A90">
        <w:rPr>
          <w:u w:val="single"/>
        </w:rPr>
        <w:t>Europa convierte en permanentes los aranceles a los coches eléctricos chinos</w:t>
      </w:r>
      <w:r>
        <w:t xml:space="preserve"> (Vozpópuli - </w:t>
      </w:r>
      <w:r w:rsidRPr="00412A90">
        <w:rPr>
          <w:b/>
        </w:rPr>
        <w:t>4/10/24</w:t>
      </w:r>
      <w:r>
        <w:t>)</w:t>
      </w:r>
    </w:p>
    <w:p w:rsidR="00F00F0E" w:rsidRPr="00A333DF" w:rsidRDefault="00F00F0E" w:rsidP="00F00F0E">
      <w:pPr>
        <w:pStyle w:val="NormalWeb"/>
        <w:shd w:val="clear" w:color="auto" w:fill="FFFFFF"/>
        <w:spacing w:after="0"/>
        <w:jc w:val="both"/>
        <w:rPr>
          <w:b/>
          <w:color w:val="FF0000"/>
        </w:rPr>
      </w:pPr>
      <w:r w:rsidRPr="00A333DF">
        <w:rPr>
          <w:b/>
          <w:color w:val="FF0000"/>
        </w:rPr>
        <w:t>Ante el riesgo a entrar en una guerra comercial con China, la división entre los Veintisiete ha ido en aumento en los últimos meses, que se ha evidenciado con una fractura del eje franco-alemán, ya que París votó hoy a favor y Berlín, en contra</w:t>
      </w:r>
      <w:r w:rsidR="001E1A1C" w:rsidRPr="001E1A1C">
        <w:rPr>
          <w:color w:val="FF0000"/>
        </w:rPr>
        <w:t xml:space="preserve">. </w:t>
      </w:r>
      <w:r w:rsidRPr="001E1A1C">
        <w:rPr>
          <w:color w:val="FF0000"/>
        </w:rPr>
        <w:t xml:space="preserve">La Comisión Europea seguirá aplicando los aranceles a la importación de vehículos eléctricos desde China, después de que en la votación que celebraron este viernes los países de la Unión Europea no se </w:t>
      </w:r>
      <w:r w:rsidR="002E664D">
        <w:rPr>
          <w:color w:val="FF0000"/>
        </w:rPr>
        <w:t>haya</w:t>
      </w:r>
      <w:r w:rsidRPr="001E1A1C">
        <w:rPr>
          <w:color w:val="FF0000"/>
        </w:rPr>
        <w:t xml:space="preserve"> alcanzado una mayoría cualificada en contra de la propuesta, </w:t>
      </w:r>
      <w:r w:rsidR="002E664D">
        <w:rPr>
          <w:color w:val="FF0000"/>
        </w:rPr>
        <w:t xml:space="preserve">dijeron a EFE fuentes europeas… </w:t>
      </w:r>
      <w:r w:rsidRPr="00A333DF">
        <w:rPr>
          <w:b/>
          <w:color w:val="FF0000"/>
        </w:rPr>
        <w:t>En la votación de hoy, 10 países votaron a favor, 5 en contra y 12 se abstuvieron, confirmaron las fuentes.</w:t>
      </w:r>
      <w:r w:rsidR="001E1A1C" w:rsidRPr="00A333DF">
        <w:rPr>
          <w:b/>
          <w:color w:val="FF0000"/>
        </w:rPr>
        <w:t xml:space="preserve"> </w:t>
      </w:r>
      <w:r w:rsidRPr="00A333DF">
        <w:rPr>
          <w:b/>
          <w:color w:val="FF0000"/>
        </w:rPr>
        <w:t>Ante el riesgo a entrar en una guerra comercial con China, la división entre los Veintisiete ha ido en aumento en los últimos meses, que se ha evidenciado con una fractura del eje franco-alemán, ya que París votó hoy a favor y Berlín, en contra.</w:t>
      </w:r>
    </w:p>
    <w:p w:rsidR="00F00F0E" w:rsidRDefault="00F00F0E" w:rsidP="00F00F0E">
      <w:pPr>
        <w:pStyle w:val="NormalWeb"/>
        <w:shd w:val="clear" w:color="auto" w:fill="FFFFFF"/>
        <w:spacing w:after="0"/>
        <w:jc w:val="both"/>
      </w:pPr>
      <w:r>
        <w:t xml:space="preserve">- </w:t>
      </w:r>
      <w:r w:rsidRPr="00412A90">
        <w:rPr>
          <w:u w:val="single"/>
        </w:rPr>
        <w:t>La UE sigue adelante con la aplicación de los aranceles a los coches eléctricos chinos para los próximos cinco años</w:t>
      </w:r>
      <w:r>
        <w:t xml:space="preserve"> (El Español - </w:t>
      </w:r>
      <w:r w:rsidRPr="00412A90">
        <w:rPr>
          <w:b/>
        </w:rPr>
        <w:t>4/10/24</w:t>
      </w:r>
      <w:r>
        <w:t>)</w:t>
      </w:r>
    </w:p>
    <w:p w:rsidR="00F00F0E" w:rsidRPr="00724B1D" w:rsidRDefault="00F00F0E" w:rsidP="00F00F0E">
      <w:pPr>
        <w:pStyle w:val="NormalWeb"/>
        <w:shd w:val="clear" w:color="auto" w:fill="FFFFFF"/>
        <w:spacing w:after="0"/>
        <w:jc w:val="both"/>
        <w:rPr>
          <w:color w:val="FF0000"/>
        </w:rPr>
      </w:pPr>
      <w:r w:rsidRPr="00A333DF">
        <w:rPr>
          <w:b/>
          <w:color w:val="FF0000"/>
        </w:rPr>
        <w:t xml:space="preserve">De confirmarse por parte de la Comisión, hasta el año 2029 todos los coches eléctricos fabricados en China y que se vendan en Europa tendrán unos aranceles adicionales a los que ya tenían </w:t>
      </w:r>
      <w:r w:rsidR="0086294C" w:rsidRPr="00A333DF">
        <w:rPr>
          <w:b/>
          <w:color w:val="FF0000"/>
        </w:rPr>
        <w:t>del 10%, anterior</w:t>
      </w:r>
      <w:r w:rsidRPr="00A333DF">
        <w:rPr>
          <w:b/>
          <w:color w:val="FF0000"/>
        </w:rPr>
        <w:t xml:space="preserve"> a esta medida</w:t>
      </w:r>
      <w:r w:rsidR="00724B1D" w:rsidRPr="00A333DF">
        <w:rPr>
          <w:b/>
          <w:color w:val="FF0000"/>
        </w:rPr>
        <w:t xml:space="preserve">… </w:t>
      </w:r>
      <w:r w:rsidRPr="00A333DF">
        <w:rPr>
          <w:b/>
          <w:color w:val="FF0000"/>
        </w:rPr>
        <w:t xml:space="preserve">Unos aranceles que se han ido revisando en las últimas semanas y que actualmente van desde el 7,8% de Tesla; hasta el 35,3% de SAIC y pasando por </w:t>
      </w:r>
      <w:r w:rsidR="00724B1D" w:rsidRPr="00A333DF">
        <w:rPr>
          <w:b/>
          <w:color w:val="FF0000"/>
        </w:rPr>
        <w:t>el 17% de BYD y 18,8% de Geely</w:t>
      </w:r>
      <w:r w:rsidR="002E664D">
        <w:rPr>
          <w:color w:val="FF0000"/>
        </w:rPr>
        <w:t xml:space="preserve">… </w:t>
      </w:r>
      <w:r w:rsidRPr="00A333DF">
        <w:rPr>
          <w:b/>
          <w:color w:val="FF0000"/>
        </w:rPr>
        <w:t xml:space="preserve">En relación con las reacciones, una de las primeras que ha llegado ha sido la de ACEA, la asociación de </w:t>
      </w:r>
      <w:r w:rsidRPr="00A333DF">
        <w:rPr>
          <w:b/>
          <w:color w:val="FF0000"/>
        </w:rPr>
        <w:lastRenderedPageBreak/>
        <w:t xml:space="preserve">fabricantes presidida por Luca de Meo, CEO del Grupo Renault. Si bien esta organización no ha calificado </w:t>
      </w:r>
      <w:r w:rsidR="00724B1D" w:rsidRPr="00A333DF">
        <w:rPr>
          <w:b/>
          <w:color w:val="FF0000"/>
        </w:rPr>
        <w:t>la decisión sí ha señalado que “</w:t>
      </w:r>
      <w:r w:rsidRPr="00A333DF">
        <w:rPr>
          <w:b/>
          <w:color w:val="FF0000"/>
        </w:rPr>
        <w:t>el comercio libre y justo es esencial para crear una industria automovilística europea competitiva a nivel mundial, mientras que la competencia sana impulsa la innovación y la</w:t>
      </w:r>
      <w:r w:rsidR="00724B1D" w:rsidRPr="00A333DF">
        <w:rPr>
          <w:b/>
          <w:color w:val="FF0000"/>
        </w:rPr>
        <w:t xml:space="preserve"> elección para los consumidores”. “</w:t>
      </w:r>
      <w:r w:rsidRPr="00A333DF">
        <w:rPr>
          <w:b/>
          <w:color w:val="FF0000"/>
        </w:rPr>
        <w:t>El comercio libre y justo es esencial para garantizar la igualdad de condiciones para todos los competidores, pero es solo un aspecto de la competitividad global. Para que el sector automovilístico europeo sea competitivo en la carrera mundial de los vehículos eléctricos, es fundamental una estrategia industrial integral, como se destaca e</w:t>
      </w:r>
      <w:r w:rsidR="00724B1D" w:rsidRPr="00A333DF">
        <w:rPr>
          <w:b/>
          <w:color w:val="FF0000"/>
        </w:rPr>
        <w:t>n el informe Draghi”, afirman. “</w:t>
      </w:r>
      <w:r w:rsidRPr="00A333DF">
        <w:rPr>
          <w:b/>
          <w:color w:val="FF0000"/>
        </w:rPr>
        <w:t>Esto implica asegurar el acceso a materiales críticos y energía asequible, establecer un marco regulatorio consistente, expandir la infraestructura de recarga y recarga de hidrógeno, brindar incentivos de mercado y abordar v</w:t>
      </w:r>
      <w:r w:rsidR="00724B1D" w:rsidRPr="00A333DF">
        <w:rPr>
          <w:b/>
          <w:color w:val="FF0000"/>
        </w:rPr>
        <w:t>arios otros factores clave”</w:t>
      </w:r>
      <w:r w:rsidR="002E664D" w:rsidRPr="00A333DF">
        <w:rPr>
          <w:b/>
          <w:color w:val="FF0000"/>
        </w:rPr>
        <w:t>, señalan…</w:t>
      </w:r>
      <w:r w:rsidR="002E664D">
        <w:rPr>
          <w:color w:val="FF0000"/>
        </w:rPr>
        <w:t xml:space="preserve"> </w:t>
      </w:r>
      <w:r w:rsidRPr="00724B1D">
        <w:rPr>
          <w:color w:val="FF0000"/>
        </w:rPr>
        <w:t xml:space="preserve">Esta posición está alineada con la postura de la Comisión Europea, organismo que afirma que la capacidad de producción sobrante de China es de tres millones </w:t>
      </w:r>
      <w:r w:rsidR="00724B1D" w:rsidRPr="00724B1D">
        <w:rPr>
          <w:color w:val="FF0000"/>
        </w:rPr>
        <w:t xml:space="preserve">de vehículos eléctricos al año. </w:t>
      </w:r>
      <w:r w:rsidRPr="00724B1D">
        <w:rPr>
          <w:color w:val="FF0000"/>
        </w:rPr>
        <w:t xml:space="preserve">De ahí que China necesite exportar el doble del tamaño del mercado de la UE. Y </w:t>
      </w:r>
      <w:r w:rsidRPr="00A333DF">
        <w:rPr>
          <w:b/>
          <w:color w:val="FF0000"/>
        </w:rPr>
        <w:t>teniendo en cuenta los aranceles del 100% en Estados Unidos y Canadá,</w:t>
      </w:r>
      <w:r w:rsidRPr="00724B1D">
        <w:rPr>
          <w:color w:val="FF0000"/>
        </w:rPr>
        <w:t xml:space="preserve"> la salida más clara para esos vehículos eléctricos sea Europa.</w:t>
      </w:r>
    </w:p>
    <w:p w:rsidR="00F00F0E" w:rsidRDefault="00F00F0E" w:rsidP="00F00F0E">
      <w:pPr>
        <w:pStyle w:val="NormalWeb"/>
        <w:shd w:val="clear" w:color="auto" w:fill="FFFFFF"/>
        <w:spacing w:after="0"/>
        <w:jc w:val="both"/>
      </w:pPr>
      <w:r>
        <w:t xml:space="preserve">- </w:t>
      </w:r>
      <w:r w:rsidRPr="00412A90">
        <w:rPr>
          <w:u w:val="single"/>
        </w:rPr>
        <w:t>Cae la gran esperanza blanca de Europa en baterías: el sueño de retar a China desaparece con la sueca Northvolt</w:t>
      </w:r>
      <w:r>
        <w:t xml:space="preserve"> (El Economista - </w:t>
      </w:r>
      <w:r w:rsidRPr="00412A90">
        <w:rPr>
          <w:b/>
        </w:rPr>
        <w:t>4/10/24</w:t>
      </w:r>
      <w:r>
        <w:t>)</w:t>
      </w:r>
    </w:p>
    <w:p w:rsidR="00F00F0E" w:rsidRPr="00724B1D" w:rsidRDefault="00F00F0E" w:rsidP="00F00F0E">
      <w:pPr>
        <w:pStyle w:val="NormalWeb"/>
        <w:shd w:val="clear" w:color="auto" w:fill="FFFFFF"/>
        <w:spacing w:after="0"/>
        <w:jc w:val="both"/>
        <w:rPr>
          <w:color w:val="FF0000"/>
        </w:rPr>
      </w:pPr>
      <w:r w:rsidRPr="00724B1D">
        <w:rPr>
          <w:color w:val="FF0000"/>
        </w:rPr>
        <w:t>La primera gigafábrica de baterías para coches eléctricos en Europa se ha quedado al borde del abismo. La sueca Northvolt iba a ser la pieza clave para el despliegue de toda industria necesaria para la nueva movilidad europea. Sus baterías de iones de sodio, era más barata, más sostenible y, en principio, iba a romper con la dependencia de China, al convertirse en el proveedor esencial de los fabricant</w:t>
      </w:r>
      <w:r w:rsidR="00724B1D" w:rsidRPr="00724B1D">
        <w:rPr>
          <w:color w:val="FF0000"/>
        </w:rPr>
        <w:t xml:space="preserve">es europeos de coche eléctrico. </w:t>
      </w:r>
      <w:r w:rsidRPr="00724B1D">
        <w:rPr>
          <w:color w:val="FF0000"/>
        </w:rPr>
        <w:t>Sobre el papel el plan era perfecto, Northvolt había recibido hasta 10.000 millones de dólares de financiación privada, de jugadores tan importantes como Goldman y Blackrock, contaba con ayudas europeas y nacionales, y tení</w:t>
      </w:r>
      <w:r w:rsidR="00724B1D" w:rsidRPr="00724B1D">
        <w:rPr>
          <w:color w:val="FF0000"/>
        </w:rPr>
        <w:t xml:space="preserve">a el apoyo de BMW y Volkswagen. </w:t>
      </w:r>
      <w:r w:rsidRPr="00724B1D">
        <w:rPr>
          <w:color w:val="FF0000"/>
        </w:rPr>
        <w:t>Pero sus acreedores han cortado el grifo de repente. La financiación estaba respaldada por pedidos de más de 55.000 millones de dólares de empresas como Volkswagen y BMW. Sin embargo, el volantazo de los fabricantes de los fabricantes germanos por problemas de producción y la disminución de la demanda ha dejado</w:t>
      </w:r>
      <w:r w:rsidR="002E664D">
        <w:rPr>
          <w:color w:val="FF0000"/>
        </w:rPr>
        <w:t xml:space="preserve"> a la compañía a la intemperie… </w:t>
      </w:r>
      <w:r w:rsidRPr="00724B1D">
        <w:rPr>
          <w:color w:val="FF0000"/>
        </w:rPr>
        <w:t>El apoyo económico ha desaparecido. Y la compañía se encuentra ahora en una crisis de liquidez enorme, después de que un aumento de la producción fallara en su planta principal cerca del Círculo Polar Ártico. Northvolt se expandió agresivamente por Europa y América del Norte para construir la escala de fabricación necesaria para competir con los productores chinos de menor costo, pero la caída de la demanda del coche eléctrico ha destapado a un gigante con pies de barro.</w:t>
      </w:r>
    </w:p>
    <w:p w:rsidR="00F00F0E" w:rsidRDefault="00F00F0E" w:rsidP="00F00F0E">
      <w:pPr>
        <w:pStyle w:val="NormalWeb"/>
        <w:shd w:val="clear" w:color="auto" w:fill="FFFFFF"/>
        <w:spacing w:after="0"/>
        <w:jc w:val="both"/>
      </w:pPr>
      <w:r>
        <w:t xml:space="preserve">- </w:t>
      </w:r>
      <w:r w:rsidRPr="008677AA">
        <w:rPr>
          <w:u w:val="single"/>
        </w:rPr>
        <w:t xml:space="preserve">La debilidad del eje París-Berlín hace inviables </w:t>
      </w:r>
      <w:r w:rsidR="001B40A3">
        <w:rPr>
          <w:u w:val="single"/>
        </w:rPr>
        <w:t>las inversiones del “plan Draghi”</w:t>
      </w:r>
      <w:r>
        <w:t xml:space="preserve"> (El Economista - </w:t>
      </w:r>
      <w:r w:rsidRPr="008677AA">
        <w:rPr>
          <w:b/>
        </w:rPr>
        <w:t>5/10/24</w:t>
      </w:r>
      <w:r>
        <w:t>)</w:t>
      </w:r>
    </w:p>
    <w:p w:rsidR="00F00F0E" w:rsidRPr="00147AA4" w:rsidRDefault="00F00F0E" w:rsidP="00F00F0E">
      <w:pPr>
        <w:pStyle w:val="NormalWeb"/>
        <w:shd w:val="clear" w:color="auto" w:fill="FFFFFF"/>
        <w:spacing w:after="0"/>
        <w:jc w:val="both"/>
        <w:rPr>
          <w:color w:val="FF0000"/>
        </w:rPr>
      </w:pPr>
      <w:r w:rsidRPr="00147AA4">
        <w:rPr>
          <w:color w:val="FF0000"/>
        </w:rPr>
        <w:t>El eje franco-alemán, el motor tradicional de todas las grandes decisiones que la UE tomó desde su nacimiento, atraviesa su peor momento justo cu</w:t>
      </w:r>
      <w:r w:rsidR="00724B1D" w:rsidRPr="00147AA4">
        <w:rPr>
          <w:color w:val="FF0000"/>
        </w:rPr>
        <w:t>ando la Unión se enfrenta a un “desafío existencial” frente a sus grandes rivales -Estados Unidos y China-</w:t>
      </w:r>
      <w:r w:rsidRPr="00147AA4">
        <w:rPr>
          <w:color w:val="FF0000"/>
        </w:rPr>
        <w:t>, en palabras del expr</w:t>
      </w:r>
      <w:r w:rsidR="00724B1D" w:rsidRPr="00147AA4">
        <w:rPr>
          <w:color w:val="FF0000"/>
        </w:rPr>
        <w:t xml:space="preserve">esidente del BCE, Mario Draghi. </w:t>
      </w:r>
      <w:r w:rsidRPr="00147AA4">
        <w:rPr>
          <w:color w:val="FF0000"/>
        </w:rPr>
        <w:t>El propio Draghi cuenta con una clara hoja de ruta para afrontar ese reto. No obstante, en las instituciones europeas ya reconocen oficiosamente que ni siquiera un experto en rescatar el proyecto comunitario como el expresidente del BCE logrará objetivos tan ambiciosos como movilizar 800.000 millones en inversiones, si París y Berlín siguen sumidos en su actual debilidad.</w:t>
      </w:r>
    </w:p>
    <w:p w:rsidR="00F00F0E" w:rsidRPr="00147AA4" w:rsidRDefault="00F00F0E" w:rsidP="00F00F0E">
      <w:pPr>
        <w:pStyle w:val="NormalWeb"/>
        <w:shd w:val="clear" w:color="auto" w:fill="FFFFFF"/>
        <w:spacing w:after="0"/>
        <w:jc w:val="both"/>
        <w:rPr>
          <w:color w:val="FF0000"/>
        </w:rPr>
      </w:pPr>
      <w:r w:rsidRPr="00147AA4">
        <w:rPr>
          <w:color w:val="FF0000"/>
        </w:rPr>
        <w:lastRenderedPageBreak/>
        <w:t>Tan abultada cifra procede de un cálculo elaborado por la Comisión Europea y el propio BCE, como precisaba Draghi en un evento organizado por el Instituto Bruegel esta semana. El también exprimer ministro italiano insistió en que es poco viable obtener tal partida del presupuesto europeo, ya que supondría multiplicarlo por cinco, o de los presupuestos nacionales, porque comprome</w:t>
      </w:r>
      <w:r w:rsidR="00147AA4" w:rsidRPr="00147AA4">
        <w:rPr>
          <w:color w:val="FF0000"/>
        </w:rPr>
        <w:t xml:space="preserve">tería la sostenibilidad fiscal. </w:t>
      </w:r>
      <w:r w:rsidRPr="00147AA4">
        <w:rPr>
          <w:color w:val="FF0000"/>
        </w:rPr>
        <w:t>Es por ello que la opción de una nueva emisión masiva de deuda conjunta, dando continuidad a la fórmula aplicada en el Plan de Recuperación posterior a la pandemia, se erige como la única salida viable, si no fuera porque dos piezas clave de ese plan, París y Berlín, tienen ahora sus propios problemas de los que ocuparse.</w:t>
      </w:r>
    </w:p>
    <w:p w:rsidR="00F00F0E" w:rsidRPr="00147AA4" w:rsidRDefault="00F00F0E" w:rsidP="00F00F0E">
      <w:pPr>
        <w:pStyle w:val="NormalWeb"/>
        <w:shd w:val="clear" w:color="auto" w:fill="FFFFFF"/>
        <w:spacing w:after="0"/>
        <w:jc w:val="both"/>
        <w:rPr>
          <w:color w:val="FF0000"/>
        </w:rPr>
      </w:pPr>
      <w:r w:rsidRPr="00147AA4">
        <w:rPr>
          <w:color w:val="FF0000"/>
        </w:rPr>
        <w:t xml:space="preserve">La tradicional alergia alemana a todo lo que sugiera emisiones de deuda europea mancomunada es ahora más difícil de vencer que nunca, por la división interna que socava la coalición alemana de Gobierno. </w:t>
      </w:r>
      <w:r w:rsidR="00147AA4" w:rsidRPr="00147AA4">
        <w:rPr>
          <w:color w:val="FF0000"/>
        </w:rPr>
        <w:t xml:space="preserve"> </w:t>
      </w:r>
      <w:r w:rsidRPr="00147AA4">
        <w:rPr>
          <w:color w:val="FF0000"/>
        </w:rPr>
        <w:t>El propio ministro de Finanzas alemán, Christian Lindner, s</w:t>
      </w:r>
      <w:r w:rsidR="002E664D">
        <w:rPr>
          <w:color w:val="FF0000"/>
        </w:rPr>
        <w:t>e permitió tomar la iniciativa -sin esperar al canciller Scholz-</w:t>
      </w:r>
      <w:r w:rsidRPr="00147AA4">
        <w:rPr>
          <w:color w:val="FF0000"/>
        </w:rPr>
        <w:t xml:space="preserve"> tras conocerse el informe Draghi. "Alemania no está de acuerdo con el</w:t>
      </w:r>
      <w:r w:rsidR="002E664D">
        <w:rPr>
          <w:color w:val="FF0000"/>
        </w:rPr>
        <w:t>lo", dijo el ministro germano. “</w:t>
      </w:r>
      <w:r w:rsidRPr="00147AA4">
        <w:rPr>
          <w:color w:val="FF0000"/>
        </w:rPr>
        <w:t>Nuestro problema no es la falta de subvenciones, sino la burocracia y la planificación económica. Más deuda pública cuesta intereses, pero no crea</w:t>
      </w:r>
      <w:r w:rsidR="002E664D">
        <w:rPr>
          <w:color w:val="FF0000"/>
        </w:rPr>
        <w:t xml:space="preserve"> necesariamente más crecimiento”</w:t>
      </w:r>
      <w:r w:rsidRPr="00147AA4">
        <w:rPr>
          <w:color w:val="FF0000"/>
        </w:rPr>
        <w:t>, aseveró</w:t>
      </w:r>
      <w:r w:rsidR="00147AA4" w:rsidRPr="00147AA4">
        <w:rPr>
          <w:color w:val="FF0000"/>
        </w:rPr>
        <w:t>…</w:t>
      </w:r>
    </w:p>
    <w:p w:rsidR="00F00F0E" w:rsidRPr="00147AA4" w:rsidRDefault="00F00F0E" w:rsidP="00F00F0E">
      <w:pPr>
        <w:pStyle w:val="NormalWeb"/>
        <w:shd w:val="clear" w:color="auto" w:fill="FFFFFF"/>
        <w:spacing w:after="0"/>
        <w:jc w:val="both"/>
        <w:rPr>
          <w:color w:val="FF0000"/>
        </w:rPr>
      </w:pPr>
      <w:r w:rsidRPr="00147AA4">
        <w:rPr>
          <w:color w:val="FF0000"/>
        </w:rPr>
        <w:t>Francia, por su parte, no está en condiciones de cubrir el vacío que Alemania deja en el puente de mando de la Unión, e insuflar vida a la ambiciosa iniciativa inversora del plan Draghi, aunque el presidente Macron es un ferviente partidario del Plan Marshall diseñado</w:t>
      </w:r>
      <w:r w:rsidR="00147AA4" w:rsidRPr="00147AA4">
        <w:rPr>
          <w:color w:val="FF0000"/>
        </w:rPr>
        <w:t xml:space="preserve"> por el político italiano. </w:t>
      </w:r>
      <w:r w:rsidRPr="00147AA4">
        <w:rPr>
          <w:color w:val="FF0000"/>
        </w:rPr>
        <w:t>La coyuntura gala deja entrever, por lo pronto, la inestabilidad de un Gobierno en minoría y la escalada de una deuda que arroja preocupación sobre el control presupuestario. Entre abril y junio, su deuda aumentó al 112% del PIB, según informó la oficina de estadística gala. Esta misma semana, el bono francés a 10 años se marcó, brevemente, como una inversión más arriesgada que el bono español. El bono español cotizó más barato que el francés por primera vez desde 2008. Esto significa que el París tiene que pagar una cantidad cada vez mayor para refinanciar su deuda</w:t>
      </w:r>
      <w:r w:rsidR="00147AA4" w:rsidRPr="00147AA4">
        <w:rPr>
          <w:color w:val="FF0000"/>
        </w:rPr>
        <w:t>…</w:t>
      </w:r>
    </w:p>
    <w:p w:rsidR="00F00F0E" w:rsidRPr="00147AA4" w:rsidRDefault="00F00F0E" w:rsidP="00F00F0E">
      <w:pPr>
        <w:pStyle w:val="NormalWeb"/>
        <w:shd w:val="clear" w:color="auto" w:fill="FFFFFF"/>
        <w:spacing w:after="0"/>
        <w:jc w:val="both"/>
        <w:rPr>
          <w:color w:val="FF0000"/>
        </w:rPr>
      </w:pPr>
      <w:r w:rsidRPr="00147AA4">
        <w:rPr>
          <w:color w:val="FF0000"/>
        </w:rPr>
        <w:t>Apenas hay alternativas para respaldar el plan Draghi si Alemania y Francia no lo secundan. No es ningún secreto que hay otros países muy reacios a movilizar recursos en una cuantía tan elevada como</w:t>
      </w:r>
      <w:r w:rsidR="00147AA4" w:rsidRPr="00147AA4">
        <w:rPr>
          <w:color w:val="FF0000"/>
        </w:rPr>
        <w:t xml:space="preserve"> demanda el exbanquero central. </w:t>
      </w:r>
      <w:r w:rsidRPr="00147AA4">
        <w:rPr>
          <w:color w:val="FF0000"/>
        </w:rPr>
        <w:t>La voz cantante entre las llamadas economías frugales la lleva Países Bajos, que lleva meses rechazando de plano que esa vía pueda ser una realidad. Sin embargo, el sur de Europa, entre ellos España, valora esta opción con buenos ojos.</w:t>
      </w:r>
    </w:p>
    <w:p w:rsidR="00F00F0E" w:rsidRPr="00147AA4" w:rsidRDefault="00F00F0E" w:rsidP="00F00F0E">
      <w:pPr>
        <w:pStyle w:val="NormalWeb"/>
        <w:shd w:val="clear" w:color="auto" w:fill="FFFFFF"/>
        <w:spacing w:after="0"/>
        <w:jc w:val="both"/>
        <w:rPr>
          <w:color w:val="FF0000"/>
        </w:rPr>
      </w:pPr>
      <w:r w:rsidRPr="00147AA4">
        <w:rPr>
          <w:color w:val="FF0000"/>
        </w:rPr>
        <w:t xml:space="preserve">El expresidente del BCE apuntaba esta semana que </w:t>
      </w:r>
      <w:r w:rsidR="00147AA4" w:rsidRPr="00147AA4">
        <w:rPr>
          <w:color w:val="FF0000"/>
        </w:rPr>
        <w:t>esos 800.000 millones de euros “es una cifra conservadora”</w:t>
      </w:r>
      <w:r w:rsidRPr="00147AA4">
        <w:rPr>
          <w:color w:val="FF0000"/>
        </w:rPr>
        <w:t>, ya que no incluye partidas como la adaptación o la protección climática, ni tampoco para la formación para las profesiones futuras. En todo caso, la financiación tendrá que provenir en partidas similares del sector público y privado, en un equilibrio 50% y 50%, delineaba Draghi</w:t>
      </w:r>
      <w:r w:rsidR="00147AA4" w:rsidRPr="00147AA4">
        <w:rPr>
          <w:color w:val="FF0000"/>
        </w:rPr>
        <w:t>…</w:t>
      </w:r>
    </w:p>
    <w:p w:rsidR="00F00F0E" w:rsidRDefault="00F00F0E" w:rsidP="00F00F0E">
      <w:pPr>
        <w:pStyle w:val="NormalWeb"/>
        <w:shd w:val="clear" w:color="auto" w:fill="FFFFFF"/>
        <w:spacing w:after="0"/>
        <w:jc w:val="both"/>
      </w:pPr>
      <w:r>
        <w:t xml:space="preserve">- </w:t>
      </w:r>
      <w:r w:rsidRPr="008677AA">
        <w:rPr>
          <w:u w:val="single"/>
        </w:rPr>
        <w:t>La parálisis que amenaza a la UE</w:t>
      </w:r>
      <w:r>
        <w:t xml:space="preserve"> (El Economista - </w:t>
      </w:r>
      <w:r w:rsidRPr="008677AA">
        <w:rPr>
          <w:b/>
        </w:rPr>
        <w:t>5/10/24</w:t>
      </w:r>
      <w:r>
        <w:t>)</w:t>
      </w:r>
    </w:p>
    <w:p w:rsidR="00F00F0E" w:rsidRPr="00147AA4" w:rsidRDefault="00F00F0E" w:rsidP="00F00F0E">
      <w:pPr>
        <w:pStyle w:val="NormalWeb"/>
        <w:shd w:val="clear" w:color="auto" w:fill="FFFFFF"/>
        <w:spacing w:after="0"/>
        <w:jc w:val="both"/>
        <w:rPr>
          <w:color w:val="FF0000"/>
        </w:rPr>
      </w:pPr>
      <w:r w:rsidRPr="00147AA4">
        <w:rPr>
          <w:color w:val="FF0000"/>
        </w:rPr>
        <w:t xml:space="preserve">Las tornas han cambiado en la UE en poco más de una década. En 2012, los países del sur de Europa presentaban altos desequilibrios públicos y bajo crecimiento. Pero ahora ocurre lo contrario. Los llamados PIGS, salvo Italia, presumen de déficits controlados e impulso económico, especialmente en el caso España, mientras que los problemas se han trasladado a Alemania, Francia. La tradicional locomotora de la UE ha gripado tras el fin del gas barato </w:t>
      </w:r>
      <w:r w:rsidRPr="00147AA4">
        <w:rPr>
          <w:color w:val="FF0000"/>
        </w:rPr>
        <w:lastRenderedPageBreak/>
        <w:t xml:space="preserve">ruso y, como mucho, aspira a cerrar el año con un alza del PIB del 0,1%. Además, las grietas en su Gobierno de coalición </w:t>
      </w:r>
      <w:r w:rsidR="0086294C" w:rsidRPr="00147AA4">
        <w:rPr>
          <w:color w:val="FF0000"/>
        </w:rPr>
        <w:t>dejan</w:t>
      </w:r>
      <w:r w:rsidRPr="00147AA4">
        <w:rPr>
          <w:color w:val="FF0000"/>
        </w:rPr>
        <w:t xml:space="preserve"> en el aire las cuentas de 2025.</w:t>
      </w:r>
    </w:p>
    <w:p w:rsidR="00F00F0E" w:rsidRPr="00147AA4" w:rsidRDefault="00F00F0E" w:rsidP="00F00F0E">
      <w:pPr>
        <w:pStyle w:val="NormalWeb"/>
        <w:shd w:val="clear" w:color="auto" w:fill="FFFFFF"/>
        <w:spacing w:after="0"/>
        <w:jc w:val="both"/>
        <w:rPr>
          <w:color w:val="FF0000"/>
        </w:rPr>
      </w:pPr>
      <w:r w:rsidRPr="00147AA4">
        <w:rPr>
          <w:color w:val="FF0000"/>
        </w:rPr>
        <w:t>Francia también presenta una alarmante debilidad legislativa y en el terreno económico tampoco le va mucho mejor que a los germanos. El alza del PIB en 2024 se quedará en un pobre 0,7% mientras que el país cerrará el año con un déficit del 6%, el peor dato desde la crisis de deuda. Francia y Alemania son por deméritos propios los nuevos enfermos de la UE, lo que debilita al eje París-Berlín, el motor tradicional de las todas las grandes decisiones de la UE. Esto supone un grave problema, ya que llega en un momento en el que la Unión debe hacer frente a la competencia de EEUU y China para no caer en la irrelevancia económica.</w:t>
      </w:r>
    </w:p>
    <w:p w:rsidR="00147AA4" w:rsidRPr="00147AA4" w:rsidRDefault="00F00F0E" w:rsidP="00F00F0E">
      <w:pPr>
        <w:pStyle w:val="NormalWeb"/>
        <w:shd w:val="clear" w:color="auto" w:fill="FFFFFF"/>
        <w:spacing w:after="0"/>
        <w:jc w:val="both"/>
        <w:rPr>
          <w:color w:val="FF0000"/>
        </w:rPr>
      </w:pPr>
      <w:r w:rsidRPr="00147AA4">
        <w:rPr>
          <w:color w:val="FF0000"/>
        </w:rPr>
        <w:t>Un reto que según el informe de Mario Draghi obligará a invertir 800.00 millones anuales. Una cantidad desorbitada para el presupuesto de la UE, que solo se puede alcanzar con la emisión de deuda comunitaria. La debilidad de las dos primeras potencias econó</w:t>
      </w:r>
      <w:r w:rsidR="001B40A3">
        <w:rPr>
          <w:color w:val="FF0000"/>
        </w:rPr>
        <w:t>micas de la UE hace prácticamen</w:t>
      </w:r>
      <w:r w:rsidRPr="00147AA4">
        <w:rPr>
          <w:color w:val="FF0000"/>
        </w:rPr>
        <w:t>te inviable que puedan impulsar el llamado plan Draghi. Europa, por tanto, está desarmada y paralizada para retar al poderío asiático y estadounidense, lo que genera serias dudas sobre su capacidad de crecimiento en los próximos años.</w:t>
      </w:r>
    </w:p>
    <w:p w:rsidR="00F00F0E" w:rsidRDefault="00F00F0E" w:rsidP="00F00F0E">
      <w:pPr>
        <w:pStyle w:val="NormalWeb"/>
        <w:shd w:val="clear" w:color="auto" w:fill="FFFFFF"/>
        <w:spacing w:after="0"/>
        <w:jc w:val="both"/>
      </w:pPr>
      <w:r>
        <w:t xml:space="preserve">- </w:t>
      </w:r>
      <w:r w:rsidRPr="008677AA">
        <w:rPr>
          <w:u w:val="single"/>
        </w:rPr>
        <w:t>Francia cerrará 2024 con su mayor déficit desde la crisis de deuda europea</w:t>
      </w:r>
      <w:r>
        <w:t xml:space="preserve"> (El Economista - </w:t>
      </w:r>
      <w:r w:rsidRPr="008677AA">
        <w:rPr>
          <w:b/>
        </w:rPr>
        <w:t>5/10/24</w:t>
      </w:r>
      <w:r>
        <w:t>)</w:t>
      </w:r>
    </w:p>
    <w:p w:rsidR="00F00F0E" w:rsidRPr="00147AA4" w:rsidRDefault="00F00F0E" w:rsidP="00F00F0E">
      <w:pPr>
        <w:pStyle w:val="NormalWeb"/>
        <w:shd w:val="clear" w:color="auto" w:fill="FFFFFF"/>
        <w:spacing w:after="0"/>
        <w:jc w:val="both"/>
        <w:rPr>
          <w:color w:val="FF0000"/>
        </w:rPr>
      </w:pPr>
      <w:r w:rsidRPr="00147AA4">
        <w:rPr>
          <w:color w:val="FF0000"/>
        </w:rPr>
        <w:t>Francia cerrará el año disputándole seriamente a Alemania el título de hombre enfermo de Europa. París, no obstante, será el indiscutible ganador en lo que respecta a su déficit público, ya que arrojará en 2024 su mayor nivel desde los inicios de la crisis de las primas de riesgo europeas, en 2010-2011 (excluyendo la excepcionalidad que supuso la pandemia). El país vecino espera cerrar este año con un descubierto en sus cuentas públ</w:t>
      </w:r>
      <w:r w:rsidR="00147AA4" w:rsidRPr="00147AA4">
        <w:rPr>
          <w:color w:val="FF0000"/>
        </w:rPr>
        <w:t xml:space="preserve">icas equivalente al 6% del PIB. </w:t>
      </w:r>
      <w:r w:rsidRPr="00147AA4">
        <w:rPr>
          <w:color w:val="FF0000"/>
        </w:rPr>
        <w:t xml:space="preserve">Los galos están un callejón de difícil salida ya que, según los últimos datos de la OCDE, crecerá un magro 0,7%. Un cocktail poco favorable que hace que la euforia olímpica </w:t>
      </w:r>
      <w:r w:rsidR="00147AA4" w:rsidRPr="00147AA4">
        <w:rPr>
          <w:color w:val="FF0000"/>
        </w:rPr>
        <w:t xml:space="preserve">de París se baje como un suflé. </w:t>
      </w:r>
      <w:r w:rsidRPr="00147AA4">
        <w:rPr>
          <w:color w:val="FF0000"/>
        </w:rPr>
        <w:t>El nuevo Gobierno, encabezado por el conservador, Michel Barnier, ha puesto a funcionar toda la maquinaria económica del país para poder corregir esta situación y evitar una debacle presupuestaria en la segunda economía del Euro.</w:t>
      </w:r>
    </w:p>
    <w:p w:rsidR="00F00F0E" w:rsidRDefault="00F00F0E" w:rsidP="00F00F0E">
      <w:pPr>
        <w:pStyle w:val="NormalWeb"/>
        <w:shd w:val="clear" w:color="auto" w:fill="FFFFFF"/>
        <w:spacing w:after="0"/>
        <w:jc w:val="both"/>
      </w:pPr>
      <w:r>
        <w:t xml:space="preserve">- </w:t>
      </w:r>
      <w:r w:rsidRPr="006B4BCA">
        <w:rPr>
          <w:u w:val="single"/>
        </w:rPr>
        <w:t>Las grietas en la coalición de Scholz dejan en el aire las cuentas de 2025</w:t>
      </w:r>
      <w:r>
        <w:t xml:space="preserve"> (El Economista - </w:t>
      </w:r>
      <w:r w:rsidRPr="006B4BCA">
        <w:rPr>
          <w:b/>
        </w:rPr>
        <w:t>5/10/24</w:t>
      </w:r>
      <w:r>
        <w:t>)</w:t>
      </w:r>
    </w:p>
    <w:p w:rsidR="00B61D0D" w:rsidRDefault="00F00F0E" w:rsidP="00F00F0E">
      <w:pPr>
        <w:pStyle w:val="NormalWeb"/>
        <w:shd w:val="clear" w:color="auto" w:fill="FFFFFF"/>
        <w:spacing w:after="0"/>
        <w:jc w:val="both"/>
        <w:rPr>
          <w:color w:val="FF0000"/>
        </w:rPr>
      </w:pPr>
      <w:r w:rsidRPr="00147AA4">
        <w:rPr>
          <w:color w:val="FF0000"/>
        </w:rPr>
        <w:t xml:space="preserve">Alemania está atravesando una época de gran incertidumbre política. La coalición semáforo (así se le conoce al tripartito que gobierna), liderada por el socialdemócrata Olaf Scholz, se enfrenta a importantes tensiones que están provocando dudas sobre si podrá sacar adelante los </w:t>
      </w:r>
      <w:r w:rsidR="00147AA4" w:rsidRPr="00147AA4">
        <w:rPr>
          <w:color w:val="FF0000"/>
        </w:rPr>
        <w:t xml:space="preserve">Presupuestos Generales de 2025. </w:t>
      </w:r>
      <w:r w:rsidRPr="00147AA4">
        <w:rPr>
          <w:color w:val="FF0000"/>
        </w:rPr>
        <w:t>Precisamente, las primeras fricciones empezaron por la negociación de las cuentas públicas para el próximo ejercicio, ya que el Gobierno está conformado por socialdemócratas, liberales y los verdes. Tres partidos con visiones muy distantes de la e</w:t>
      </w:r>
      <w:r w:rsidR="00B61D0D">
        <w:rPr>
          <w:color w:val="FF0000"/>
        </w:rPr>
        <w:t xml:space="preserve">conomía y objetivos diferentes. </w:t>
      </w:r>
      <w:r w:rsidRPr="00147AA4">
        <w:rPr>
          <w:color w:val="FF0000"/>
        </w:rPr>
        <w:t>El periodista especializado en Presupuestos de la revista económica alemana Wirtschaftswoche, Christian Ramthum, aseguró a elEcono</w:t>
      </w:r>
      <w:r w:rsidR="000C4762">
        <w:rPr>
          <w:color w:val="FF0000"/>
        </w:rPr>
        <w:t>mista.es que “</w:t>
      </w:r>
      <w:r w:rsidRPr="00147AA4">
        <w:rPr>
          <w:color w:val="FF0000"/>
        </w:rPr>
        <w:t xml:space="preserve">la probabilidad de que las cuentas teutonas para el próximo año no salgan </w:t>
      </w:r>
      <w:r w:rsidR="000C4762">
        <w:rPr>
          <w:color w:val="FF0000"/>
        </w:rPr>
        <w:t>adelante es del 50% actualmente”</w:t>
      </w:r>
      <w:r w:rsidRPr="00147AA4">
        <w:rPr>
          <w:color w:val="FF0000"/>
        </w:rPr>
        <w:t>, aseveró el especialista</w:t>
      </w:r>
      <w:r w:rsidR="00147AA4" w:rsidRPr="00147AA4">
        <w:rPr>
          <w:color w:val="FF0000"/>
        </w:rPr>
        <w:t>…</w:t>
      </w:r>
    </w:p>
    <w:p w:rsidR="001E1A1C" w:rsidRPr="0086294C" w:rsidRDefault="001E1A1C" w:rsidP="001E1A1C">
      <w:pPr>
        <w:pStyle w:val="NormalWeb"/>
        <w:shd w:val="clear" w:color="auto" w:fill="FFFFFF"/>
        <w:spacing w:after="0"/>
        <w:jc w:val="both"/>
        <w:rPr>
          <w:b/>
          <w:shd w:val="clear" w:color="auto" w:fill="FFFFFF"/>
        </w:rPr>
      </w:pPr>
      <w:r w:rsidRPr="0086294C">
        <w:rPr>
          <w:b/>
          <w:shd w:val="clear" w:color="auto" w:fill="FFFFFF"/>
        </w:rPr>
        <w:t>Debe haber alguna explicación que nos ilumin</w:t>
      </w:r>
      <w:r w:rsidR="000C4762" w:rsidRPr="0086294C">
        <w:rPr>
          <w:b/>
          <w:shd w:val="clear" w:color="auto" w:fill="FFFFFF"/>
        </w:rPr>
        <w:t>é sobre tanta miopía, delirio</w:t>
      </w:r>
      <w:r w:rsidRPr="0086294C">
        <w:rPr>
          <w:b/>
          <w:shd w:val="clear" w:color="auto" w:fill="FFFFFF"/>
        </w:rPr>
        <w:t xml:space="preserve">, y </w:t>
      </w:r>
      <w:r w:rsidR="00961D50">
        <w:rPr>
          <w:b/>
          <w:shd w:val="clear" w:color="auto" w:fill="FFFFFF"/>
        </w:rPr>
        <w:t>ano</w:t>
      </w:r>
      <w:r w:rsidR="00B61D0D" w:rsidRPr="0086294C">
        <w:rPr>
          <w:b/>
          <w:shd w:val="clear" w:color="auto" w:fill="FFFFFF"/>
        </w:rPr>
        <w:t>mia</w:t>
      </w:r>
    </w:p>
    <w:p w:rsidR="00060685" w:rsidRPr="0086294C" w:rsidRDefault="001E1A1C" w:rsidP="002E664D">
      <w:pPr>
        <w:pStyle w:val="NormalWeb"/>
        <w:shd w:val="clear" w:color="auto" w:fill="FFFFFF"/>
        <w:spacing w:after="0"/>
        <w:jc w:val="both"/>
        <w:rPr>
          <w:shd w:val="clear" w:color="auto" w:fill="FFFFFF"/>
        </w:rPr>
      </w:pPr>
      <w:r w:rsidRPr="0086294C">
        <w:rPr>
          <w:shd w:val="clear" w:color="auto" w:fill="FFFFFF"/>
        </w:rPr>
        <w:t xml:space="preserve">Y al final ¿dígame Don Mario (ya que llegó hasta aquí), o sus “agradadores” (que jalean la deuda eterna), si estas son las “soluciones creativas” a las que hay que “regar” con 800.000 </w:t>
      </w:r>
      <w:r w:rsidRPr="0086294C">
        <w:rPr>
          <w:shd w:val="clear" w:color="auto" w:fill="FFFFFF"/>
        </w:rPr>
        <w:lastRenderedPageBreak/>
        <w:t>millones de euros al año (durante cinco años)? Y aunque desde hace mucho tiempo nadie pregunta nada, en Europa, Don Mario (ya que llegó hasta aquí) o alguno de sus “agradadores” (partidarios de dopar a los mercados) ¿usted(es) cree(n) que lanzando desde el helicóptero de BCE esa “carrada” de dinero (</w:t>
      </w:r>
      <w:r w:rsidR="00060685" w:rsidRPr="0086294C">
        <w:rPr>
          <w:shd w:val="clear" w:color="auto" w:fill="FFFFFF"/>
        </w:rPr>
        <w:t>falso, sin duda; inflacionario, además</w:t>
      </w:r>
      <w:r w:rsidRPr="0086294C">
        <w:rPr>
          <w:shd w:val="clear" w:color="auto" w:fill="FFFFFF"/>
        </w:rPr>
        <w:t>), para adquirir los bonos soberanos (lo de soberanos, es un sarcasmo) de los países miembro, que serán amortizados, por las futuras generaciones de europeos</w:t>
      </w:r>
      <w:r w:rsidR="002E664D" w:rsidRPr="0086294C">
        <w:rPr>
          <w:shd w:val="clear" w:color="auto" w:fill="FFFFFF"/>
        </w:rPr>
        <w:t xml:space="preserve"> (contribuyentes</w:t>
      </w:r>
      <w:r w:rsidR="00060685" w:rsidRPr="0086294C">
        <w:rPr>
          <w:shd w:val="clear" w:color="auto" w:fill="FFFFFF"/>
        </w:rPr>
        <w:t xml:space="preserve"> involuntarios</w:t>
      </w:r>
      <w:r w:rsidR="002E664D" w:rsidRPr="0086294C">
        <w:rPr>
          <w:shd w:val="clear" w:color="auto" w:fill="FFFFFF"/>
        </w:rPr>
        <w:t>), que nunca habrán</w:t>
      </w:r>
      <w:r w:rsidRPr="0086294C">
        <w:rPr>
          <w:shd w:val="clear" w:color="auto" w:fill="FFFFFF"/>
        </w:rPr>
        <w:t xml:space="preserve"> visto ni un euro de la lluvia de millones de euros repartidos,</w:t>
      </w:r>
      <w:r w:rsidR="00060685" w:rsidRPr="0086294C">
        <w:rPr>
          <w:shd w:val="clear" w:color="auto" w:fill="FFFFFF"/>
        </w:rPr>
        <w:t xml:space="preserve"> sin propósito cierto, ni</w:t>
      </w:r>
      <w:r w:rsidRPr="0086294C">
        <w:rPr>
          <w:shd w:val="clear" w:color="auto" w:fill="FFFFFF"/>
        </w:rPr>
        <w:t xml:space="preserve"> control</w:t>
      </w:r>
      <w:r w:rsidR="00060685" w:rsidRPr="0086294C">
        <w:rPr>
          <w:shd w:val="clear" w:color="auto" w:fill="FFFFFF"/>
        </w:rPr>
        <w:t xml:space="preserve"> efectivo</w:t>
      </w:r>
      <w:r w:rsidRPr="0086294C">
        <w:rPr>
          <w:shd w:val="clear" w:color="auto" w:fill="FFFFFF"/>
        </w:rPr>
        <w:t>, en</w:t>
      </w:r>
      <w:r w:rsidR="00961D50">
        <w:rPr>
          <w:shd w:val="clear" w:color="auto" w:fill="FFFFFF"/>
        </w:rPr>
        <w:t xml:space="preserve">tre los </w:t>
      </w:r>
      <w:r w:rsidR="00060685" w:rsidRPr="0086294C">
        <w:rPr>
          <w:shd w:val="clear" w:color="auto" w:fill="FFFFFF"/>
        </w:rPr>
        <w:t xml:space="preserve">conspicuos miembros del “capitalismo rentista”? </w:t>
      </w:r>
    </w:p>
    <w:p w:rsidR="002E664D" w:rsidRPr="0086294C" w:rsidRDefault="002E664D" w:rsidP="002E664D">
      <w:pPr>
        <w:pStyle w:val="NormalWeb"/>
        <w:shd w:val="clear" w:color="auto" w:fill="FFFFFF"/>
        <w:spacing w:after="0"/>
        <w:jc w:val="both"/>
        <w:rPr>
          <w:b/>
          <w:shd w:val="clear" w:color="auto" w:fill="FFFFFF"/>
        </w:rPr>
      </w:pPr>
      <w:r w:rsidRPr="0086294C">
        <w:rPr>
          <w:b/>
          <w:shd w:val="clear" w:color="auto" w:fill="FFFFFF"/>
        </w:rPr>
        <w:t>Mientras ustedes, fatuos grandes bonetes de la élite europea, y dogmáticos tecnócratas de Bruselas, corren el riesgo de “pasarse de potencia” (800.000 millones de euros por año, durante cinco años, que se dice fácil), algunos insignificantes ciudadanos de la Europa profunda, subidos al speaker´s corner de papel, en su</w:t>
      </w:r>
      <w:r w:rsidR="000C4762" w:rsidRPr="0086294C">
        <w:rPr>
          <w:b/>
          <w:shd w:val="clear" w:color="auto" w:fill="FFFFFF"/>
        </w:rPr>
        <w:t xml:space="preserve"> propio</w:t>
      </w:r>
      <w:r w:rsidRPr="0086294C">
        <w:rPr>
          <w:b/>
          <w:shd w:val="clear" w:color="auto" w:fill="FFFFFF"/>
        </w:rPr>
        <w:t xml:space="preserve"> nombre, o caracterizados de Friedrich List, prefieren correr el riesgo de “quedarse cortos”, y plantear alternativas de cambio, de bajo costo, aunque de largo recorrido…</w:t>
      </w:r>
    </w:p>
    <w:p w:rsidR="002E664D" w:rsidRPr="0086294C" w:rsidRDefault="002E664D" w:rsidP="002E664D">
      <w:pPr>
        <w:pStyle w:val="NormalWeb"/>
        <w:shd w:val="clear" w:color="auto" w:fill="FFFFFF"/>
        <w:spacing w:after="0"/>
        <w:jc w:val="both"/>
        <w:rPr>
          <w:b/>
          <w:shd w:val="clear" w:color="auto" w:fill="FFFFFF"/>
        </w:rPr>
      </w:pPr>
      <w:r w:rsidRPr="0086294C">
        <w:rPr>
          <w:b/>
          <w:shd w:val="clear" w:color="auto" w:fill="FFFFFF"/>
        </w:rPr>
        <w:t>De todos modos, cómo es probable (casi seguro) que no modifiquen su propuesta original de “cambiar todo para que nada cambie” (“dopando los mercados”, en nombre de la competitividad perdida, para que siga la misma “ec</w:t>
      </w:r>
      <w:r w:rsidR="00961D50">
        <w:rPr>
          <w:b/>
          <w:shd w:val="clear" w:color="auto" w:fill="FFFFFF"/>
        </w:rPr>
        <w:t>onomía de casino”), haciendo lo</w:t>
      </w:r>
      <w:r w:rsidRPr="0086294C">
        <w:rPr>
          <w:b/>
          <w:shd w:val="clear" w:color="auto" w:fill="FFFFFF"/>
        </w:rPr>
        <w:t xml:space="preserve"> que les conviene (multilateralismo), y no lo que deben (proteccionismo), manteniendo la agenda esquizofrénica, intervencionista, liberticida, progre,</w:t>
      </w:r>
      <w:r w:rsidR="00734564" w:rsidRPr="0086294C">
        <w:rPr>
          <w:b/>
          <w:shd w:val="clear" w:color="auto" w:fill="FFFFFF"/>
        </w:rPr>
        <w:t xml:space="preserve"> disruptiva,</w:t>
      </w:r>
      <w:r w:rsidRPr="0086294C">
        <w:rPr>
          <w:b/>
          <w:shd w:val="clear" w:color="auto" w:fill="FFFFFF"/>
        </w:rPr>
        <w:t xml:space="preserve"> ecologista,</w:t>
      </w:r>
      <w:r w:rsidR="00060685" w:rsidRPr="0086294C">
        <w:rPr>
          <w:b/>
          <w:shd w:val="clear" w:color="auto" w:fill="FFFFFF"/>
        </w:rPr>
        <w:t xml:space="preserve"> circular,</w:t>
      </w:r>
      <w:r w:rsidR="00A333DF" w:rsidRPr="0086294C">
        <w:rPr>
          <w:b/>
          <w:shd w:val="clear" w:color="auto" w:fill="FFFFFF"/>
        </w:rPr>
        <w:t xml:space="preserve"> resiliente, </w:t>
      </w:r>
      <w:r w:rsidRPr="0086294C">
        <w:rPr>
          <w:b/>
          <w:shd w:val="clear" w:color="auto" w:fill="FFFFFF"/>
        </w:rPr>
        <w:t>multicultural, woke</w:t>
      </w:r>
      <w:r w:rsidR="00734564" w:rsidRPr="0086294C">
        <w:rPr>
          <w:b/>
          <w:shd w:val="clear" w:color="auto" w:fill="FFFFFF"/>
        </w:rPr>
        <w:t>, trans,</w:t>
      </w:r>
      <w:r w:rsidRPr="0086294C">
        <w:rPr>
          <w:b/>
          <w:shd w:val="clear" w:color="auto" w:fill="FFFFFF"/>
        </w:rPr>
        <w:t>…</w:t>
      </w:r>
      <w:r w:rsidR="000C4762" w:rsidRPr="0086294C">
        <w:rPr>
          <w:b/>
          <w:shd w:val="clear" w:color="auto" w:fill="FFFFFF"/>
        </w:rPr>
        <w:t xml:space="preserve"> </w:t>
      </w:r>
      <w:r w:rsidRPr="0086294C">
        <w:rPr>
          <w:b/>
          <w:shd w:val="clear" w:color="auto" w:fill="FFFFFF"/>
        </w:rPr>
        <w:t>mientras amplían, y profundizan, el “estado del malestar” europeo, les dejo, un pedido final (casi</w:t>
      </w:r>
      <w:r w:rsidR="000C4762" w:rsidRPr="0086294C">
        <w:rPr>
          <w:b/>
          <w:shd w:val="clear" w:color="auto" w:fill="FFFFFF"/>
        </w:rPr>
        <w:t>,</w:t>
      </w:r>
      <w:r w:rsidRPr="0086294C">
        <w:rPr>
          <w:b/>
          <w:shd w:val="clear" w:color="auto" w:fill="FFFFFF"/>
        </w:rPr>
        <w:t xml:space="preserve"> un ruego), “en el nombre del nieto”: por favor, “sobre todo</w:t>
      </w:r>
      <w:r w:rsidR="00734564" w:rsidRPr="0086294C">
        <w:rPr>
          <w:b/>
          <w:shd w:val="clear" w:color="auto" w:fill="FFFFFF"/>
        </w:rPr>
        <w:t>,</w:t>
      </w:r>
      <w:r w:rsidRPr="0086294C">
        <w:rPr>
          <w:b/>
          <w:shd w:val="clear" w:color="auto" w:fill="FFFFFF"/>
        </w:rPr>
        <w:t xml:space="preserve"> no hagan (más) daño”.</w:t>
      </w:r>
    </w:p>
    <w:p w:rsidR="00734564" w:rsidRPr="0086294C" w:rsidRDefault="00734564" w:rsidP="00734564">
      <w:pPr>
        <w:spacing w:line="240" w:lineRule="auto"/>
        <w:jc w:val="both"/>
        <w:rPr>
          <w:rFonts w:ascii="Times New Roman" w:hAnsi="Times New Roman" w:cs="Times New Roman"/>
          <w:sz w:val="24"/>
          <w:szCs w:val="24"/>
        </w:rPr>
      </w:pPr>
      <w:r w:rsidRPr="0086294C">
        <w:rPr>
          <w:rFonts w:ascii="Times New Roman" w:hAnsi="Times New Roman" w:cs="Times New Roman"/>
          <w:b/>
          <w:sz w:val="24"/>
          <w:szCs w:val="24"/>
        </w:rPr>
        <w:t>800.000 euros por año, y la capacidad de engañar</w:t>
      </w:r>
      <w:r w:rsidRPr="0086294C">
        <w:rPr>
          <w:rFonts w:ascii="Times New Roman" w:hAnsi="Times New Roman" w:cs="Times New Roman"/>
          <w:sz w:val="24"/>
          <w:szCs w:val="24"/>
        </w:rPr>
        <w:t>: ¿terminará la Unión Europea subvencionando a la industria China, para satisfacer la codicia, y disimular la miopía, de las automotrices europeas que fab</w:t>
      </w:r>
      <w:r w:rsidR="00A333DF" w:rsidRPr="0086294C">
        <w:rPr>
          <w:rFonts w:ascii="Times New Roman" w:hAnsi="Times New Roman" w:cs="Times New Roman"/>
          <w:sz w:val="24"/>
          <w:szCs w:val="24"/>
        </w:rPr>
        <w:t>rican algunos de sus vehículos</w:t>
      </w:r>
      <w:r w:rsidRPr="0086294C">
        <w:rPr>
          <w:rFonts w:ascii="Times New Roman" w:hAnsi="Times New Roman" w:cs="Times New Roman"/>
          <w:sz w:val="24"/>
          <w:szCs w:val="24"/>
        </w:rPr>
        <w:t xml:space="preserve"> en China? Todos los coches europeos que se fabrican en China: Mini Cooper - Polestar 2 - Cupra Tavascan - Dacia Spring - BMW iX3 - Volvo XC60 - Smart #1 - Volvo XC40 - Volkswagen ID.4 (Fuente: autobild.es/noticias - 29/9/23) ¿seguirán los grandes empresarios europeos (con la ayuda de Draghi y los “tangentópolis” 5.0), intentado soplar y sorber a la v</w:t>
      </w:r>
      <w:r w:rsidR="00961D50">
        <w:rPr>
          <w:rFonts w:ascii="Times New Roman" w:hAnsi="Times New Roman" w:cs="Times New Roman"/>
          <w:sz w:val="24"/>
          <w:szCs w:val="24"/>
        </w:rPr>
        <w:t>ez, procurando subir y bajar la escalera</w:t>
      </w:r>
      <w:r w:rsidRPr="0086294C">
        <w:rPr>
          <w:rFonts w:ascii="Times New Roman" w:hAnsi="Times New Roman" w:cs="Times New Roman"/>
          <w:sz w:val="24"/>
          <w:szCs w:val="24"/>
        </w:rPr>
        <w:t xml:space="preserve"> al mismo tiem</w:t>
      </w:r>
      <w:r w:rsidR="00A333DF" w:rsidRPr="0086294C">
        <w:rPr>
          <w:rFonts w:ascii="Times New Roman" w:hAnsi="Times New Roman" w:cs="Times New Roman"/>
          <w:sz w:val="24"/>
          <w:szCs w:val="24"/>
        </w:rPr>
        <w:t>po, pretendiendo hacer tortilla</w:t>
      </w:r>
      <w:r w:rsidRPr="0086294C">
        <w:rPr>
          <w:rFonts w:ascii="Times New Roman" w:hAnsi="Times New Roman" w:cs="Times New Roman"/>
          <w:sz w:val="24"/>
          <w:szCs w:val="24"/>
        </w:rPr>
        <w:t xml:space="preserve"> sin romper los huevos,</w:t>
      </w:r>
      <w:r w:rsidR="00961D50">
        <w:rPr>
          <w:rFonts w:ascii="Times New Roman" w:hAnsi="Times New Roman" w:cs="Times New Roman"/>
          <w:sz w:val="24"/>
          <w:szCs w:val="24"/>
        </w:rPr>
        <w:t xml:space="preserve"> aspirando a vender armas a los blancos y a los indios,</w:t>
      </w:r>
      <w:r w:rsidRPr="0086294C">
        <w:rPr>
          <w:rFonts w:ascii="Times New Roman" w:hAnsi="Times New Roman" w:cs="Times New Roman"/>
          <w:sz w:val="24"/>
          <w:szCs w:val="24"/>
        </w:rPr>
        <w:t xml:space="preserve"> o insistiendo en que ellos solo están, medio embarazados? ¿A dónde ir con este establishment?</w:t>
      </w:r>
    </w:p>
    <w:p w:rsidR="00734564" w:rsidRPr="0086294C" w:rsidRDefault="00734564" w:rsidP="00734564">
      <w:pPr>
        <w:spacing w:line="240" w:lineRule="auto"/>
        <w:jc w:val="both"/>
        <w:rPr>
          <w:rFonts w:ascii="Times New Roman" w:hAnsi="Times New Roman" w:cs="Times New Roman"/>
          <w:sz w:val="24"/>
          <w:szCs w:val="24"/>
        </w:rPr>
      </w:pPr>
      <w:r w:rsidRPr="0086294C">
        <w:rPr>
          <w:rFonts w:ascii="Times New Roman" w:hAnsi="Times New Roman" w:cs="Times New Roman"/>
          <w:b/>
          <w:sz w:val="24"/>
          <w:szCs w:val="24"/>
        </w:rPr>
        <w:t xml:space="preserve">¿Se puede defender Europa al precio de masacrarla? </w:t>
      </w:r>
      <w:r w:rsidRPr="0086294C">
        <w:rPr>
          <w:rFonts w:ascii="Times New Roman" w:hAnsi="Times New Roman" w:cs="Times New Roman"/>
          <w:sz w:val="24"/>
          <w:szCs w:val="24"/>
        </w:rPr>
        <w:t>“A la angustia paralizante hay que oponer la elegancia del riesgo asumido… Lo que nos hace fuertes no es la huida, sino el enfrentamiento con la adversidad… Quién ganará: ¿los apóstoles de la capitulación o los partisanos de la resistencia?” Pascal Bruckner (París, 1948) filósofo francés autor de: “Miseria de la prosperidad: La religión del mercado y sus enemigos”, “Vivir en zapatillas” (sobre los efectos del Covid-19).</w:t>
      </w:r>
    </w:p>
    <w:p w:rsidR="00734564" w:rsidRPr="0086294C" w:rsidRDefault="00734564" w:rsidP="00734564">
      <w:pPr>
        <w:spacing w:line="240" w:lineRule="auto"/>
        <w:jc w:val="both"/>
        <w:rPr>
          <w:rFonts w:ascii="Times New Roman" w:hAnsi="Times New Roman" w:cs="Times New Roman"/>
          <w:sz w:val="24"/>
          <w:szCs w:val="24"/>
        </w:rPr>
      </w:pPr>
      <w:r w:rsidRPr="0086294C">
        <w:rPr>
          <w:rFonts w:ascii="Times New Roman" w:hAnsi="Times New Roman" w:cs="Times New Roman"/>
          <w:sz w:val="24"/>
          <w:szCs w:val="24"/>
        </w:rPr>
        <w:t>El filósofo Bruckner sostiene que: “Hay que tener confianza en las nuevas generaciones. Aunque hay una generación que gimotea y se hace la víctima, hay otra que da la cara y pretende forjar el porvenir, no sufrirlo”.</w:t>
      </w:r>
    </w:p>
    <w:p w:rsidR="001B40A3" w:rsidRDefault="00734564" w:rsidP="001B40A3">
      <w:pPr>
        <w:spacing w:line="240" w:lineRule="auto"/>
        <w:jc w:val="both"/>
        <w:rPr>
          <w:rFonts w:ascii="Times New Roman" w:hAnsi="Times New Roman" w:cs="Times New Roman"/>
          <w:b/>
          <w:sz w:val="24"/>
          <w:szCs w:val="24"/>
        </w:rPr>
      </w:pPr>
      <w:r w:rsidRPr="0086294C">
        <w:rPr>
          <w:rFonts w:ascii="Times New Roman" w:hAnsi="Times New Roman" w:cs="Times New Roman"/>
          <w:sz w:val="24"/>
          <w:szCs w:val="24"/>
        </w:rPr>
        <w:t xml:space="preserve">Como viejo de lugar (millonario de derrotas), ante el avance siniestro de Silicon Valley, apelo al sabio Spinoza, para dejar planteado un último interrogante para aquellos jóvenes europeos “anclados y comunicados” (pero incapaces de leer libros): </w:t>
      </w:r>
      <w:r w:rsidRPr="0086294C">
        <w:rPr>
          <w:rFonts w:ascii="Times New Roman" w:hAnsi="Times New Roman" w:cs="Times New Roman"/>
          <w:b/>
          <w:sz w:val="24"/>
          <w:szCs w:val="24"/>
        </w:rPr>
        <w:t>“¿por qué demonios los hombres luchan por su servidumbre como si fuera su salvación?”</w:t>
      </w:r>
    </w:p>
    <w:p w:rsidR="00D714F4" w:rsidRDefault="00D714F4" w:rsidP="001B40A3">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P</w:t>
      </w:r>
      <w:r w:rsidRPr="00D714F4">
        <w:rPr>
          <w:rFonts w:ascii="Times New Roman" w:hAnsi="Times New Roman" w:cs="Times New Roman"/>
          <w:b/>
          <w:sz w:val="24"/>
          <w:szCs w:val="24"/>
        </w:rPr>
        <w:t>ost scriptum</w:t>
      </w:r>
      <w:r>
        <w:rPr>
          <w:rFonts w:ascii="Times New Roman" w:hAnsi="Times New Roman" w:cs="Times New Roman"/>
          <w:b/>
          <w:sz w:val="24"/>
          <w:szCs w:val="24"/>
        </w:rPr>
        <w:t>: Fotos y Fatos (“Manca finezza”, como decía su coterráneo Andreotti)</w:t>
      </w:r>
    </w:p>
    <w:p w:rsidR="00D714F4" w:rsidRDefault="00D714F4" w:rsidP="001B40A3">
      <w:pPr>
        <w:spacing w:line="240" w:lineRule="auto"/>
        <w:jc w:val="both"/>
        <w:rPr>
          <w:rFonts w:ascii="Times New Roman" w:hAnsi="Times New Roman" w:cs="Times New Roman"/>
          <w:b/>
          <w:sz w:val="24"/>
          <w:szCs w:val="24"/>
        </w:rPr>
      </w:pPr>
    </w:p>
    <w:p w:rsidR="00D714F4" w:rsidRDefault="00D714F4" w:rsidP="001B40A3">
      <w:pPr>
        <w:spacing w:line="240" w:lineRule="auto"/>
        <w:jc w:val="both"/>
        <w:rPr>
          <w:rFonts w:ascii="Times New Roman" w:hAnsi="Times New Roman" w:cs="Times New Roman"/>
          <w:b/>
          <w:sz w:val="24"/>
          <w:szCs w:val="24"/>
        </w:rPr>
      </w:pPr>
      <w:r w:rsidRPr="00967616">
        <w:drawing>
          <wp:inline distT="0" distB="0" distL="0" distR="0" wp14:anchorId="690E3AB1" wp14:editId="61EE7C8E">
            <wp:extent cx="5734050" cy="2552700"/>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2551569"/>
                    </a:xfrm>
                    <a:prstGeom prst="rect">
                      <a:avLst/>
                    </a:prstGeom>
                  </pic:spPr>
                </pic:pic>
              </a:graphicData>
            </a:graphic>
          </wp:inline>
        </w:drawing>
      </w:r>
    </w:p>
    <w:p w:rsidR="00D714F4" w:rsidRDefault="00D714F4" w:rsidP="001B40A3">
      <w:pPr>
        <w:spacing w:line="240" w:lineRule="auto"/>
        <w:jc w:val="both"/>
        <w:rPr>
          <w:rFonts w:ascii="Times New Roman" w:hAnsi="Times New Roman" w:cs="Times New Roman"/>
          <w:b/>
          <w:sz w:val="24"/>
          <w:szCs w:val="24"/>
        </w:rPr>
      </w:pPr>
      <w:r w:rsidRPr="00967616">
        <w:drawing>
          <wp:inline distT="0" distB="0" distL="0" distR="0" wp14:anchorId="171D227E" wp14:editId="53C0EA61">
            <wp:extent cx="5734050" cy="3187700"/>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3186288"/>
                    </a:xfrm>
                    <a:prstGeom prst="rect">
                      <a:avLst/>
                    </a:prstGeom>
                  </pic:spPr>
                </pic:pic>
              </a:graphicData>
            </a:graphic>
          </wp:inline>
        </w:drawing>
      </w:r>
    </w:p>
    <w:p w:rsidR="00D714F4" w:rsidRDefault="00D714F4" w:rsidP="00D714F4">
      <w:pPr>
        <w:pStyle w:val="NormalWeb"/>
        <w:shd w:val="clear" w:color="auto" w:fill="FFFFFF"/>
        <w:spacing w:after="0"/>
        <w:jc w:val="both"/>
      </w:pPr>
      <w:r>
        <w:t>Mire Don Mario, y con esto acabo: es posible que la ventaja (competitiva) de Europa se haya acabado, pero no se puede modificar la tendencia (recuperar la posición anterior) dándole dinero (mucho dinero) a los mismos que ayudaron a perder la ventaja relativa (lucrándose de ello, y quieren seguir haciéndolo). Por favor, Don Mario, no sea cómplice (por acción, u omisión)  del latrocinio (embuste, trampa, estafa, robo, fraude) de unos burócratas, políticos, y empresarios, que han llevado a Europa a esta situación de parálisis cerebral. Con ellos, NO.</w:t>
      </w:r>
    </w:p>
    <w:p w:rsidR="00D714F4" w:rsidRPr="00D714F4" w:rsidRDefault="00D714F4" w:rsidP="00D714F4">
      <w:pPr>
        <w:pStyle w:val="NormalWeb"/>
        <w:shd w:val="clear" w:color="auto" w:fill="FFFFFF"/>
        <w:spacing w:after="0"/>
        <w:jc w:val="both"/>
        <w:rPr>
          <w:b/>
        </w:rPr>
      </w:pPr>
      <w:r w:rsidRPr="00D714F4">
        <w:rPr>
          <w:b/>
        </w:rPr>
        <w:t>Es preciso estar atento, Don Mario. Los despistes se pagan, pero usted propone hacerlo con el dinero del contribuyente. ¿Por qué, Don Mario? ¿Dónde estarán sus nietos, cuando haya que pagar el “tsunami” de</w:t>
      </w:r>
      <w:r>
        <w:rPr>
          <w:b/>
        </w:rPr>
        <w:t xml:space="preserve"> la</w:t>
      </w:r>
      <w:r w:rsidRPr="00D714F4">
        <w:rPr>
          <w:b/>
        </w:rPr>
        <w:t xml:space="preserve"> Deuda Soberana</w:t>
      </w:r>
      <w:r>
        <w:rPr>
          <w:b/>
        </w:rPr>
        <w:t xml:space="preserve"> (lo de “soberana”, es un sarcasmo</w:t>
      </w:r>
      <w:r w:rsidRPr="00D714F4">
        <w:rPr>
          <w:b/>
        </w:rPr>
        <w:t>? ¿Qué pensarán, qué dirán, a quién culparán?</w:t>
      </w:r>
    </w:p>
    <w:p w:rsidR="004805A8" w:rsidRPr="001B40A3" w:rsidRDefault="004805A8" w:rsidP="001B40A3">
      <w:pPr>
        <w:spacing w:line="240" w:lineRule="auto"/>
        <w:jc w:val="both"/>
        <w:rPr>
          <w:rFonts w:ascii="Times New Roman" w:hAnsi="Times New Roman" w:cs="Times New Roman"/>
          <w:b/>
          <w:color w:val="FF0000"/>
          <w:sz w:val="24"/>
          <w:szCs w:val="24"/>
        </w:rPr>
      </w:pPr>
      <w:r w:rsidRPr="001B40A3">
        <w:rPr>
          <w:rFonts w:ascii="Times New Roman" w:hAnsi="Times New Roman" w:cs="Times New Roman"/>
          <w:b/>
          <w:bCs/>
          <w:color w:val="000000"/>
          <w:sz w:val="24"/>
          <w:szCs w:val="24"/>
        </w:rPr>
        <w:lastRenderedPageBreak/>
        <w:t>Anexo II - Resumen</w:t>
      </w:r>
      <w:r w:rsidR="00925B37" w:rsidRPr="001B40A3">
        <w:rPr>
          <w:rFonts w:ascii="Times New Roman" w:hAnsi="Times New Roman" w:cs="Times New Roman"/>
          <w:b/>
          <w:bCs/>
          <w:color w:val="000000"/>
          <w:sz w:val="24"/>
          <w:szCs w:val="24"/>
        </w:rPr>
        <w:t xml:space="preserve"> de los Informes de </w:t>
      </w:r>
      <w:r w:rsidR="00925B37" w:rsidRPr="001B40A3">
        <w:rPr>
          <w:rFonts w:ascii="Times New Roman" w:hAnsi="Times New Roman" w:cs="Times New Roman"/>
          <w:b/>
          <w:sz w:val="24"/>
          <w:szCs w:val="24"/>
        </w:rPr>
        <w:t xml:space="preserve">Peter Strohschneider </w:t>
      </w:r>
      <w:r w:rsidR="00925B37" w:rsidRPr="001B40A3">
        <w:rPr>
          <w:rFonts w:ascii="Times New Roman" w:hAnsi="Times New Roman" w:cs="Times New Roman"/>
          <w:sz w:val="24"/>
          <w:szCs w:val="24"/>
        </w:rPr>
        <w:t xml:space="preserve">(agricultura y alimentación), de </w:t>
      </w:r>
      <w:r w:rsidR="00925B37" w:rsidRPr="001B40A3">
        <w:rPr>
          <w:rFonts w:ascii="Times New Roman" w:hAnsi="Times New Roman" w:cs="Times New Roman"/>
          <w:b/>
          <w:sz w:val="24"/>
          <w:szCs w:val="24"/>
        </w:rPr>
        <w:t xml:space="preserve">Enrico Letta </w:t>
      </w:r>
      <w:r w:rsidR="00925B37" w:rsidRPr="001B40A3">
        <w:rPr>
          <w:rFonts w:ascii="Times New Roman" w:hAnsi="Times New Roman" w:cs="Times New Roman"/>
          <w:sz w:val="24"/>
          <w:szCs w:val="24"/>
        </w:rPr>
        <w:t xml:space="preserve">(mercado), y/o de </w:t>
      </w:r>
      <w:r w:rsidR="00925B37" w:rsidRPr="001B40A3">
        <w:rPr>
          <w:rFonts w:ascii="Times New Roman" w:hAnsi="Times New Roman" w:cs="Times New Roman"/>
          <w:b/>
          <w:sz w:val="24"/>
          <w:szCs w:val="24"/>
        </w:rPr>
        <w:t xml:space="preserve">Mario Draghi </w:t>
      </w:r>
      <w:r w:rsidR="00925B37" w:rsidRPr="001B40A3">
        <w:rPr>
          <w:rFonts w:ascii="Times New Roman" w:hAnsi="Times New Roman" w:cs="Times New Roman"/>
          <w:sz w:val="24"/>
          <w:szCs w:val="24"/>
        </w:rPr>
        <w:t xml:space="preserve">(competitividad). </w:t>
      </w:r>
    </w:p>
    <w:p w:rsidR="003F7ADF" w:rsidRPr="003F7ADF" w:rsidRDefault="00E65EBB" w:rsidP="00E65EBB">
      <w:pPr>
        <w:shd w:val="clear" w:color="auto" w:fill="FFFFFF"/>
        <w:spacing w:line="240" w:lineRule="auto"/>
        <w:jc w:val="both"/>
        <w:rPr>
          <w:rFonts w:ascii="Times New Roman" w:hAnsi="Times New Roman" w:cs="Times New Roman"/>
          <w:b/>
          <w:bCs/>
          <w:color w:val="000000"/>
          <w:sz w:val="24"/>
          <w:szCs w:val="24"/>
        </w:rPr>
      </w:pPr>
      <w:r w:rsidRPr="003F7ADF">
        <w:rPr>
          <w:rFonts w:ascii="Times New Roman" w:hAnsi="Times New Roman" w:cs="Times New Roman"/>
          <w:b/>
          <w:bCs/>
          <w:color w:val="000000"/>
          <w:sz w:val="24"/>
          <w:szCs w:val="24"/>
        </w:rPr>
        <w:t xml:space="preserve">Strategic Dialogue on the Future of </w:t>
      </w:r>
      <w:r w:rsidR="0048331A" w:rsidRPr="003F7ADF">
        <w:rPr>
          <w:rFonts w:ascii="Times New Roman" w:hAnsi="Times New Roman" w:cs="Times New Roman"/>
          <w:b/>
          <w:bCs/>
          <w:color w:val="000000"/>
          <w:sz w:val="24"/>
          <w:szCs w:val="24"/>
        </w:rPr>
        <w:t xml:space="preserve">EU Agriculture - </w:t>
      </w:r>
      <w:r w:rsidRPr="003F7ADF">
        <w:rPr>
          <w:rFonts w:ascii="Times New Roman" w:hAnsi="Times New Roman" w:cs="Times New Roman"/>
          <w:b/>
          <w:bCs/>
          <w:color w:val="000000"/>
          <w:sz w:val="24"/>
          <w:szCs w:val="24"/>
        </w:rPr>
        <w:t>A shared prospect for farming and food in Europe</w:t>
      </w:r>
      <w:r w:rsidR="003F7ADF" w:rsidRPr="003F7ADF">
        <w:rPr>
          <w:rFonts w:ascii="Times New Roman" w:hAnsi="Times New Roman" w:cs="Times New Roman"/>
          <w:b/>
          <w:bCs/>
          <w:color w:val="000000"/>
          <w:sz w:val="24"/>
          <w:szCs w:val="24"/>
        </w:rPr>
        <w:t xml:space="preserve"> </w:t>
      </w:r>
      <w:r w:rsidR="003F7ADF">
        <w:rPr>
          <w:rFonts w:ascii="Times New Roman" w:hAnsi="Times New Roman" w:cs="Times New Roman"/>
          <w:bCs/>
          <w:color w:val="000000"/>
          <w:sz w:val="24"/>
          <w:szCs w:val="24"/>
        </w:rPr>
        <w:t>(Nota: hasta el 18/9/24 no existía</w:t>
      </w:r>
      <w:r w:rsidR="003F7ADF" w:rsidRPr="003F7ADF">
        <w:rPr>
          <w:rFonts w:ascii="Times New Roman" w:hAnsi="Times New Roman" w:cs="Times New Roman"/>
          <w:bCs/>
          <w:color w:val="000000"/>
          <w:sz w:val="24"/>
          <w:szCs w:val="24"/>
        </w:rPr>
        <w:t xml:space="preserve"> una versión en español del Informe)</w:t>
      </w:r>
    </w:p>
    <w:p w:rsidR="000026DA" w:rsidRPr="00925B37" w:rsidRDefault="00925B37" w:rsidP="000026DA">
      <w:pPr>
        <w:shd w:val="clear" w:color="auto" w:fill="FFFFFF"/>
        <w:spacing w:line="240" w:lineRule="auto"/>
        <w:jc w:val="both"/>
        <w:rPr>
          <w:rFonts w:ascii="Times New Roman" w:hAnsi="Times New Roman" w:cs="Times New Roman"/>
          <w:b/>
          <w:bCs/>
          <w:color w:val="000000"/>
          <w:sz w:val="24"/>
          <w:szCs w:val="24"/>
          <w:lang w:val="en-GB"/>
        </w:rPr>
      </w:pPr>
      <w:r>
        <w:rPr>
          <w:rFonts w:ascii="Times New Roman" w:hAnsi="Times New Roman" w:cs="Times New Roman"/>
          <w:b/>
          <w:bCs/>
          <w:color w:val="000000"/>
          <w:sz w:val="24"/>
          <w:szCs w:val="24"/>
          <w:lang w:val="en-GB"/>
        </w:rPr>
        <w:t xml:space="preserve">Conclusion.- </w:t>
      </w:r>
      <w:r w:rsidR="0048331A" w:rsidRPr="000026DA">
        <w:rPr>
          <w:rFonts w:ascii="Times New Roman" w:hAnsi="Times New Roman" w:cs="Times New Roman"/>
          <w:sz w:val="24"/>
          <w:szCs w:val="24"/>
          <w:lang w:val="en-GB"/>
        </w:rPr>
        <w:t xml:space="preserve">Announced by the President of the European Commission in her State of the Union Address on September 13th 2023 and launched in Brussels on January 25th 2024, the Strategic Dialogue on the Future of EU Agriculture, has added a new, unaccustomed format to the participation procedures at EU level. In an intensive dialogue process, stakeholders with </w:t>
      </w:r>
      <w:r w:rsidR="00FE7EFD" w:rsidRPr="000026DA">
        <w:rPr>
          <w:rFonts w:ascii="Times New Roman" w:hAnsi="Times New Roman" w:cs="Times New Roman"/>
          <w:sz w:val="24"/>
          <w:szCs w:val="24"/>
          <w:lang w:val="en-GB"/>
        </w:rPr>
        <w:t>different</w:t>
      </w:r>
      <w:r w:rsidR="0048331A" w:rsidRPr="000026DA">
        <w:rPr>
          <w:rFonts w:ascii="Times New Roman" w:hAnsi="Times New Roman" w:cs="Times New Roman"/>
          <w:sz w:val="24"/>
          <w:szCs w:val="24"/>
          <w:lang w:val="en-GB"/>
        </w:rPr>
        <w:t xml:space="preserve">, sometimes opposing vested interests jointly negotiate prospects and pathways for the further development of a particularly important, highly complex and very controversial policy area and recommend their shared perspectives to the EU executive as an orientation for action. </w:t>
      </w:r>
    </w:p>
    <w:p w:rsidR="000026DA" w:rsidRPr="000026DA" w:rsidRDefault="0048331A" w:rsidP="000026DA">
      <w:pPr>
        <w:shd w:val="clear" w:color="auto" w:fill="FFFFFF"/>
        <w:spacing w:line="240" w:lineRule="auto"/>
        <w:jc w:val="both"/>
        <w:rPr>
          <w:rFonts w:ascii="Times New Roman" w:hAnsi="Times New Roman" w:cs="Times New Roman"/>
          <w:sz w:val="24"/>
          <w:szCs w:val="24"/>
          <w:lang w:val="en-GB"/>
        </w:rPr>
      </w:pPr>
      <w:r w:rsidRPr="000026DA">
        <w:rPr>
          <w:rFonts w:ascii="Times New Roman" w:hAnsi="Times New Roman" w:cs="Times New Roman"/>
          <w:sz w:val="24"/>
          <w:szCs w:val="24"/>
          <w:lang w:val="en-GB"/>
        </w:rPr>
        <w:t>Seen in the light of this paradigmatic innovation, the Strategic Dialogue shows a twofold result. The f</w:t>
      </w:r>
      <w:r w:rsidR="00FE7EFD">
        <w:rPr>
          <w:rFonts w:ascii="Times New Roman" w:hAnsi="Times New Roman" w:cs="Times New Roman"/>
          <w:sz w:val="24"/>
          <w:szCs w:val="24"/>
          <w:lang w:val="en-GB"/>
        </w:rPr>
        <w:t>i</w:t>
      </w:r>
      <w:r w:rsidRPr="000026DA">
        <w:rPr>
          <w:rFonts w:ascii="Times New Roman" w:hAnsi="Times New Roman" w:cs="Times New Roman"/>
          <w:sz w:val="24"/>
          <w:szCs w:val="24"/>
          <w:lang w:val="en-GB"/>
        </w:rPr>
        <w:t>rst is the f</w:t>
      </w:r>
      <w:r w:rsidR="00FE7EFD">
        <w:rPr>
          <w:rFonts w:ascii="Times New Roman" w:hAnsi="Times New Roman" w:cs="Times New Roman"/>
          <w:sz w:val="24"/>
          <w:szCs w:val="24"/>
          <w:lang w:val="en-GB"/>
        </w:rPr>
        <w:t>i</w:t>
      </w:r>
      <w:r w:rsidRPr="000026DA">
        <w:rPr>
          <w:rFonts w:ascii="Times New Roman" w:hAnsi="Times New Roman" w:cs="Times New Roman"/>
          <w:sz w:val="24"/>
          <w:szCs w:val="24"/>
          <w:lang w:val="en-GB"/>
        </w:rPr>
        <w:t>nal report presented here. It is by no means the conclusion of all debates and the answe</w:t>
      </w:r>
      <w:r w:rsidR="00925B37">
        <w:rPr>
          <w:rFonts w:ascii="Times New Roman" w:hAnsi="Times New Roman" w:cs="Times New Roman"/>
          <w:sz w:val="24"/>
          <w:szCs w:val="24"/>
          <w:lang w:val="en-GB"/>
        </w:rPr>
        <w:t xml:space="preserve">r to all questions. But it is -as all </w:t>
      </w:r>
      <w:r w:rsidR="00FE7EFD">
        <w:rPr>
          <w:rFonts w:ascii="Times New Roman" w:hAnsi="Times New Roman" w:cs="Times New Roman"/>
          <w:sz w:val="24"/>
          <w:szCs w:val="24"/>
          <w:lang w:val="en-GB"/>
        </w:rPr>
        <w:t>members’</w:t>
      </w:r>
      <w:r w:rsidR="00925B37">
        <w:rPr>
          <w:rFonts w:ascii="Times New Roman" w:hAnsi="Times New Roman" w:cs="Times New Roman"/>
          <w:sz w:val="24"/>
          <w:szCs w:val="24"/>
          <w:lang w:val="en-GB"/>
        </w:rPr>
        <w:t xml:space="preserve"> hope-</w:t>
      </w:r>
      <w:r w:rsidRPr="000026DA">
        <w:rPr>
          <w:rFonts w:ascii="Times New Roman" w:hAnsi="Times New Roman" w:cs="Times New Roman"/>
          <w:sz w:val="24"/>
          <w:szCs w:val="24"/>
          <w:lang w:val="en-GB"/>
        </w:rPr>
        <w:t xml:space="preserve"> an important step on the way to economically prof</w:t>
      </w:r>
      <w:r w:rsidR="00FE7EFD">
        <w:rPr>
          <w:rFonts w:ascii="Times New Roman" w:hAnsi="Times New Roman" w:cs="Times New Roman"/>
          <w:sz w:val="24"/>
          <w:szCs w:val="24"/>
          <w:lang w:val="en-GB"/>
        </w:rPr>
        <w:t>i</w:t>
      </w:r>
      <w:r w:rsidRPr="000026DA">
        <w:rPr>
          <w:rFonts w:ascii="Times New Roman" w:hAnsi="Times New Roman" w:cs="Times New Roman"/>
          <w:sz w:val="24"/>
          <w:szCs w:val="24"/>
          <w:lang w:val="en-GB"/>
        </w:rPr>
        <w:t xml:space="preserve">table, environmentally sustainable and socially responsible agriculture, food systems and rural areas in the European Union. </w:t>
      </w:r>
    </w:p>
    <w:p w:rsidR="000026DA" w:rsidRPr="000026DA" w:rsidRDefault="0048331A" w:rsidP="000026DA">
      <w:pPr>
        <w:shd w:val="clear" w:color="auto" w:fill="FFFFFF"/>
        <w:spacing w:line="240" w:lineRule="auto"/>
        <w:jc w:val="both"/>
        <w:rPr>
          <w:rFonts w:ascii="Times New Roman" w:hAnsi="Times New Roman" w:cs="Times New Roman"/>
          <w:sz w:val="24"/>
          <w:szCs w:val="24"/>
          <w:lang w:val="en-GB"/>
        </w:rPr>
      </w:pPr>
      <w:r w:rsidRPr="000026DA">
        <w:rPr>
          <w:rFonts w:ascii="Times New Roman" w:hAnsi="Times New Roman" w:cs="Times New Roman"/>
          <w:sz w:val="24"/>
          <w:szCs w:val="24"/>
          <w:lang w:val="en-GB"/>
        </w:rPr>
        <w:t xml:space="preserve">The second result of the Strategic Dialogue is the emergence of a new culture of engagement between the members, which makes it possible to relate and balance the </w:t>
      </w:r>
      <w:r w:rsidR="00925B37" w:rsidRPr="000026DA">
        <w:rPr>
          <w:rFonts w:ascii="Times New Roman" w:hAnsi="Times New Roman" w:cs="Times New Roman"/>
          <w:sz w:val="24"/>
          <w:szCs w:val="24"/>
          <w:lang w:val="en-GB"/>
        </w:rPr>
        <w:t>different</w:t>
      </w:r>
      <w:r w:rsidRPr="000026DA">
        <w:rPr>
          <w:rFonts w:ascii="Times New Roman" w:hAnsi="Times New Roman" w:cs="Times New Roman"/>
          <w:sz w:val="24"/>
          <w:szCs w:val="24"/>
          <w:lang w:val="en-GB"/>
        </w:rPr>
        <w:t xml:space="preserve"> points of view and interests of the various stakeholders in the entire sector in a way that is more </w:t>
      </w:r>
      <w:r w:rsidR="00FE7EFD" w:rsidRPr="000026DA">
        <w:rPr>
          <w:rFonts w:ascii="Times New Roman" w:hAnsi="Times New Roman" w:cs="Times New Roman"/>
          <w:sz w:val="24"/>
          <w:szCs w:val="24"/>
          <w:lang w:val="en-GB"/>
        </w:rPr>
        <w:t>effective</w:t>
      </w:r>
      <w:r w:rsidRPr="000026DA">
        <w:rPr>
          <w:rFonts w:ascii="Times New Roman" w:hAnsi="Times New Roman" w:cs="Times New Roman"/>
          <w:sz w:val="24"/>
          <w:szCs w:val="24"/>
          <w:lang w:val="en-GB"/>
        </w:rPr>
        <w:t xml:space="preserve"> than was often the case before. The Strategic Dialogue was characterised by </w:t>
      </w:r>
      <w:r w:rsidR="00FE7EFD" w:rsidRPr="000026DA">
        <w:rPr>
          <w:rFonts w:ascii="Times New Roman" w:hAnsi="Times New Roman" w:cs="Times New Roman"/>
          <w:sz w:val="24"/>
          <w:szCs w:val="24"/>
          <w:lang w:val="en-GB"/>
        </w:rPr>
        <w:t>confidentiality</w:t>
      </w:r>
      <w:r w:rsidRPr="000026DA">
        <w:rPr>
          <w:rFonts w:ascii="Times New Roman" w:hAnsi="Times New Roman" w:cs="Times New Roman"/>
          <w:sz w:val="24"/>
          <w:szCs w:val="24"/>
          <w:lang w:val="en-GB"/>
        </w:rPr>
        <w:t xml:space="preserve">, a certain legitimate non-transparency, and above all mutual trust. The latter originates essentially from the ability and willingness of all members to recognise that also counter-positions can be based on reasonable grounds. It builds on the insight that none of the individual positions represented is completely free of contradictions or can promise a solution to all problems on its own. It is easy to predict that further </w:t>
      </w:r>
      <w:r w:rsidR="00FE7EFD" w:rsidRPr="000026DA">
        <w:rPr>
          <w:rFonts w:ascii="Times New Roman" w:hAnsi="Times New Roman" w:cs="Times New Roman"/>
          <w:sz w:val="24"/>
          <w:szCs w:val="24"/>
          <w:lang w:val="en-GB"/>
        </w:rPr>
        <w:t>endeavours</w:t>
      </w:r>
      <w:r w:rsidRPr="000026DA">
        <w:rPr>
          <w:rFonts w:ascii="Times New Roman" w:hAnsi="Times New Roman" w:cs="Times New Roman"/>
          <w:sz w:val="24"/>
          <w:szCs w:val="24"/>
          <w:lang w:val="en-GB"/>
        </w:rPr>
        <w:t xml:space="preserve"> will be necessary to consolidate trust between the members of the Strategic Dialogue into a better mutual understanding between the organized interest groups that the members mostly represent. </w:t>
      </w:r>
    </w:p>
    <w:p w:rsidR="0048331A" w:rsidRPr="000026DA" w:rsidRDefault="0048331A" w:rsidP="000026DA">
      <w:pPr>
        <w:shd w:val="clear" w:color="auto" w:fill="FFFFFF"/>
        <w:spacing w:line="240" w:lineRule="auto"/>
        <w:jc w:val="both"/>
        <w:rPr>
          <w:rFonts w:ascii="Times New Roman" w:hAnsi="Times New Roman" w:cs="Times New Roman"/>
          <w:b/>
          <w:bCs/>
          <w:color w:val="000000"/>
          <w:sz w:val="24"/>
          <w:szCs w:val="24"/>
          <w:lang w:val="en-GB"/>
        </w:rPr>
      </w:pPr>
      <w:r w:rsidRPr="000026DA">
        <w:rPr>
          <w:rFonts w:ascii="Times New Roman" w:hAnsi="Times New Roman" w:cs="Times New Roman"/>
          <w:sz w:val="24"/>
          <w:szCs w:val="24"/>
          <w:lang w:val="en-GB"/>
        </w:rPr>
        <w:t>It will be important for the European Commission in its various portfolios, the European Parliament, the Member States of the Union, and the organi</w:t>
      </w:r>
      <w:r w:rsidR="00FE7EFD">
        <w:rPr>
          <w:rFonts w:ascii="Times New Roman" w:hAnsi="Times New Roman" w:cs="Times New Roman"/>
          <w:sz w:val="24"/>
          <w:szCs w:val="24"/>
          <w:lang w:val="en-GB"/>
        </w:rPr>
        <w:t>zed interest groups of the agri</w:t>
      </w:r>
      <w:r w:rsidRPr="000026DA">
        <w:rPr>
          <w:rFonts w:ascii="Times New Roman" w:hAnsi="Times New Roman" w:cs="Times New Roman"/>
          <w:sz w:val="24"/>
          <w:szCs w:val="24"/>
          <w:lang w:val="en-GB"/>
        </w:rPr>
        <w:t>food system to adopt the shared considerations and recommendations presented here. They must develop and concretize them further and translate them into bold and swift decisions for the benef</w:t>
      </w:r>
      <w:r w:rsidR="00FE7EFD">
        <w:rPr>
          <w:rFonts w:ascii="Times New Roman" w:hAnsi="Times New Roman" w:cs="Times New Roman"/>
          <w:sz w:val="24"/>
          <w:szCs w:val="24"/>
          <w:lang w:val="en-GB"/>
        </w:rPr>
        <w:t>i</w:t>
      </w:r>
      <w:r w:rsidRPr="000026DA">
        <w:rPr>
          <w:rFonts w:ascii="Times New Roman" w:hAnsi="Times New Roman" w:cs="Times New Roman"/>
          <w:sz w:val="24"/>
          <w:szCs w:val="24"/>
          <w:lang w:val="en-GB"/>
        </w:rPr>
        <w:t>t of the EU farming community, food system, and rural areas and ultimately for the benef</w:t>
      </w:r>
      <w:r w:rsidR="00FE7EFD">
        <w:rPr>
          <w:rFonts w:ascii="Times New Roman" w:hAnsi="Times New Roman" w:cs="Times New Roman"/>
          <w:sz w:val="24"/>
          <w:szCs w:val="24"/>
          <w:lang w:val="en-GB"/>
        </w:rPr>
        <w:t>i</w:t>
      </w:r>
      <w:r w:rsidRPr="000026DA">
        <w:rPr>
          <w:rFonts w:ascii="Times New Roman" w:hAnsi="Times New Roman" w:cs="Times New Roman"/>
          <w:sz w:val="24"/>
          <w:szCs w:val="24"/>
          <w:lang w:val="en-GB"/>
        </w:rPr>
        <w:t>t of the European society.</w:t>
      </w:r>
    </w:p>
    <w:p w:rsidR="0048331A" w:rsidRPr="000026DA" w:rsidRDefault="0048331A" w:rsidP="000026DA">
      <w:pPr>
        <w:shd w:val="clear" w:color="auto" w:fill="FFFFFF"/>
        <w:spacing w:line="240" w:lineRule="auto"/>
        <w:jc w:val="both"/>
        <w:rPr>
          <w:rFonts w:ascii="Times New Roman" w:hAnsi="Times New Roman" w:cs="Times New Roman"/>
          <w:sz w:val="24"/>
          <w:szCs w:val="24"/>
          <w:lang w:val="en-GB"/>
        </w:rPr>
      </w:pPr>
      <w:r w:rsidRPr="000026DA">
        <w:rPr>
          <w:rFonts w:ascii="Times New Roman" w:hAnsi="Times New Roman" w:cs="Times New Roman"/>
          <w:sz w:val="24"/>
          <w:szCs w:val="24"/>
          <w:lang w:val="en-GB"/>
        </w:rPr>
        <w:t xml:space="preserve">Synthesis report </w:t>
      </w:r>
    </w:p>
    <w:p w:rsidR="0048331A" w:rsidRPr="000026DA" w:rsidRDefault="0048331A" w:rsidP="000026DA">
      <w:pPr>
        <w:shd w:val="clear" w:color="auto" w:fill="FFFFFF"/>
        <w:spacing w:line="240" w:lineRule="auto"/>
        <w:jc w:val="both"/>
        <w:rPr>
          <w:rFonts w:ascii="Times New Roman" w:hAnsi="Times New Roman" w:cs="Times New Roman"/>
          <w:sz w:val="24"/>
          <w:szCs w:val="24"/>
          <w:lang w:val="en-GB"/>
        </w:rPr>
      </w:pPr>
      <w:r w:rsidRPr="000026DA">
        <w:rPr>
          <w:rFonts w:ascii="Times New Roman" w:hAnsi="Times New Roman" w:cs="Times New Roman"/>
          <w:sz w:val="24"/>
          <w:szCs w:val="24"/>
          <w:lang w:val="en-GB"/>
        </w:rPr>
        <w:t xml:space="preserve">Question 1: How can </w:t>
      </w:r>
      <w:r w:rsidR="00FE7EFD" w:rsidRPr="000026DA">
        <w:rPr>
          <w:rFonts w:ascii="Times New Roman" w:hAnsi="Times New Roman" w:cs="Times New Roman"/>
          <w:sz w:val="24"/>
          <w:szCs w:val="24"/>
          <w:lang w:val="en-GB"/>
        </w:rPr>
        <w:t>farmers</w:t>
      </w:r>
      <w:r w:rsidRPr="000026DA">
        <w:rPr>
          <w:rFonts w:ascii="Times New Roman" w:hAnsi="Times New Roman" w:cs="Times New Roman"/>
          <w:sz w:val="24"/>
          <w:szCs w:val="24"/>
          <w:lang w:val="en-GB"/>
        </w:rPr>
        <w:t xml:space="preserve"> and the rural communities they live in, be given a better perspective, including a fair standard of living?</w:t>
      </w:r>
    </w:p>
    <w:p w:rsidR="0048331A" w:rsidRPr="000026DA" w:rsidRDefault="0048331A" w:rsidP="000026DA">
      <w:pPr>
        <w:shd w:val="clear" w:color="auto" w:fill="FFFFFF"/>
        <w:spacing w:line="240" w:lineRule="auto"/>
        <w:jc w:val="both"/>
        <w:rPr>
          <w:rFonts w:ascii="Times New Roman" w:hAnsi="Times New Roman" w:cs="Times New Roman"/>
          <w:sz w:val="24"/>
          <w:szCs w:val="24"/>
          <w:lang w:val="en-GB"/>
        </w:rPr>
      </w:pPr>
      <w:r w:rsidRPr="000026DA">
        <w:rPr>
          <w:rFonts w:ascii="Times New Roman" w:hAnsi="Times New Roman" w:cs="Times New Roman"/>
          <w:sz w:val="24"/>
          <w:szCs w:val="24"/>
          <w:lang w:val="en-GB"/>
        </w:rPr>
        <w:t xml:space="preserve">Question 2: How can agriculture </w:t>
      </w:r>
      <w:r w:rsidR="00FE7EFD" w:rsidRPr="000026DA">
        <w:rPr>
          <w:rFonts w:ascii="Times New Roman" w:hAnsi="Times New Roman" w:cs="Times New Roman"/>
          <w:sz w:val="24"/>
          <w:szCs w:val="24"/>
          <w:lang w:val="en-GB"/>
        </w:rPr>
        <w:t>are</w:t>
      </w:r>
      <w:r w:rsidRPr="000026DA">
        <w:rPr>
          <w:rFonts w:ascii="Times New Roman" w:hAnsi="Times New Roman" w:cs="Times New Roman"/>
          <w:sz w:val="24"/>
          <w:szCs w:val="24"/>
          <w:lang w:val="en-GB"/>
        </w:rPr>
        <w:t xml:space="preserve"> supported within the boundaries of our planet and its ecosystem?</w:t>
      </w:r>
    </w:p>
    <w:p w:rsidR="0048331A" w:rsidRPr="000026DA" w:rsidRDefault="0048331A" w:rsidP="000026DA">
      <w:pPr>
        <w:shd w:val="clear" w:color="auto" w:fill="FFFFFF"/>
        <w:spacing w:line="240" w:lineRule="auto"/>
        <w:jc w:val="both"/>
        <w:rPr>
          <w:rFonts w:ascii="Times New Roman" w:hAnsi="Times New Roman" w:cs="Times New Roman"/>
          <w:sz w:val="24"/>
          <w:szCs w:val="24"/>
          <w:lang w:val="en-GB"/>
        </w:rPr>
      </w:pPr>
      <w:r w:rsidRPr="000026DA">
        <w:rPr>
          <w:rFonts w:ascii="Times New Roman" w:hAnsi="Times New Roman" w:cs="Times New Roman"/>
          <w:sz w:val="24"/>
          <w:szCs w:val="24"/>
          <w:lang w:val="en-GB"/>
        </w:rPr>
        <w:t xml:space="preserve">Question 3: How can better use be made of the immense opportunities </w:t>
      </w:r>
      <w:r w:rsidR="00FE7EFD" w:rsidRPr="000026DA">
        <w:rPr>
          <w:rFonts w:ascii="Times New Roman" w:hAnsi="Times New Roman" w:cs="Times New Roman"/>
          <w:sz w:val="24"/>
          <w:szCs w:val="24"/>
          <w:lang w:val="en-GB"/>
        </w:rPr>
        <w:t>offered</w:t>
      </w:r>
      <w:r w:rsidRPr="000026DA">
        <w:rPr>
          <w:rFonts w:ascii="Times New Roman" w:hAnsi="Times New Roman" w:cs="Times New Roman"/>
          <w:sz w:val="24"/>
          <w:szCs w:val="24"/>
          <w:lang w:val="en-GB"/>
        </w:rPr>
        <w:t xml:space="preserve"> by knowledge and technological innovation?</w:t>
      </w:r>
    </w:p>
    <w:p w:rsidR="0048331A" w:rsidRDefault="0048331A" w:rsidP="000026DA">
      <w:pPr>
        <w:shd w:val="clear" w:color="auto" w:fill="FFFFFF"/>
        <w:spacing w:line="240" w:lineRule="auto"/>
        <w:jc w:val="both"/>
        <w:rPr>
          <w:rFonts w:ascii="Times New Roman" w:hAnsi="Times New Roman" w:cs="Times New Roman"/>
          <w:sz w:val="24"/>
          <w:szCs w:val="24"/>
          <w:lang w:val="en-GB"/>
        </w:rPr>
      </w:pPr>
      <w:r w:rsidRPr="000026DA">
        <w:rPr>
          <w:rFonts w:ascii="Times New Roman" w:hAnsi="Times New Roman" w:cs="Times New Roman"/>
          <w:sz w:val="24"/>
          <w:szCs w:val="24"/>
          <w:lang w:val="en-GB"/>
        </w:rPr>
        <w:t xml:space="preserve">Question 4: How can a bright and thriving future for Europe’s food system </w:t>
      </w:r>
      <w:r w:rsidR="00FE7EFD" w:rsidRPr="000026DA">
        <w:rPr>
          <w:rFonts w:ascii="Times New Roman" w:hAnsi="Times New Roman" w:cs="Times New Roman"/>
          <w:sz w:val="24"/>
          <w:szCs w:val="24"/>
          <w:lang w:val="en-GB"/>
        </w:rPr>
        <w:t>are</w:t>
      </w:r>
      <w:r w:rsidRPr="000026DA">
        <w:rPr>
          <w:rFonts w:ascii="Times New Roman" w:hAnsi="Times New Roman" w:cs="Times New Roman"/>
          <w:sz w:val="24"/>
          <w:szCs w:val="24"/>
          <w:lang w:val="en-GB"/>
        </w:rPr>
        <w:t xml:space="preserve"> promoted in a competitive world?</w:t>
      </w:r>
    </w:p>
    <w:p w:rsidR="003F7ADF" w:rsidRPr="003F7ADF" w:rsidRDefault="000026DA" w:rsidP="003F7ADF">
      <w:pPr>
        <w:shd w:val="clear" w:color="auto" w:fill="FFFFFF"/>
        <w:spacing w:line="240" w:lineRule="auto"/>
        <w:jc w:val="both"/>
        <w:rPr>
          <w:rFonts w:ascii="Times New Roman" w:hAnsi="Times New Roman" w:cs="Times New Roman"/>
          <w:bCs/>
          <w:color w:val="000000"/>
          <w:sz w:val="24"/>
          <w:szCs w:val="24"/>
          <w:lang w:val="en-GB"/>
        </w:rPr>
      </w:pPr>
      <w:r w:rsidRPr="000026DA">
        <w:rPr>
          <w:rFonts w:ascii="Times New Roman" w:hAnsi="Times New Roman" w:cs="Times New Roman"/>
          <w:b/>
          <w:sz w:val="24"/>
          <w:szCs w:val="24"/>
          <w:lang w:val="en-GB"/>
        </w:rPr>
        <w:lastRenderedPageBreak/>
        <w:t>Mach than more a market - Speed, Security, Solidarity - Empowering the Single Market to deliver a sustainable future and prosperity for all EU Citizens</w:t>
      </w:r>
      <w:r w:rsidR="003F7ADF">
        <w:rPr>
          <w:rFonts w:ascii="Times New Roman" w:hAnsi="Times New Roman" w:cs="Times New Roman"/>
          <w:b/>
          <w:sz w:val="24"/>
          <w:szCs w:val="24"/>
          <w:lang w:val="en-GB"/>
        </w:rPr>
        <w:t xml:space="preserve"> </w:t>
      </w:r>
      <w:r w:rsidR="003F7ADF" w:rsidRPr="003F7ADF">
        <w:rPr>
          <w:rFonts w:ascii="Times New Roman" w:hAnsi="Times New Roman" w:cs="Times New Roman"/>
          <w:bCs/>
          <w:color w:val="000000"/>
          <w:sz w:val="24"/>
          <w:szCs w:val="24"/>
          <w:lang w:val="en-GB"/>
        </w:rPr>
        <w:t>(Nota: hasta el</w:t>
      </w:r>
      <w:r w:rsidR="003F7ADF">
        <w:rPr>
          <w:rFonts w:ascii="Times New Roman" w:hAnsi="Times New Roman" w:cs="Times New Roman"/>
          <w:bCs/>
          <w:color w:val="000000"/>
          <w:sz w:val="24"/>
          <w:szCs w:val="24"/>
          <w:lang w:val="en-GB"/>
        </w:rPr>
        <w:t xml:space="preserve"> 18/9/24 no existía</w:t>
      </w:r>
      <w:r w:rsidR="003F7ADF" w:rsidRPr="003F7ADF">
        <w:rPr>
          <w:rFonts w:ascii="Times New Roman" w:hAnsi="Times New Roman" w:cs="Times New Roman"/>
          <w:bCs/>
          <w:color w:val="000000"/>
          <w:sz w:val="24"/>
          <w:szCs w:val="24"/>
          <w:lang w:val="en-GB"/>
        </w:rPr>
        <w:t xml:space="preserve"> una versión en español del Informe)</w:t>
      </w:r>
    </w:p>
    <w:p w:rsidR="000026DA" w:rsidRDefault="000026DA" w:rsidP="000026DA">
      <w:pPr>
        <w:shd w:val="clear" w:color="auto" w:fill="FFFFFF"/>
        <w:spacing w:line="240" w:lineRule="auto"/>
        <w:jc w:val="both"/>
        <w:rPr>
          <w:rFonts w:ascii="Times New Roman" w:hAnsi="Times New Roman" w:cs="Times New Roman"/>
          <w:sz w:val="24"/>
          <w:szCs w:val="24"/>
          <w:lang w:val="en-GB"/>
        </w:rPr>
      </w:pPr>
      <w:r w:rsidRPr="000026DA">
        <w:rPr>
          <w:rFonts w:ascii="Times New Roman" w:hAnsi="Times New Roman" w:cs="Times New Roman"/>
          <w:sz w:val="24"/>
          <w:szCs w:val="24"/>
          <w:lang w:val="en-GB"/>
        </w:rPr>
        <w:t>The Single Market is a product of an era when both the EU</w:t>
      </w:r>
      <w:r w:rsidR="00925B37">
        <w:rPr>
          <w:rFonts w:ascii="Times New Roman" w:hAnsi="Times New Roman" w:cs="Times New Roman"/>
          <w:sz w:val="24"/>
          <w:szCs w:val="24"/>
          <w:lang w:val="en-GB"/>
        </w:rPr>
        <w:t xml:space="preserve"> and the world were “smaller”</w:t>
      </w:r>
      <w:r>
        <w:rPr>
          <w:rFonts w:ascii="Times New Roman" w:hAnsi="Times New Roman" w:cs="Times New Roman"/>
          <w:sz w:val="24"/>
          <w:szCs w:val="24"/>
          <w:lang w:val="en-GB"/>
        </w:rPr>
        <w:t xml:space="preserve">, </w:t>
      </w:r>
      <w:r w:rsidRPr="000026DA">
        <w:rPr>
          <w:rFonts w:ascii="Times New Roman" w:hAnsi="Times New Roman" w:cs="Times New Roman"/>
          <w:sz w:val="24"/>
          <w:szCs w:val="24"/>
          <w:lang w:val="en-GB"/>
        </w:rPr>
        <w:t>simpler, and less integrated, and many of today's key players had not yet entered the scene.</w:t>
      </w:r>
    </w:p>
    <w:p w:rsidR="000026DA" w:rsidRDefault="000026DA" w:rsidP="000026DA">
      <w:pPr>
        <w:shd w:val="clear" w:color="auto" w:fill="FFFFFF"/>
        <w:spacing w:line="240" w:lineRule="auto"/>
        <w:jc w:val="both"/>
        <w:rPr>
          <w:rFonts w:ascii="Times New Roman" w:hAnsi="Times New Roman" w:cs="Times New Roman"/>
          <w:sz w:val="24"/>
          <w:szCs w:val="24"/>
          <w:lang w:val="en-GB"/>
        </w:rPr>
      </w:pPr>
      <w:r w:rsidRPr="000026DA">
        <w:rPr>
          <w:rFonts w:ascii="Times New Roman" w:hAnsi="Times New Roman" w:cs="Times New Roman"/>
          <w:sz w:val="24"/>
          <w:szCs w:val="24"/>
          <w:lang w:val="en-GB"/>
        </w:rPr>
        <w:t>Europe has changed fundamentally since the Single M</w:t>
      </w:r>
      <w:r>
        <w:rPr>
          <w:rFonts w:ascii="Times New Roman" w:hAnsi="Times New Roman" w:cs="Times New Roman"/>
          <w:sz w:val="24"/>
          <w:szCs w:val="24"/>
          <w:lang w:val="en-GB"/>
        </w:rPr>
        <w:t xml:space="preserve">arket was launched, to a large </w:t>
      </w:r>
      <w:r w:rsidRPr="000026DA">
        <w:rPr>
          <w:rFonts w:ascii="Times New Roman" w:hAnsi="Times New Roman" w:cs="Times New Roman"/>
          <w:sz w:val="24"/>
          <w:szCs w:val="24"/>
          <w:lang w:val="en-GB"/>
        </w:rPr>
        <w:t>extent thanks to its own success. Integration has reached h</w:t>
      </w:r>
      <w:r>
        <w:rPr>
          <w:rFonts w:ascii="Times New Roman" w:hAnsi="Times New Roman" w:cs="Times New Roman"/>
          <w:sz w:val="24"/>
          <w:szCs w:val="24"/>
          <w:lang w:val="en-GB"/>
        </w:rPr>
        <w:t xml:space="preserve">igh levels in many, though not </w:t>
      </w:r>
      <w:r w:rsidRPr="000026DA">
        <w:rPr>
          <w:rFonts w:ascii="Times New Roman" w:hAnsi="Times New Roman" w:cs="Times New Roman"/>
          <w:sz w:val="24"/>
          <w:szCs w:val="24"/>
          <w:lang w:val="en-GB"/>
        </w:rPr>
        <w:t>all, sectors of the economy and society, and 80% of national legi</w:t>
      </w:r>
      <w:r>
        <w:rPr>
          <w:rFonts w:ascii="Times New Roman" w:hAnsi="Times New Roman" w:cs="Times New Roman"/>
          <w:sz w:val="24"/>
          <w:szCs w:val="24"/>
          <w:lang w:val="en-GB"/>
        </w:rPr>
        <w:t xml:space="preserve">slation results from decisions </w:t>
      </w:r>
      <w:r w:rsidRPr="000026DA">
        <w:rPr>
          <w:rFonts w:ascii="Times New Roman" w:hAnsi="Times New Roman" w:cs="Times New Roman"/>
          <w:sz w:val="24"/>
          <w:szCs w:val="24"/>
          <w:lang w:val="en-GB"/>
        </w:rPr>
        <w:t>adopted in Brussels</w:t>
      </w:r>
      <w:r w:rsidR="00AA65E4">
        <w:rPr>
          <w:rFonts w:ascii="Times New Roman" w:hAnsi="Times New Roman" w:cs="Times New Roman"/>
          <w:sz w:val="24"/>
          <w:szCs w:val="24"/>
          <w:lang w:val="en-GB"/>
        </w:rPr>
        <w:t>…</w:t>
      </w:r>
    </w:p>
    <w:p w:rsidR="000026DA" w:rsidRPr="00AA65E4" w:rsidRDefault="000026DA" w:rsidP="000026DA">
      <w:pPr>
        <w:shd w:val="clear" w:color="auto" w:fill="FFFFFF"/>
        <w:spacing w:line="240" w:lineRule="auto"/>
        <w:jc w:val="both"/>
        <w:rPr>
          <w:rFonts w:ascii="Times New Roman" w:hAnsi="Times New Roman" w:cs="Times New Roman"/>
          <w:sz w:val="24"/>
          <w:szCs w:val="24"/>
          <w:lang w:val="en-GB"/>
        </w:rPr>
      </w:pPr>
      <w:r w:rsidRPr="00AA65E4">
        <w:rPr>
          <w:rFonts w:ascii="Times New Roman" w:hAnsi="Times New Roman" w:cs="Times New Roman"/>
          <w:sz w:val="24"/>
          <w:szCs w:val="24"/>
          <w:lang w:val="en-GB"/>
        </w:rPr>
        <w:t xml:space="preserve">Several factors call for updating the cardinal points of the Single Market, aligning them with the European Union’s new vision for its </w:t>
      </w:r>
      <w:r w:rsidR="00925B37">
        <w:rPr>
          <w:rFonts w:ascii="Times New Roman" w:hAnsi="Times New Roman" w:cs="Times New Roman"/>
          <w:sz w:val="24"/>
          <w:szCs w:val="24"/>
          <w:lang w:val="en-GB"/>
        </w:rPr>
        <w:t>role in a world that has grown “larger”</w:t>
      </w:r>
      <w:r w:rsidRPr="00AA65E4">
        <w:rPr>
          <w:rFonts w:ascii="Times New Roman" w:hAnsi="Times New Roman" w:cs="Times New Roman"/>
          <w:sz w:val="24"/>
          <w:szCs w:val="24"/>
          <w:lang w:val="en-GB"/>
        </w:rPr>
        <w:t xml:space="preserve"> and undergone significant structural transformations</w:t>
      </w:r>
      <w:r w:rsidR="00AA65E4" w:rsidRPr="00AA65E4">
        <w:rPr>
          <w:rFonts w:ascii="Times New Roman" w:hAnsi="Times New Roman" w:cs="Times New Roman"/>
          <w:sz w:val="24"/>
          <w:szCs w:val="24"/>
          <w:lang w:val="en-GB"/>
        </w:rPr>
        <w:t>…</w:t>
      </w:r>
    </w:p>
    <w:p w:rsidR="000026DA" w:rsidRPr="00AA65E4" w:rsidRDefault="00AA65E4" w:rsidP="000026DA">
      <w:pPr>
        <w:shd w:val="clear" w:color="auto" w:fill="FFFFFF"/>
        <w:spacing w:line="240" w:lineRule="auto"/>
        <w:jc w:val="both"/>
        <w:rPr>
          <w:rFonts w:ascii="Times New Roman" w:hAnsi="Times New Roman" w:cs="Times New Roman"/>
          <w:sz w:val="24"/>
          <w:szCs w:val="24"/>
          <w:lang w:val="en-GB"/>
        </w:rPr>
      </w:pPr>
      <w:r w:rsidRPr="00AA65E4">
        <w:rPr>
          <w:rFonts w:ascii="Times New Roman" w:hAnsi="Times New Roman" w:cs="Times New Roman"/>
          <w:sz w:val="24"/>
          <w:szCs w:val="24"/>
          <w:lang w:val="en-GB"/>
        </w:rPr>
        <w:t>The global demographic and economic landscape has dramatically shifted. Over the past three decades, the EU's share of the global economy has diminished, with its representation among the world's largest economies sharply decreasing in favour of rising Asian economies…</w:t>
      </w:r>
    </w:p>
    <w:p w:rsidR="00AA65E4" w:rsidRPr="00AA65E4" w:rsidRDefault="00AA65E4" w:rsidP="000026DA">
      <w:pPr>
        <w:shd w:val="clear" w:color="auto" w:fill="FFFFFF"/>
        <w:spacing w:line="240" w:lineRule="auto"/>
        <w:jc w:val="both"/>
        <w:rPr>
          <w:rFonts w:ascii="Times New Roman" w:hAnsi="Times New Roman" w:cs="Times New Roman"/>
          <w:sz w:val="24"/>
          <w:szCs w:val="24"/>
          <w:lang w:val="en-GB"/>
        </w:rPr>
      </w:pPr>
      <w:r w:rsidRPr="00AA65E4">
        <w:rPr>
          <w:rFonts w:ascii="Times New Roman" w:hAnsi="Times New Roman" w:cs="Times New Roman"/>
          <w:sz w:val="24"/>
          <w:szCs w:val="24"/>
          <w:lang w:val="en-GB"/>
        </w:rPr>
        <w:t>The rules-based international order faces serious challenges, entering a phase marked by the resurgence of power politics. The European Union has traditionally committed to multilateralism, free trade, and international cooperation, principles that have formed the bedrock of its global governance and economic strategies. These values have steered the EU's interactions on the international stage, fostering a rule-based order that has been central to its foundational ethos and operational framework. However, wars and trade conflicts are increasingly undermining the principles of a rules-based international system, posing significant threats to the very foundation upon which the EU has constructed its external relations and policies. Vladimir Putin's war on Ukraine represents a rupture after which nothing can remain the same. The new European posture materialised with the Versailles Declaration of March 2022, later followed by the Granada Declaration of October 2023 and the recently updated European Commission Economic Security Strategy.</w:t>
      </w:r>
    </w:p>
    <w:p w:rsidR="00AA65E4" w:rsidRPr="00AA65E4" w:rsidRDefault="00AA65E4" w:rsidP="000026DA">
      <w:pPr>
        <w:shd w:val="clear" w:color="auto" w:fill="FFFFFF"/>
        <w:spacing w:line="240" w:lineRule="auto"/>
        <w:jc w:val="both"/>
        <w:rPr>
          <w:rFonts w:ascii="Times New Roman" w:hAnsi="Times New Roman" w:cs="Times New Roman"/>
          <w:sz w:val="24"/>
          <w:szCs w:val="24"/>
          <w:lang w:val="en-GB"/>
        </w:rPr>
      </w:pPr>
      <w:r w:rsidRPr="00AA65E4">
        <w:rPr>
          <w:rFonts w:ascii="Times New Roman" w:hAnsi="Times New Roman" w:cs="Times New Roman"/>
          <w:sz w:val="24"/>
          <w:szCs w:val="24"/>
          <w:lang w:val="en-GB"/>
        </w:rPr>
        <w:t>The European Union's success rests upon the pillars of free trade and openness. Compromising these ideals threatens the very foundation upon which the EU is built. Therefore, we must address the complex international framework with the goal of preserving peace and upholding the rule-based international order, while also guaranteeing the Union's economic security. In this complex endeavour, it is essential to continue investing in the enhancement and promotion of European standards, reinforcing the Single Market's role as a robust platform that supports innovation, safeguards consumer interests, and promotes sustainable development.</w:t>
      </w:r>
    </w:p>
    <w:p w:rsidR="00AA65E4" w:rsidRPr="00AA65E4" w:rsidRDefault="00AA65E4" w:rsidP="000026DA">
      <w:pPr>
        <w:shd w:val="clear" w:color="auto" w:fill="FFFFFF"/>
        <w:spacing w:line="240" w:lineRule="auto"/>
        <w:jc w:val="both"/>
        <w:rPr>
          <w:rFonts w:ascii="Times New Roman" w:hAnsi="Times New Roman" w:cs="Times New Roman"/>
          <w:sz w:val="24"/>
          <w:szCs w:val="24"/>
          <w:lang w:val="en-GB"/>
        </w:rPr>
      </w:pPr>
      <w:r w:rsidRPr="00AA65E4">
        <w:rPr>
          <w:rFonts w:ascii="Times New Roman" w:hAnsi="Times New Roman" w:cs="Times New Roman"/>
          <w:sz w:val="24"/>
          <w:szCs w:val="24"/>
          <w:lang w:val="en-GB"/>
        </w:rPr>
        <w:t xml:space="preserve">Another crucial dimension to address concerns the perimeter of the Single Market. At the inception three sectors were deliberately kept outside the integration process, considered too strategic for their operation and regulation to extend beyond national borders: finance, electronic communications and energy. The exclusion at the time was motivated by the belief that prioritising domestic control over these areas would better serve strategic interests. However, national markets, initially designed to protect domestic industries, now represent a major brake to growth and innovation in sectors where global competition and strategic considerations call for swiftly moving to a European scale. Even within the original perimeter, the Single Market is in need of an overhaul: particularly, the intra-EU provision of </w:t>
      </w:r>
      <w:r w:rsidRPr="00AA65E4">
        <w:rPr>
          <w:rFonts w:ascii="Times New Roman" w:hAnsi="Times New Roman" w:cs="Times New Roman"/>
          <w:sz w:val="24"/>
          <w:szCs w:val="24"/>
          <w:lang w:val="en-GB"/>
        </w:rPr>
        <w:lastRenderedPageBreak/>
        <w:t>services continues to encounter significant barriers that need to be addressed and removed to unlock the full potential of the Single Market.</w:t>
      </w:r>
    </w:p>
    <w:p w:rsidR="00AA65E4" w:rsidRDefault="00AA65E4" w:rsidP="000026DA">
      <w:pPr>
        <w:shd w:val="clear" w:color="auto" w:fill="FFFFFF"/>
        <w:spacing w:line="240" w:lineRule="auto"/>
        <w:jc w:val="both"/>
        <w:rPr>
          <w:rFonts w:ascii="Times New Roman" w:hAnsi="Times New Roman" w:cs="Times New Roman"/>
          <w:sz w:val="24"/>
          <w:szCs w:val="24"/>
          <w:lang w:val="en-GB"/>
        </w:rPr>
      </w:pPr>
      <w:r w:rsidRPr="00AA65E4">
        <w:rPr>
          <w:rFonts w:ascii="Times New Roman" w:hAnsi="Times New Roman" w:cs="Times New Roman"/>
          <w:sz w:val="24"/>
          <w:szCs w:val="24"/>
          <w:lang w:val="en-GB"/>
        </w:rPr>
        <w:t>For this larger world, we need a strong political commitment to empower a new Single Market. This new framework must be able to protect the fundamental freedoms, based on a level playing field, while supporting the objective of establishing a dynamic and effective European industrial policy. To achieve these ambitious objectives, we need speed, we need scale, and above all we need sufficient financial resources</w:t>
      </w:r>
      <w:r>
        <w:rPr>
          <w:rFonts w:ascii="Times New Roman" w:hAnsi="Times New Roman" w:cs="Times New Roman"/>
          <w:sz w:val="24"/>
          <w:szCs w:val="24"/>
          <w:lang w:val="en-GB"/>
        </w:rPr>
        <w:t>…</w:t>
      </w:r>
    </w:p>
    <w:p w:rsidR="00AA65E4" w:rsidRPr="003269B8" w:rsidRDefault="003269B8" w:rsidP="000026DA">
      <w:pPr>
        <w:shd w:val="clear" w:color="auto" w:fill="FFFFFF"/>
        <w:spacing w:line="240" w:lineRule="auto"/>
        <w:jc w:val="both"/>
        <w:rPr>
          <w:rFonts w:ascii="Times New Roman" w:hAnsi="Times New Roman" w:cs="Times New Roman"/>
          <w:sz w:val="24"/>
          <w:szCs w:val="24"/>
          <w:lang w:val="en-GB"/>
        </w:rPr>
      </w:pPr>
      <w:r w:rsidRPr="003269B8">
        <w:rPr>
          <w:rFonts w:ascii="Times New Roman" w:hAnsi="Times New Roman" w:cs="Times New Roman"/>
          <w:sz w:val="24"/>
          <w:szCs w:val="24"/>
          <w:lang w:val="en-GB"/>
        </w:rPr>
        <w:t>This report aims to contribute to the reflection on the future of the Single Market with concrete proposals:</w:t>
      </w:r>
    </w:p>
    <w:p w:rsidR="003269B8" w:rsidRPr="003269B8" w:rsidRDefault="003269B8" w:rsidP="000026DA">
      <w:pPr>
        <w:shd w:val="clear" w:color="auto" w:fill="FFFFFF"/>
        <w:spacing w:line="240" w:lineRule="auto"/>
        <w:jc w:val="both"/>
        <w:rPr>
          <w:rFonts w:ascii="Times New Roman" w:hAnsi="Times New Roman" w:cs="Times New Roman"/>
          <w:sz w:val="24"/>
          <w:szCs w:val="24"/>
          <w:lang w:val="en-GB"/>
        </w:rPr>
      </w:pPr>
      <w:r w:rsidRPr="003269B8">
        <w:rPr>
          <w:rFonts w:ascii="Times New Roman" w:hAnsi="Times New Roman" w:cs="Times New Roman"/>
          <w:sz w:val="24"/>
          <w:szCs w:val="24"/>
          <w:lang w:val="en-GB"/>
        </w:rPr>
        <w:t>A 5th Freedom to enhance research, innovation, and education in the Single Market, proposes the intr</w:t>
      </w:r>
      <w:r w:rsidR="00925B37">
        <w:rPr>
          <w:rFonts w:ascii="Times New Roman" w:hAnsi="Times New Roman" w:cs="Times New Roman"/>
          <w:sz w:val="24"/>
          <w:szCs w:val="24"/>
          <w:lang w:val="en-GB"/>
        </w:rPr>
        <w:t>oduction of a “fifth freedom” -</w:t>
      </w:r>
      <w:r w:rsidRPr="003269B8">
        <w:rPr>
          <w:rFonts w:ascii="Times New Roman" w:hAnsi="Times New Roman" w:cs="Times New Roman"/>
          <w:sz w:val="24"/>
          <w:szCs w:val="24"/>
          <w:lang w:val="en-GB"/>
        </w:rPr>
        <w:t>focusing on research, inno</w:t>
      </w:r>
      <w:r w:rsidR="00925B37">
        <w:rPr>
          <w:rFonts w:ascii="Times New Roman" w:hAnsi="Times New Roman" w:cs="Times New Roman"/>
          <w:sz w:val="24"/>
          <w:szCs w:val="24"/>
          <w:lang w:val="en-GB"/>
        </w:rPr>
        <w:t>vation, knowledge and education</w:t>
      </w:r>
      <w:r w:rsidRPr="003269B8">
        <w:rPr>
          <w:rFonts w:ascii="Times New Roman" w:hAnsi="Times New Roman" w:cs="Times New Roman"/>
          <w:sz w:val="24"/>
          <w:szCs w:val="24"/>
          <w:lang w:val="en-GB"/>
        </w:rPr>
        <w:t>- to enhance the Single Market’s innovation capabilities within the new global landscape.</w:t>
      </w:r>
    </w:p>
    <w:p w:rsidR="003269B8" w:rsidRPr="003269B8" w:rsidRDefault="003269B8" w:rsidP="000026DA">
      <w:pPr>
        <w:shd w:val="clear" w:color="auto" w:fill="FFFFFF"/>
        <w:spacing w:line="240" w:lineRule="auto"/>
        <w:jc w:val="both"/>
        <w:rPr>
          <w:rFonts w:ascii="Times New Roman" w:hAnsi="Times New Roman" w:cs="Times New Roman"/>
          <w:sz w:val="24"/>
          <w:szCs w:val="24"/>
          <w:lang w:val="en-GB"/>
        </w:rPr>
      </w:pPr>
      <w:r w:rsidRPr="003269B8">
        <w:rPr>
          <w:rFonts w:ascii="Times New Roman" w:hAnsi="Times New Roman" w:cs="Times New Roman"/>
          <w:sz w:val="24"/>
          <w:szCs w:val="24"/>
          <w:lang w:val="en-GB"/>
        </w:rPr>
        <w:t>A Single Market to finance strategic goals, the emphasis is on innovative mechanisms within the Single Market to mobilise private and public resources and direct them towards bridging the current investment gaps and financing our common key objectives.</w:t>
      </w:r>
    </w:p>
    <w:p w:rsidR="003269B8" w:rsidRPr="003269B8" w:rsidRDefault="003269B8" w:rsidP="000026DA">
      <w:pPr>
        <w:shd w:val="clear" w:color="auto" w:fill="FFFFFF"/>
        <w:spacing w:line="240" w:lineRule="auto"/>
        <w:jc w:val="both"/>
        <w:rPr>
          <w:rFonts w:ascii="Times New Roman" w:hAnsi="Times New Roman" w:cs="Times New Roman"/>
          <w:sz w:val="24"/>
          <w:szCs w:val="24"/>
          <w:lang w:val="en-GB"/>
        </w:rPr>
      </w:pPr>
      <w:r w:rsidRPr="003269B8">
        <w:rPr>
          <w:rFonts w:ascii="Times New Roman" w:hAnsi="Times New Roman" w:cs="Times New Roman"/>
          <w:sz w:val="24"/>
          <w:szCs w:val="24"/>
          <w:lang w:val="en-GB"/>
        </w:rPr>
        <w:t>The Single Market also needs to support the scale-up and growth of European companies. A Single Market to play big: scale matters, addresses these issues extensively with specific focus on the sectors that require transformative action to raise the ambition of the Single Market.</w:t>
      </w:r>
    </w:p>
    <w:p w:rsidR="003269B8" w:rsidRPr="003269B8" w:rsidRDefault="003269B8" w:rsidP="000026DA">
      <w:pPr>
        <w:shd w:val="clear" w:color="auto" w:fill="FFFFFF"/>
        <w:spacing w:line="240" w:lineRule="auto"/>
        <w:jc w:val="both"/>
        <w:rPr>
          <w:rFonts w:ascii="Times New Roman" w:hAnsi="Times New Roman" w:cs="Times New Roman"/>
          <w:sz w:val="24"/>
          <w:szCs w:val="24"/>
          <w:lang w:val="en-GB"/>
        </w:rPr>
      </w:pPr>
      <w:r w:rsidRPr="003269B8">
        <w:rPr>
          <w:rFonts w:ascii="Times New Roman" w:hAnsi="Times New Roman" w:cs="Times New Roman"/>
          <w:sz w:val="24"/>
          <w:szCs w:val="24"/>
          <w:lang w:val="en-GB"/>
        </w:rPr>
        <w:t xml:space="preserve">Looking ahead, we must improve the distribution of the benefits of economic integration. A sustainable Single Market for </w:t>
      </w:r>
      <w:r w:rsidR="00FE7EFD" w:rsidRPr="003269B8">
        <w:rPr>
          <w:rFonts w:ascii="Times New Roman" w:hAnsi="Times New Roman" w:cs="Times New Roman"/>
          <w:sz w:val="24"/>
          <w:szCs w:val="24"/>
          <w:lang w:val="en-GB"/>
        </w:rPr>
        <w:t>all</w:t>
      </w:r>
      <w:r w:rsidRPr="003269B8">
        <w:rPr>
          <w:rFonts w:ascii="Times New Roman" w:hAnsi="Times New Roman" w:cs="Times New Roman"/>
          <w:sz w:val="24"/>
          <w:szCs w:val="24"/>
          <w:lang w:val="en-GB"/>
        </w:rPr>
        <w:t xml:space="preserve"> presents clear proposals to improve conditions for all citizens, SMEs, and regions.</w:t>
      </w:r>
    </w:p>
    <w:p w:rsidR="003269B8" w:rsidRPr="003269B8" w:rsidRDefault="003269B8" w:rsidP="000026DA">
      <w:pPr>
        <w:shd w:val="clear" w:color="auto" w:fill="FFFFFF"/>
        <w:spacing w:line="240" w:lineRule="auto"/>
        <w:jc w:val="both"/>
        <w:rPr>
          <w:rFonts w:ascii="Times New Roman" w:hAnsi="Times New Roman" w:cs="Times New Roman"/>
          <w:sz w:val="24"/>
          <w:szCs w:val="24"/>
          <w:lang w:val="en-GB"/>
        </w:rPr>
      </w:pPr>
      <w:r w:rsidRPr="003269B8">
        <w:rPr>
          <w:rFonts w:ascii="Times New Roman" w:hAnsi="Times New Roman" w:cs="Times New Roman"/>
          <w:sz w:val="24"/>
          <w:szCs w:val="24"/>
          <w:lang w:val="en-GB"/>
        </w:rPr>
        <w:t>A Single Market to go fast and go far, the report presents a pragmatic approach to improve the regulatory framework and strengthen enforcement tools with the aim of enhancing speed and efficiency in the Single Market.</w:t>
      </w:r>
    </w:p>
    <w:p w:rsidR="003269B8" w:rsidRDefault="003269B8" w:rsidP="000026DA">
      <w:pPr>
        <w:shd w:val="clear" w:color="auto" w:fill="FFFFFF"/>
        <w:spacing w:line="240" w:lineRule="auto"/>
        <w:jc w:val="both"/>
        <w:rPr>
          <w:rFonts w:ascii="Times New Roman" w:hAnsi="Times New Roman" w:cs="Times New Roman"/>
          <w:sz w:val="24"/>
          <w:szCs w:val="24"/>
          <w:lang w:val="en-GB"/>
        </w:rPr>
      </w:pPr>
      <w:r w:rsidRPr="003269B8">
        <w:rPr>
          <w:rFonts w:ascii="Times New Roman" w:hAnsi="Times New Roman" w:cs="Times New Roman"/>
          <w:sz w:val="24"/>
          <w:szCs w:val="24"/>
          <w:lang w:val="en-GB"/>
        </w:rPr>
        <w:t>The report also examines the external dimension of the Single Market, specifically concentrating on Economic Security, trade, enlargement and the relationship with key strategic partners. The sixth chapter, The Single Market beyond its borders, explores the interaction between internal and external dynamics and the potential for the Single Market to extend the EU's influence on the global stage</w:t>
      </w:r>
      <w:r>
        <w:rPr>
          <w:rFonts w:ascii="Times New Roman" w:hAnsi="Times New Roman" w:cs="Times New Roman"/>
          <w:sz w:val="24"/>
          <w:szCs w:val="24"/>
          <w:lang w:val="en-GB"/>
        </w:rPr>
        <w:t>…</w:t>
      </w:r>
    </w:p>
    <w:p w:rsidR="003269B8" w:rsidRDefault="003269B8" w:rsidP="003269B8">
      <w:pPr>
        <w:shd w:val="clear" w:color="auto" w:fill="FFFFFF"/>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A Single Market to play big: </w:t>
      </w:r>
      <w:r w:rsidRPr="003269B8">
        <w:rPr>
          <w:rFonts w:ascii="Times New Roman" w:hAnsi="Times New Roman" w:cs="Times New Roman"/>
          <w:sz w:val="24"/>
          <w:szCs w:val="24"/>
          <w:lang w:val="en-GB"/>
        </w:rPr>
        <w:t>scale matters</w:t>
      </w:r>
    </w:p>
    <w:p w:rsidR="003269B8" w:rsidRDefault="003269B8" w:rsidP="003269B8">
      <w:pPr>
        <w:shd w:val="clear" w:color="auto" w:fill="FFFFFF"/>
        <w:spacing w:line="240" w:lineRule="auto"/>
        <w:jc w:val="both"/>
        <w:rPr>
          <w:rFonts w:ascii="Times New Roman" w:hAnsi="Times New Roman" w:cs="Times New Roman"/>
          <w:i/>
          <w:sz w:val="24"/>
          <w:szCs w:val="24"/>
          <w:lang w:val="en-GB"/>
        </w:rPr>
      </w:pPr>
      <w:r w:rsidRPr="003269B8">
        <w:rPr>
          <w:rFonts w:ascii="Times New Roman" w:hAnsi="Times New Roman" w:cs="Times New Roman"/>
          <w:sz w:val="24"/>
          <w:szCs w:val="24"/>
          <w:lang w:val="en-GB"/>
        </w:rPr>
        <w:t xml:space="preserve">The EU can still rely on elements of strength that allow it to move from a position of global leadership. In the 2024 Annual Single Market and Competitiveness Report, the Commission for the first time addressed these two dimensions jointly, acknowledging that: </w:t>
      </w:r>
      <w:r w:rsidRPr="003269B8">
        <w:rPr>
          <w:rFonts w:ascii="Times New Roman" w:hAnsi="Times New Roman" w:cs="Times New Roman"/>
          <w:i/>
          <w:sz w:val="24"/>
          <w:szCs w:val="24"/>
          <w:lang w:val="en-GB"/>
        </w:rPr>
        <w:t>“the EU has very strong assets to build on: highly qualified engineers, excellence in research, quality infrastructure, a solid manufacturing base, a strong services sector, a competitive edge in the development of clean technologies, high-performance computers, quantum, and transformative digital technologies”.</w:t>
      </w:r>
    </w:p>
    <w:p w:rsidR="003269B8" w:rsidRDefault="00650F3F" w:rsidP="003269B8">
      <w:pPr>
        <w:shd w:val="clear" w:color="auto" w:fill="FFFFFF"/>
        <w:spacing w:line="240" w:lineRule="auto"/>
        <w:jc w:val="both"/>
        <w:rPr>
          <w:rFonts w:ascii="Times New Roman" w:hAnsi="Times New Roman" w:cs="Times New Roman"/>
          <w:sz w:val="24"/>
          <w:szCs w:val="24"/>
          <w:lang w:val="en-GB"/>
        </w:rPr>
      </w:pPr>
      <w:r w:rsidRPr="00650F3F">
        <w:rPr>
          <w:rFonts w:ascii="Times New Roman" w:hAnsi="Times New Roman" w:cs="Times New Roman"/>
          <w:sz w:val="24"/>
          <w:szCs w:val="24"/>
          <w:lang w:val="en-GB"/>
        </w:rPr>
        <w:t xml:space="preserve">In today’s complex global landscape, merely relying on our existing strengths will not suffice. The European Union's future influence hinges on the performance and scalability of our companies. As outlined in the first part of this report, EU companies currently lag behind </w:t>
      </w:r>
      <w:r w:rsidRPr="00650F3F">
        <w:rPr>
          <w:rFonts w:ascii="Times New Roman" w:hAnsi="Times New Roman" w:cs="Times New Roman"/>
          <w:sz w:val="24"/>
          <w:szCs w:val="24"/>
          <w:lang w:val="en-GB"/>
        </w:rPr>
        <w:lastRenderedPageBreak/>
        <w:t>their global counterparts, particularly those in the US and China. This gap has critical implications for innovation, productivity, job creation, and ultimately, the EU's security.</w:t>
      </w:r>
    </w:p>
    <w:p w:rsidR="00650F3F" w:rsidRPr="00650F3F" w:rsidRDefault="00650F3F" w:rsidP="003269B8">
      <w:pPr>
        <w:shd w:val="clear" w:color="auto" w:fill="FFFFFF"/>
        <w:spacing w:line="240" w:lineRule="auto"/>
        <w:jc w:val="both"/>
        <w:rPr>
          <w:rFonts w:ascii="Times New Roman" w:hAnsi="Times New Roman" w:cs="Times New Roman"/>
          <w:i/>
          <w:sz w:val="24"/>
          <w:szCs w:val="24"/>
          <w:lang w:val="en-GB"/>
        </w:rPr>
      </w:pPr>
      <w:r w:rsidRPr="00650F3F">
        <w:rPr>
          <w:rFonts w:ascii="Times New Roman" w:hAnsi="Times New Roman" w:cs="Times New Roman"/>
          <w:sz w:val="24"/>
          <w:szCs w:val="24"/>
          <w:lang w:val="en-GB"/>
        </w:rPr>
        <w:t xml:space="preserve">Scaling up EU companies within the Single Market is essential if we are to maintain and enhance our international role. This strategy will bolster the EU's strategic autonomy, economic power, and global policy influence. By scaling up, our companies diversify supply chains, champion European standards worldwide, and enhance their global competitiveness. Their success will attract foreign investment, foster innovation ecosystems, and project a strong image of the EU. Ultimately, a thriving economy </w:t>
      </w:r>
      <w:r w:rsidR="004805A8" w:rsidRPr="00650F3F">
        <w:rPr>
          <w:rFonts w:ascii="Times New Roman" w:hAnsi="Times New Roman" w:cs="Times New Roman"/>
          <w:sz w:val="24"/>
          <w:szCs w:val="24"/>
          <w:lang w:val="en-GB"/>
        </w:rPr>
        <w:t>fuelled</w:t>
      </w:r>
      <w:r w:rsidRPr="00650F3F">
        <w:rPr>
          <w:rFonts w:ascii="Times New Roman" w:hAnsi="Times New Roman" w:cs="Times New Roman"/>
          <w:sz w:val="24"/>
          <w:szCs w:val="24"/>
          <w:lang w:val="en-GB"/>
        </w:rPr>
        <w:t xml:space="preserve"> by powerful companies empowers the EU to negotiate favourable trade deals, shape international standards, and effectively address global challenges.</w:t>
      </w:r>
    </w:p>
    <w:p w:rsidR="007F6E5D" w:rsidRPr="00650F3F" w:rsidRDefault="00650F3F" w:rsidP="007F6E5D">
      <w:pPr>
        <w:pStyle w:val="Ttulo2"/>
        <w:pBdr>
          <w:top w:val="single" w:sz="2" w:space="0" w:color="E5E7EB"/>
          <w:left w:val="single" w:sz="2" w:space="0" w:color="E5E7EB"/>
          <w:bottom w:val="single" w:sz="2" w:space="0" w:color="E5E7EB"/>
          <w:right w:val="single" w:sz="2" w:space="0" w:color="E5E7EB"/>
        </w:pBdr>
        <w:jc w:val="both"/>
        <w:rPr>
          <w:b w:val="0"/>
          <w:sz w:val="24"/>
          <w:szCs w:val="24"/>
          <w:lang w:val="en-GB"/>
        </w:rPr>
      </w:pPr>
      <w:r w:rsidRPr="00650F3F">
        <w:rPr>
          <w:b w:val="0"/>
          <w:sz w:val="24"/>
          <w:szCs w:val="24"/>
          <w:lang w:val="en-GB"/>
        </w:rPr>
        <w:t>Allowing EU companies to scale up within the Single Market is not just an economic imperative but also a strategic one. However, not all EU companies and markets are in need of a bigger size. We must not mimic models that are consistently different from our own and that do not fit with the European reality. Our model, which thrives on the vital link between large and small enterprises, must be preserved. This model is a fundamental strength and the bedrock of our social market economy. Similarly, we must actively protect a level playing field within the Single Market. No company can be allowed to grow undermining fair competition, which is the bedrock of consumer protection and economic progress.</w:t>
      </w:r>
    </w:p>
    <w:p w:rsidR="007F6E5D" w:rsidRDefault="00650F3F" w:rsidP="008865A5">
      <w:pPr>
        <w:spacing w:line="240" w:lineRule="auto"/>
        <w:jc w:val="both"/>
        <w:rPr>
          <w:rFonts w:ascii="Times New Roman" w:hAnsi="Times New Roman" w:cs="Times New Roman"/>
          <w:sz w:val="24"/>
          <w:szCs w:val="24"/>
          <w:lang w:val="en-GB"/>
        </w:rPr>
      </w:pPr>
      <w:r w:rsidRPr="00650F3F">
        <w:rPr>
          <w:rFonts w:ascii="Times New Roman" w:hAnsi="Times New Roman" w:cs="Times New Roman"/>
          <w:sz w:val="24"/>
          <w:szCs w:val="24"/>
          <w:lang w:val="en-GB"/>
        </w:rPr>
        <w:t>The EU should not use competition policy to engineer a specific market outcome. Our goal must be to ensure our rules remain effective in a market that is rapidly evolving. The recently Revised Market Definition Notice underscores the interconnected, globalised environment in which businesses operate - markets are often global, and structural shifts in the global economy must be factored into market definitions.</w:t>
      </w:r>
    </w:p>
    <w:p w:rsidR="00650F3F" w:rsidRPr="00650F3F" w:rsidRDefault="00650F3F" w:rsidP="008865A5">
      <w:pPr>
        <w:spacing w:line="240" w:lineRule="auto"/>
        <w:jc w:val="both"/>
        <w:rPr>
          <w:rFonts w:ascii="Times New Roman" w:hAnsi="Times New Roman" w:cs="Times New Roman"/>
          <w:b/>
          <w:color w:val="FF0000"/>
          <w:sz w:val="24"/>
          <w:szCs w:val="24"/>
          <w:lang w:val="en-GB"/>
        </w:rPr>
      </w:pPr>
      <w:r w:rsidRPr="00650F3F">
        <w:rPr>
          <w:rFonts w:ascii="Times New Roman" w:hAnsi="Times New Roman" w:cs="Times New Roman"/>
          <w:sz w:val="24"/>
          <w:szCs w:val="24"/>
          <w:lang w:val="en-GB"/>
        </w:rPr>
        <w:t>Nonetheless, EU companies in global strategic sectors need the scale and reach of a fully integrated EU market. National markets, once designed to protect domestic industries, now act as a ceiling, hindering their growth potential.</w:t>
      </w:r>
    </w:p>
    <w:p w:rsidR="008865A5" w:rsidRPr="00650F3F" w:rsidRDefault="00650F3F" w:rsidP="008865A5">
      <w:pPr>
        <w:spacing w:line="240" w:lineRule="auto"/>
        <w:jc w:val="both"/>
        <w:rPr>
          <w:rFonts w:ascii="Times New Roman" w:hAnsi="Times New Roman" w:cs="Times New Roman"/>
          <w:sz w:val="24"/>
          <w:szCs w:val="24"/>
          <w:lang w:val="en-GB"/>
        </w:rPr>
      </w:pPr>
      <w:r w:rsidRPr="00650F3F">
        <w:rPr>
          <w:rFonts w:ascii="Times New Roman" w:hAnsi="Times New Roman" w:cs="Times New Roman"/>
          <w:sz w:val="24"/>
          <w:szCs w:val="24"/>
          <w:lang w:val="en-GB"/>
        </w:rPr>
        <w:t>This concer</w:t>
      </w:r>
      <w:r w:rsidR="004805A8">
        <w:rPr>
          <w:rFonts w:ascii="Times New Roman" w:hAnsi="Times New Roman" w:cs="Times New Roman"/>
          <w:sz w:val="24"/>
          <w:szCs w:val="24"/>
          <w:lang w:val="en-GB"/>
        </w:rPr>
        <w:t>ns first and foremost finance -</w:t>
      </w:r>
      <w:r w:rsidRPr="00650F3F">
        <w:rPr>
          <w:rFonts w:ascii="Times New Roman" w:hAnsi="Times New Roman" w:cs="Times New Roman"/>
          <w:sz w:val="24"/>
          <w:szCs w:val="24"/>
          <w:lang w:val="en-GB"/>
        </w:rPr>
        <w:t xml:space="preserve">addressed in the </w:t>
      </w:r>
      <w:r w:rsidR="004805A8">
        <w:rPr>
          <w:rFonts w:ascii="Times New Roman" w:hAnsi="Times New Roman" w:cs="Times New Roman"/>
          <w:sz w:val="24"/>
          <w:szCs w:val="24"/>
          <w:lang w:val="en-GB"/>
        </w:rPr>
        <w:t>previous section of this Report</w:t>
      </w:r>
      <w:r w:rsidRPr="00650F3F">
        <w:rPr>
          <w:rFonts w:ascii="Times New Roman" w:hAnsi="Times New Roman" w:cs="Times New Roman"/>
          <w:sz w:val="24"/>
          <w:szCs w:val="24"/>
          <w:lang w:val="en-GB"/>
        </w:rPr>
        <w:t xml:space="preserve">-, energy and electronic communications, as key enablers of any industrial policy and as strategic sectors which need to play a bigger role in promoting EU interests. Three decades ago, when the Single Market was established, these sectors were intentionally excluded from its scope, deemed too strategic to be integrated beyond the national level. However, the perspective that once prioritised domestic control is now proving to be a barrier to the growth and competitiveness of these sectors at </w:t>
      </w:r>
      <w:r w:rsidR="004805A8">
        <w:rPr>
          <w:rFonts w:ascii="Times New Roman" w:hAnsi="Times New Roman" w:cs="Times New Roman"/>
          <w:sz w:val="24"/>
          <w:szCs w:val="24"/>
          <w:lang w:val="en-GB"/>
        </w:rPr>
        <w:t>the European level and globally</w:t>
      </w:r>
      <w:r w:rsidRPr="00650F3F">
        <w:rPr>
          <w:rFonts w:ascii="Times New Roman" w:hAnsi="Times New Roman" w:cs="Times New Roman"/>
          <w:sz w:val="24"/>
          <w:szCs w:val="24"/>
          <w:lang w:val="en-GB"/>
        </w:rPr>
        <w:t>.</w:t>
      </w:r>
    </w:p>
    <w:p w:rsidR="00650F3F" w:rsidRPr="00650F3F" w:rsidRDefault="00650F3F" w:rsidP="008865A5">
      <w:pPr>
        <w:spacing w:line="240" w:lineRule="auto"/>
        <w:jc w:val="both"/>
        <w:rPr>
          <w:rFonts w:ascii="Times New Roman" w:hAnsi="Times New Roman" w:cs="Times New Roman"/>
          <w:sz w:val="24"/>
          <w:szCs w:val="24"/>
          <w:lang w:val="en-GB"/>
        </w:rPr>
      </w:pPr>
      <w:r w:rsidRPr="00650F3F">
        <w:rPr>
          <w:rFonts w:ascii="Times New Roman" w:hAnsi="Times New Roman" w:cs="Times New Roman"/>
          <w:sz w:val="24"/>
          <w:szCs w:val="24"/>
          <w:lang w:val="en-GB"/>
        </w:rPr>
        <w:t>Similar considerations can be made with regards to our common approach to defence. The inefficiencies of our fragmented military industrial complex are becoming more and more evident, especially in the face of direct security threats like the one we are observing today at the borders of our Union. Particular attention must be also devoted to the space industry, a crucial sector for the development of the Single Market.</w:t>
      </w:r>
    </w:p>
    <w:p w:rsidR="00650F3F" w:rsidRPr="00650F3F" w:rsidRDefault="00650F3F" w:rsidP="008865A5">
      <w:pPr>
        <w:spacing w:line="240" w:lineRule="auto"/>
        <w:jc w:val="both"/>
        <w:rPr>
          <w:rFonts w:ascii="Times New Roman" w:hAnsi="Times New Roman" w:cs="Times New Roman"/>
          <w:sz w:val="24"/>
          <w:szCs w:val="24"/>
          <w:lang w:val="en-GB"/>
        </w:rPr>
      </w:pPr>
      <w:r w:rsidRPr="00650F3F">
        <w:rPr>
          <w:rFonts w:ascii="Times New Roman" w:hAnsi="Times New Roman" w:cs="Times New Roman"/>
          <w:sz w:val="24"/>
          <w:szCs w:val="24"/>
          <w:lang w:val="en-GB"/>
        </w:rPr>
        <w:t>The integration of a European dimension in the health sector has become crucial to guarantee both access and sustainability for EU citizens, especially considering demographic changes and the possibility of future crises. Without a unified approach to health, Europe stands to lose the valuable insights gained from the pandemic experience.</w:t>
      </w:r>
    </w:p>
    <w:p w:rsidR="00650F3F" w:rsidRPr="00650F3F" w:rsidRDefault="00650F3F" w:rsidP="008865A5">
      <w:pPr>
        <w:spacing w:line="240" w:lineRule="auto"/>
        <w:jc w:val="both"/>
        <w:rPr>
          <w:rFonts w:ascii="Times New Roman" w:hAnsi="Times New Roman" w:cs="Times New Roman"/>
          <w:sz w:val="24"/>
          <w:szCs w:val="24"/>
          <w:lang w:val="en-GB"/>
        </w:rPr>
      </w:pPr>
      <w:r w:rsidRPr="00650F3F">
        <w:rPr>
          <w:rFonts w:ascii="Times New Roman" w:hAnsi="Times New Roman" w:cs="Times New Roman"/>
          <w:sz w:val="24"/>
          <w:szCs w:val="24"/>
          <w:lang w:val="en-GB"/>
        </w:rPr>
        <w:t>Finally, the transport sector stands as a prime example of where deeper European integration is crucial to unlock the Single Market's full potential.</w:t>
      </w:r>
    </w:p>
    <w:p w:rsidR="00650F3F" w:rsidRDefault="00650F3F" w:rsidP="008865A5">
      <w:pPr>
        <w:spacing w:line="240" w:lineRule="auto"/>
        <w:jc w:val="both"/>
        <w:rPr>
          <w:rFonts w:ascii="Times New Roman" w:hAnsi="Times New Roman" w:cs="Times New Roman"/>
          <w:sz w:val="24"/>
          <w:szCs w:val="24"/>
          <w:lang w:val="en-GB"/>
        </w:rPr>
      </w:pPr>
      <w:r w:rsidRPr="00650F3F">
        <w:rPr>
          <w:rFonts w:ascii="Times New Roman" w:hAnsi="Times New Roman" w:cs="Times New Roman"/>
          <w:sz w:val="24"/>
          <w:szCs w:val="24"/>
          <w:lang w:val="en-GB"/>
        </w:rPr>
        <w:lastRenderedPageBreak/>
        <w:t>The choice we are confronted with is clear: embrace strategic scaling and deeper integration to remain a global leader, or risk marginalisation in a world defined by competition and shifting power dynamics. To champion our values, safeguard our interests, and secure our citizens' future, the EU must foster a Single Market where companies can thrive, strategic sectors are empowered, and European integration serves our global ambitions</w:t>
      </w:r>
      <w:r w:rsidR="00452AFD">
        <w:rPr>
          <w:rFonts w:ascii="Times New Roman" w:hAnsi="Times New Roman" w:cs="Times New Roman"/>
          <w:sz w:val="24"/>
          <w:szCs w:val="24"/>
          <w:lang w:val="en-GB"/>
        </w:rPr>
        <w:t>…</w:t>
      </w:r>
    </w:p>
    <w:p w:rsidR="00452AFD" w:rsidRPr="00452AFD" w:rsidRDefault="00452AFD" w:rsidP="008865A5">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Conclusions -</w:t>
      </w:r>
      <w:r w:rsidR="00650F3F" w:rsidRPr="00452AFD">
        <w:rPr>
          <w:rFonts w:ascii="Times New Roman" w:hAnsi="Times New Roman" w:cs="Times New Roman"/>
          <w:sz w:val="24"/>
          <w:szCs w:val="24"/>
          <w:lang w:val="en-GB"/>
        </w:rPr>
        <w:t xml:space="preserve"> A call to action </w:t>
      </w:r>
    </w:p>
    <w:p w:rsidR="00650F3F" w:rsidRPr="00452AFD" w:rsidRDefault="00650F3F" w:rsidP="008865A5">
      <w:pPr>
        <w:spacing w:line="240" w:lineRule="auto"/>
        <w:jc w:val="both"/>
        <w:rPr>
          <w:rFonts w:ascii="Times New Roman" w:hAnsi="Times New Roman" w:cs="Times New Roman"/>
          <w:sz w:val="24"/>
          <w:szCs w:val="24"/>
          <w:lang w:val="en-GB"/>
        </w:rPr>
      </w:pPr>
      <w:r w:rsidRPr="00452AFD">
        <w:rPr>
          <w:rFonts w:ascii="Times New Roman" w:hAnsi="Times New Roman" w:cs="Times New Roman"/>
          <w:sz w:val="24"/>
          <w:szCs w:val="24"/>
          <w:lang w:val="en-GB"/>
        </w:rPr>
        <w:t>It is time to craft a new compass to guide the Single Market in this complex international scenar</w:t>
      </w:r>
      <w:r w:rsidR="004805A8">
        <w:rPr>
          <w:rFonts w:ascii="Times New Roman" w:hAnsi="Times New Roman" w:cs="Times New Roman"/>
          <w:sz w:val="24"/>
          <w:szCs w:val="24"/>
          <w:lang w:val="en-GB"/>
        </w:rPr>
        <w:t>io. Powerful forces of change -</w:t>
      </w:r>
      <w:r w:rsidRPr="00452AFD">
        <w:rPr>
          <w:rFonts w:ascii="Times New Roman" w:hAnsi="Times New Roman" w:cs="Times New Roman"/>
          <w:sz w:val="24"/>
          <w:szCs w:val="24"/>
          <w:lang w:val="en-GB"/>
        </w:rPr>
        <w:t>spanning demographics, technology, economi</w:t>
      </w:r>
      <w:r w:rsidR="004805A8">
        <w:rPr>
          <w:rFonts w:ascii="Times New Roman" w:hAnsi="Times New Roman" w:cs="Times New Roman"/>
          <w:sz w:val="24"/>
          <w:szCs w:val="24"/>
          <w:lang w:val="en-GB"/>
        </w:rPr>
        <w:t>cs, and international relations</w:t>
      </w:r>
      <w:r w:rsidRPr="00452AFD">
        <w:rPr>
          <w:rFonts w:ascii="Times New Roman" w:hAnsi="Times New Roman" w:cs="Times New Roman"/>
          <w:sz w:val="24"/>
          <w:szCs w:val="24"/>
          <w:lang w:val="en-GB"/>
        </w:rPr>
        <w:t>- necessitate innovative and effective political responses. Given the ongoing crises and conflicts, action has become urgent, particularly as the window of opportunity to intervene and relaunch the European economy risks closing in the near future.</w:t>
      </w:r>
    </w:p>
    <w:p w:rsidR="00452AFD" w:rsidRPr="00452AFD" w:rsidRDefault="00452AFD" w:rsidP="008865A5">
      <w:pPr>
        <w:spacing w:line="240" w:lineRule="auto"/>
        <w:jc w:val="both"/>
        <w:rPr>
          <w:rFonts w:ascii="Times New Roman" w:hAnsi="Times New Roman" w:cs="Times New Roman"/>
          <w:sz w:val="24"/>
          <w:szCs w:val="24"/>
          <w:lang w:val="en-GB"/>
        </w:rPr>
      </w:pPr>
      <w:r w:rsidRPr="00452AFD">
        <w:rPr>
          <w:rFonts w:ascii="Times New Roman" w:hAnsi="Times New Roman" w:cs="Times New Roman"/>
          <w:sz w:val="24"/>
          <w:szCs w:val="24"/>
          <w:lang w:val="en-GB"/>
        </w:rPr>
        <w:t xml:space="preserve">This Report, which contains policy recommendations for the future of the Single Market, aims to inspire a genuine call to action among the European public opinion. For maximum impact, it should be implemented at EU institutions, Member States, social partners and </w:t>
      </w:r>
      <w:r w:rsidR="00FE7EFD" w:rsidRPr="00452AFD">
        <w:rPr>
          <w:rFonts w:ascii="Times New Roman" w:hAnsi="Times New Roman" w:cs="Times New Roman"/>
          <w:sz w:val="24"/>
          <w:szCs w:val="24"/>
          <w:lang w:val="en-GB"/>
        </w:rPr>
        <w:t>citizen’s</w:t>
      </w:r>
      <w:r w:rsidRPr="00452AFD">
        <w:rPr>
          <w:rFonts w:ascii="Times New Roman" w:hAnsi="Times New Roman" w:cs="Times New Roman"/>
          <w:sz w:val="24"/>
          <w:szCs w:val="24"/>
          <w:lang w:val="en-GB"/>
        </w:rPr>
        <w:t xml:space="preserve"> level.</w:t>
      </w:r>
    </w:p>
    <w:p w:rsidR="00452AFD" w:rsidRPr="00452AFD" w:rsidRDefault="00452AFD" w:rsidP="008865A5">
      <w:pPr>
        <w:spacing w:line="240" w:lineRule="auto"/>
        <w:jc w:val="both"/>
        <w:rPr>
          <w:rFonts w:ascii="Times New Roman" w:hAnsi="Times New Roman" w:cs="Times New Roman"/>
          <w:sz w:val="24"/>
          <w:szCs w:val="24"/>
          <w:lang w:val="en-GB"/>
        </w:rPr>
      </w:pPr>
      <w:r w:rsidRPr="00452AFD">
        <w:rPr>
          <w:rFonts w:ascii="Times New Roman" w:hAnsi="Times New Roman" w:cs="Times New Roman"/>
          <w:sz w:val="24"/>
          <w:szCs w:val="24"/>
          <w:lang w:val="en-GB"/>
        </w:rPr>
        <w:t>The conclusions of this Report aim to clarify the urgency and importance of the proposed recommendations, while emphasising the need for broad engagement and concrete actions.</w:t>
      </w:r>
    </w:p>
    <w:p w:rsidR="00452AFD" w:rsidRPr="00452AFD" w:rsidRDefault="00452AFD" w:rsidP="008865A5">
      <w:pPr>
        <w:spacing w:line="240" w:lineRule="auto"/>
        <w:jc w:val="both"/>
        <w:rPr>
          <w:rFonts w:ascii="Times New Roman" w:hAnsi="Times New Roman" w:cs="Times New Roman"/>
          <w:sz w:val="24"/>
          <w:szCs w:val="24"/>
          <w:lang w:val="en-GB"/>
        </w:rPr>
      </w:pPr>
      <w:r w:rsidRPr="00452AFD">
        <w:rPr>
          <w:rFonts w:ascii="Times New Roman" w:hAnsi="Times New Roman" w:cs="Times New Roman"/>
          <w:sz w:val="24"/>
          <w:szCs w:val="24"/>
          <w:lang w:val="en-GB"/>
        </w:rPr>
        <w:t>Given the crucial importance of the Single Market for strengthening European competitiveness, it is essential for the European Council to play a decisive role in advancing necessary reforms for its completion. This initiative should represent a focal point on the agenda of the next legislature, highlighting our joint commitment to revitalising the European economic context. The Council is urged to delegate to the European Commission the task of drafting a comprehensive Single Market Strategy. This plan should clearly articulate actions to break down existing barriers, promote consolidation, and enhance the competitiveness of the Single Market, along the lines of the proposals contained in the Report. It is essential that political direction acts as a catalyst for swift agreement among the Council of the EU and the European Parliament on an ambitious plan, also including detailed impact analysis and thorough parliamentary work to support the process. It is also necessary for the European Economic and Social Committee and the European Committee of Regions to prioritise these reform initiatives in their advisory role, ensuring that the legislative process is guided by a comprehensive and practice-oriented analysis. This collective commitment will not only strengthen the Single Market but also ensure that it continues to be a pillar of European economic resilience and competitiveness globally.</w:t>
      </w:r>
    </w:p>
    <w:p w:rsidR="00452AFD" w:rsidRPr="00452AFD" w:rsidRDefault="00452AFD" w:rsidP="008865A5">
      <w:pPr>
        <w:spacing w:line="240" w:lineRule="auto"/>
        <w:jc w:val="both"/>
        <w:rPr>
          <w:rFonts w:ascii="Times New Roman" w:hAnsi="Times New Roman" w:cs="Times New Roman"/>
          <w:sz w:val="24"/>
          <w:szCs w:val="24"/>
          <w:lang w:val="en-GB"/>
        </w:rPr>
      </w:pPr>
      <w:r w:rsidRPr="00452AFD">
        <w:rPr>
          <w:rFonts w:ascii="Times New Roman" w:hAnsi="Times New Roman" w:cs="Times New Roman"/>
          <w:sz w:val="24"/>
          <w:szCs w:val="24"/>
          <w:lang w:val="en-GB"/>
        </w:rPr>
        <w:t xml:space="preserve">At the core of the European social model, inaugurated by Jacques Delors with the Val Duchesse dialogue in 1985, was a commitment to robust social dialogue. However, in recent years, the essence of these dialogues has somewhat weakened. On the contrary, the need for coordination and negotiation mechanisms between employers and workers must increase if we want to support businesses and create quality jobs. Social dialogue and collective bargaining remain unique tools for governments and social partners to find targeted and fair solutions. It is essential to acknowledge the important role played by social partners in addressing today's challenges, such as climate change and digitalization, in the context of revitalising the EU Single Market. Furthermore, promoting fair working conditions amid changes in production models is crucial to ensure that transitions are widely shared and accepted. The renewed commitment to strengthening social dialogue at the EU level, exemplified by the relaunch of the Val Duchesse Summit promoted by Ursula von der Leyen in her 2023 State of the Union address, constitutes a welcome change. To make the most of </w:t>
      </w:r>
      <w:r w:rsidRPr="00452AFD">
        <w:rPr>
          <w:rFonts w:ascii="Times New Roman" w:hAnsi="Times New Roman" w:cs="Times New Roman"/>
          <w:sz w:val="24"/>
          <w:szCs w:val="24"/>
          <w:lang w:val="en-GB"/>
        </w:rPr>
        <w:lastRenderedPageBreak/>
        <w:t>this tool, the rules governing the Single Market must allow room for collective bargaining and local representative structures, and encourage (or at</w:t>
      </w:r>
      <w:r w:rsidR="00FE7EFD">
        <w:rPr>
          <w:rFonts w:ascii="Times New Roman" w:hAnsi="Times New Roman" w:cs="Times New Roman"/>
          <w:sz w:val="24"/>
          <w:szCs w:val="24"/>
          <w:lang w:val="en-GB"/>
        </w:rPr>
        <w:t xml:space="preserve"> least not discourage) the self-</w:t>
      </w:r>
      <w:r w:rsidRPr="00452AFD">
        <w:rPr>
          <w:rFonts w:ascii="Times New Roman" w:hAnsi="Times New Roman" w:cs="Times New Roman"/>
          <w:sz w:val="24"/>
          <w:szCs w:val="24"/>
          <w:lang w:val="en-GB"/>
        </w:rPr>
        <w:t>organisation of workers and employers. The same, even more so, must occur within the legislative process.</w:t>
      </w:r>
    </w:p>
    <w:p w:rsidR="00452AFD" w:rsidRPr="00452AFD" w:rsidRDefault="00452AFD" w:rsidP="008865A5">
      <w:pPr>
        <w:spacing w:line="240" w:lineRule="auto"/>
        <w:jc w:val="both"/>
        <w:rPr>
          <w:rFonts w:ascii="Times New Roman" w:hAnsi="Times New Roman" w:cs="Times New Roman"/>
          <w:sz w:val="24"/>
          <w:szCs w:val="24"/>
          <w:lang w:val="en-GB"/>
        </w:rPr>
      </w:pPr>
      <w:r w:rsidRPr="00452AFD">
        <w:rPr>
          <w:rFonts w:ascii="Times New Roman" w:hAnsi="Times New Roman" w:cs="Times New Roman"/>
          <w:sz w:val="24"/>
          <w:szCs w:val="24"/>
          <w:lang w:val="en-GB"/>
        </w:rPr>
        <w:t>The Single Market stands as a testament to the collective aspirations of its citizens, who form the very core of its structure. Voting, the quintessential expression of democratic engagement, serves as the pivotal tool through which citizens assert their will. From June 6 to 9, the European elections will unfold, offering a decisive reflection of the public’s vision for the future. The electoral outcome will not only guide the strategic direction but also shape the recommendations detailed in this report. In this critical juncture, the European Parliament is entrusted with a profound responsibility: to spearhead the development and implementation of a robust new framework for the Single Market, ensuring it fully embodies the democratic values and meets the evolving needs of its people.</w:t>
      </w:r>
    </w:p>
    <w:p w:rsidR="00452AFD" w:rsidRPr="00452AFD" w:rsidRDefault="00452AFD" w:rsidP="008865A5">
      <w:pPr>
        <w:spacing w:line="240" w:lineRule="auto"/>
        <w:jc w:val="both"/>
        <w:rPr>
          <w:rFonts w:ascii="Times New Roman" w:hAnsi="Times New Roman" w:cs="Times New Roman"/>
          <w:sz w:val="24"/>
          <w:szCs w:val="24"/>
          <w:lang w:val="en-GB"/>
        </w:rPr>
      </w:pPr>
      <w:r w:rsidRPr="00452AFD">
        <w:rPr>
          <w:rFonts w:ascii="Times New Roman" w:hAnsi="Times New Roman" w:cs="Times New Roman"/>
          <w:sz w:val="24"/>
          <w:szCs w:val="24"/>
          <w:lang w:val="en-GB"/>
        </w:rPr>
        <w:t>To strengthen this process, it would be useful to establish a Permanent Citizens' Conference to inform and support the follow-up to this Report. The Conference on the Future of Europe has clearly indicated the citizens' desire for greater systemic involvement in the development and implementation of European public policies. In particular, one of the proposals that emerged in the Conference's Plenary suggested holding periodic Citizen Assemblies. This proposal was embraced by the Presidency of the European Commission with the initiatives of the European Citizens' Panels, which are set to become a constitutive feature of European life, contributing to strengthening our democracies. The Citizens' Conference could liaise with the three main EU institutions and produce recommendations on how to implement the Report, providing a valuable, certainly broader, and more grounded perspective. Certainly, if the Single Market has always been and must continue to be the core and the engine of European Union integration, no reform, no innovative design, no real progress will be possible, understood, and accepted by our public opinions without the active participation and genuine involvement of European citizens.</w:t>
      </w:r>
    </w:p>
    <w:p w:rsidR="00452AFD" w:rsidRDefault="00452AFD" w:rsidP="008865A5">
      <w:pPr>
        <w:spacing w:line="240" w:lineRule="auto"/>
        <w:jc w:val="both"/>
        <w:rPr>
          <w:rFonts w:ascii="Times New Roman" w:hAnsi="Times New Roman" w:cs="Times New Roman"/>
          <w:sz w:val="24"/>
          <w:szCs w:val="24"/>
          <w:lang w:val="en-GB"/>
        </w:rPr>
      </w:pPr>
      <w:r w:rsidRPr="00452AFD">
        <w:rPr>
          <w:rFonts w:ascii="Times New Roman" w:hAnsi="Times New Roman" w:cs="Times New Roman"/>
          <w:sz w:val="24"/>
          <w:szCs w:val="24"/>
          <w:lang w:val="en-GB"/>
        </w:rPr>
        <w:t>The time to act is now. We must work all together for a stronger Single Market and a stronger European Union.</w:t>
      </w:r>
    </w:p>
    <w:p w:rsidR="003F7ADF" w:rsidRDefault="003F7ADF" w:rsidP="008865A5">
      <w:pPr>
        <w:spacing w:line="240" w:lineRule="auto"/>
        <w:jc w:val="both"/>
        <w:rPr>
          <w:rFonts w:ascii="Times New Roman" w:hAnsi="Times New Roman" w:cs="Times New Roman"/>
          <w:sz w:val="24"/>
          <w:szCs w:val="24"/>
          <w:lang w:val="en-GB"/>
        </w:rPr>
      </w:pPr>
    </w:p>
    <w:p w:rsidR="003F7ADF" w:rsidRDefault="003F7ADF" w:rsidP="008865A5">
      <w:pPr>
        <w:spacing w:line="240" w:lineRule="auto"/>
        <w:jc w:val="both"/>
        <w:rPr>
          <w:rFonts w:ascii="Times New Roman" w:hAnsi="Times New Roman" w:cs="Times New Roman"/>
          <w:sz w:val="24"/>
          <w:szCs w:val="24"/>
          <w:lang w:val="en-GB"/>
        </w:rPr>
      </w:pPr>
    </w:p>
    <w:p w:rsidR="003F7ADF" w:rsidRDefault="003F7ADF" w:rsidP="008865A5">
      <w:pPr>
        <w:spacing w:line="240" w:lineRule="auto"/>
        <w:jc w:val="both"/>
        <w:rPr>
          <w:rFonts w:ascii="Times New Roman" w:hAnsi="Times New Roman" w:cs="Times New Roman"/>
          <w:sz w:val="24"/>
          <w:szCs w:val="24"/>
          <w:lang w:val="en-GB"/>
        </w:rPr>
      </w:pPr>
    </w:p>
    <w:p w:rsidR="003F7ADF" w:rsidRDefault="003F7ADF" w:rsidP="008865A5">
      <w:pPr>
        <w:spacing w:line="240" w:lineRule="auto"/>
        <w:jc w:val="both"/>
        <w:rPr>
          <w:rFonts w:ascii="Times New Roman" w:hAnsi="Times New Roman" w:cs="Times New Roman"/>
          <w:sz w:val="24"/>
          <w:szCs w:val="24"/>
          <w:lang w:val="en-GB"/>
        </w:rPr>
      </w:pPr>
    </w:p>
    <w:p w:rsidR="003F7ADF" w:rsidRDefault="003F7ADF" w:rsidP="008865A5">
      <w:pPr>
        <w:spacing w:line="240" w:lineRule="auto"/>
        <w:jc w:val="both"/>
        <w:rPr>
          <w:rFonts w:ascii="Times New Roman" w:hAnsi="Times New Roman" w:cs="Times New Roman"/>
          <w:sz w:val="24"/>
          <w:szCs w:val="24"/>
          <w:lang w:val="en-GB"/>
        </w:rPr>
      </w:pPr>
    </w:p>
    <w:p w:rsidR="003F7ADF" w:rsidRDefault="003F7ADF" w:rsidP="008865A5">
      <w:pPr>
        <w:spacing w:line="240" w:lineRule="auto"/>
        <w:jc w:val="both"/>
        <w:rPr>
          <w:rFonts w:ascii="Times New Roman" w:hAnsi="Times New Roman" w:cs="Times New Roman"/>
          <w:sz w:val="24"/>
          <w:szCs w:val="24"/>
          <w:lang w:val="en-GB"/>
        </w:rPr>
      </w:pPr>
    </w:p>
    <w:p w:rsidR="003F7ADF" w:rsidRDefault="003F7ADF" w:rsidP="008865A5">
      <w:pPr>
        <w:spacing w:line="240" w:lineRule="auto"/>
        <w:jc w:val="both"/>
        <w:rPr>
          <w:rFonts w:ascii="Times New Roman" w:hAnsi="Times New Roman" w:cs="Times New Roman"/>
          <w:sz w:val="24"/>
          <w:szCs w:val="24"/>
          <w:lang w:val="en-GB"/>
        </w:rPr>
      </w:pPr>
    </w:p>
    <w:p w:rsidR="00925B37" w:rsidRPr="00F00F0E" w:rsidRDefault="00925B37" w:rsidP="003F7ADF">
      <w:pPr>
        <w:shd w:val="clear" w:color="auto" w:fill="FFFFFF"/>
        <w:spacing w:line="240" w:lineRule="auto"/>
        <w:jc w:val="both"/>
        <w:rPr>
          <w:rFonts w:ascii="Times New Roman" w:hAnsi="Times New Roman" w:cs="Times New Roman"/>
          <w:b/>
          <w:sz w:val="24"/>
          <w:szCs w:val="24"/>
          <w:lang w:val="en-GB"/>
        </w:rPr>
      </w:pPr>
    </w:p>
    <w:p w:rsidR="00925B37" w:rsidRPr="00F00F0E" w:rsidRDefault="00925B37" w:rsidP="003F7ADF">
      <w:pPr>
        <w:shd w:val="clear" w:color="auto" w:fill="FFFFFF"/>
        <w:spacing w:line="240" w:lineRule="auto"/>
        <w:jc w:val="both"/>
        <w:rPr>
          <w:rFonts w:ascii="Times New Roman" w:hAnsi="Times New Roman" w:cs="Times New Roman"/>
          <w:b/>
          <w:sz w:val="24"/>
          <w:szCs w:val="24"/>
          <w:lang w:val="en-GB"/>
        </w:rPr>
      </w:pPr>
    </w:p>
    <w:p w:rsidR="00925B37" w:rsidRPr="00F00F0E" w:rsidRDefault="00925B37" w:rsidP="003F7ADF">
      <w:pPr>
        <w:shd w:val="clear" w:color="auto" w:fill="FFFFFF"/>
        <w:spacing w:line="240" w:lineRule="auto"/>
        <w:jc w:val="both"/>
        <w:rPr>
          <w:rFonts w:ascii="Times New Roman" w:hAnsi="Times New Roman" w:cs="Times New Roman"/>
          <w:b/>
          <w:sz w:val="24"/>
          <w:szCs w:val="24"/>
          <w:lang w:val="en-GB"/>
        </w:rPr>
      </w:pPr>
    </w:p>
    <w:p w:rsidR="003F7ADF" w:rsidRDefault="003F7ADF" w:rsidP="003F7ADF">
      <w:pPr>
        <w:shd w:val="clear" w:color="auto" w:fill="FFFFFF"/>
        <w:spacing w:line="240" w:lineRule="auto"/>
        <w:jc w:val="both"/>
        <w:rPr>
          <w:rFonts w:ascii="Times New Roman" w:hAnsi="Times New Roman" w:cs="Times New Roman"/>
          <w:bCs/>
          <w:color w:val="000000"/>
          <w:sz w:val="24"/>
          <w:szCs w:val="24"/>
        </w:rPr>
      </w:pPr>
      <w:r w:rsidRPr="003F7ADF">
        <w:rPr>
          <w:rFonts w:ascii="Times New Roman" w:hAnsi="Times New Roman" w:cs="Times New Roman"/>
          <w:b/>
          <w:sz w:val="24"/>
          <w:szCs w:val="24"/>
        </w:rPr>
        <w:lastRenderedPageBreak/>
        <w:t xml:space="preserve">The future of European competitiveness - Part A | A competitiveness strategy for Europe </w:t>
      </w:r>
      <w:r>
        <w:rPr>
          <w:rFonts w:ascii="Times New Roman" w:hAnsi="Times New Roman" w:cs="Times New Roman"/>
          <w:bCs/>
          <w:color w:val="000000"/>
          <w:sz w:val="24"/>
          <w:szCs w:val="24"/>
        </w:rPr>
        <w:t>(Nota: hasta el 18/9/24 no existía</w:t>
      </w:r>
      <w:r w:rsidRPr="003F7ADF">
        <w:rPr>
          <w:rFonts w:ascii="Times New Roman" w:hAnsi="Times New Roman" w:cs="Times New Roman"/>
          <w:bCs/>
          <w:color w:val="000000"/>
          <w:sz w:val="24"/>
          <w:szCs w:val="24"/>
        </w:rPr>
        <w:t xml:space="preserve"> una versión en español del Informe)</w:t>
      </w:r>
    </w:p>
    <w:p w:rsidR="006F2D46" w:rsidRPr="00F0687B" w:rsidRDefault="00F0687B" w:rsidP="003F7ADF">
      <w:pPr>
        <w:shd w:val="clear" w:color="auto" w:fill="FFFFFF"/>
        <w:spacing w:line="240" w:lineRule="auto"/>
        <w:jc w:val="both"/>
        <w:rPr>
          <w:rFonts w:ascii="Times New Roman" w:hAnsi="Times New Roman" w:cs="Times New Roman"/>
          <w:b/>
          <w:bCs/>
          <w:color w:val="000000"/>
          <w:sz w:val="24"/>
          <w:szCs w:val="24"/>
          <w:lang w:val="en-GB"/>
        </w:rPr>
      </w:pPr>
      <w:r w:rsidRPr="00F0687B">
        <w:rPr>
          <w:rFonts w:ascii="Times New Roman" w:hAnsi="Times New Roman" w:cs="Times New Roman"/>
          <w:b/>
          <w:sz w:val="24"/>
          <w:szCs w:val="24"/>
          <w:lang w:val="en-GB"/>
        </w:rPr>
        <w:t>1. The starting point: a new landscape for Europe</w:t>
      </w:r>
    </w:p>
    <w:p w:rsidR="003F7ADF" w:rsidRDefault="003F7ADF" w:rsidP="003F7ADF">
      <w:pPr>
        <w:spacing w:line="240" w:lineRule="auto"/>
        <w:jc w:val="both"/>
        <w:rPr>
          <w:rFonts w:ascii="Times New Roman" w:hAnsi="Times New Roman" w:cs="Times New Roman"/>
          <w:sz w:val="24"/>
          <w:szCs w:val="24"/>
          <w:lang w:val="en-GB"/>
        </w:rPr>
      </w:pPr>
      <w:r w:rsidRPr="000868B6">
        <w:rPr>
          <w:rFonts w:ascii="Times New Roman" w:hAnsi="Times New Roman" w:cs="Times New Roman"/>
          <w:b/>
          <w:sz w:val="24"/>
          <w:szCs w:val="24"/>
          <w:lang w:val="en-GB"/>
        </w:rPr>
        <w:t>Europe has the foundations in place to be a highly competitive economy</w:t>
      </w:r>
      <w:r w:rsidRPr="003F7ADF">
        <w:rPr>
          <w:rFonts w:ascii="Times New Roman" w:hAnsi="Times New Roman" w:cs="Times New Roman"/>
          <w:sz w:val="24"/>
          <w:szCs w:val="24"/>
          <w:lang w:val="en-GB"/>
        </w:rPr>
        <w:t xml:space="preserve">. The European model combines an open economy, a high degree of market competition and a strong legal framework and active policies to fight poverty and redistribute wealth. This model has allowed the EU to marry high levels of economic integration and human development with low levels of inequality. Europe has built a Single Market of 440 million consumers and 23 million companies, accounting for around 17% of global GDP [see Figure 1], while achieving rates of income inequality that are around 10 percentage points below those seen in the United States (US) and China, according to some measures [see Figure 2]. At the same time, the EU’s approach has delivered outstanding outcomes in terms of governance, health, education and environmental protection. Of the world’s ten top-scoring countries for the application of the rule of </w:t>
      </w:r>
      <w:r w:rsidR="00FE7EFD">
        <w:rPr>
          <w:rFonts w:ascii="Times New Roman" w:hAnsi="Times New Roman" w:cs="Times New Roman"/>
          <w:sz w:val="24"/>
          <w:szCs w:val="24"/>
          <w:lang w:val="en-GB"/>
        </w:rPr>
        <w:t>law, eight are EU Member States</w:t>
      </w:r>
      <w:r w:rsidRPr="003F7ADF">
        <w:rPr>
          <w:rFonts w:ascii="Times New Roman" w:hAnsi="Times New Roman" w:cs="Times New Roman"/>
          <w:sz w:val="24"/>
          <w:szCs w:val="24"/>
          <w:lang w:val="en-GB"/>
        </w:rPr>
        <w:t xml:space="preserve">. Europe leads the US and China in terms of life expectancy at </w:t>
      </w:r>
      <w:r>
        <w:rPr>
          <w:rFonts w:ascii="Times New Roman" w:hAnsi="Times New Roman" w:cs="Times New Roman"/>
          <w:sz w:val="24"/>
          <w:szCs w:val="24"/>
          <w:lang w:val="en-GB"/>
        </w:rPr>
        <w:t>birth and low infant mortality</w:t>
      </w:r>
      <w:r w:rsidRPr="003F7ADF">
        <w:rPr>
          <w:rFonts w:ascii="Times New Roman" w:hAnsi="Times New Roman" w:cs="Times New Roman"/>
          <w:sz w:val="24"/>
          <w:szCs w:val="24"/>
          <w:lang w:val="en-GB"/>
        </w:rPr>
        <w:t>. Europe’s education and training systems deliver strong educational attainment, with a third of adults havi</w:t>
      </w:r>
      <w:r>
        <w:rPr>
          <w:rFonts w:ascii="Times New Roman" w:hAnsi="Times New Roman" w:cs="Times New Roman"/>
          <w:sz w:val="24"/>
          <w:szCs w:val="24"/>
          <w:lang w:val="en-GB"/>
        </w:rPr>
        <w:t>ng completed higher education</w:t>
      </w:r>
      <w:r w:rsidRPr="003F7ADF">
        <w:rPr>
          <w:rFonts w:ascii="Times New Roman" w:hAnsi="Times New Roman" w:cs="Times New Roman"/>
          <w:sz w:val="24"/>
          <w:szCs w:val="24"/>
          <w:lang w:val="en-GB"/>
        </w:rPr>
        <w:t>. The EU is also the world leader in sustainability and environmental standards and progress towards the circular economy, backed by the most ambitious global targets for decarbonisation, and can benefit from the largest exclusive economic zone in the world, covering 17 million square kilometres</w:t>
      </w:r>
      <w:r>
        <w:rPr>
          <w:rFonts w:ascii="Times New Roman" w:hAnsi="Times New Roman" w:cs="Times New Roman"/>
          <w:sz w:val="24"/>
          <w:szCs w:val="24"/>
          <w:lang w:val="en-GB"/>
        </w:rPr>
        <w:t>, 4 times the EUs land surface</w:t>
      </w:r>
      <w:r w:rsidR="000868B6">
        <w:rPr>
          <w:rFonts w:ascii="Times New Roman" w:hAnsi="Times New Roman" w:cs="Times New Roman"/>
          <w:sz w:val="24"/>
          <w:szCs w:val="24"/>
          <w:lang w:val="en-GB"/>
        </w:rPr>
        <w:t>.</w:t>
      </w:r>
    </w:p>
    <w:p w:rsidR="000868B6" w:rsidRDefault="000868B6" w:rsidP="003F7ADF">
      <w:pPr>
        <w:spacing w:line="240" w:lineRule="auto"/>
        <w:jc w:val="both"/>
        <w:rPr>
          <w:rFonts w:ascii="Times New Roman" w:hAnsi="Times New Roman" w:cs="Times New Roman"/>
          <w:sz w:val="24"/>
          <w:szCs w:val="24"/>
          <w:lang w:val="en-GB"/>
        </w:rPr>
      </w:pPr>
    </w:p>
    <w:p w:rsidR="003F7ADF" w:rsidRDefault="000868B6" w:rsidP="003F7ADF">
      <w:pPr>
        <w:spacing w:line="240" w:lineRule="auto"/>
        <w:jc w:val="both"/>
        <w:rPr>
          <w:rFonts w:ascii="Times New Roman" w:hAnsi="Times New Roman" w:cs="Times New Roman"/>
          <w:b/>
          <w:sz w:val="24"/>
          <w:szCs w:val="24"/>
          <w:lang w:val="en-GB"/>
        </w:rPr>
      </w:pPr>
      <w:r w:rsidRPr="000868B6">
        <w:rPr>
          <w:rFonts w:ascii="Times New Roman" w:hAnsi="Times New Roman" w:cs="Times New Roman"/>
          <w:b/>
          <w:noProof/>
          <w:sz w:val="24"/>
          <w:szCs w:val="24"/>
          <w:lang w:eastAsia="es-ES"/>
        </w:rPr>
        <w:drawing>
          <wp:inline distT="0" distB="0" distL="0" distR="0" wp14:anchorId="0CD5B9EB" wp14:editId="7FFED39C">
            <wp:extent cx="5731510" cy="3789777"/>
            <wp:effectExtent l="0" t="0" r="2540" b="127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3789777"/>
                    </a:xfrm>
                    <a:prstGeom prst="rect">
                      <a:avLst/>
                    </a:prstGeom>
                  </pic:spPr>
                </pic:pic>
              </a:graphicData>
            </a:graphic>
          </wp:inline>
        </w:drawing>
      </w:r>
    </w:p>
    <w:p w:rsidR="000868B6" w:rsidRDefault="000868B6" w:rsidP="003F7ADF">
      <w:pPr>
        <w:spacing w:line="240" w:lineRule="auto"/>
        <w:jc w:val="both"/>
        <w:rPr>
          <w:rFonts w:ascii="Times New Roman" w:hAnsi="Times New Roman" w:cs="Times New Roman"/>
          <w:b/>
          <w:sz w:val="24"/>
          <w:szCs w:val="24"/>
          <w:lang w:val="en-GB"/>
        </w:rPr>
      </w:pPr>
      <w:r w:rsidRPr="000868B6">
        <w:rPr>
          <w:rFonts w:ascii="Times New Roman" w:hAnsi="Times New Roman" w:cs="Times New Roman"/>
          <w:b/>
          <w:noProof/>
          <w:sz w:val="24"/>
          <w:szCs w:val="24"/>
          <w:lang w:eastAsia="es-ES"/>
        </w:rPr>
        <w:lastRenderedPageBreak/>
        <w:drawing>
          <wp:inline distT="0" distB="0" distL="0" distR="0" wp14:anchorId="6B67C117" wp14:editId="49666776">
            <wp:extent cx="5733664" cy="2743200"/>
            <wp:effectExtent l="0" t="0" r="63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2742170"/>
                    </a:xfrm>
                    <a:prstGeom prst="rect">
                      <a:avLst/>
                    </a:prstGeom>
                  </pic:spPr>
                </pic:pic>
              </a:graphicData>
            </a:graphic>
          </wp:inline>
        </w:drawing>
      </w:r>
    </w:p>
    <w:p w:rsidR="000868B6" w:rsidRDefault="000868B6" w:rsidP="003F7ADF">
      <w:pPr>
        <w:spacing w:line="240" w:lineRule="auto"/>
        <w:jc w:val="both"/>
        <w:rPr>
          <w:rFonts w:ascii="Times New Roman" w:hAnsi="Times New Roman" w:cs="Times New Roman"/>
          <w:sz w:val="24"/>
          <w:szCs w:val="24"/>
          <w:lang w:val="en-GB"/>
        </w:rPr>
      </w:pPr>
      <w:r w:rsidRPr="000868B6">
        <w:rPr>
          <w:rFonts w:ascii="Times New Roman" w:hAnsi="Times New Roman" w:cs="Times New Roman"/>
          <w:b/>
          <w:sz w:val="24"/>
          <w:szCs w:val="24"/>
          <w:lang w:val="en-GB"/>
        </w:rPr>
        <w:t>Yet growth in the EU has been slowing, driven by weakening productivity growth, calling into question Europe’s ability to meet its ambitions.</w:t>
      </w:r>
      <w:r w:rsidRPr="000868B6">
        <w:rPr>
          <w:rFonts w:ascii="Times New Roman" w:hAnsi="Times New Roman" w:cs="Times New Roman"/>
          <w:sz w:val="24"/>
          <w:szCs w:val="24"/>
          <w:lang w:val="en-GB"/>
        </w:rPr>
        <w:t xml:space="preserve"> The EU has</w:t>
      </w:r>
      <w:r w:rsidR="00925B37">
        <w:rPr>
          <w:rFonts w:ascii="Times New Roman" w:hAnsi="Times New Roman" w:cs="Times New Roman"/>
          <w:sz w:val="24"/>
          <w:szCs w:val="24"/>
          <w:lang w:val="en-GB"/>
        </w:rPr>
        <w:t xml:space="preserve"> set out a range of ambitions -</w:t>
      </w:r>
      <w:r w:rsidRPr="000868B6">
        <w:rPr>
          <w:rFonts w:ascii="Times New Roman" w:hAnsi="Times New Roman" w:cs="Times New Roman"/>
          <w:sz w:val="24"/>
          <w:szCs w:val="24"/>
          <w:lang w:val="en-GB"/>
        </w:rPr>
        <w:t>such as achieving high levels of social inclusion, delivering carbon neutrality and inc</w:t>
      </w:r>
      <w:r w:rsidR="00925B37">
        <w:rPr>
          <w:rFonts w:ascii="Times New Roman" w:hAnsi="Times New Roman" w:cs="Times New Roman"/>
          <w:sz w:val="24"/>
          <w:szCs w:val="24"/>
          <w:lang w:val="en-GB"/>
        </w:rPr>
        <w:t>reasing geopolitical relevance-</w:t>
      </w:r>
      <w:r w:rsidRPr="000868B6">
        <w:rPr>
          <w:rFonts w:ascii="Times New Roman" w:hAnsi="Times New Roman" w:cs="Times New Roman"/>
          <w:sz w:val="24"/>
          <w:szCs w:val="24"/>
          <w:lang w:val="en-GB"/>
        </w:rPr>
        <w:t xml:space="preserve"> which depend on maintaining solid rates of economic growth. However, EU economic growth has been persistently slower than in the US over the past two decades, while China has been rapidly catching up. The EU-US gap in the level of GDP at 2015 prices02 has gradually widened from slightly more than 15% in 2002 to 30% in 2023, while on a purchasing power parity (PPP) basis a gap of 12% has emerged [see Figure 3]. The gap has widened less on per capita basis as the US has seen faster population growth, but it is still significant: in PPP terms, it has risen from 31% in 2002 to 34% today. The main driver of these diverging developments has been productivity. Around 70% of the gap in per capita GDP with US at PPP is explained by lower productivity in the EU [see Figure 4]. Slower productivi</w:t>
      </w:r>
      <w:r>
        <w:rPr>
          <w:rFonts w:ascii="Times New Roman" w:hAnsi="Times New Roman" w:cs="Times New Roman"/>
          <w:sz w:val="24"/>
          <w:szCs w:val="24"/>
          <w:lang w:val="en-GB"/>
        </w:rPr>
        <w:t>ty growth has in turn been asso</w:t>
      </w:r>
      <w:r w:rsidRPr="000868B6">
        <w:rPr>
          <w:rFonts w:ascii="Times New Roman" w:hAnsi="Times New Roman" w:cs="Times New Roman"/>
          <w:sz w:val="24"/>
          <w:szCs w:val="24"/>
          <w:lang w:val="en-GB"/>
        </w:rPr>
        <w:t>ciated with slower income growth and weaker domestic demand in Europe: on a per capita basis, real disposable income has grown almost twice as much in the US as in the EU since 2000</w:t>
      </w:r>
      <w:r>
        <w:rPr>
          <w:rFonts w:ascii="Times New Roman" w:hAnsi="Times New Roman" w:cs="Times New Roman"/>
          <w:sz w:val="24"/>
          <w:szCs w:val="24"/>
          <w:lang w:val="en-GB"/>
        </w:rPr>
        <w:t>.</w:t>
      </w:r>
    </w:p>
    <w:p w:rsidR="000868B6" w:rsidRDefault="000868B6" w:rsidP="003F7ADF">
      <w:pPr>
        <w:spacing w:line="240" w:lineRule="auto"/>
        <w:jc w:val="both"/>
        <w:rPr>
          <w:rFonts w:ascii="Times New Roman" w:hAnsi="Times New Roman" w:cs="Times New Roman"/>
          <w:sz w:val="24"/>
          <w:szCs w:val="24"/>
          <w:lang w:val="en-GB"/>
        </w:rPr>
      </w:pPr>
      <w:r w:rsidRPr="000868B6">
        <w:rPr>
          <w:rFonts w:ascii="Times New Roman" w:hAnsi="Times New Roman" w:cs="Times New Roman"/>
          <w:noProof/>
          <w:sz w:val="24"/>
          <w:szCs w:val="24"/>
          <w:lang w:eastAsia="es-ES"/>
        </w:rPr>
        <w:drawing>
          <wp:inline distT="0" distB="0" distL="0" distR="0" wp14:anchorId="40998FD2" wp14:editId="45EECB86">
            <wp:extent cx="5734049" cy="3155950"/>
            <wp:effectExtent l="0" t="0" r="635"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3154552"/>
                    </a:xfrm>
                    <a:prstGeom prst="rect">
                      <a:avLst/>
                    </a:prstGeom>
                  </pic:spPr>
                </pic:pic>
              </a:graphicData>
            </a:graphic>
          </wp:inline>
        </w:drawing>
      </w:r>
    </w:p>
    <w:p w:rsidR="000868B6" w:rsidRDefault="000868B6" w:rsidP="003F7ADF">
      <w:pPr>
        <w:spacing w:line="240" w:lineRule="auto"/>
        <w:jc w:val="both"/>
        <w:rPr>
          <w:rFonts w:ascii="Times New Roman" w:hAnsi="Times New Roman" w:cs="Times New Roman"/>
          <w:sz w:val="24"/>
          <w:szCs w:val="24"/>
          <w:lang w:val="en-GB"/>
        </w:rPr>
      </w:pPr>
      <w:r w:rsidRPr="000868B6">
        <w:rPr>
          <w:rFonts w:ascii="Times New Roman" w:hAnsi="Times New Roman" w:cs="Times New Roman"/>
          <w:noProof/>
          <w:sz w:val="24"/>
          <w:szCs w:val="24"/>
          <w:lang w:eastAsia="es-ES"/>
        </w:rPr>
        <w:lastRenderedPageBreak/>
        <w:drawing>
          <wp:inline distT="0" distB="0" distL="0" distR="0" wp14:anchorId="021FA820" wp14:editId="6942F7F9">
            <wp:extent cx="5734050" cy="28003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2799110"/>
                    </a:xfrm>
                    <a:prstGeom prst="rect">
                      <a:avLst/>
                    </a:prstGeom>
                  </pic:spPr>
                </pic:pic>
              </a:graphicData>
            </a:graphic>
          </wp:inline>
        </w:drawing>
      </w:r>
    </w:p>
    <w:p w:rsidR="000868B6" w:rsidRDefault="002F51C0" w:rsidP="003F7ADF">
      <w:pPr>
        <w:spacing w:line="240" w:lineRule="auto"/>
        <w:jc w:val="both"/>
        <w:rPr>
          <w:rFonts w:ascii="Times New Roman" w:hAnsi="Times New Roman" w:cs="Times New Roman"/>
          <w:sz w:val="24"/>
          <w:szCs w:val="24"/>
          <w:lang w:val="en-GB"/>
        </w:rPr>
      </w:pPr>
      <w:r w:rsidRPr="002F51C0">
        <w:rPr>
          <w:rFonts w:ascii="Times New Roman" w:hAnsi="Times New Roman" w:cs="Times New Roman"/>
          <w:b/>
          <w:sz w:val="24"/>
          <w:szCs w:val="24"/>
          <w:lang w:val="en-GB"/>
        </w:rPr>
        <w:t>At the same ti</w:t>
      </w:r>
      <w:r>
        <w:rPr>
          <w:rFonts w:ascii="Times New Roman" w:hAnsi="Times New Roman" w:cs="Times New Roman"/>
          <w:b/>
          <w:sz w:val="24"/>
          <w:szCs w:val="24"/>
          <w:lang w:val="en-GB"/>
        </w:rPr>
        <w:t>me, three external conditions -in trade, energy and defence-</w:t>
      </w:r>
      <w:r w:rsidRPr="002F51C0">
        <w:rPr>
          <w:rFonts w:ascii="Times New Roman" w:hAnsi="Times New Roman" w:cs="Times New Roman"/>
          <w:b/>
          <w:sz w:val="24"/>
          <w:szCs w:val="24"/>
          <w:lang w:val="en-GB"/>
        </w:rPr>
        <w:t xml:space="preserve"> that supported growth in Europe after the end of the Cold War have been fading</w:t>
      </w:r>
      <w:r w:rsidRPr="002F51C0">
        <w:rPr>
          <w:rFonts w:ascii="Times New Roman" w:hAnsi="Times New Roman" w:cs="Times New Roman"/>
          <w:sz w:val="24"/>
          <w:szCs w:val="24"/>
          <w:lang w:val="en-GB"/>
        </w:rPr>
        <w:t>. First, even as domestic growth slowed, the EU benefitted significantly from burgeoning world trade under multilateral rules. Between 2000 and 2019, international trade as a share of GDP rose from 30% to 43% in the EU, whereas in the US it rose from 25% to 26%. Trade openness ensured that Europe could import freely goods and services it lacked, ranging from raw materials to advanced technologies, while exporting manufactured goods in which it specialised, particularly to the growing markets of Asia. However, the multilateral trading order is now in deep crisis and the era of rapid world trade growth looks to have passed: the IMF projects world trade to grow at 3.2% over the medium term, a pace well below its annual average from 2000-19 of 4.9%iv. Second, as relations normalised with Russia, Europe was able to satisfy its demand for imported energy by procuring ample pipeline gas, which accounted for around 45% of the EU’s natural gas imports in 2021. But this source of relatively cheap energy has now disappeared at huge cost to Europe. The EU has lost more than a year of GDP growth while having to re-direct massive fiscal resources to energy subsidies and building new infrastructure for importing liquefied natural gas. Third, the era of geopolitical stability under US hegemony allowed the EU largely to separate economic policy from security considerations, as well as to use the “peace dividend” from lower defence spending to support its domestic goals. The geopolitical environment is however now in flux owing to Russia’s unwar</w:t>
      </w:r>
      <w:r w:rsidR="00A021C8">
        <w:rPr>
          <w:rFonts w:ascii="Times New Roman" w:hAnsi="Times New Roman" w:cs="Times New Roman"/>
          <w:sz w:val="24"/>
          <w:szCs w:val="24"/>
          <w:lang w:val="en-GB"/>
        </w:rPr>
        <w:t>y</w:t>
      </w:r>
      <w:r w:rsidRPr="002F51C0">
        <w:rPr>
          <w:rFonts w:ascii="Times New Roman" w:hAnsi="Times New Roman" w:cs="Times New Roman"/>
          <w:sz w:val="24"/>
          <w:szCs w:val="24"/>
          <w:lang w:val="en-GB"/>
        </w:rPr>
        <w:t xml:space="preserve"> ranted aggression against Ukraine, deteriorating US-China relations and rising instability in Africa, which is a source of many commodities that are critical to the world economy</w:t>
      </w:r>
      <w:r>
        <w:rPr>
          <w:rFonts w:ascii="Times New Roman" w:hAnsi="Times New Roman" w:cs="Times New Roman"/>
          <w:sz w:val="24"/>
          <w:szCs w:val="24"/>
          <w:lang w:val="en-GB"/>
        </w:rPr>
        <w:t>.</w:t>
      </w:r>
    </w:p>
    <w:p w:rsidR="002F51C0" w:rsidRDefault="002F51C0" w:rsidP="003F7ADF">
      <w:pPr>
        <w:spacing w:line="240" w:lineRule="auto"/>
        <w:jc w:val="both"/>
        <w:rPr>
          <w:rFonts w:ascii="Times New Roman" w:hAnsi="Times New Roman" w:cs="Times New Roman"/>
          <w:sz w:val="24"/>
          <w:szCs w:val="24"/>
          <w:lang w:val="en-GB"/>
        </w:rPr>
      </w:pPr>
      <w:r w:rsidRPr="002F51C0">
        <w:rPr>
          <w:rFonts w:ascii="Times New Roman" w:hAnsi="Times New Roman" w:cs="Times New Roman"/>
          <w:b/>
          <w:sz w:val="24"/>
          <w:szCs w:val="24"/>
          <w:lang w:val="en-GB"/>
        </w:rPr>
        <w:t>Raising the EU’s competitiveness is necessary to reignite productivity and sustain growth in this changing world</w:t>
      </w:r>
      <w:r w:rsidRPr="002F51C0">
        <w:rPr>
          <w:rFonts w:ascii="Times New Roman" w:hAnsi="Times New Roman" w:cs="Times New Roman"/>
          <w:sz w:val="24"/>
          <w:szCs w:val="24"/>
          <w:lang w:val="en-GB"/>
        </w:rPr>
        <w:t xml:space="preserve">. The core focus of a competitiveness agenda should be to raise productivity growth, which is the most important driver of long-term growth and leads to rising standards of living over time. Promoting competitiveness should not be seen in a narrow sense of a zero-sum game focused on conquering global market shares and raising trade surpluses. It should also not lead to policies of defending “national champions” that can stifle competition and innovation, or using wage repression to lower relative costs. Competitiveness today is less about relative labour costs and more about knowledge and skills embodied in the labour force. Beyond this broad objective, a focus on sectoral or industrial competitiveness can be particularly useful in situations where otherwise productive companies are disadvantaged by an </w:t>
      </w:r>
      <w:r w:rsidR="00A021C8" w:rsidRPr="002F51C0">
        <w:rPr>
          <w:rFonts w:ascii="Times New Roman" w:hAnsi="Times New Roman" w:cs="Times New Roman"/>
          <w:sz w:val="24"/>
          <w:szCs w:val="24"/>
          <w:lang w:val="en-GB"/>
        </w:rPr>
        <w:t>unlively</w:t>
      </w:r>
      <w:r w:rsidRPr="002F51C0">
        <w:rPr>
          <w:rFonts w:ascii="Times New Roman" w:hAnsi="Times New Roman" w:cs="Times New Roman"/>
          <w:sz w:val="24"/>
          <w:szCs w:val="24"/>
          <w:lang w:val="en-GB"/>
        </w:rPr>
        <w:t xml:space="preserve"> global playing field, be it asymmetries in </w:t>
      </w:r>
      <w:r w:rsidRPr="002F51C0">
        <w:rPr>
          <w:rFonts w:ascii="Times New Roman" w:hAnsi="Times New Roman" w:cs="Times New Roman"/>
          <w:sz w:val="24"/>
          <w:szCs w:val="24"/>
          <w:lang w:val="en-GB"/>
        </w:rPr>
        <w:lastRenderedPageBreak/>
        <w:t>regulation or large subsidies abroad. In such scenarios, levelling the playing field may be necessary for continued productivity growth. Finally, a modern competitiveness agenda must also encompass security. Security is a precondition for sustainable growth, as rising geopolitical risks can increase uncertainty and dampen investment, while major geopolitical shocks or sudden stops in trade can be extremely disruptive</w:t>
      </w:r>
      <w:r>
        <w:rPr>
          <w:rFonts w:ascii="Times New Roman" w:hAnsi="Times New Roman" w:cs="Times New Roman"/>
          <w:sz w:val="24"/>
          <w:szCs w:val="24"/>
          <w:lang w:val="en-GB"/>
        </w:rPr>
        <w:t>.</w:t>
      </w:r>
    </w:p>
    <w:p w:rsidR="002F51C0" w:rsidRPr="002F51C0" w:rsidRDefault="002F51C0" w:rsidP="003F7ADF">
      <w:pPr>
        <w:spacing w:line="240" w:lineRule="auto"/>
        <w:jc w:val="both"/>
        <w:rPr>
          <w:rFonts w:ascii="Times New Roman" w:hAnsi="Times New Roman" w:cs="Times New Roman"/>
          <w:b/>
          <w:sz w:val="24"/>
          <w:szCs w:val="24"/>
          <w:lang w:val="en-GB"/>
        </w:rPr>
      </w:pPr>
      <w:r w:rsidRPr="002F51C0">
        <w:rPr>
          <w:rFonts w:ascii="Times New Roman" w:hAnsi="Times New Roman" w:cs="Times New Roman"/>
          <w:b/>
          <w:sz w:val="24"/>
          <w:szCs w:val="24"/>
          <w:lang w:val="en-GB"/>
        </w:rPr>
        <w:t>Three transfo</w:t>
      </w:r>
      <w:r w:rsidR="00A021C8">
        <w:rPr>
          <w:rFonts w:ascii="Times New Roman" w:hAnsi="Times New Roman" w:cs="Times New Roman"/>
          <w:b/>
          <w:sz w:val="24"/>
          <w:szCs w:val="24"/>
          <w:lang w:val="en-GB"/>
        </w:rPr>
        <w:t>rmations ahead for Europe</w:t>
      </w:r>
      <w:r w:rsidRPr="002F51C0">
        <w:rPr>
          <w:rFonts w:ascii="Times New Roman" w:hAnsi="Times New Roman" w:cs="Times New Roman"/>
          <w:b/>
          <w:sz w:val="24"/>
          <w:szCs w:val="24"/>
          <w:lang w:val="en-GB"/>
        </w:rPr>
        <w:t xml:space="preserve"> now faces three major transformations, the first of which is the need to accelerate innovation and find new growth engines</w:t>
      </w:r>
      <w:r>
        <w:rPr>
          <w:rFonts w:ascii="Times New Roman" w:hAnsi="Times New Roman" w:cs="Times New Roman"/>
          <w:b/>
          <w:sz w:val="24"/>
          <w:szCs w:val="24"/>
          <w:lang w:val="en-GB"/>
        </w:rPr>
        <w:t>…</w:t>
      </w:r>
    </w:p>
    <w:p w:rsidR="003F7ADF" w:rsidRDefault="002F51C0" w:rsidP="003F7ADF">
      <w:pPr>
        <w:spacing w:line="240" w:lineRule="auto"/>
        <w:jc w:val="both"/>
        <w:rPr>
          <w:rFonts w:ascii="Times New Roman" w:hAnsi="Times New Roman" w:cs="Times New Roman"/>
          <w:b/>
          <w:sz w:val="24"/>
          <w:szCs w:val="24"/>
          <w:lang w:val="en-GB"/>
        </w:rPr>
      </w:pPr>
      <w:r w:rsidRPr="002F51C0">
        <w:rPr>
          <w:rFonts w:ascii="Times New Roman" w:hAnsi="Times New Roman" w:cs="Times New Roman"/>
          <w:b/>
          <w:noProof/>
          <w:sz w:val="24"/>
          <w:szCs w:val="24"/>
          <w:lang w:eastAsia="es-ES"/>
        </w:rPr>
        <w:drawing>
          <wp:inline distT="0" distB="0" distL="0" distR="0" wp14:anchorId="76FB8172" wp14:editId="45D9BE14">
            <wp:extent cx="5731510" cy="3050070"/>
            <wp:effectExtent l="0" t="0" r="254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3050070"/>
                    </a:xfrm>
                    <a:prstGeom prst="rect">
                      <a:avLst/>
                    </a:prstGeom>
                  </pic:spPr>
                </pic:pic>
              </a:graphicData>
            </a:graphic>
          </wp:inline>
        </w:drawing>
      </w:r>
    </w:p>
    <w:p w:rsidR="002F51C0" w:rsidRDefault="002F51C0" w:rsidP="003F7ADF">
      <w:pPr>
        <w:spacing w:line="240" w:lineRule="auto"/>
        <w:jc w:val="both"/>
        <w:rPr>
          <w:rFonts w:ascii="Times New Roman" w:hAnsi="Times New Roman" w:cs="Times New Roman"/>
          <w:b/>
          <w:sz w:val="24"/>
          <w:szCs w:val="24"/>
          <w:lang w:val="en-GB"/>
        </w:rPr>
      </w:pPr>
      <w:r w:rsidRPr="002F51C0">
        <w:rPr>
          <w:rFonts w:ascii="Times New Roman" w:hAnsi="Times New Roman" w:cs="Times New Roman"/>
          <w:b/>
          <w:sz w:val="24"/>
          <w:szCs w:val="24"/>
          <w:lang w:val="en-GB"/>
        </w:rPr>
        <w:t>Second, Europe must bring down high energy prices while continuing to decarbonise and shift to a circular economy</w:t>
      </w:r>
      <w:r>
        <w:rPr>
          <w:rFonts w:ascii="Times New Roman" w:hAnsi="Times New Roman" w:cs="Times New Roman"/>
          <w:b/>
          <w:sz w:val="24"/>
          <w:szCs w:val="24"/>
          <w:lang w:val="en-GB"/>
        </w:rPr>
        <w:t>…</w:t>
      </w:r>
    </w:p>
    <w:p w:rsidR="002F51C0" w:rsidRDefault="002F51C0" w:rsidP="003F7ADF">
      <w:pPr>
        <w:spacing w:line="240" w:lineRule="auto"/>
        <w:jc w:val="both"/>
        <w:rPr>
          <w:rFonts w:ascii="Times New Roman" w:hAnsi="Times New Roman" w:cs="Times New Roman"/>
          <w:b/>
          <w:sz w:val="24"/>
          <w:szCs w:val="24"/>
          <w:lang w:val="en-GB"/>
        </w:rPr>
      </w:pPr>
      <w:r w:rsidRPr="002F51C0">
        <w:rPr>
          <w:rFonts w:ascii="Times New Roman" w:hAnsi="Times New Roman" w:cs="Times New Roman"/>
          <w:b/>
          <w:noProof/>
          <w:sz w:val="24"/>
          <w:szCs w:val="24"/>
          <w:lang w:eastAsia="es-ES"/>
        </w:rPr>
        <w:drawing>
          <wp:inline distT="0" distB="0" distL="0" distR="0" wp14:anchorId="5F0FDB7A" wp14:editId="52A71705">
            <wp:extent cx="5731510" cy="2944135"/>
            <wp:effectExtent l="0" t="0" r="2540" b="889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2944135"/>
                    </a:xfrm>
                    <a:prstGeom prst="rect">
                      <a:avLst/>
                    </a:prstGeom>
                  </pic:spPr>
                </pic:pic>
              </a:graphicData>
            </a:graphic>
          </wp:inline>
        </w:drawing>
      </w:r>
    </w:p>
    <w:p w:rsidR="002F51C0" w:rsidRDefault="002F51C0" w:rsidP="002F51C0">
      <w:pPr>
        <w:spacing w:line="240" w:lineRule="auto"/>
        <w:jc w:val="both"/>
        <w:rPr>
          <w:rFonts w:ascii="Times New Roman" w:hAnsi="Times New Roman" w:cs="Times New Roman"/>
          <w:b/>
          <w:sz w:val="24"/>
          <w:szCs w:val="24"/>
          <w:lang w:val="en-GB"/>
        </w:rPr>
      </w:pPr>
      <w:r w:rsidRPr="002F51C0">
        <w:rPr>
          <w:rFonts w:ascii="Times New Roman" w:hAnsi="Times New Roman" w:cs="Times New Roman"/>
          <w:b/>
          <w:sz w:val="24"/>
          <w:szCs w:val="24"/>
          <w:lang w:val="en-GB"/>
        </w:rPr>
        <w:t xml:space="preserve">Third, Europe must react to a world of less stable geopolitics, where dependencies are becoming </w:t>
      </w:r>
      <w:r w:rsidR="00A021C8" w:rsidRPr="002F51C0">
        <w:rPr>
          <w:rFonts w:ascii="Times New Roman" w:hAnsi="Times New Roman" w:cs="Times New Roman"/>
          <w:b/>
          <w:sz w:val="24"/>
          <w:szCs w:val="24"/>
          <w:lang w:val="en-GB"/>
        </w:rPr>
        <w:t>vulned</w:t>
      </w:r>
      <w:r>
        <w:rPr>
          <w:rFonts w:ascii="Times New Roman" w:hAnsi="Times New Roman" w:cs="Times New Roman"/>
          <w:b/>
          <w:sz w:val="24"/>
          <w:szCs w:val="24"/>
          <w:lang w:val="en-GB"/>
        </w:rPr>
        <w:t xml:space="preserve"> </w:t>
      </w:r>
      <w:r w:rsidRPr="002F51C0">
        <w:rPr>
          <w:rFonts w:ascii="Times New Roman" w:hAnsi="Times New Roman" w:cs="Times New Roman"/>
          <w:b/>
          <w:sz w:val="24"/>
          <w:szCs w:val="24"/>
          <w:lang w:val="en-GB"/>
        </w:rPr>
        <w:t>abilities and it can no longer rely on others for its security</w:t>
      </w:r>
      <w:r>
        <w:rPr>
          <w:rFonts w:ascii="Times New Roman" w:hAnsi="Times New Roman" w:cs="Times New Roman"/>
          <w:b/>
          <w:sz w:val="24"/>
          <w:szCs w:val="24"/>
          <w:lang w:val="en-GB"/>
        </w:rPr>
        <w:t>…</w:t>
      </w:r>
    </w:p>
    <w:p w:rsidR="002F51C0" w:rsidRDefault="002F51C0" w:rsidP="002F51C0">
      <w:pPr>
        <w:spacing w:line="240" w:lineRule="auto"/>
        <w:jc w:val="both"/>
        <w:rPr>
          <w:rFonts w:ascii="Times New Roman" w:hAnsi="Times New Roman" w:cs="Times New Roman"/>
          <w:b/>
          <w:sz w:val="24"/>
          <w:szCs w:val="24"/>
          <w:lang w:val="en-GB"/>
        </w:rPr>
      </w:pPr>
      <w:r w:rsidRPr="002F51C0">
        <w:rPr>
          <w:rFonts w:ascii="Times New Roman" w:hAnsi="Times New Roman" w:cs="Times New Roman"/>
          <w:b/>
          <w:noProof/>
          <w:sz w:val="24"/>
          <w:szCs w:val="24"/>
          <w:lang w:eastAsia="es-ES"/>
        </w:rPr>
        <w:lastRenderedPageBreak/>
        <w:drawing>
          <wp:inline distT="0" distB="0" distL="0" distR="0" wp14:anchorId="27AFFCB2" wp14:editId="113F0C85">
            <wp:extent cx="5731510" cy="2828402"/>
            <wp:effectExtent l="0" t="0" r="254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2828402"/>
                    </a:xfrm>
                    <a:prstGeom prst="rect">
                      <a:avLst/>
                    </a:prstGeom>
                  </pic:spPr>
                </pic:pic>
              </a:graphicData>
            </a:graphic>
          </wp:inline>
        </w:drawing>
      </w:r>
    </w:p>
    <w:p w:rsidR="00CF5989" w:rsidRDefault="00CF5989" w:rsidP="002F51C0">
      <w:pPr>
        <w:spacing w:line="240" w:lineRule="auto"/>
        <w:jc w:val="both"/>
        <w:rPr>
          <w:rFonts w:ascii="Times New Roman" w:hAnsi="Times New Roman" w:cs="Times New Roman"/>
          <w:b/>
          <w:sz w:val="24"/>
          <w:szCs w:val="24"/>
          <w:lang w:val="en-GB"/>
        </w:rPr>
      </w:pPr>
      <w:r w:rsidRPr="00CF5989">
        <w:rPr>
          <w:rFonts w:ascii="Times New Roman" w:hAnsi="Times New Roman" w:cs="Times New Roman"/>
          <w:b/>
          <w:sz w:val="24"/>
          <w:szCs w:val="24"/>
          <w:lang w:val="en-GB"/>
        </w:rPr>
        <w:t>EU countries are already responding to this new environment with more assertive policies, but they are doing so in a fragmented way that undermines collective effectiveness</w:t>
      </w:r>
      <w:r>
        <w:rPr>
          <w:rFonts w:ascii="Times New Roman" w:hAnsi="Times New Roman" w:cs="Times New Roman"/>
          <w:b/>
          <w:sz w:val="24"/>
          <w:szCs w:val="24"/>
          <w:lang w:val="en-GB"/>
        </w:rPr>
        <w:t>…</w:t>
      </w:r>
    </w:p>
    <w:p w:rsidR="00CF5989" w:rsidRDefault="00CF5989" w:rsidP="002F51C0">
      <w:pPr>
        <w:spacing w:line="240" w:lineRule="auto"/>
        <w:jc w:val="both"/>
        <w:rPr>
          <w:rFonts w:ascii="Times New Roman" w:hAnsi="Times New Roman" w:cs="Times New Roman"/>
          <w:b/>
          <w:sz w:val="24"/>
          <w:szCs w:val="24"/>
          <w:lang w:val="en-GB"/>
        </w:rPr>
      </w:pPr>
      <w:r w:rsidRPr="00CF5989">
        <w:rPr>
          <w:rFonts w:ascii="Times New Roman" w:hAnsi="Times New Roman" w:cs="Times New Roman"/>
          <w:b/>
          <w:noProof/>
          <w:sz w:val="24"/>
          <w:szCs w:val="24"/>
          <w:lang w:eastAsia="es-ES"/>
        </w:rPr>
        <w:drawing>
          <wp:inline distT="0" distB="0" distL="0" distR="0" wp14:anchorId="1904AD9F" wp14:editId="0F1D3216">
            <wp:extent cx="5731510" cy="3161516"/>
            <wp:effectExtent l="0" t="0" r="2540" b="127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3161516"/>
                    </a:xfrm>
                    <a:prstGeom prst="rect">
                      <a:avLst/>
                    </a:prstGeom>
                  </pic:spPr>
                </pic:pic>
              </a:graphicData>
            </a:graphic>
          </wp:inline>
        </w:drawing>
      </w:r>
    </w:p>
    <w:p w:rsidR="00CF5989" w:rsidRPr="00CF5989" w:rsidRDefault="00CF5989" w:rsidP="002F51C0">
      <w:pPr>
        <w:spacing w:line="240" w:lineRule="auto"/>
        <w:jc w:val="both"/>
        <w:rPr>
          <w:rFonts w:ascii="Times New Roman" w:hAnsi="Times New Roman" w:cs="Times New Roman"/>
          <w:b/>
          <w:sz w:val="24"/>
          <w:szCs w:val="24"/>
          <w:lang w:val="en-GB"/>
        </w:rPr>
      </w:pPr>
      <w:r w:rsidRPr="00CF5989">
        <w:rPr>
          <w:rFonts w:ascii="Times New Roman" w:hAnsi="Times New Roman" w:cs="Times New Roman"/>
          <w:b/>
          <w:sz w:val="24"/>
          <w:szCs w:val="24"/>
          <w:lang w:val="en-GB"/>
        </w:rPr>
        <w:t xml:space="preserve">Towards a European response </w:t>
      </w:r>
    </w:p>
    <w:p w:rsidR="00CF5989" w:rsidRPr="00CF5989" w:rsidRDefault="00CF5989" w:rsidP="002F51C0">
      <w:pPr>
        <w:spacing w:line="240" w:lineRule="auto"/>
        <w:jc w:val="both"/>
        <w:rPr>
          <w:rFonts w:ascii="Times New Roman" w:hAnsi="Times New Roman" w:cs="Times New Roman"/>
          <w:b/>
          <w:sz w:val="24"/>
          <w:szCs w:val="24"/>
          <w:lang w:val="en-GB"/>
        </w:rPr>
      </w:pPr>
      <w:r w:rsidRPr="00CF5989">
        <w:rPr>
          <w:rFonts w:ascii="Times New Roman" w:hAnsi="Times New Roman" w:cs="Times New Roman"/>
          <w:b/>
          <w:sz w:val="24"/>
          <w:szCs w:val="24"/>
          <w:lang w:val="en-GB"/>
        </w:rPr>
        <w:t>GOALS</w:t>
      </w:r>
    </w:p>
    <w:p w:rsidR="00CF5989" w:rsidRDefault="00CF5989" w:rsidP="002F51C0">
      <w:pPr>
        <w:spacing w:line="240" w:lineRule="auto"/>
        <w:jc w:val="both"/>
        <w:rPr>
          <w:rFonts w:ascii="Times New Roman" w:hAnsi="Times New Roman" w:cs="Times New Roman"/>
          <w:sz w:val="24"/>
          <w:szCs w:val="24"/>
          <w:lang w:val="en-GB"/>
        </w:rPr>
      </w:pPr>
      <w:r w:rsidRPr="00CF5989">
        <w:rPr>
          <w:rFonts w:ascii="Times New Roman" w:hAnsi="Times New Roman" w:cs="Times New Roman"/>
          <w:b/>
          <w:sz w:val="24"/>
          <w:szCs w:val="24"/>
          <w:lang w:val="en-GB"/>
        </w:rPr>
        <w:t>To manage these transformations, the report proposes a new industrial strategy for Europe</w:t>
      </w:r>
      <w:r>
        <w:rPr>
          <w:rFonts w:ascii="Times New Roman" w:hAnsi="Times New Roman" w:cs="Times New Roman"/>
          <w:b/>
          <w:sz w:val="24"/>
          <w:szCs w:val="24"/>
          <w:lang w:val="en-GB"/>
        </w:rPr>
        <w:t xml:space="preserve">. </w:t>
      </w:r>
      <w:r w:rsidRPr="00CF5989">
        <w:rPr>
          <w:rFonts w:ascii="Times New Roman" w:hAnsi="Times New Roman" w:cs="Times New Roman"/>
          <w:sz w:val="24"/>
          <w:szCs w:val="24"/>
          <w:lang w:val="en-GB"/>
        </w:rPr>
        <w:t xml:space="preserve">The three main areas for action outlined in the report correspond to the three main transformations with which Europe must contend. First, Europe needs to redress its slowing productivity growth by closing the innovation gap. This objective will entail accelerating significantly technological and scientific innovation, improving the pipeline from innovation to commercialisation, removing barriers that prevent innovative companies from growing and attracting finance, and undertaking concerted efforts to close skills gaps. Second, to lower </w:t>
      </w:r>
      <w:r w:rsidRPr="00CF5989">
        <w:rPr>
          <w:rFonts w:ascii="Times New Roman" w:hAnsi="Times New Roman" w:cs="Times New Roman"/>
          <w:sz w:val="24"/>
          <w:szCs w:val="24"/>
          <w:lang w:val="en-GB"/>
        </w:rPr>
        <w:lastRenderedPageBreak/>
        <w:t>energy prices and capture the industrial opportunities of decarbonisation, Europe needs a joint plan for decarbonisation and competitiveness. This plan will have to ensure that Europe’s ambitious demand for decarbonisation can be match</w:t>
      </w:r>
      <w:r w:rsidR="00A021C8">
        <w:rPr>
          <w:rFonts w:ascii="Times New Roman" w:hAnsi="Times New Roman" w:cs="Times New Roman"/>
          <w:sz w:val="24"/>
          <w:szCs w:val="24"/>
          <w:lang w:val="en-GB"/>
        </w:rPr>
        <w:t>ed by leadership on the technol</w:t>
      </w:r>
      <w:r w:rsidRPr="00CF5989">
        <w:rPr>
          <w:rFonts w:ascii="Times New Roman" w:hAnsi="Times New Roman" w:cs="Times New Roman"/>
          <w:sz w:val="24"/>
          <w:szCs w:val="24"/>
          <w:lang w:val="en-GB"/>
        </w:rPr>
        <w:t>ogies that will supply it. It will have to span industries that produce energy, those that enable decarbonisation, such as clean tech and automotives, and industries that use energy intensively and are “hard-to-abate”. Third, Europe needs to increase security and reduce dependencies. Given its high trade openness and dependence on imports ranging from raw materials to advanced technology, the EU will need to develop a genuine “foreign economic policy” that coordinates preferential trade agreements and direct investment with resource-rich nations, the building up of stockpiles in selected critical areas, and the creation of industrial partnerships to secure the supply chain of key technologies. Europe will also need to develop a strong and independent defence industrial capacity that allows it to meet increasing demand for military assets and equipment and remain at the forefront of defence technology</w:t>
      </w:r>
      <w:r>
        <w:rPr>
          <w:rFonts w:ascii="Times New Roman" w:hAnsi="Times New Roman" w:cs="Times New Roman"/>
          <w:sz w:val="24"/>
          <w:szCs w:val="24"/>
          <w:lang w:val="en-GB"/>
        </w:rPr>
        <w:t>.</w:t>
      </w:r>
    </w:p>
    <w:p w:rsidR="00CF5989" w:rsidRPr="00CF5989" w:rsidRDefault="00CF5989" w:rsidP="002F51C0">
      <w:pPr>
        <w:spacing w:line="240" w:lineRule="auto"/>
        <w:jc w:val="both"/>
        <w:rPr>
          <w:rFonts w:ascii="Times New Roman" w:hAnsi="Times New Roman" w:cs="Times New Roman"/>
          <w:b/>
          <w:sz w:val="24"/>
          <w:szCs w:val="24"/>
          <w:lang w:val="en-GB"/>
        </w:rPr>
      </w:pPr>
      <w:r w:rsidRPr="00CF5989">
        <w:rPr>
          <w:rFonts w:ascii="Times New Roman" w:hAnsi="Times New Roman" w:cs="Times New Roman"/>
          <w:b/>
          <w:sz w:val="24"/>
          <w:szCs w:val="24"/>
          <w:lang w:val="en-GB"/>
        </w:rPr>
        <w:t xml:space="preserve">BUILDING BLOCKS </w:t>
      </w:r>
    </w:p>
    <w:p w:rsidR="00CF5989" w:rsidRPr="00CF5989" w:rsidRDefault="00CF5989" w:rsidP="002F51C0">
      <w:pPr>
        <w:spacing w:line="240" w:lineRule="auto"/>
        <w:jc w:val="both"/>
        <w:rPr>
          <w:rFonts w:ascii="Times New Roman" w:hAnsi="Times New Roman" w:cs="Times New Roman"/>
          <w:b/>
          <w:sz w:val="24"/>
          <w:szCs w:val="24"/>
          <w:lang w:val="en-GB"/>
        </w:rPr>
      </w:pPr>
      <w:r w:rsidRPr="00CF5989">
        <w:rPr>
          <w:rFonts w:ascii="Times New Roman" w:hAnsi="Times New Roman" w:cs="Times New Roman"/>
          <w:b/>
          <w:sz w:val="24"/>
          <w:szCs w:val="24"/>
          <w:lang w:val="en-GB"/>
        </w:rPr>
        <w:t>The EU’s new industrial strategy rests on a series of building blocks, the first of which is full implementation of the Single Market…</w:t>
      </w:r>
    </w:p>
    <w:p w:rsidR="00CF5989" w:rsidRPr="00CF5989" w:rsidRDefault="00CF5989" w:rsidP="002F51C0">
      <w:pPr>
        <w:spacing w:line="240" w:lineRule="auto"/>
        <w:jc w:val="both"/>
        <w:rPr>
          <w:rFonts w:ascii="Times New Roman" w:hAnsi="Times New Roman" w:cs="Times New Roman"/>
          <w:b/>
          <w:sz w:val="24"/>
          <w:szCs w:val="24"/>
          <w:lang w:val="en-GB"/>
        </w:rPr>
      </w:pPr>
      <w:r w:rsidRPr="00CF5989">
        <w:rPr>
          <w:rFonts w:ascii="Times New Roman" w:hAnsi="Times New Roman" w:cs="Times New Roman"/>
          <w:b/>
          <w:sz w:val="24"/>
          <w:szCs w:val="24"/>
          <w:lang w:val="en-GB"/>
        </w:rPr>
        <w:t>The next building blocks are industrial, competition and trade policies, which interact closely and must be aligned as part of an overall strategy…</w:t>
      </w:r>
    </w:p>
    <w:p w:rsidR="00CF5989" w:rsidRDefault="00CF5989" w:rsidP="002F51C0">
      <w:pPr>
        <w:spacing w:line="240" w:lineRule="auto"/>
        <w:jc w:val="both"/>
        <w:rPr>
          <w:rFonts w:ascii="Times New Roman" w:hAnsi="Times New Roman" w:cs="Times New Roman"/>
          <w:sz w:val="24"/>
          <w:szCs w:val="24"/>
          <w:lang w:val="en-GB"/>
        </w:rPr>
      </w:pPr>
      <w:r w:rsidRPr="00CF5989">
        <w:rPr>
          <w:rFonts w:ascii="Times New Roman" w:hAnsi="Times New Roman" w:cs="Times New Roman"/>
          <w:b/>
          <w:sz w:val="24"/>
          <w:szCs w:val="24"/>
          <w:lang w:val="en-GB"/>
        </w:rPr>
        <w:t>The third block is financing the main areas for action, which entail massive investment needs unseen for half a century in Europe</w:t>
      </w:r>
      <w:r w:rsidRPr="00CF5989">
        <w:rPr>
          <w:rFonts w:ascii="Times New Roman" w:hAnsi="Times New Roman" w:cs="Times New Roman"/>
          <w:sz w:val="24"/>
          <w:szCs w:val="24"/>
          <w:lang w:val="en-GB"/>
        </w:rPr>
        <w:t>. To digitalise and decarbonise the economy and increase the EU’s defence capacity, the total investment-to-GDP rate will have to rise by around 5 percentage points of EU GDP per year to levels last seen in the 1960s and 70s. For comparison, the additional investments provided by the Marshall Plan in 1948-51 amounted annually to around 1-2% of GDP in receiving countries. This report contains simul</w:t>
      </w:r>
      <w:r>
        <w:rPr>
          <w:rFonts w:ascii="Times New Roman" w:hAnsi="Times New Roman" w:cs="Times New Roman"/>
          <w:sz w:val="24"/>
          <w:szCs w:val="24"/>
          <w:lang w:val="en-GB"/>
        </w:rPr>
        <w:t>ations from the European Commis</w:t>
      </w:r>
      <w:r w:rsidRPr="00CF5989">
        <w:rPr>
          <w:rFonts w:ascii="Times New Roman" w:hAnsi="Times New Roman" w:cs="Times New Roman"/>
          <w:sz w:val="24"/>
          <w:szCs w:val="24"/>
          <w:lang w:val="en-GB"/>
        </w:rPr>
        <w:t>sion and the IMF which assess whether such a massive increase in investment is macroeconomically sustainable, and if so, how Europe can unlock investments of this size. The results suggest that the investment push can be carried out without the economy running into supply constraints, and that mobilising private financing will be critical in this respect. However, the private sector is unlikely to be able to finance the l</w:t>
      </w:r>
      <w:r>
        <w:rPr>
          <w:rFonts w:ascii="Times New Roman" w:hAnsi="Times New Roman" w:cs="Times New Roman"/>
          <w:sz w:val="24"/>
          <w:szCs w:val="24"/>
          <w:lang w:val="en-GB"/>
        </w:rPr>
        <w:t>ion’s share of this investment</w:t>
      </w:r>
      <w:r w:rsidRPr="00CF5989">
        <w:rPr>
          <w:rFonts w:ascii="Times New Roman" w:hAnsi="Times New Roman" w:cs="Times New Roman"/>
          <w:sz w:val="24"/>
          <w:szCs w:val="24"/>
          <w:lang w:val="en-GB"/>
        </w:rPr>
        <w:t xml:space="preserve"> without public sector support. Increasing productivity will be key to ease constraints on fiscal space for governments and enable this support. For example, a 2% increase in the level of total factor productivity within ten years could already be sufficient to cover up to one third of the required fiscal spending. There are two key implications for the EU. First, integrating Europe’s capital markets to better channel high household savings towards productive investments in the EU will be essential. Second, the more willing the EU is to reform itself to generate an increase in productivity, the easier it will be for the public sector to support the investment drive. This connection underscores why raising productivity is fundamental. It also has implications for the issuance of common safe assets. To maximise productivity, some joint funding for investment in key European public goods, such as breakthrough innovation, will be necessary. At the same time, there are other public go</w:t>
      </w:r>
      <w:r>
        <w:rPr>
          <w:rFonts w:ascii="Times New Roman" w:hAnsi="Times New Roman" w:cs="Times New Roman"/>
          <w:sz w:val="24"/>
          <w:szCs w:val="24"/>
          <w:lang w:val="en-GB"/>
        </w:rPr>
        <w:t>ods identified in this report -</w:t>
      </w:r>
      <w:r w:rsidRPr="00CF5989">
        <w:rPr>
          <w:rFonts w:ascii="Times New Roman" w:hAnsi="Times New Roman" w:cs="Times New Roman"/>
          <w:sz w:val="24"/>
          <w:szCs w:val="24"/>
          <w:lang w:val="en-GB"/>
        </w:rPr>
        <w:t xml:space="preserve">such as defence </w:t>
      </w:r>
      <w:r>
        <w:rPr>
          <w:rFonts w:ascii="Times New Roman" w:hAnsi="Times New Roman" w:cs="Times New Roman"/>
          <w:sz w:val="24"/>
          <w:szCs w:val="24"/>
          <w:lang w:val="en-GB"/>
        </w:rPr>
        <w:t>spending or cross-border grids-</w:t>
      </w:r>
      <w:r w:rsidRPr="00CF5989">
        <w:rPr>
          <w:rFonts w:ascii="Times New Roman" w:hAnsi="Times New Roman" w:cs="Times New Roman"/>
          <w:sz w:val="24"/>
          <w:szCs w:val="24"/>
          <w:lang w:val="en-GB"/>
        </w:rPr>
        <w:t xml:space="preserve"> that will be undersupplied without common action. If the political and institutional conditions are met, these projects would also call for common funding.</w:t>
      </w:r>
    </w:p>
    <w:p w:rsidR="00CF5989" w:rsidRDefault="00CF5989" w:rsidP="002F51C0">
      <w:pPr>
        <w:spacing w:line="240" w:lineRule="auto"/>
        <w:jc w:val="both"/>
        <w:rPr>
          <w:rFonts w:ascii="Times New Roman" w:hAnsi="Times New Roman" w:cs="Times New Roman"/>
          <w:sz w:val="24"/>
          <w:szCs w:val="24"/>
          <w:lang w:val="en-GB"/>
        </w:rPr>
      </w:pPr>
      <w:r w:rsidRPr="00CF5989">
        <w:rPr>
          <w:rFonts w:ascii="Times New Roman" w:hAnsi="Times New Roman" w:cs="Times New Roman"/>
          <w:b/>
          <w:sz w:val="24"/>
          <w:szCs w:val="24"/>
          <w:lang w:val="en-GB"/>
        </w:rPr>
        <w:t>The final building block is the will to reform the EU’s governance, increasing the depth of coordination and reducing the regulatory burden</w:t>
      </w:r>
      <w:r w:rsidRPr="00CF5989">
        <w:rPr>
          <w:rFonts w:ascii="Times New Roman" w:hAnsi="Times New Roman" w:cs="Times New Roman"/>
          <w:sz w:val="24"/>
          <w:szCs w:val="24"/>
          <w:lang w:val="en-GB"/>
        </w:rPr>
        <w:t xml:space="preserve">. The “Community Method” has been </w:t>
      </w:r>
      <w:r w:rsidRPr="00CF5989">
        <w:rPr>
          <w:rFonts w:ascii="Times New Roman" w:hAnsi="Times New Roman" w:cs="Times New Roman"/>
          <w:sz w:val="24"/>
          <w:szCs w:val="24"/>
          <w:lang w:val="en-GB"/>
        </w:rPr>
        <w:lastRenderedPageBreak/>
        <w:t>a source of the EU’s success, but it was established in a different era, when the Union was smaller and faced a different set of challenges. For much of the EU’s history, the most important focus has been generating internal integration and cohesion, which Member States could afford to address at their own pace. However, the EU is now much larger, creating more veto players, and the challenges it faces are now often imposed on it from outside. To move forward, Europe must act as a Union in a way it never has before, based around a renewed European partnership among Member States. It will require refocusing the work of the EU on the most pressing issues, ensuring efficient policy coordination behind common goals, and using existing governance procedures in a new way that allow Member States who want to move faster to do so. In many areas, the EU can achieve a great deal by taking a large number of smaller steps, but doing so in a coherent way that aligns all policies behind the common goal. There are other areas, however, where a small number of larger steps are needed – delegating to the EU level tasks that can only be performed there. The case for delegation applies most of all to the type of European public goods described above. Such goods may not have direct spillovers on all countries which are called to contribute, but they have large indirect spillovers for the whole EU. There are still other areas where the EU should do less, applying the subsidiarity principle more rigor</w:t>
      </w:r>
      <w:r w:rsidR="00A021C8">
        <w:rPr>
          <w:rFonts w:ascii="Times New Roman" w:hAnsi="Times New Roman" w:cs="Times New Roman"/>
          <w:sz w:val="24"/>
          <w:szCs w:val="24"/>
          <w:lang w:val="en-GB"/>
        </w:rPr>
        <w:t>ously and showing more “self-re</w:t>
      </w:r>
      <w:r w:rsidRPr="00CF5989">
        <w:rPr>
          <w:rFonts w:ascii="Times New Roman" w:hAnsi="Times New Roman" w:cs="Times New Roman"/>
          <w:sz w:val="24"/>
          <w:szCs w:val="24"/>
          <w:lang w:val="en-GB"/>
        </w:rPr>
        <w:t>straint”. It will also be crucial to reduce the regulatory burden on companies. Regulation is seen by more than 60% of EU companies as an obstacle to investment, with 55% of SMEs flagging regulatory obstacles and the administrative burd</w:t>
      </w:r>
      <w:r w:rsidR="00925B37">
        <w:rPr>
          <w:rFonts w:ascii="Times New Roman" w:hAnsi="Times New Roman" w:cs="Times New Roman"/>
          <w:sz w:val="24"/>
          <w:szCs w:val="24"/>
          <w:lang w:val="en-GB"/>
        </w:rPr>
        <w:t>en as their greatest challenge</w:t>
      </w:r>
      <w:r w:rsidRPr="00CF5989">
        <w:rPr>
          <w:rFonts w:ascii="Times New Roman" w:hAnsi="Times New Roman" w:cs="Times New Roman"/>
          <w:sz w:val="24"/>
          <w:szCs w:val="24"/>
          <w:lang w:val="en-GB"/>
        </w:rPr>
        <w:t>. Kick-starting this partnership does not necessarily mean focusing all minds and energies on the long and burdensome process of a Treaty change from day one. To begin with, a small number of overarching, targeted instit</w:t>
      </w:r>
      <w:r w:rsidR="004E3B41">
        <w:rPr>
          <w:rFonts w:ascii="Times New Roman" w:hAnsi="Times New Roman" w:cs="Times New Roman"/>
          <w:sz w:val="24"/>
          <w:szCs w:val="24"/>
          <w:lang w:val="en-GB"/>
        </w:rPr>
        <w:t>utional changes should be made -</w:t>
      </w:r>
      <w:r w:rsidRPr="00CF5989">
        <w:rPr>
          <w:rFonts w:ascii="Times New Roman" w:hAnsi="Times New Roman" w:cs="Times New Roman"/>
          <w:sz w:val="24"/>
          <w:szCs w:val="24"/>
          <w:lang w:val="en-GB"/>
        </w:rPr>
        <w:t xml:space="preserve"> without the need for Treaty change.</w:t>
      </w:r>
    </w:p>
    <w:p w:rsidR="00CF5989" w:rsidRPr="006F2D46" w:rsidRDefault="00CF5989" w:rsidP="002F51C0">
      <w:pPr>
        <w:spacing w:line="240" w:lineRule="auto"/>
        <w:jc w:val="both"/>
        <w:rPr>
          <w:rFonts w:ascii="Times New Roman" w:hAnsi="Times New Roman" w:cs="Times New Roman"/>
          <w:b/>
          <w:sz w:val="24"/>
          <w:szCs w:val="24"/>
          <w:lang w:val="en-GB"/>
        </w:rPr>
      </w:pPr>
      <w:r w:rsidRPr="006F2D46">
        <w:rPr>
          <w:rFonts w:ascii="Times New Roman" w:hAnsi="Times New Roman" w:cs="Times New Roman"/>
          <w:b/>
          <w:sz w:val="24"/>
          <w:szCs w:val="24"/>
          <w:lang w:val="en-GB"/>
        </w:rPr>
        <w:t xml:space="preserve">Preserving social inclusion </w:t>
      </w:r>
    </w:p>
    <w:p w:rsidR="00CF5989" w:rsidRPr="006F2D46" w:rsidRDefault="00CF5989" w:rsidP="002F51C0">
      <w:pPr>
        <w:spacing w:line="240" w:lineRule="auto"/>
        <w:jc w:val="both"/>
        <w:rPr>
          <w:rFonts w:ascii="Times New Roman" w:hAnsi="Times New Roman" w:cs="Times New Roman"/>
          <w:b/>
          <w:sz w:val="24"/>
          <w:szCs w:val="24"/>
          <w:lang w:val="en-GB"/>
        </w:rPr>
      </w:pPr>
      <w:r w:rsidRPr="006F2D46">
        <w:rPr>
          <w:rFonts w:ascii="Times New Roman" w:hAnsi="Times New Roman" w:cs="Times New Roman"/>
          <w:b/>
          <w:sz w:val="24"/>
          <w:szCs w:val="24"/>
          <w:lang w:val="en-GB"/>
        </w:rPr>
        <w:t>While the EU should aim to move closer to the US example in terms of productivity growth and innovation, it should do so without the drawbacks of the US social model…</w:t>
      </w:r>
    </w:p>
    <w:p w:rsidR="00CF5989" w:rsidRPr="006F2D46" w:rsidRDefault="006F2D46" w:rsidP="002F51C0">
      <w:pPr>
        <w:spacing w:line="240" w:lineRule="auto"/>
        <w:jc w:val="both"/>
        <w:rPr>
          <w:rFonts w:ascii="Times New Roman" w:hAnsi="Times New Roman" w:cs="Times New Roman"/>
          <w:b/>
          <w:sz w:val="24"/>
          <w:szCs w:val="24"/>
          <w:lang w:val="en-GB"/>
        </w:rPr>
      </w:pPr>
      <w:r w:rsidRPr="006F2D46">
        <w:rPr>
          <w:rFonts w:ascii="Times New Roman" w:hAnsi="Times New Roman" w:cs="Times New Roman"/>
          <w:b/>
          <w:sz w:val="24"/>
          <w:szCs w:val="24"/>
          <w:lang w:val="en-GB"/>
        </w:rPr>
        <w:t>The EU will also have to ensure that its cohesion policy remains consistent with a push towards increasing innovation and completing the Single Market</w:t>
      </w:r>
      <w:r>
        <w:rPr>
          <w:rFonts w:ascii="Times New Roman" w:hAnsi="Times New Roman" w:cs="Times New Roman"/>
          <w:b/>
          <w:sz w:val="24"/>
          <w:szCs w:val="24"/>
          <w:lang w:val="en-GB"/>
        </w:rPr>
        <w:t>…</w:t>
      </w:r>
    </w:p>
    <w:p w:rsidR="006F2D46" w:rsidRDefault="006F2D46" w:rsidP="002F51C0">
      <w:pPr>
        <w:spacing w:line="240" w:lineRule="auto"/>
        <w:jc w:val="both"/>
        <w:rPr>
          <w:rFonts w:ascii="Times New Roman" w:hAnsi="Times New Roman" w:cs="Times New Roman"/>
          <w:sz w:val="24"/>
          <w:szCs w:val="24"/>
          <w:lang w:val="en-GB"/>
        </w:rPr>
      </w:pPr>
      <w:r w:rsidRPr="006F2D46">
        <w:rPr>
          <w:rFonts w:ascii="Times New Roman" w:hAnsi="Times New Roman" w:cs="Times New Roman"/>
          <w:b/>
          <w:sz w:val="24"/>
          <w:szCs w:val="24"/>
          <w:lang w:val="en-GB"/>
        </w:rPr>
        <w:t>Europe should learn from the mistakes that were made in the phase of “hyper-globalisation” and prepare for a fast-changing future</w:t>
      </w:r>
      <w:r w:rsidRPr="006F2D46">
        <w:rPr>
          <w:rFonts w:ascii="Times New Roman" w:hAnsi="Times New Roman" w:cs="Times New Roman"/>
          <w:sz w:val="24"/>
          <w:szCs w:val="24"/>
          <w:lang w:val="en-GB"/>
        </w:rPr>
        <w:t xml:space="preserve">. Globalisation brought many benefits for the European economy as well as lifting hundreds of millions out of poverty around the world. But policymakers were arguably too insensitive to its perceived social consequences, especially its apparent effect on labour income. In G7 economies, total exports and imports of goods as a share of GDP increased by around 9 percentage points from the early 1980s to the great financial crisis, while the labour share of income dropped around 6 </w:t>
      </w:r>
      <w:r w:rsidR="004E3B41">
        <w:rPr>
          <w:rFonts w:ascii="Times New Roman" w:hAnsi="Times New Roman" w:cs="Times New Roman"/>
          <w:sz w:val="24"/>
          <w:szCs w:val="24"/>
          <w:lang w:val="en-GB"/>
        </w:rPr>
        <w:t>percentage points in that time -</w:t>
      </w:r>
      <w:r w:rsidRPr="006F2D46">
        <w:rPr>
          <w:rFonts w:ascii="Times New Roman" w:hAnsi="Times New Roman" w:cs="Times New Roman"/>
          <w:sz w:val="24"/>
          <w:szCs w:val="24"/>
          <w:lang w:val="en-GB"/>
        </w:rPr>
        <w:t xml:space="preserve"> the steepest drop since data for these economies became available in 1950. While this relationship may have owed more to automation than it did to open </w:t>
      </w:r>
      <w:r w:rsidR="004E3B41">
        <w:rPr>
          <w:rFonts w:ascii="Times New Roman" w:hAnsi="Times New Roman" w:cs="Times New Roman"/>
          <w:sz w:val="24"/>
          <w:szCs w:val="24"/>
          <w:lang w:val="en-GB"/>
        </w:rPr>
        <w:t>trade</w:t>
      </w:r>
      <w:r w:rsidRPr="006F2D46">
        <w:rPr>
          <w:rFonts w:ascii="Times New Roman" w:hAnsi="Times New Roman" w:cs="Times New Roman"/>
          <w:sz w:val="24"/>
          <w:szCs w:val="24"/>
          <w:lang w:val="en-GB"/>
        </w:rPr>
        <w:t xml:space="preserve">, the notion that globalisation had exacerbated inequality infiltrated public perceptions, while governments were seen as indifferent. Policymakers should learn from this experience to reflect on how society will change in the future, and how they can ensure that the state is seen as on the side of citizens and attentive to their concerns. A key part of this process will be empowering people. Leaders and policymakers should engage with all actors within their respective societies to define objectives and actions for the transformation of Europe’s economy. More effective and proactive citizens’ involvement and social dialogue, combining trade unions, employers and civil society actors, will be central in building the </w:t>
      </w:r>
      <w:r w:rsidRPr="006F2D46">
        <w:rPr>
          <w:rFonts w:ascii="Times New Roman" w:hAnsi="Times New Roman" w:cs="Times New Roman"/>
          <w:sz w:val="24"/>
          <w:szCs w:val="24"/>
          <w:lang w:val="en-GB"/>
        </w:rPr>
        <w:lastRenderedPageBreak/>
        <w:t>consensus needed to drive the changes. Transformation can best lead to prosperity for all when accompanied by a strong social contract</w:t>
      </w:r>
      <w:r>
        <w:rPr>
          <w:rFonts w:ascii="Times New Roman" w:hAnsi="Times New Roman" w:cs="Times New Roman"/>
          <w:sz w:val="24"/>
          <w:szCs w:val="24"/>
          <w:lang w:val="en-GB"/>
        </w:rPr>
        <w:t>.</w:t>
      </w:r>
    </w:p>
    <w:p w:rsidR="006F2D46" w:rsidRDefault="006F2D46" w:rsidP="002F51C0">
      <w:pPr>
        <w:spacing w:line="240" w:lineRule="auto"/>
        <w:jc w:val="both"/>
        <w:rPr>
          <w:rFonts w:ascii="Times New Roman" w:hAnsi="Times New Roman" w:cs="Times New Roman"/>
          <w:sz w:val="24"/>
          <w:szCs w:val="24"/>
          <w:lang w:val="en-GB"/>
        </w:rPr>
      </w:pPr>
      <w:r w:rsidRPr="006F2D46">
        <w:rPr>
          <w:rFonts w:ascii="Times New Roman" w:hAnsi="Times New Roman" w:cs="Times New Roman"/>
          <w:noProof/>
          <w:sz w:val="24"/>
          <w:szCs w:val="24"/>
          <w:lang w:eastAsia="es-ES"/>
        </w:rPr>
        <w:drawing>
          <wp:inline distT="0" distB="0" distL="0" distR="0" wp14:anchorId="323D49B5" wp14:editId="0B0D93A9">
            <wp:extent cx="5729424" cy="3530600"/>
            <wp:effectExtent l="0" t="0" r="508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3531886"/>
                    </a:xfrm>
                    <a:prstGeom prst="rect">
                      <a:avLst/>
                    </a:prstGeom>
                  </pic:spPr>
                </pic:pic>
              </a:graphicData>
            </a:graphic>
          </wp:inline>
        </w:drawing>
      </w:r>
      <w:r w:rsidRPr="006F2D46">
        <w:rPr>
          <w:rFonts w:ascii="Times New Roman" w:hAnsi="Times New Roman" w:cs="Times New Roman"/>
          <w:noProof/>
          <w:sz w:val="24"/>
          <w:szCs w:val="24"/>
          <w:lang w:eastAsia="es-ES"/>
        </w:rPr>
        <w:drawing>
          <wp:inline distT="0" distB="0" distL="0" distR="0" wp14:anchorId="5DE3C660" wp14:editId="5E4B3504">
            <wp:extent cx="5727700" cy="3327400"/>
            <wp:effectExtent l="0" t="0" r="6350"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3329613"/>
                    </a:xfrm>
                    <a:prstGeom prst="rect">
                      <a:avLst/>
                    </a:prstGeom>
                  </pic:spPr>
                </pic:pic>
              </a:graphicData>
            </a:graphic>
          </wp:inline>
        </w:drawing>
      </w:r>
      <w:r w:rsidRPr="006F2D46">
        <w:rPr>
          <w:rFonts w:ascii="Times New Roman" w:hAnsi="Times New Roman" w:cs="Times New Roman"/>
          <w:noProof/>
          <w:sz w:val="24"/>
          <w:szCs w:val="24"/>
          <w:lang w:eastAsia="es-ES"/>
        </w:rPr>
        <w:drawing>
          <wp:inline distT="0" distB="0" distL="0" distR="0" wp14:anchorId="4174B8A9" wp14:editId="7A106C9F">
            <wp:extent cx="5727700" cy="1270000"/>
            <wp:effectExtent l="0" t="0" r="6350" b="635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1270845"/>
                    </a:xfrm>
                    <a:prstGeom prst="rect">
                      <a:avLst/>
                    </a:prstGeom>
                  </pic:spPr>
                </pic:pic>
              </a:graphicData>
            </a:graphic>
          </wp:inline>
        </w:drawing>
      </w:r>
    </w:p>
    <w:p w:rsidR="006F2D46" w:rsidRPr="00F0687B" w:rsidRDefault="006F2D46" w:rsidP="002F51C0">
      <w:pPr>
        <w:spacing w:line="240" w:lineRule="auto"/>
        <w:jc w:val="both"/>
        <w:rPr>
          <w:rFonts w:ascii="Times New Roman" w:hAnsi="Times New Roman" w:cs="Times New Roman"/>
          <w:b/>
          <w:sz w:val="24"/>
          <w:szCs w:val="24"/>
          <w:lang w:val="en-GB"/>
        </w:rPr>
      </w:pPr>
      <w:r w:rsidRPr="00F0687B">
        <w:rPr>
          <w:rFonts w:ascii="Times New Roman" w:hAnsi="Times New Roman" w:cs="Times New Roman"/>
          <w:b/>
          <w:sz w:val="24"/>
          <w:szCs w:val="24"/>
          <w:lang w:val="en-GB"/>
        </w:rPr>
        <w:lastRenderedPageBreak/>
        <w:t xml:space="preserve">2. Closing the innovation gap Europe’s productivity challenge </w:t>
      </w:r>
    </w:p>
    <w:p w:rsidR="006F2D46" w:rsidRPr="00F0687B" w:rsidRDefault="006F2D46" w:rsidP="002F51C0">
      <w:pPr>
        <w:spacing w:line="240" w:lineRule="auto"/>
        <w:jc w:val="both"/>
        <w:rPr>
          <w:rFonts w:ascii="Times New Roman" w:hAnsi="Times New Roman" w:cs="Times New Roman"/>
          <w:b/>
          <w:sz w:val="24"/>
          <w:szCs w:val="24"/>
          <w:lang w:val="en-GB"/>
        </w:rPr>
      </w:pPr>
      <w:r w:rsidRPr="00F0687B">
        <w:rPr>
          <w:rFonts w:ascii="Times New Roman" w:hAnsi="Times New Roman" w:cs="Times New Roman"/>
          <w:b/>
          <w:sz w:val="24"/>
          <w:szCs w:val="24"/>
          <w:lang w:val="en-GB"/>
        </w:rPr>
        <w:t>Europe needs faster productivity growth to maintain sustainable growth ra</w:t>
      </w:r>
      <w:r w:rsidR="00F0687B">
        <w:rPr>
          <w:rFonts w:ascii="Times New Roman" w:hAnsi="Times New Roman" w:cs="Times New Roman"/>
          <w:b/>
          <w:sz w:val="24"/>
          <w:szCs w:val="24"/>
          <w:lang w:val="en-GB"/>
        </w:rPr>
        <w:t>tes in the face of adverse demo</w:t>
      </w:r>
      <w:r w:rsidRPr="00F0687B">
        <w:rPr>
          <w:rFonts w:ascii="Times New Roman" w:hAnsi="Times New Roman" w:cs="Times New Roman"/>
          <w:b/>
          <w:sz w:val="24"/>
          <w:szCs w:val="24"/>
          <w:lang w:val="en-GB"/>
        </w:rPr>
        <w:t>graphics</w:t>
      </w:r>
      <w:r w:rsidR="00F0687B">
        <w:rPr>
          <w:rFonts w:ascii="Times New Roman" w:hAnsi="Times New Roman" w:cs="Times New Roman"/>
          <w:b/>
          <w:sz w:val="24"/>
          <w:szCs w:val="24"/>
          <w:lang w:val="en-GB"/>
        </w:rPr>
        <w:t>…</w:t>
      </w:r>
    </w:p>
    <w:p w:rsidR="00F0687B" w:rsidRDefault="00F0687B" w:rsidP="002F51C0">
      <w:pPr>
        <w:spacing w:line="240" w:lineRule="auto"/>
        <w:jc w:val="both"/>
        <w:rPr>
          <w:rFonts w:ascii="Times New Roman" w:hAnsi="Times New Roman" w:cs="Times New Roman"/>
          <w:sz w:val="24"/>
          <w:szCs w:val="24"/>
          <w:lang w:val="en-GB"/>
        </w:rPr>
      </w:pPr>
      <w:r w:rsidRPr="00F0687B">
        <w:rPr>
          <w:rFonts w:ascii="Times New Roman" w:hAnsi="Times New Roman" w:cs="Times New Roman"/>
          <w:noProof/>
          <w:sz w:val="24"/>
          <w:szCs w:val="24"/>
          <w:lang w:eastAsia="es-ES"/>
        </w:rPr>
        <w:drawing>
          <wp:inline distT="0" distB="0" distL="0" distR="0" wp14:anchorId="440AE22C" wp14:editId="5A488E93">
            <wp:extent cx="5731510" cy="3615260"/>
            <wp:effectExtent l="0" t="0" r="2540" b="444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3615260"/>
                    </a:xfrm>
                    <a:prstGeom prst="rect">
                      <a:avLst/>
                    </a:prstGeom>
                  </pic:spPr>
                </pic:pic>
              </a:graphicData>
            </a:graphic>
          </wp:inline>
        </w:drawing>
      </w:r>
    </w:p>
    <w:p w:rsidR="00F0687B" w:rsidRPr="006047AE" w:rsidRDefault="00F0687B" w:rsidP="002F51C0">
      <w:pPr>
        <w:spacing w:line="240" w:lineRule="auto"/>
        <w:jc w:val="both"/>
        <w:rPr>
          <w:rFonts w:ascii="Times New Roman" w:hAnsi="Times New Roman" w:cs="Times New Roman"/>
          <w:sz w:val="24"/>
          <w:szCs w:val="24"/>
          <w:lang w:val="en-GB"/>
        </w:rPr>
      </w:pPr>
      <w:r w:rsidRPr="00F0687B">
        <w:rPr>
          <w:rFonts w:ascii="Times New Roman" w:hAnsi="Times New Roman" w:cs="Times New Roman"/>
          <w:b/>
          <w:sz w:val="24"/>
          <w:szCs w:val="24"/>
          <w:lang w:val="en-GB"/>
        </w:rPr>
        <w:t xml:space="preserve">The key driver of the rising productivity gap between the EU and the US has been digital technology </w:t>
      </w:r>
      <w:r>
        <w:rPr>
          <w:rFonts w:ascii="Times New Roman" w:hAnsi="Times New Roman" w:cs="Times New Roman"/>
          <w:b/>
          <w:sz w:val="24"/>
          <w:szCs w:val="24"/>
          <w:lang w:val="en-GB"/>
        </w:rPr>
        <w:t>(“tech”) -</w:t>
      </w:r>
      <w:r w:rsidRPr="00F0687B">
        <w:rPr>
          <w:rFonts w:ascii="Times New Roman" w:hAnsi="Times New Roman" w:cs="Times New Roman"/>
          <w:b/>
          <w:sz w:val="24"/>
          <w:szCs w:val="24"/>
          <w:lang w:val="en-GB"/>
        </w:rPr>
        <w:t xml:space="preserve"> and Europe currently looks set to fall further behind</w:t>
      </w:r>
      <w:r w:rsidRPr="00F0687B">
        <w:rPr>
          <w:rFonts w:ascii="Times New Roman" w:hAnsi="Times New Roman" w:cs="Times New Roman"/>
          <w:sz w:val="24"/>
          <w:szCs w:val="24"/>
          <w:lang w:val="en-GB"/>
        </w:rPr>
        <w:t xml:space="preserve">. The main reason EU productivity diverged from the US in the mid-1990s was Europe’s failure to capitalise on the first digital </w:t>
      </w:r>
      <w:r w:rsidR="004E3B41">
        <w:rPr>
          <w:rFonts w:ascii="Times New Roman" w:hAnsi="Times New Roman" w:cs="Times New Roman"/>
          <w:sz w:val="24"/>
          <w:szCs w:val="24"/>
          <w:lang w:val="en-GB"/>
        </w:rPr>
        <w:t>revolution led by the internet -</w:t>
      </w:r>
      <w:r w:rsidRPr="00F0687B">
        <w:rPr>
          <w:rFonts w:ascii="Times New Roman" w:hAnsi="Times New Roman" w:cs="Times New Roman"/>
          <w:sz w:val="24"/>
          <w:szCs w:val="24"/>
          <w:lang w:val="en-GB"/>
        </w:rPr>
        <w:t xml:space="preserve"> both in terms of generating new tech companies and diffusing digital tech into the economy. In fact, if we exclude the tech sector, EU productivity growth over the past twenty years would be broadly at par with the US [see Figure 2 and Box 2]. Europe is lagging in the breakthrough digital technologies that will drive growth in the future. Around 70% of foundational AI models have been developed in the US since 2017 and just three US “hyperscalers” account for over 65% of the global as well as of the European cloud market. The largest European cloud operator accounts for just 2% of the EU market. Quantum computing is poised to be the next major innovation, but five of the top ten tech companies globally in terms of quantum investment are based in the US and four in China. </w:t>
      </w:r>
      <w:r w:rsidRPr="006047AE">
        <w:rPr>
          <w:rFonts w:ascii="Times New Roman" w:hAnsi="Times New Roman" w:cs="Times New Roman"/>
          <w:sz w:val="24"/>
          <w:szCs w:val="24"/>
          <w:lang w:val="en-GB"/>
        </w:rPr>
        <w:t>None are based in the EU.</w:t>
      </w:r>
    </w:p>
    <w:p w:rsidR="00F0687B" w:rsidRPr="00F0687B" w:rsidRDefault="00F0687B" w:rsidP="002F51C0">
      <w:pPr>
        <w:spacing w:line="240" w:lineRule="auto"/>
        <w:jc w:val="both"/>
        <w:rPr>
          <w:rFonts w:ascii="Times New Roman" w:hAnsi="Times New Roman" w:cs="Times New Roman"/>
          <w:b/>
          <w:sz w:val="24"/>
          <w:szCs w:val="24"/>
          <w:lang w:val="en-GB"/>
        </w:rPr>
      </w:pPr>
      <w:r w:rsidRPr="00F0687B">
        <w:rPr>
          <w:rFonts w:ascii="Times New Roman" w:hAnsi="Times New Roman" w:cs="Times New Roman"/>
          <w:b/>
          <w:sz w:val="24"/>
          <w:szCs w:val="24"/>
          <w:lang w:val="en-GB"/>
        </w:rPr>
        <w:t>While some digital sectors are likely already “lost”, Europe still has an opportunity to capitalise on future waves of digital innovation…</w:t>
      </w:r>
    </w:p>
    <w:p w:rsidR="00F0687B" w:rsidRPr="00F0687B" w:rsidRDefault="00F0687B" w:rsidP="002F51C0">
      <w:pPr>
        <w:spacing w:line="240" w:lineRule="auto"/>
        <w:jc w:val="both"/>
        <w:rPr>
          <w:rFonts w:ascii="Times New Roman" w:hAnsi="Times New Roman" w:cs="Times New Roman"/>
          <w:b/>
          <w:sz w:val="24"/>
          <w:szCs w:val="24"/>
          <w:lang w:val="en-GB"/>
        </w:rPr>
      </w:pPr>
      <w:r w:rsidRPr="00F0687B">
        <w:rPr>
          <w:rFonts w:ascii="Times New Roman" w:hAnsi="Times New Roman" w:cs="Times New Roman"/>
          <w:b/>
          <w:sz w:val="24"/>
          <w:szCs w:val="24"/>
          <w:lang w:val="en-GB"/>
        </w:rPr>
        <w:t>Integrating AI ‘vertically’ into European industry will be a critical factor in unlocking higher productivity…</w:t>
      </w:r>
    </w:p>
    <w:p w:rsidR="00F0687B" w:rsidRPr="00F0687B" w:rsidRDefault="00F0687B" w:rsidP="002F51C0">
      <w:pPr>
        <w:spacing w:line="240" w:lineRule="auto"/>
        <w:jc w:val="both"/>
        <w:rPr>
          <w:rFonts w:ascii="Times New Roman" w:hAnsi="Times New Roman" w:cs="Times New Roman"/>
          <w:b/>
          <w:sz w:val="24"/>
          <w:szCs w:val="24"/>
          <w:lang w:val="en-GB"/>
        </w:rPr>
      </w:pPr>
      <w:r w:rsidRPr="00F0687B">
        <w:rPr>
          <w:rFonts w:ascii="Times New Roman" w:hAnsi="Times New Roman" w:cs="Times New Roman"/>
          <w:b/>
          <w:sz w:val="24"/>
          <w:szCs w:val="24"/>
          <w:lang w:val="en-GB"/>
        </w:rPr>
        <w:t>Although technology is crucial to protect Europe’s social model, AI could also undermine it without a strong focus on skills…</w:t>
      </w:r>
    </w:p>
    <w:p w:rsidR="00F0687B" w:rsidRPr="00F0687B" w:rsidRDefault="00F0687B" w:rsidP="002F51C0">
      <w:pPr>
        <w:spacing w:line="240" w:lineRule="auto"/>
        <w:jc w:val="both"/>
        <w:rPr>
          <w:rFonts w:ascii="Times New Roman" w:hAnsi="Times New Roman" w:cs="Times New Roman"/>
          <w:b/>
          <w:sz w:val="24"/>
          <w:szCs w:val="24"/>
          <w:lang w:val="en-GB"/>
        </w:rPr>
      </w:pPr>
    </w:p>
    <w:p w:rsidR="00F0687B" w:rsidRPr="00F0687B" w:rsidRDefault="00F0687B" w:rsidP="002F51C0">
      <w:pPr>
        <w:spacing w:line="240" w:lineRule="auto"/>
        <w:jc w:val="both"/>
        <w:rPr>
          <w:rFonts w:ascii="Times New Roman" w:hAnsi="Times New Roman" w:cs="Times New Roman"/>
          <w:sz w:val="24"/>
          <w:szCs w:val="24"/>
          <w:lang w:val="en-GB"/>
        </w:rPr>
      </w:pPr>
      <w:r w:rsidRPr="00F0687B">
        <w:rPr>
          <w:rFonts w:ascii="Times New Roman" w:hAnsi="Times New Roman" w:cs="Times New Roman"/>
          <w:noProof/>
          <w:sz w:val="24"/>
          <w:szCs w:val="24"/>
          <w:lang w:eastAsia="es-ES"/>
        </w:rPr>
        <w:lastRenderedPageBreak/>
        <w:drawing>
          <wp:inline distT="0" distB="0" distL="0" distR="0" wp14:anchorId="0D0E0470" wp14:editId="6CC12EEC">
            <wp:extent cx="5731510" cy="3679556"/>
            <wp:effectExtent l="0" t="0" r="254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3679556"/>
                    </a:xfrm>
                    <a:prstGeom prst="rect">
                      <a:avLst/>
                    </a:prstGeom>
                  </pic:spPr>
                </pic:pic>
              </a:graphicData>
            </a:graphic>
          </wp:inline>
        </w:drawing>
      </w:r>
    </w:p>
    <w:p w:rsidR="00CF5989" w:rsidRDefault="00F0687B" w:rsidP="002F51C0">
      <w:pPr>
        <w:spacing w:line="240" w:lineRule="auto"/>
        <w:jc w:val="both"/>
        <w:rPr>
          <w:rFonts w:ascii="Times New Roman" w:hAnsi="Times New Roman" w:cs="Times New Roman"/>
          <w:b/>
          <w:sz w:val="24"/>
          <w:szCs w:val="24"/>
          <w:lang w:val="en-GB"/>
        </w:rPr>
      </w:pPr>
      <w:r w:rsidRPr="00F0687B">
        <w:rPr>
          <w:rFonts w:ascii="Times New Roman" w:hAnsi="Times New Roman" w:cs="Times New Roman"/>
          <w:b/>
          <w:noProof/>
          <w:sz w:val="24"/>
          <w:szCs w:val="24"/>
          <w:lang w:eastAsia="es-ES"/>
        </w:rPr>
        <w:drawing>
          <wp:inline distT="0" distB="0" distL="0" distR="0" wp14:anchorId="0B532C34" wp14:editId="1D9CA7B8">
            <wp:extent cx="5733797" cy="4908550"/>
            <wp:effectExtent l="0" t="0" r="635"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3797" cy="4908550"/>
                    </a:xfrm>
                    <a:prstGeom prst="rect">
                      <a:avLst/>
                    </a:prstGeom>
                  </pic:spPr>
                </pic:pic>
              </a:graphicData>
            </a:graphic>
          </wp:inline>
        </w:drawing>
      </w:r>
    </w:p>
    <w:p w:rsidR="00DA731D" w:rsidRDefault="00DA731D" w:rsidP="002F51C0">
      <w:pPr>
        <w:spacing w:line="240" w:lineRule="auto"/>
        <w:jc w:val="both"/>
        <w:rPr>
          <w:rFonts w:ascii="Times New Roman" w:hAnsi="Times New Roman" w:cs="Times New Roman"/>
          <w:b/>
          <w:sz w:val="24"/>
          <w:szCs w:val="24"/>
          <w:lang w:val="en-GB"/>
        </w:rPr>
      </w:pPr>
      <w:r w:rsidRPr="00DA731D">
        <w:rPr>
          <w:rFonts w:ascii="Times New Roman" w:hAnsi="Times New Roman" w:cs="Times New Roman"/>
          <w:b/>
          <w:noProof/>
          <w:sz w:val="24"/>
          <w:szCs w:val="24"/>
          <w:lang w:eastAsia="es-ES"/>
        </w:rPr>
        <w:lastRenderedPageBreak/>
        <w:drawing>
          <wp:inline distT="0" distB="0" distL="0" distR="0" wp14:anchorId="35120584" wp14:editId="396325B6">
            <wp:extent cx="5732252" cy="4184650"/>
            <wp:effectExtent l="0" t="0" r="1905"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4184108"/>
                    </a:xfrm>
                    <a:prstGeom prst="rect">
                      <a:avLst/>
                    </a:prstGeom>
                  </pic:spPr>
                </pic:pic>
              </a:graphicData>
            </a:graphic>
          </wp:inline>
        </w:drawing>
      </w:r>
    </w:p>
    <w:p w:rsidR="00DA731D" w:rsidRPr="00DA731D" w:rsidRDefault="00DA731D" w:rsidP="002F51C0">
      <w:pPr>
        <w:spacing w:line="240" w:lineRule="auto"/>
        <w:jc w:val="both"/>
        <w:rPr>
          <w:rFonts w:ascii="Times New Roman" w:hAnsi="Times New Roman" w:cs="Times New Roman"/>
          <w:b/>
          <w:sz w:val="24"/>
          <w:szCs w:val="24"/>
          <w:lang w:val="en-GB"/>
        </w:rPr>
      </w:pPr>
      <w:r w:rsidRPr="00DA731D">
        <w:rPr>
          <w:rFonts w:ascii="Times New Roman" w:hAnsi="Times New Roman" w:cs="Times New Roman"/>
          <w:b/>
          <w:sz w:val="24"/>
          <w:szCs w:val="24"/>
          <w:lang w:val="en-GB"/>
        </w:rPr>
        <w:t xml:space="preserve">Key barriers to innovation in Europe </w:t>
      </w:r>
    </w:p>
    <w:p w:rsidR="00DA731D" w:rsidRPr="00DA731D" w:rsidRDefault="00DA731D" w:rsidP="002F51C0">
      <w:pPr>
        <w:spacing w:line="240" w:lineRule="auto"/>
        <w:jc w:val="both"/>
        <w:rPr>
          <w:rFonts w:ascii="Times New Roman" w:hAnsi="Times New Roman" w:cs="Times New Roman"/>
          <w:b/>
          <w:sz w:val="24"/>
          <w:szCs w:val="24"/>
          <w:lang w:val="en-GB"/>
        </w:rPr>
      </w:pPr>
      <w:r w:rsidRPr="00DA731D">
        <w:rPr>
          <w:rFonts w:ascii="Times New Roman" w:hAnsi="Times New Roman" w:cs="Times New Roman"/>
          <w:b/>
          <w:sz w:val="24"/>
          <w:szCs w:val="24"/>
          <w:lang w:val="en-GB"/>
        </w:rPr>
        <w:t>At the root of Europe’s weak position in digital tech is a static industrial structure which produces a vicious circle of low investment and low innovation</w:t>
      </w:r>
      <w:r>
        <w:rPr>
          <w:rFonts w:ascii="Times New Roman" w:hAnsi="Times New Roman" w:cs="Times New Roman"/>
          <w:b/>
          <w:sz w:val="24"/>
          <w:szCs w:val="24"/>
          <w:lang w:val="en-GB"/>
        </w:rPr>
        <w:t>…</w:t>
      </w:r>
    </w:p>
    <w:p w:rsidR="00DA731D" w:rsidRPr="00DA731D" w:rsidRDefault="00DA731D" w:rsidP="002F51C0">
      <w:pPr>
        <w:spacing w:line="240" w:lineRule="auto"/>
        <w:jc w:val="both"/>
        <w:rPr>
          <w:rFonts w:ascii="Times New Roman" w:hAnsi="Times New Roman" w:cs="Times New Roman"/>
          <w:b/>
          <w:sz w:val="24"/>
          <w:szCs w:val="24"/>
          <w:lang w:val="en-GB"/>
        </w:rPr>
      </w:pPr>
      <w:r w:rsidRPr="00DA731D">
        <w:rPr>
          <w:rFonts w:ascii="Times New Roman" w:hAnsi="Times New Roman" w:cs="Times New Roman"/>
          <w:b/>
          <w:noProof/>
          <w:sz w:val="24"/>
          <w:szCs w:val="24"/>
          <w:lang w:eastAsia="es-ES"/>
        </w:rPr>
        <w:drawing>
          <wp:inline distT="0" distB="0" distL="0" distR="0" wp14:anchorId="048070DA" wp14:editId="22880960">
            <wp:extent cx="5731510" cy="3037210"/>
            <wp:effectExtent l="0" t="0" r="254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3037210"/>
                    </a:xfrm>
                    <a:prstGeom prst="rect">
                      <a:avLst/>
                    </a:prstGeom>
                  </pic:spPr>
                </pic:pic>
              </a:graphicData>
            </a:graphic>
          </wp:inline>
        </w:drawing>
      </w:r>
    </w:p>
    <w:p w:rsidR="00CF5989" w:rsidRPr="00DA731D" w:rsidRDefault="00DA731D" w:rsidP="002F51C0">
      <w:pPr>
        <w:spacing w:line="240" w:lineRule="auto"/>
        <w:jc w:val="both"/>
        <w:rPr>
          <w:rFonts w:ascii="Times New Roman" w:hAnsi="Times New Roman" w:cs="Times New Roman"/>
          <w:b/>
          <w:sz w:val="24"/>
          <w:szCs w:val="24"/>
          <w:lang w:val="en-GB"/>
        </w:rPr>
      </w:pPr>
      <w:r w:rsidRPr="00DA731D">
        <w:rPr>
          <w:rFonts w:ascii="Times New Roman" w:hAnsi="Times New Roman" w:cs="Times New Roman"/>
          <w:b/>
          <w:sz w:val="24"/>
          <w:szCs w:val="24"/>
          <w:lang w:val="en-GB"/>
        </w:rPr>
        <w:t>Europe’s lack of industrial dynamism owes in large part to weaknesses along the “innovation lifecycle” that prevent new sectors and challengers from emerging…</w:t>
      </w:r>
    </w:p>
    <w:p w:rsidR="00DA731D" w:rsidRPr="00DA731D" w:rsidRDefault="00DA731D" w:rsidP="002F51C0">
      <w:pPr>
        <w:spacing w:line="240" w:lineRule="auto"/>
        <w:jc w:val="both"/>
        <w:rPr>
          <w:rFonts w:ascii="Times New Roman" w:hAnsi="Times New Roman" w:cs="Times New Roman"/>
          <w:b/>
          <w:sz w:val="24"/>
          <w:szCs w:val="24"/>
          <w:lang w:val="en-GB"/>
        </w:rPr>
      </w:pPr>
      <w:r w:rsidRPr="00DA731D">
        <w:rPr>
          <w:rFonts w:ascii="Times New Roman" w:hAnsi="Times New Roman" w:cs="Times New Roman"/>
          <w:b/>
          <w:sz w:val="24"/>
          <w:szCs w:val="24"/>
          <w:lang w:val="en-GB"/>
        </w:rPr>
        <w:lastRenderedPageBreak/>
        <w:t>There are not enough academic institutions achieving top levels of excell</w:t>
      </w:r>
      <w:r w:rsidR="004E3B41">
        <w:rPr>
          <w:rFonts w:ascii="Times New Roman" w:hAnsi="Times New Roman" w:cs="Times New Roman"/>
          <w:b/>
          <w:sz w:val="24"/>
          <w:szCs w:val="24"/>
          <w:lang w:val="en-GB"/>
        </w:rPr>
        <w:t>ence and the pipeline from inno</w:t>
      </w:r>
      <w:r w:rsidRPr="00DA731D">
        <w:rPr>
          <w:rFonts w:ascii="Times New Roman" w:hAnsi="Times New Roman" w:cs="Times New Roman"/>
          <w:b/>
          <w:sz w:val="24"/>
          <w:szCs w:val="24"/>
          <w:lang w:val="en-GB"/>
        </w:rPr>
        <w:t>vation into commercialisation is weak…</w:t>
      </w:r>
    </w:p>
    <w:p w:rsidR="00DA731D" w:rsidRPr="00DA731D" w:rsidRDefault="00DA731D" w:rsidP="002F51C0">
      <w:pPr>
        <w:spacing w:line="240" w:lineRule="auto"/>
        <w:jc w:val="both"/>
        <w:rPr>
          <w:rFonts w:ascii="Times New Roman" w:hAnsi="Times New Roman" w:cs="Times New Roman"/>
          <w:b/>
          <w:sz w:val="24"/>
          <w:szCs w:val="24"/>
          <w:lang w:val="en-GB"/>
        </w:rPr>
      </w:pPr>
      <w:r w:rsidRPr="00DA731D">
        <w:rPr>
          <w:rFonts w:ascii="Times New Roman" w:hAnsi="Times New Roman" w:cs="Times New Roman"/>
          <w:b/>
          <w:sz w:val="24"/>
          <w:szCs w:val="24"/>
          <w:lang w:val="en-GB"/>
        </w:rPr>
        <w:t>Public spending on R&amp;I in Europe lacks scale and is insufficiently focused on breakthrough innovation…</w:t>
      </w:r>
    </w:p>
    <w:p w:rsidR="00DA731D" w:rsidRPr="00DA731D" w:rsidRDefault="00DA731D" w:rsidP="002F51C0">
      <w:pPr>
        <w:spacing w:line="240" w:lineRule="auto"/>
        <w:jc w:val="both"/>
        <w:rPr>
          <w:rFonts w:ascii="Times New Roman" w:hAnsi="Times New Roman" w:cs="Times New Roman"/>
          <w:b/>
          <w:sz w:val="24"/>
          <w:szCs w:val="24"/>
          <w:lang w:val="en-GB"/>
        </w:rPr>
      </w:pPr>
      <w:r w:rsidRPr="00DA731D">
        <w:rPr>
          <w:rFonts w:ascii="Times New Roman" w:hAnsi="Times New Roman" w:cs="Times New Roman"/>
          <w:b/>
          <w:noProof/>
          <w:sz w:val="24"/>
          <w:szCs w:val="24"/>
          <w:lang w:eastAsia="es-ES"/>
        </w:rPr>
        <w:drawing>
          <wp:inline distT="0" distB="0" distL="0" distR="0" wp14:anchorId="3592B580" wp14:editId="2036F1DE">
            <wp:extent cx="5728632" cy="2908300"/>
            <wp:effectExtent l="0" t="0" r="5715" b="635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2909761"/>
                    </a:xfrm>
                    <a:prstGeom prst="rect">
                      <a:avLst/>
                    </a:prstGeom>
                  </pic:spPr>
                </pic:pic>
              </a:graphicData>
            </a:graphic>
          </wp:inline>
        </w:drawing>
      </w:r>
    </w:p>
    <w:p w:rsidR="00CF5989" w:rsidRPr="00DA731D" w:rsidRDefault="00DA731D" w:rsidP="002F51C0">
      <w:pPr>
        <w:spacing w:line="240" w:lineRule="auto"/>
        <w:jc w:val="both"/>
        <w:rPr>
          <w:rFonts w:ascii="Times New Roman" w:hAnsi="Times New Roman" w:cs="Times New Roman"/>
          <w:b/>
          <w:sz w:val="24"/>
          <w:szCs w:val="24"/>
          <w:lang w:val="en-GB"/>
        </w:rPr>
      </w:pPr>
      <w:r w:rsidRPr="00DA731D">
        <w:rPr>
          <w:rFonts w:ascii="Times New Roman" w:hAnsi="Times New Roman" w:cs="Times New Roman"/>
          <w:b/>
          <w:sz w:val="24"/>
          <w:szCs w:val="24"/>
          <w:lang w:val="en-GB"/>
        </w:rPr>
        <w:t>Fragmentation of the Single Market hinders innovative companies that reach the growth stage from scaling up in the EU, which in turn reduces demand for financing…</w:t>
      </w:r>
    </w:p>
    <w:p w:rsidR="00DA731D" w:rsidRPr="00DA731D" w:rsidRDefault="00DA731D" w:rsidP="002F51C0">
      <w:pPr>
        <w:spacing w:line="240" w:lineRule="auto"/>
        <w:jc w:val="both"/>
        <w:rPr>
          <w:rFonts w:ascii="Times New Roman" w:hAnsi="Times New Roman" w:cs="Times New Roman"/>
          <w:b/>
          <w:sz w:val="24"/>
          <w:szCs w:val="24"/>
          <w:lang w:val="en-GB"/>
        </w:rPr>
      </w:pPr>
      <w:r w:rsidRPr="00DA731D">
        <w:rPr>
          <w:rFonts w:ascii="Times New Roman" w:hAnsi="Times New Roman" w:cs="Times New Roman"/>
          <w:b/>
          <w:sz w:val="24"/>
          <w:szCs w:val="24"/>
          <w:lang w:val="en-GB"/>
        </w:rPr>
        <w:t>Regulatory barriers to scaling up are particularly onerous in the tech sector, especially for young companies…</w:t>
      </w:r>
    </w:p>
    <w:p w:rsidR="00DA731D" w:rsidRPr="00DA731D" w:rsidRDefault="00DA731D" w:rsidP="002F51C0">
      <w:pPr>
        <w:spacing w:line="240" w:lineRule="auto"/>
        <w:jc w:val="both"/>
        <w:rPr>
          <w:rFonts w:ascii="Times New Roman" w:hAnsi="Times New Roman" w:cs="Times New Roman"/>
          <w:b/>
          <w:sz w:val="24"/>
          <w:szCs w:val="24"/>
          <w:lang w:val="en-GB"/>
        </w:rPr>
      </w:pPr>
      <w:r w:rsidRPr="00DA731D">
        <w:rPr>
          <w:rFonts w:ascii="Times New Roman" w:hAnsi="Times New Roman" w:cs="Times New Roman"/>
          <w:b/>
          <w:sz w:val="24"/>
          <w:szCs w:val="24"/>
          <w:lang w:val="en-GB"/>
        </w:rPr>
        <w:t>The lack of a true Single Market also prevents enough companies in the wider economy from reaching sufficient size to accelerate adoption of advanced technologies…</w:t>
      </w:r>
    </w:p>
    <w:p w:rsidR="00DA731D" w:rsidRDefault="00DA731D" w:rsidP="002F51C0">
      <w:pPr>
        <w:spacing w:line="240" w:lineRule="auto"/>
        <w:jc w:val="both"/>
        <w:rPr>
          <w:rFonts w:ascii="Times New Roman" w:hAnsi="Times New Roman" w:cs="Times New Roman"/>
          <w:b/>
          <w:sz w:val="24"/>
          <w:szCs w:val="24"/>
          <w:lang w:val="en-GB"/>
        </w:rPr>
      </w:pPr>
      <w:r w:rsidRPr="00DA731D">
        <w:rPr>
          <w:rFonts w:ascii="Times New Roman" w:hAnsi="Times New Roman" w:cs="Times New Roman"/>
          <w:b/>
          <w:noProof/>
          <w:sz w:val="24"/>
          <w:szCs w:val="24"/>
          <w:lang w:eastAsia="es-ES"/>
        </w:rPr>
        <w:drawing>
          <wp:inline distT="0" distB="0" distL="0" distR="0" wp14:anchorId="6421FBEE" wp14:editId="2B27AD4F">
            <wp:extent cx="5731510" cy="3180498"/>
            <wp:effectExtent l="0" t="0" r="2540" b="127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3180498"/>
                    </a:xfrm>
                    <a:prstGeom prst="rect">
                      <a:avLst/>
                    </a:prstGeom>
                  </pic:spPr>
                </pic:pic>
              </a:graphicData>
            </a:graphic>
          </wp:inline>
        </w:drawing>
      </w:r>
    </w:p>
    <w:p w:rsidR="00DA731D" w:rsidRPr="000919B8" w:rsidRDefault="00DA731D" w:rsidP="002F51C0">
      <w:pPr>
        <w:spacing w:line="240" w:lineRule="auto"/>
        <w:jc w:val="both"/>
        <w:rPr>
          <w:rFonts w:ascii="Times New Roman" w:hAnsi="Times New Roman" w:cs="Times New Roman"/>
          <w:b/>
          <w:sz w:val="24"/>
          <w:szCs w:val="24"/>
          <w:lang w:val="en-GB"/>
        </w:rPr>
      </w:pPr>
      <w:r w:rsidRPr="000919B8">
        <w:rPr>
          <w:rFonts w:ascii="Times New Roman" w:hAnsi="Times New Roman" w:cs="Times New Roman"/>
          <w:b/>
          <w:sz w:val="24"/>
          <w:szCs w:val="24"/>
          <w:lang w:val="en-GB"/>
        </w:rPr>
        <w:lastRenderedPageBreak/>
        <w:t>Competition for computing power and lack of investment in connectivity could soon translate into digi</w:t>
      </w:r>
      <w:r w:rsidR="000919B8" w:rsidRPr="000919B8">
        <w:rPr>
          <w:rFonts w:ascii="Times New Roman" w:hAnsi="Times New Roman" w:cs="Times New Roman"/>
          <w:b/>
          <w:sz w:val="24"/>
          <w:szCs w:val="24"/>
          <w:lang w:val="en-GB"/>
        </w:rPr>
        <w:t>tal bottlenecks…</w:t>
      </w:r>
    </w:p>
    <w:p w:rsidR="000919B8" w:rsidRDefault="000919B8" w:rsidP="002F51C0">
      <w:pPr>
        <w:spacing w:line="240" w:lineRule="auto"/>
        <w:jc w:val="both"/>
        <w:rPr>
          <w:rFonts w:ascii="Times New Roman" w:hAnsi="Times New Roman" w:cs="Times New Roman"/>
          <w:b/>
          <w:sz w:val="24"/>
          <w:szCs w:val="24"/>
          <w:lang w:val="en-GB"/>
        </w:rPr>
      </w:pPr>
      <w:r w:rsidRPr="000919B8">
        <w:rPr>
          <w:rFonts w:ascii="Times New Roman" w:hAnsi="Times New Roman" w:cs="Times New Roman"/>
          <w:b/>
          <w:noProof/>
          <w:sz w:val="24"/>
          <w:szCs w:val="24"/>
          <w:lang w:eastAsia="es-ES"/>
        </w:rPr>
        <w:drawing>
          <wp:inline distT="0" distB="0" distL="0" distR="0" wp14:anchorId="10E20F60" wp14:editId="6F4A17AA">
            <wp:extent cx="5731510" cy="2843711"/>
            <wp:effectExtent l="0" t="0" r="254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2843711"/>
                    </a:xfrm>
                    <a:prstGeom prst="rect">
                      <a:avLst/>
                    </a:prstGeom>
                  </pic:spPr>
                </pic:pic>
              </a:graphicData>
            </a:graphic>
          </wp:inline>
        </w:drawing>
      </w:r>
    </w:p>
    <w:p w:rsidR="000919B8" w:rsidRPr="000919B8" w:rsidRDefault="004E3B41" w:rsidP="002F51C0">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(CAPEX -</w:t>
      </w:r>
      <w:r w:rsidR="000919B8" w:rsidRPr="000919B8">
        <w:rPr>
          <w:rFonts w:ascii="Times New Roman" w:hAnsi="Times New Roman" w:cs="Times New Roman"/>
          <w:sz w:val="24"/>
          <w:szCs w:val="24"/>
          <w:lang w:val="en-GB"/>
        </w:rPr>
        <w:t xml:space="preserve"> capital expenditures</w:t>
      </w:r>
      <w:r>
        <w:rPr>
          <w:rFonts w:ascii="Times New Roman" w:hAnsi="Times New Roman" w:cs="Times New Roman"/>
          <w:sz w:val="24"/>
          <w:szCs w:val="24"/>
          <w:lang w:val="en-GB"/>
        </w:rPr>
        <w:t>)</w:t>
      </w:r>
    </w:p>
    <w:p w:rsidR="000919B8" w:rsidRPr="000919B8" w:rsidRDefault="000919B8" w:rsidP="002F51C0">
      <w:pPr>
        <w:spacing w:line="240" w:lineRule="auto"/>
        <w:jc w:val="both"/>
        <w:rPr>
          <w:rFonts w:ascii="Times New Roman" w:hAnsi="Times New Roman" w:cs="Times New Roman"/>
          <w:b/>
          <w:sz w:val="24"/>
          <w:szCs w:val="24"/>
          <w:lang w:val="en-GB"/>
        </w:rPr>
      </w:pPr>
      <w:r w:rsidRPr="000919B8">
        <w:rPr>
          <w:rFonts w:ascii="Times New Roman" w:hAnsi="Times New Roman" w:cs="Times New Roman"/>
          <w:b/>
          <w:sz w:val="24"/>
          <w:szCs w:val="24"/>
          <w:lang w:val="en-GB"/>
        </w:rPr>
        <w:t>The EU’s position in other innovative sectors like pharma is declining due to the same challenges of low investment in R&amp;I and regulatory fragmentation…</w:t>
      </w:r>
    </w:p>
    <w:p w:rsidR="000919B8" w:rsidRDefault="000919B8" w:rsidP="002F51C0">
      <w:pPr>
        <w:spacing w:line="240" w:lineRule="auto"/>
        <w:jc w:val="both"/>
        <w:rPr>
          <w:rFonts w:ascii="Times New Roman" w:hAnsi="Times New Roman" w:cs="Times New Roman"/>
          <w:b/>
          <w:sz w:val="24"/>
          <w:szCs w:val="24"/>
          <w:lang w:val="en-GB"/>
        </w:rPr>
      </w:pPr>
      <w:r w:rsidRPr="000919B8">
        <w:rPr>
          <w:rFonts w:ascii="Times New Roman" w:hAnsi="Times New Roman" w:cs="Times New Roman"/>
          <w:b/>
          <w:noProof/>
          <w:sz w:val="24"/>
          <w:szCs w:val="24"/>
          <w:lang w:eastAsia="es-ES"/>
        </w:rPr>
        <w:drawing>
          <wp:inline distT="0" distB="0" distL="0" distR="0" wp14:anchorId="3956A274" wp14:editId="4C217DC0">
            <wp:extent cx="5731510" cy="2944747"/>
            <wp:effectExtent l="0" t="0" r="2540" b="825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2944747"/>
                    </a:xfrm>
                    <a:prstGeom prst="rect">
                      <a:avLst/>
                    </a:prstGeom>
                  </pic:spPr>
                </pic:pic>
              </a:graphicData>
            </a:graphic>
          </wp:inline>
        </w:drawing>
      </w:r>
    </w:p>
    <w:p w:rsidR="000919B8" w:rsidRPr="000919B8" w:rsidRDefault="000919B8" w:rsidP="000919B8">
      <w:pPr>
        <w:spacing w:line="240" w:lineRule="auto"/>
        <w:jc w:val="both"/>
        <w:rPr>
          <w:rFonts w:ascii="Times New Roman" w:hAnsi="Times New Roman" w:cs="Times New Roman"/>
          <w:b/>
          <w:sz w:val="24"/>
          <w:szCs w:val="24"/>
          <w:lang w:val="en-GB"/>
        </w:rPr>
      </w:pPr>
      <w:r w:rsidRPr="000919B8">
        <w:rPr>
          <w:rFonts w:ascii="Times New Roman" w:hAnsi="Times New Roman" w:cs="Times New Roman"/>
          <w:b/>
          <w:sz w:val="24"/>
          <w:szCs w:val="24"/>
          <w:lang w:val="en-GB"/>
        </w:rPr>
        <w:t>A programme to tackle the innovation deficit</w:t>
      </w:r>
    </w:p>
    <w:p w:rsidR="000919B8" w:rsidRDefault="000919B8" w:rsidP="000919B8">
      <w:pPr>
        <w:spacing w:line="240" w:lineRule="auto"/>
        <w:jc w:val="both"/>
        <w:rPr>
          <w:rFonts w:ascii="Times New Roman" w:hAnsi="Times New Roman" w:cs="Times New Roman"/>
          <w:b/>
          <w:sz w:val="24"/>
          <w:szCs w:val="24"/>
          <w:lang w:val="en-GB"/>
        </w:rPr>
      </w:pPr>
      <w:r w:rsidRPr="000919B8">
        <w:rPr>
          <w:rFonts w:ascii="Times New Roman" w:hAnsi="Times New Roman" w:cs="Times New Roman"/>
          <w:b/>
          <w:sz w:val="24"/>
          <w:szCs w:val="24"/>
          <w:lang w:val="en-GB"/>
        </w:rPr>
        <w:t>Europe must improve the conditions for breakthrough innovation by ad</w:t>
      </w:r>
      <w:r>
        <w:rPr>
          <w:rFonts w:ascii="Times New Roman" w:hAnsi="Times New Roman" w:cs="Times New Roman"/>
          <w:b/>
          <w:sz w:val="24"/>
          <w:szCs w:val="24"/>
          <w:lang w:val="en-GB"/>
        </w:rPr>
        <w:t xml:space="preserve">dressing the weaknesses in its </w:t>
      </w:r>
      <w:r w:rsidRPr="000919B8">
        <w:rPr>
          <w:rFonts w:ascii="Times New Roman" w:hAnsi="Times New Roman" w:cs="Times New Roman"/>
          <w:b/>
          <w:sz w:val="24"/>
          <w:szCs w:val="24"/>
          <w:lang w:val="en-GB"/>
        </w:rPr>
        <w:t>common programmes for R&amp;I</w:t>
      </w:r>
      <w:r>
        <w:rPr>
          <w:rFonts w:ascii="Times New Roman" w:hAnsi="Times New Roman" w:cs="Times New Roman"/>
          <w:b/>
          <w:sz w:val="24"/>
          <w:szCs w:val="24"/>
          <w:lang w:val="en-GB"/>
        </w:rPr>
        <w:t>…</w:t>
      </w:r>
    </w:p>
    <w:p w:rsidR="000919B8" w:rsidRPr="00E96D9D" w:rsidRDefault="000919B8" w:rsidP="000919B8">
      <w:pPr>
        <w:spacing w:line="240" w:lineRule="auto"/>
        <w:jc w:val="both"/>
        <w:rPr>
          <w:rFonts w:ascii="Times New Roman" w:hAnsi="Times New Roman" w:cs="Times New Roman"/>
          <w:b/>
          <w:sz w:val="24"/>
          <w:szCs w:val="24"/>
          <w:lang w:val="en-GB"/>
        </w:rPr>
      </w:pPr>
      <w:r w:rsidRPr="00E96D9D">
        <w:rPr>
          <w:rFonts w:ascii="Times New Roman" w:hAnsi="Times New Roman" w:cs="Times New Roman"/>
          <w:b/>
          <w:sz w:val="24"/>
          <w:szCs w:val="24"/>
          <w:lang w:val="en-GB"/>
        </w:rPr>
        <w:t>In parallel, better coordination of public R&amp;I across Member States is necessary…</w:t>
      </w:r>
    </w:p>
    <w:p w:rsidR="000919B8" w:rsidRPr="00E96D9D" w:rsidRDefault="000919B8" w:rsidP="000919B8">
      <w:pPr>
        <w:spacing w:line="240" w:lineRule="auto"/>
        <w:jc w:val="both"/>
        <w:rPr>
          <w:rFonts w:ascii="Times New Roman" w:hAnsi="Times New Roman" w:cs="Times New Roman"/>
          <w:b/>
          <w:sz w:val="24"/>
          <w:szCs w:val="24"/>
          <w:lang w:val="en-GB"/>
        </w:rPr>
      </w:pPr>
      <w:r w:rsidRPr="00E96D9D">
        <w:rPr>
          <w:rFonts w:ascii="Times New Roman" w:hAnsi="Times New Roman" w:cs="Times New Roman"/>
          <w:b/>
          <w:sz w:val="24"/>
          <w:szCs w:val="24"/>
          <w:lang w:val="en-GB"/>
        </w:rPr>
        <w:t>It is also essential to establish and consolidate European academic institutions at the forefront of global research…</w:t>
      </w:r>
    </w:p>
    <w:p w:rsidR="000919B8" w:rsidRPr="00E96D9D" w:rsidRDefault="000919B8" w:rsidP="000919B8">
      <w:pPr>
        <w:spacing w:line="240" w:lineRule="auto"/>
        <w:jc w:val="both"/>
        <w:rPr>
          <w:rFonts w:ascii="Times New Roman" w:hAnsi="Times New Roman" w:cs="Times New Roman"/>
          <w:b/>
          <w:sz w:val="24"/>
          <w:szCs w:val="24"/>
          <w:lang w:val="en-GB"/>
        </w:rPr>
      </w:pPr>
      <w:r w:rsidRPr="00E96D9D">
        <w:rPr>
          <w:rFonts w:ascii="Times New Roman" w:hAnsi="Times New Roman" w:cs="Times New Roman"/>
          <w:b/>
          <w:sz w:val="24"/>
          <w:szCs w:val="24"/>
          <w:lang w:val="en-GB"/>
        </w:rPr>
        <w:lastRenderedPageBreak/>
        <w:t>Europe needs to make it easier for “inventors to become investors” and facilitate scaling up of successful ventures…</w:t>
      </w:r>
    </w:p>
    <w:p w:rsidR="000919B8" w:rsidRPr="00E96D9D" w:rsidRDefault="00E96D9D" w:rsidP="000919B8">
      <w:pPr>
        <w:spacing w:line="240" w:lineRule="auto"/>
        <w:jc w:val="both"/>
        <w:rPr>
          <w:rFonts w:ascii="Times New Roman" w:hAnsi="Times New Roman" w:cs="Times New Roman"/>
          <w:b/>
          <w:sz w:val="24"/>
          <w:szCs w:val="24"/>
          <w:lang w:val="en-GB"/>
        </w:rPr>
      </w:pPr>
      <w:r w:rsidRPr="00E96D9D">
        <w:rPr>
          <w:rFonts w:ascii="Times New Roman" w:hAnsi="Times New Roman" w:cs="Times New Roman"/>
          <w:b/>
          <w:sz w:val="24"/>
          <w:szCs w:val="24"/>
          <w:lang w:val="en-GB"/>
        </w:rPr>
        <w:t>A better financing environment for disruptive innovation, start-ups and scale-ups is needed as barriers to growth within the European markets are removed…</w:t>
      </w:r>
    </w:p>
    <w:p w:rsidR="00E96D9D" w:rsidRPr="00E96D9D" w:rsidRDefault="00E96D9D" w:rsidP="000919B8">
      <w:pPr>
        <w:spacing w:line="240" w:lineRule="auto"/>
        <w:jc w:val="both"/>
        <w:rPr>
          <w:rFonts w:ascii="Times New Roman" w:hAnsi="Times New Roman" w:cs="Times New Roman"/>
          <w:b/>
          <w:sz w:val="24"/>
          <w:szCs w:val="24"/>
          <w:lang w:val="en-GB"/>
        </w:rPr>
      </w:pPr>
      <w:r w:rsidRPr="00E96D9D">
        <w:rPr>
          <w:rFonts w:ascii="Times New Roman" w:hAnsi="Times New Roman" w:cs="Times New Roman"/>
          <w:b/>
          <w:sz w:val="24"/>
          <w:szCs w:val="24"/>
          <w:lang w:val="en-GB"/>
        </w:rPr>
        <w:t>The EU has a unique opportunity to lower the cost of AI deployment by increasing computational capacity and making available its network of high-performance computers…</w:t>
      </w:r>
    </w:p>
    <w:p w:rsidR="00E96D9D" w:rsidRPr="00E96D9D" w:rsidRDefault="00E96D9D" w:rsidP="000919B8">
      <w:pPr>
        <w:spacing w:line="240" w:lineRule="auto"/>
        <w:jc w:val="both"/>
        <w:rPr>
          <w:rFonts w:ascii="Times New Roman" w:hAnsi="Times New Roman" w:cs="Times New Roman"/>
          <w:b/>
          <w:sz w:val="24"/>
          <w:szCs w:val="24"/>
          <w:lang w:val="en-GB"/>
        </w:rPr>
      </w:pPr>
      <w:r w:rsidRPr="00E96D9D">
        <w:rPr>
          <w:rFonts w:ascii="Times New Roman" w:hAnsi="Times New Roman" w:cs="Times New Roman"/>
          <w:b/>
          <w:sz w:val="24"/>
          <w:szCs w:val="24"/>
          <w:lang w:val="en-GB"/>
        </w:rPr>
        <w:t>The EU should promote cross-industry coordination and data sharing to accelerate the integration of AI into European industry…</w:t>
      </w:r>
    </w:p>
    <w:p w:rsidR="00E96D9D" w:rsidRPr="00E96D9D" w:rsidRDefault="00E96D9D" w:rsidP="000919B8">
      <w:pPr>
        <w:spacing w:line="240" w:lineRule="auto"/>
        <w:jc w:val="both"/>
        <w:rPr>
          <w:rFonts w:ascii="Times New Roman" w:hAnsi="Times New Roman" w:cs="Times New Roman"/>
          <w:b/>
          <w:sz w:val="24"/>
          <w:szCs w:val="24"/>
          <w:lang w:val="en-GB"/>
        </w:rPr>
      </w:pPr>
      <w:r w:rsidRPr="00E96D9D">
        <w:rPr>
          <w:rFonts w:ascii="Times New Roman" w:hAnsi="Times New Roman" w:cs="Times New Roman"/>
          <w:b/>
          <w:sz w:val="24"/>
          <w:szCs w:val="24"/>
          <w:lang w:val="en-GB"/>
        </w:rPr>
        <w:t>Given the dominance of US providers, the EU must find a middle way between promoting its domestic cloud industry and ensuring access to the technologies it needs…</w:t>
      </w:r>
    </w:p>
    <w:p w:rsidR="00E96D9D" w:rsidRPr="00E96D9D" w:rsidRDefault="00E96D9D" w:rsidP="000919B8">
      <w:pPr>
        <w:spacing w:line="240" w:lineRule="auto"/>
        <w:jc w:val="both"/>
        <w:rPr>
          <w:rFonts w:ascii="Times New Roman" w:hAnsi="Times New Roman" w:cs="Times New Roman"/>
          <w:b/>
          <w:sz w:val="24"/>
          <w:szCs w:val="24"/>
          <w:lang w:val="en-GB"/>
        </w:rPr>
      </w:pPr>
      <w:r w:rsidRPr="00E96D9D">
        <w:rPr>
          <w:rFonts w:ascii="Times New Roman" w:hAnsi="Times New Roman" w:cs="Times New Roman"/>
          <w:b/>
          <w:sz w:val="24"/>
          <w:szCs w:val="24"/>
          <w:lang w:val="en-GB"/>
        </w:rPr>
        <w:t>Facilitating consolidation in the telecoms sector is needed to deliver higher rates of investment in connectivity…</w:t>
      </w:r>
    </w:p>
    <w:p w:rsidR="00E96D9D" w:rsidRPr="00E96D9D" w:rsidRDefault="00E96D9D" w:rsidP="000919B8">
      <w:pPr>
        <w:spacing w:line="240" w:lineRule="auto"/>
        <w:jc w:val="both"/>
        <w:rPr>
          <w:rFonts w:ascii="Times New Roman" w:hAnsi="Times New Roman" w:cs="Times New Roman"/>
          <w:b/>
          <w:sz w:val="24"/>
          <w:szCs w:val="24"/>
          <w:lang w:val="en-GB"/>
        </w:rPr>
      </w:pPr>
      <w:r w:rsidRPr="00E96D9D">
        <w:rPr>
          <w:rFonts w:ascii="Times New Roman" w:hAnsi="Times New Roman" w:cs="Times New Roman"/>
          <w:b/>
          <w:sz w:val="24"/>
          <w:szCs w:val="24"/>
          <w:lang w:val="en-GB"/>
        </w:rPr>
        <w:t>Sustaining and expanding R&amp;I will also be crucial for key manufacturing sectors such as pharma…</w:t>
      </w:r>
    </w:p>
    <w:p w:rsidR="00E96D9D" w:rsidRPr="00E96D9D" w:rsidRDefault="00E96D9D" w:rsidP="000919B8">
      <w:pPr>
        <w:spacing w:line="240" w:lineRule="auto"/>
        <w:jc w:val="both"/>
        <w:rPr>
          <w:rFonts w:ascii="Times New Roman" w:hAnsi="Times New Roman" w:cs="Times New Roman"/>
          <w:b/>
          <w:sz w:val="24"/>
          <w:szCs w:val="24"/>
          <w:lang w:val="en-GB"/>
        </w:rPr>
      </w:pPr>
      <w:r w:rsidRPr="00E96D9D">
        <w:rPr>
          <w:rFonts w:ascii="Times New Roman" w:hAnsi="Times New Roman" w:cs="Times New Roman"/>
          <w:b/>
          <w:sz w:val="24"/>
          <w:szCs w:val="24"/>
          <w:lang w:val="en-GB"/>
        </w:rPr>
        <w:t xml:space="preserve">Closing skills gaps </w:t>
      </w:r>
    </w:p>
    <w:p w:rsidR="00E96D9D" w:rsidRDefault="00E96D9D" w:rsidP="000919B8">
      <w:pPr>
        <w:spacing w:line="240" w:lineRule="auto"/>
        <w:jc w:val="both"/>
        <w:rPr>
          <w:rFonts w:ascii="Times New Roman" w:hAnsi="Times New Roman" w:cs="Times New Roman"/>
          <w:b/>
          <w:sz w:val="24"/>
          <w:szCs w:val="24"/>
          <w:lang w:val="en-GB"/>
        </w:rPr>
      </w:pPr>
      <w:r w:rsidRPr="00E96D9D">
        <w:rPr>
          <w:rFonts w:ascii="Times New Roman" w:hAnsi="Times New Roman" w:cs="Times New Roman"/>
          <w:b/>
          <w:sz w:val="24"/>
          <w:szCs w:val="24"/>
          <w:lang w:val="en-GB"/>
        </w:rPr>
        <w:t>Europe is suffering from skills gaps across the economy, reinforced by a declining labour force…</w:t>
      </w:r>
    </w:p>
    <w:p w:rsidR="00E96D9D" w:rsidRDefault="00E96D9D" w:rsidP="000919B8">
      <w:pPr>
        <w:spacing w:line="240" w:lineRule="auto"/>
        <w:jc w:val="both"/>
        <w:rPr>
          <w:rFonts w:ascii="Times New Roman" w:hAnsi="Times New Roman" w:cs="Times New Roman"/>
          <w:b/>
          <w:sz w:val="24"/>
          <w:szCs w:val="24"/>
          <w:lang w:val="en-GB"/>
        </w:rPr>
      </w:pPr>
      <w:r w:rsidRPr="00E96D9D">
        <w:rPr>
          <w:rFonts w:ascii="Times New Roman" w:hAnsi="Times New Roman" w:cs="Times New Roman"/>
          <w:b/>
          <w:noProof/>
          <w:sz w:val="24"/>
          <w:szCs w:val="24"/>
          <w:lang w:eastAsia="es-ES"/>
        </w:rPr>
        <w:drawing>
          <wp:inline distT="0" distB="0" distL="0" distR="0" wp14:anchorId="0CEF2CDA" wp14:editId="48BE08EB">
            <wp:extent cx="5731510" cy="3236221"/>
            <wp:effectExtent l="0" t="0" r="2540" b="254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3236221"/>
                    </a:xfrm>
                    <a:prstGeom prst="rect">
                      <a:avLst/>
                    </a:prstGeom>
                  </pic:spPr>
                </pic:pic>
              </a:graphicData>
            </a:graphic>
          </wp:inline>
        </w:drawing>
      </w:r>
    </w:p>
    <w:p w:rsidR="00E96D9D" w:rsidRPr="00E96D9D" w:rsidRDefault="00E96D9D" w:rsidP="000919B8">
      <w:pPr>
        <w:spacing w:line="240" w:lineRule="auto"/>
        <w:jc w:val="both"/>
        <w:rPr>
          <w:rFonts w:ascii="Times New Roman" w:hAnsi="Times New Roman" w:cs="Times New Roman"/>
          <w:b/>
          <w:sz w:val="24"/>
          <w:szCs w:val="24"/>
          <w:lang w:val="en-GB"/>
        </w:rPr>
      </w:pPr>
      <w:r w:rsidRPr="00E96D9D">
        <w:rPr>
          <w:rFonts w:ascii="Times New Roman" w:hAnsi="Times New Roman" w:cs="Times New Roman"/>
          <w:b/>
          <w:sz w:val="24"/>
          <w:szCs w:val="24"/>
          <w:lang w:val="en-GB"/>
        </w:rPr>
        <w:t>Skills shortages are acting as a barrier to innovation and technology adoption and could potentially hinder decarbonisation as well…</w:t>
      </w:r>
    </w:p>
    <w:p w:rsidR="00E96D9D" w:rsidRPr="00E96D9D" w:rsidRDefault="00E96D9D" w:rsidP="000919B8">
      <w:pPr>
        <w:spacing w:line="240" w:lineRule="auto"/>
        <w:jc w:val="both"/>
        <w:rPr>
          <w:rFonts w:ascii="Times New Roman" w:hAnsi="Times New Roman" w:cs="Times New Roman"/>
          <w:b/>
          <w:sz w:val="24"/>
          <w:szCs w:val="24"/>
          <w:lang w:val="en-GB"/>
        </w:rPr>
      </w:pPr>
      <w:r w:rsidRPr="00E96D9D">
        <w:rPr>
          <w:rFonts w:ascii="Times New Roman" w:hAnsi="Times New Roman" w:cs="Times New Roman"/>
          <w:b/>
          <w:sz w:val="24"/>
          <w:szCs w:val="24"/>
          <w:lang w:val="en-GB"/>
        </w:rPr>
        <w:t>The undersupply of skills in Europe owes to declines in education and training systems that are failing to prepare the workforce for technological change…</w:t>
      </w:r>
    </w:p>
    <w:p w:rsidR="00E96D9D" w:rsidRPr="00E96D9D" w:rsidRDefault="00E96D9D" w:rsidP="000919B8">
      <w:pPr>
        <w:spacing w:line="240" w:lineRule="auto"/>
        <w:jc w:val="both"/>
        <w:rPr>
          <w:rFonts w:ascii="Times New Roman" w:hAnsi="Times New Roman" w:cs="Times New Roman"/>
          <w:b/>
          <w:sz w:val="24"/>
          <w:szCs w:val="24"/>
          <w:lang w:val="en-GB"/>
        </w:rPr>
      </w:pPr>
      <w:r w:rsidRPr="00E96D9D">
        <w:rPr>
          <w:rFonts w:ascii="Times New Roman" w:hAnsi="Times New Roman" w:cs="Times New Roman"/>
          <w:b/>
          <w:sz w:val="24"/>
          <w:szCs w:val="24"/>
          <w:lang w:val="en-GB"/>
        </w:rPr>
        <w:lastRenderedPageBreak/>
        <w:t>While education and training are a national competency, EU investments have yielded relatively poor results…</w:t>
      </w:r>
    </w:p>
    <w:p w:rsidR="00E96D9D" w:rsidRPr="00E96D9D" w:rsidRDefault="00E96D9D" w:rsidP="000919B8">
      <w:pPr>
        <w:spacing w:line="240" w:lineRule="auto"/>
        <w:jc w:val="both"/>
        <w:rPr>
          <w:rFonts w:ascii="Times New Roman" w:hAnsi="Times New Roman" w:cs="Times New Roman"/>
          <w:b/>
          <w:sz w:val="24"/>
          <w:szCs w:val="24"/>
          <w:lang w:val="en-GB"/>
        </w:rPr>
      </w:pPr>
      <w:r w:rsidRPr="00E96D9D">
        <w:rPr>
          <w:rFonts w:ascii="Times New Roman" w:hAnsi="Times New Roman" w:cs="Times New Roman"/>
          <w:b/>
          <w:sz w:val="24"/>
          <w:szCs w:val="24"/>
          <w:lang w:val="en-GB"/>
        </w:rPr>
        <w:t>The EU should overhaul its approach to skills, making it more strategic, future-oriented and focused on emerging skill shortages…</w:t>
      </w:r>
    </w:p>
    <w:p w:rsidR="00E96D9D" w:rsidRPr="00E96D9D" w:rsidRDefault="00E96D9D" w:rsidP="000919B8">
      <w:pPr>
        <w:spacing w:line="240" w:lineRule="auto"/>
        <w:jc w:val="both"/>
        <w:rPr>
          <w:rFonts w:ascii="Times New Roman" w:hAnsi="Times New Roman" w:cs="Times New Roman"/>
          <w:b/>
          <w:sz w:val="24"/>
          <w:szCs w:val="24"/>
          <w:lang w:val="en-GB"/>
        </w:rPr>
      </w:pPr>
      <w:r w:rsidRPr="00E96D9D">
        <w:rPr>
          <w:rFonts w:ascii="Times New Roman" w:hAnsi="Times New Roman" w:cs="Times New Roman"/>
          <w:b/>
          <w:sz w:val="24"/>
          <w:szCs w:val="24"/>
          <w:lang w:val="en-GB"/>
        </w:rPr>
        <w:t xml:space="preserve">3. A joint decarbonisation and competitiveness plan </w:t>
      </w:r>
    </w:p>
    <w:p w:rsidR="00E96D9D" w:rsidRDefault="00E96D9D" w:rsidP="000919B8">
      <w:pPr>
        <w:spacing w:line="240" w:lineRule="auto"/>
        <w:jc w:val="both"/>
        <w:rPr>
          <w:rFonts w:ascii="Times New Roman" w:hAnsi="Times New Roman" w:cs="Times New Roman"/>
          <w:b/>
          <w:sz w:val="24"/>
          <w:szCs w:val="24"/>
          <w:lang w:val="en-GB"/>
        </w:rPr>
      </w:pPr>
      <w:r w:rsidRPr="00E96D9D">
        <w:rPr>
          <w:rFonts w:ascii="Times New Roman" w:hAnsi="Times New Roman" w:cs="Times New Roman"/>
          <w:b/>
          <w:sz w:val="24"/>
          <w:szCs w:val="24"/>
          <w:lang w:val="en-GB"/>
        </w:rPr>
        <w:t>High energy costs in Europe are an obstacle to growth, while lack of generation and grid capacity could impede the spread of digital tech and transport electrification</w:t>
      </w:r>
      <w:r>
        <w:rPr>
          <w:rFonts w:ascii="Times New Roman" w:hAnsi="Times New Roman" w:cs="Times New Roman"/>
          <w:b/>
          <w:sz w:val="24"/>
          <w:szCs w:val="24"/>
          <w:lang w:val="en-GB"/>
        </w:rPr>
        <w:t>…</w:t>
      </w:r>
    </w:p>
    <w:p w:rsidR="00E96D9D" w:rsidRDefault="00E96D9D" w:rsidP="000919B8">
      <w:pPr>
        <w:spacing w:line="240" w:lineRule="auto"/>
        <w:jc w:val="both"/>
        <w:rPr>
          <w:rFonts w:ascii="Times New Roman" w:hAnsi="Times New Roman" w:cs="Times New Roman"/>
          <w:b/>
          <w:sz w:val="24"/>
          <w:szCs w:val="24"/>
          <w:lang w:val="en-GB"/>
        </w:rPr>
      </w:pPr>
      <w:r w:rsidRPr="00E96D9D">
        <w:rPr>
          <w:rFonts w:ascii="Times New Roman" w:hAnsi="Times New Roman" w:cs="Times New Roman"/>
          <w:b/>
          <w:noProof/>
          <w:sz w:val="24"/>
          <w:szCs w:val="24"/>
          <w:lang w:eastAsia="es-ES"/>
        </w:rPr>
        <w:drawing>
          <wp:inline distT="0" distB="0" distL="0" distR="0" wp14:anchorId="1023484C" wp14:editId="76975AD7">
            <wp:extent cx="5734050" cy="28829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2881623"/>
                    </a:xfrm>
                    <a:prstGeom prst="rect">
                      <a:avLst/>
                    </a:prstGeom>
                  </pic:spPr>
                </pic:pic>
              </a:graphicData>
            </a:graphic>
          </wp:inline>
        </w:drawing>
      </w:r>
    </w:p>
    <w:p w:rsidR="00E96D9D" w:rsidRPr="003F20F2" w:rsidRDefault="00E96D9D" w:rsidP="000919B8">
      <w:pPr>
        <w:spacing w:line="240" w:lineRule="auto"/>
        <w:jc w:val="both"/>
        <w:rPr>
          <w:rFonts w:ascii="Times New Roman" w:hAnsi="Times New Roman" w:cs="Times New Roman"/>
          <w:b/>
          <w:sz w:val="24"/>
          <w:szCs w:val="24"/>
          <w:lang w:val="en-GB"/>
        </w:rPr>
      </w:pPr>
      <w:r w:rsidRPr="003F20F2">
        <w:rPr>
          <w:rFonts w:ascii="Times New Roman" w:hAnsi="Times New Roman" w:cs="Times New Roman"/>
          <w:b/>
          <w:sz w:val="24"/>
          <w:szCs w:val="24"/>
          <w:lang w:val="en-GB"/>
        </w:rPr>
        <w:t>The EU’s decarbonisation goals are also more ambitious than its competitors’, creating additional short term costs for European industry…</w:t>
      </w:r>
    </w:p>
    <w:p w:rsidR="00E96D9D" w:rsidRPr="003F20F2" w:rsidRDefault="00E96D9D" w:rsidP="000919B8">
      <w:pPr>
        <w:spacing w:line="240" w:lineRule="auto"/>
        <w:jc w:val="both"/>
        <w:rPr>
          <w:rFonts w:ascii="Times New Roman" w:hAnsi="Times New Roman" w:cs="Times New Roman"/>
          <w:b/>
          <w:sz w:val="24"/>
          <w:szCs w:val="24"/>
          <w:lang w:val="en-GB"/>
        </w:rPr>
      </w:pPr>
      <w:r w:rsidRPr="003F20F2">
        <w:rPr>
          <w:rFonts w:ascii="Times New Roman" w:hAnsi="Times New Roman" w:cs="Times New Roman"/>
          <w:b/>
          <w:sz w:val="24"/>
          <w:szCs w:val="24"/>
          <w:lang w:val="en-GB"/>
        </w:rPr>
        <w:t>Decarbonisation offers an opportunity for Europe to lower energy prices and take the lead in clean technologies (“clean tech”), while also becoming more energy secure…</w:t>
      </w:r>
    </w:p>
    <w:p w:rsidR="00E96D9D" w:rsidRDefault="003F20F2" w:rsidP="000919B8">
      <w:pPr>
        <w:spacing w:line="240" w:lineRule="auto"/>
        <w:jc w:val="both"/>
        <w:rPr>
          <w:lang w:val="en-GB"/>
        </w:rPr>
      </w:pPr>
      <w:r w:rsidRPr="003F20F2">
        <w:rPr>
          <w:noProof/>
          <w:lang w:eastAsia="es-ES"/>
        </w:rPr>
        <w:drawing>
          <wp:inline distT="0" distB="0" distL="0" distR="0" wp14:anchorId="18CA224B" wp14:editId="117B17A1">
            <wp:extent cx="5727699" cy="3143250"/>
            <wp:effectExtent l="0" t="0" r="698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27699" cy="3143250"/>
                    </a:xfrm>
                    <a:prstGeom prst="rect">
                      <a:avLst/>
                    </a:prstGeom>
                  </pic:spPr>
                </pic:pic>
              </a:graphicData>
            </a:graphic>
          </wp:inline>
        </w:drawing>
      </w:r>
    </w:p>
    <w:p w:rsidR="003F20F2" w:rsidRPr="00F744D5" w:rsidRDefault="003F20F2" w:rsidP="000919B8">
      <w:pPr>
        <w:spacing w:line="240" w:lineRule="auto"/>
        <w:jc w:val="both"/>
        <w:rPr>
          <w:rFonts w:ascii="Times New Roman" w:hAnsi="Times New Roman" w:cs="Times New Roman"/>
          <w:b/>
          <w:sz w:val="24"/>
          <w:szCs w:val="24"/>
          <w:lang w:val="en-GB"/>
        </w:rPr>
      </w:pPr>
      <w:r w:rsidRPr="00F744D5">
        <w:rPr>
          <w:rFonts w:ascii="Times New Roman" w:hAnsi="Times New Roman" w:cs="Times New Roman"/>
          <w:b/>
          <w:sz w:val="24"/>
          <w:szCs w:val="24"/>
          <w:lang w:val="en-GB"/>
        </w:rPr>
        <w:lastRenderedPageBreak/>
        <w:t>However, it is not guaranteed that EU demand for clean tech will be met by EU supply given increasing Chinese capacity and scale…</w:t>
      </w:r>
    </w:p>
    <w:p w:rsidR="003F20F2" w:rsidRPr="003F20F2" w:rsidRDefault="00F744D5" w:rsidP="000919B8">
      <w:pPr>
        <w:spacing w:line="240" w:lineRule="auto"/>
        <w:jc w:val="both"/>
        <w:rPr>
          <w:lang w:val="en-GB"/>
        </w:rPr>
      </w:pPr>
      <w:r w:rsidRPr="00F744D5">
        <w:rPr>
          <w:noProof/>
          <w:lang w:eastAsia="es-ES"/>
        </w:rPr>
        <w:drawing>
          <wp:inline distT="0" distB="0" distL="0" distR="0" wp14:anchorId="6047FCD3" wp14:editId="55FB83B2">
            <wp:extent cx="5731510" cy="3252754"/>
            <wp:effectExtent l="0" t="0" r="2540" b="508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3252754"/>
                    </a:xfrm>
                    <a:prstGeom prst="rect">
                      <a:avLst/>
                    </a:prstGeom>
                  </pic:spPr>
                </pic:pic>
              </a:graphicData>
            </a:graphic>
          </wp:inline>
        </w:drawing>
      </w:r>
    </w:p>
    <w:p w:rsidR="00E96D9D" w:rsidRPr="00F744D5" w:rsidRDefault="00F744D5" w:rsidP="000919B8">
      <w:pPr>
        <w:spacing w:line="240" w:lineRule="auto"/>
        <w:jc w:val="both"/>
        <w:rPr>
          <w:rFonts w:ascii="Times New Roman" w:hAnsi="Times New Roman" w:cs="Times New Roman"/>
          <w:b/>
          <w:sz w:val="24"/>
          <w:szCs w:val="24"/>
          <w:lang w:val="en-GB"/>
        </w:rPr>
      </w:pPr>
      <w:r w:rsidRPr="00F744D5">
        <w:rPr>
          <w:rFonts w:ascii="Times New Roman" w:hAnsi="Times New Roman" w:cs="Times New Roman"/>
          <w:b/>
          <w:sz w:val="24"/>
          <w:szCs w:val="24"/>
          <w:lang w:val="en-GB"/>
        </w:rPr>
        <w:t>Europe must confront some fundamental choices about how to pursue its decarbonisation path while preserving the competitive position of its industry…</w:t>
      </w:r>
    </w:p>
    <w:p w:rsidR="00F744D5" w:rsidRDefault="00F744D5" w:rsidP="000919B8">
      <w:pPr>
        <w:spacing w:line="240" w:lineRule="auto"/>
        <w:jc w:val="both"/>
        <w:rPr>
          <w:rFonts w:ascii="Times New Roman" w:hAnsi="Times New Roman" w:cs="Times New Roman"/>
          <w:sz w:val="24"/>
          <w:szCs w:val="24"/>
          <w:lang w:val="en-GB"/>
        </w:rPr>
      </w:pPr>
      <w:r w:rsidRPr="00F744D5">
        <w:rPr>
          <w:rFonts w:ascii="Times New Roman" w:hAnsi="Times New Roman" w:cs="Times New Roman"/>
          <w:b/>
          <w:sz w:val="24"/>
          <w:szCs w:val="24"/>
          <w:lang w:val="en-GB"/>
        </w:rPr>
        <w:t>Europe will need to deploy a mixed strategy that combines different policy tools and approaches for different industries.</w:t>
      </w:r>
      <w:r w:rsidRPr="00F744D5">
        <w:rPr>
          <w:rFonts w:ascii="Times New Roman" w:hAnsi="Times New Roman" w:cs="Times New Roman"/>
          <w:sz w:val="24"/>
          <w:szCs w:val="24"/>
          <w:lang w:val="en-GB"/>
        </w:rPr>
        <w:t xml:space="preserve"> Four different broad cases can be distinguished. First, there are some industries where Europe’s cost disadvantage is too large to be a serious competitor. Even if the EU has lost ground owing to foreign subsidies, it makes economic sense to import necessary technology and allow foreign taxpayers</w:t>
      </w:r>
      <w:r w:rsidR="004E3B41">
        <w:rPr>
          <w:rFonts w:ascii="Times New Roman" w:hAnsi="Times New Roman" w:cs="Times New Roman"/>
          <w:sz w:val="24"/>
          <w:szCs w:val="24"/>
          <w:lang w:val="en-GB"/>
        </w:rPr>
        <w:t xml:space="preserve"> to bear the costs, while diver</w:t>
      </w:r>
      <w:r w:rsidRPr="00F744D5">
        <w:rPr>
          <w:rFonts w:ascii="Times New Roman" w:hAnsi="Times New Roman" w:cs="Times New Roman"/>
          <w:sz w:val="24"/>
          <w:szCs w:val="24"/>
          <w:lang w:val="en-GB"/>
        </w:rPr>
        <w:t>sifying suppliers to the extent possible to limit dependencies. The second broad case is industries where the EU is concerned about</w:t>
      </w:r>
      <w:r>
        <w:rPr>
          <w:rFonts w:ascii="Times New Roman" w:hAnsi="Times New Roman" w:cs="Times New Roman"/>
          <w:sz w:val="24"/>
          <w:szCs w:val="24"/>
          <w:lang w:val="en-GB"/>
        </w:rPr>
        <w:t xml:space="preserve"> where production takes place -</w:t>
      </w:r>
      <w:r w:rsidRPr="00F744D5">
        <w:rPr>
          <w:rFonts w:ascii="Times New Roman" w:hAnsi="Times New Roman" w:cs="Times New Roman"/>
          <w:sz w:val="24"/>
          <w:szCs w:val="24"/>
          <w:lang w:val="en-GB"/>
        </w:rPr>
        <w:t>to protec</w:t>
      </w:r>
      <w:r>
        <w:rPr>
          <w:rFonts w:ascii="Times New Roman" w:hAnsi="Times New Roman" w:cs="Times New Roman"/>
          <w:sz w:val="24"/>
          <w:szCs w:val="24"/>
          <w:lang w:val="en-GB"/>
        </w:rPr>
        <w:t>t jobs from unfair competition-</w:t>
      </w:r>
      <w:r w:rsidRPr="00F744D5">
        <w:rPr>
          <w:rFonts w:ascii="Times New Roman" w:hAnsi="Times New Roman" w:cs="Times New Roman"/>
          <w:sz w:val="24"/>
          <w:szCs w:val="24"/>
          <w:lang w:val="en-GB"/>
        </w:rPr>
        <w:t xml:space="preserve"> but is agnostic about where the underlying technology originates from. In this case, an effective policy mix would be to encourage inward FDI while deploying trade measures to offset the cost advantage gained by foreign subsidies. With the combination of recent tariff increases and FDI announcements in some Member States, this approach is currently being de facto applied in the automotive sector. The third case is industries where the EU has a strategic interest in ensuring that European companies retain relevant know-how and manufacturing capacity, allowing production to be ramped up in the event of geopolitical tensions. Here the EU should aim to increase the long-term “bankability” of new investments in Europe, for instance by applying local-content requirements, and to ensure a minimum level of technological sovereignty. The latter can be achieved by requiring foreign companies that want to produce in Europe to enter into joint ventures with local companies. Security considerations may lead to changes over time in the classification of industries of strategic interest. The fourth case is “infant industries” where the EU has an innovative edge and sees high future growth potential. In this case, there is a well-established playbook of app</w:t>
      </w:r>
      <w:r w:rsidR="004E3B41">
        <w:rPr>
          <w:rFonts w:ascii="Times New Roman" w:hAnsi="Times New Roman" w:cs="Times New Roman"/>
          <w:sz w:val="24"/>
          <w:szCs w:val="24"/>
          <w:lang w:val="en-GB"/>
        </w:rPr>
        <w:t>lying a full range of trade-dis</w:t>
      </w:r>
      <w:r w:rsidRPr="00F744D5">
        <w:rPr>
          <w:rFonts w:ascii="Times New Roman" w:hAnsi="Times New Roman" w:cs="Times New Roman"/>
          <w:sz w:val="24"/>
          <w:szCs w:val="24"/>
          <w:lang w:val="en-GB"/>
        </w:rPr>
        <w:t>torting measures until the industry reaches sufficient scale and protections can be withdrawn.</w:t>
      </w:r>
    </w:p>
    <w:p w:rsidR="00F744D5" w:rsidRDefault="00F744D5" w:rsidP="000919B8">
      <w:pPr>
        <w:spacing w:line="240" w:lineRule="auto"/>
        <w:jc w:val="both"/>
        <w:rPr>
          <w:rFonts w:ascii="Times New Roman" w:hAnsi="Times New Roman" w:cs="Times New Roman"/>
          <w:b/>
          <w:sz w:val="24"/>
          <w:szCs w:val="24"/>
          <w:lang w:val="en-GB"/>
        </w:rPr>
      </w:pPr>
      <w:r w:rsidRPr="00F744D5">
        <w:rPr>
          <w:rFonts w:ascii="Times New Roman" w:hAnsi="Times New Roman" w:cs="Times New Roman"/>
          <w:b/>
          <w:sz w:val="24"/>
          <w:szCs w:val="24"/>
          <w:lang w:val="en-GB"/>
        </w:rPr>
        <w:t>Executing this strategy will require a joint decarbonisation and competitiveness plan where all policies are aligned behind the EU’s objectives</w:t>
      </w:r>
      <w:r>
        <w:rPr>
          <w:rFonts w:ascii="Times New Roman" w:hAnsi="Times New Roman" w:cs="Times New Roman"/>
          <w:b/>
          <w:sz w:val="24"/>
          <w:szCs w:val="24"/>
          <w:lang w:val="en-GB"/>
        </w:rPr>
        <w:t>…</w:t>
      </w:r>
    </w:p>
    <w:p w:rsidR="00F744D5" w:rsidRPr="00F744D5" w:rsidRDefault="00F744D5" w:rsidP="000919B8">
      <w:pPr>
        <w:spacing w:line="240" w:lineRule="auto"/>
        <w:jc w:val="both"/>
        <w:rPr>
          <w:rFonts w:ascii="Times New Roman" w:hAnsi="Times New Roman" w:cs="Times New Roman"/>
          <w:b/>
          <w:sz w:val="24"/>
          <w:szCs w:val="24"/>
          <w:lang w:val="en-GB"/>
        </w:rPr>
      </w:pPr>
      <w:r w:rsidRPr="00F744D5">
        <w:rPr>
          <w:rFonts w:ascii="Times New Roman" w:hAnsi="Times New Roman" w:cs="Times New Roman"/>
          <w:b/>
          <w:sz w:val="24"/>
          <w:szCs w:val="24"/>
          <w:lang w:val="en-GB"/>
        </w:rPr>
        <w:lastRenderedPageBreak/>
        <w:t xml:space="preserve">The root cause of high energy prices </w:t>
      </w:r>
    </w:p>
    <w:p w:rsidR="00F744D5" w:rsidRPr="00F744D5" w:rsidRDefault="00F744D5" w:rsidP="000919B8">
      <w:pPr>
        <w:spacing w:line="240" w:lineRule="auto"/>
        <w:jc w:val="both"/>
        <w:rPr>
          <w:rFonts w:ascii="Times New Roman" w:hAnsi="Times New Roman" w:cs="Times New Roman"/>
          <w:b/>
          <w:sz w:val="24"/>
          <w:szCs w:val="24"/>
          <w:lang w:val="en-GB"/>
        </w:rPr>
      </w:pPr>
      <w:r w:rsidRPr="00F744D5">
        <w:rPr>
          <w:rFonts w:ascii="Times New Roman" w:hAnsi="Times New Roman" w:cs="Times New Roman"/>
          <w:b/>
          <w:sz w:val="24"/>
          <w:szCs w:val="24"/>
          <w:lang w:val="en-GB"/>
        </w:rPr>
        <w:t>Structural causes are at the heart of the energy price gap and may be exacerbated by both old and new challenges…</w:t>
      </w:r>
    </w:p>
    <w:p w:rsidR="00F744D5" w:rsidRPr="00F744D5" w:rsidRDefault="00F744D5" w:rsidP="000919B8">
      <w:pPr>
        <w:spacing w:line="240" w:lineRule="auto"/>
        <w:jc w:val="both"/>
        <w:rPr>
          <w:rFonts w:ascii="Times New Roman" w:hAnsi="Times New Roman" w:cs="Times New Roman"/>
          <w:b/>
          <w:sz w:val="24"/>
          <w:szCs w:val="24"/>
          <w:lang w:val="en-GB"/>
        </w:rPr>
      </w:pPr>
      <w:r w:rsidRPr="00F744D5">
        <w:rPr>
          <w:rFonts w:ascii="Times New Roman" w:hAnsi="Times New Roman" w:cs="Times New Roman"/>
          <w:b/>
          <w:sz w:val="24"/>
          <w:szCs w:val="24"/>
          <w:lang w:val="en-GB"/>
        </w:rPr>
        <w:t>The EU is the largest global gas and LNG importer, yet its potential collective bargaining power is not being sufficiently leveraged and relies excessively on spot prices, threatening Europe with more volatile natural gas prices…</w:t>
      </w:r>
    </w:p>
    <w:p w:rsidR="00F744D5" w:rsidRPr="00F744D5" w:rsidRDefault="00F744D5" w:rsidP="000919B8">
      <w:pPr>
        <w:spacing w:line="240" w:lineRule="auto"/>
        <w:jc w:val="both"/>
        <w:rPr>
          <w:rFonts w:ascii="Times New Roman" w:hAnsi="Times New Roman" w:cs="Times New Roman"/>
          <w:b/>
          <w:sz w:val="24"/>
          <w:szCs w:val="24"/>
          <w:lang w:val="en-GB"/>
        </w:rPr>
      </w:pPr>
      <w:r w:rsidRPr="00F744D5">
        <w:rPr>
          <w:rFonts w:ascii="Times New Roman" w:hAnsi="Times New Roman" w:cs="Times New Roman"/>
          <w:b/>
          <w:sz w:val="24"/>
          <w:szCs w:val="24"/>
          <w:lang w:val="en-GB"/>
        </w:rPr>
        <w:t>Financial and behavioural aspects of gas derivative markets can exacerbate this volatility and amplify the impact of shocks…</w:t>
      </w:r>
    </w:p>
    <w:p w:rsidR="00F744D5" w:rsidRDefault="00F744D5" w:rsidP="000919B8">
      <w:pPr>
        <w:spacing w:line="240" w:lineRule="auto"/>
        <w:jc w:val="both"/>
        <w:rPr>
          <w:rFonts w:ascii="Times New Roman" w:hAnsi="Times New Roman" w:cs="Times New Roman"/>
          <w:b/>
          <w:sz w:val="24"/>
          <w:szCs w:val="24"/>
          <w:lang w:val="en-GB"/>
        </w:rPr>
      </w:pPr>
      <w:r w:rsidRPr="00F744D5">
        <w:rPr>
          <w:rFonts w:ascii="Times New Roman" w:hAnsi="Times New Roman" w:cs="Times New Roman"/>
          <w:b/>
          <w:noProof/>
          <w:sz w:val="24"/>
          <w:szCs w:val="24"/>
          <w:lang w:eastAsia="es-ES"/>
        </w:rPr>
        <w:drawing>
          <wp:inline distT="0" distB="0" distL="0" distR="0" wp14:anchorId="00A89AA7" wp14:editId="15FC5393">
            <wp:extent cx="5728896" cy="3244850"/>
            <wp:effectExtent l="0" t="0" r="5715"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3246331"/>
                    </a:xfrm>
                    <a:prstGeom prst="rect">
                      <a:avLst/>
                    </a:prstGeom>
                  </pic:spPr>
                </pic:pic>
              </a:graphicData>
            </a:graphic>
          </wp:inline>
        </w:drawing>
      </w:r>
    </w:p>
    <w:p w:rsidR="00F744D5" w:rsidRDefault="00F744D5" w:rsidP="000919B8">
      <w:pPr>
        <w:spacing w:line="240" w:lineRule="auto"/>
        <w:jc w:val="both"/>
        <w:rPr>
          <w:rFonts w:ascii="Times New Roman" w:hAnsi="Times New Roman" w:cs="Times New Roman"/>
          <w:b/>
          <w:sz w:val="24"/>
          <w:szCs w:val="24"/>
          <w:lang w:val="en-GB"/>
        </w:rPr>
      </w:pPr>
      <w:r w:rsidRPr="00F744D5">
        <w:rPr>
          <w:rFonts w:ascii="Times New Roman" w:hAnsi="Times New Roman" w:cs="Times New Roman"/>
          <w:b/>
          <w:sz w:val="24"/>
          <w:szCs w:val="24"/>
          <w:lang w:val="en-GB"/>
        </w:rPr>
        <w:t>Europe’s market rules pass on this volatility to end users and may prevent the full benefits of decarbonising power generation from reaching them</w:t>
      </w:r>
      <w:r>
        <w:rPr>
          <w:rFonts w:ascii="Times New Roman" w:hAnsi="Times New Roman" w:cs="Times New Roman"/>
          <w:b/>
          <w:sz w:val="24"/>
          <w:szCs w:val="24"/>
          <w:lang w:val="en-GB"/>
        </w:rPr>
        <w:t>…</w:t>
      </w:r>
    </w:p>
    <w:p w:rsidR="00F744D5" w:rsidRDefault="00F744D5" w:rsidP="000919B8">
      <w:pPr>
        <w:spacing w:line="240" w:lineRule="auto"/>
        <w:jc w:val="both"/>
        <w:rPr>
          <w:rFonts w:ascii="Times New Roman" w:hAnsi="Times New Roman" w:cs="Times New Roman"/>
          <w:b/>
          <w:sz w:val="24"/>
          <w:szCs w:val="24"/>
          <w:lang w:val="en-GB"/>
        </w:rPr>
      </w:pPr>
      <w:r w:rsidRPr="00F744D5">
        <w:rPr>
          <w:rFonts w:ascii="Times New Roman" w:hAnsi="Times New Roman" w:cs="Times New Roman"/>
          <w:b/>
          <w:noProof/>
          <w:sz w:val="24"/>
          <w:szCs w:val="24"/>
          <w:lang w:eastAsia="es-ES"/>
        </w:rPr>
        <w:drawing>
          <wp:inline distT="0" distB="0" distL="0" distR="0" wp14:anchorId="045C7915" wp14:editId="14CCA07D">
            <wp:extent cx="5726648" cy="3003550"/>
            <wp:effectExtent l="0" t="0" r="7620"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3006100"/>
                    </a:xfrm>
                    <a:prstGeom prst="rect">
                      <a:avLst/>
                    </a:prstGeom>
                  </pic:spPr>
                </pic:pic>
              </a:graphicData>
            </a:graphic>
          </wp:inline>
        </w:drawing>
      </w:r>
    </w:p>
    <w:p w:rsidR="00F744D5" w:rsidRDefault="00F744D5" w:rsidP="000919B8">
      <w:pPr>
        <w:spacing w:line="240" w:lineRule="auto"/>
        <w:jc w:val="both"/>
        <w:rPr>
          <w:rFonts w:ascii="Times New Roman" w:hAnsi="Times New Roman" w:cs="Times New Roman"/>
          <w:b/>
          <w:sz w:val="24"/>
          <w:szCs w:val="24"/>
          <w:lang w:val="en-GB"/>
        </w:rPr>
      </w:pPr>
      <w:r w:rsidRPr="00F744D5">
        <w:rPr>
          <w:rFonts w:ascii="Times New Roman" w:hAnsi="Times New Roman" w:cs="Times New Roman"/>
          <w:b/>
          <w:noProof/>
          <w:sz w:val="24"/>
          <w:szCs w:val="24"/>
          <w:lang w:eastAsia="es-ES"/>
        </w:rPr>
        <w:lastRenderedPageBreak/>
        <w:drawing>
          <wp:inline distT="0" distB="0" distL="0" distR="0" wp14:anchorId="2080B324" wp14:editId="3B46A4E8">
            <wp:extent cx="5731510" cy="3258878"/>
            <wp:effectExtent l="0" t="0" r="254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3258878"/>
                    </a:xfrm>
                    <a:prstGeom prst="rect">
                      <a:avLst/>
                    </a:prstGeom>
                  </pic:spPr>
                </pic:pic>
              </a:graphicData>
            </a:graphic>
          </wp:inline>
        </w:drawing>
      </w:r>
    </w:p>
    <w:p w:rsidR="00301A6D" w:rsidRPr="00301A6D" w:rsidRDefault="00301A6D" w:rsidP="000919B8">
      <w:pPr>
        <w:spacing w:line="240" w:lineRule="auto"/>
        <w:jc w:val="both"/>
        <w:rPr>
          <w:rFonts w:ascii="Times New Roman" w:hAnsi="Times New Roman" w:cs="Times New Roman"/>
          <w:b/>
          <w:sz w:val="24"/>
          <w:szCs w:val="24"/>
          <w:lang w:val="en-GB"/>
        </w:rPr>
      </w:pPr>
      <w:r w:rsidRPr="00301A6D">
        <w:rPr>
          <w:rFonts w:ascii="Times New Roman" w:hAnsi="Times New Roman" w:cs="Times New Roman"/>
          <w:b/>
          <w:sz w:val="24"/>
          <w:szCs w:val="24"/>
          <w:lang w:val="en-GB"/>
        </w:rPr>
        <w:t>A lengthy and uncertain permitting process for new power supply and grids is a major obstacle to faster installation of new capacity…</w:t>
      </w:r>
    </w:p>
    <w:p w:rsidR="00301A6D" w:rsidRDefault="00301A6D" w:rsidP="000919B8">
      <w:pPr>
        <w:spacing w:line="240" w:lineRule="auto"/>
        <w:jc w:val="both"/>
        <w:rPr>
          <w:rFonts w:ascii="Times New Roman" w:hAnsi="Times New Roman" w:cs="Times New Roman"/>
          <w:b/>
          <w:sz w:val="24"/>
          <w:szCs w:val="24"/>
          <w:lang w:val="en-GB"/>
        </w:rPr>
      </w:pPr>
      <w:r w:rsidRPr="00301A6D">
        <w:rPr>
          <w:rFonts w:ascii="Times New Roman" w:hAnsi="Times New Roman" w:cs="Times New Roman"/>
          <w:b/>
          <w:sz w:val="24"/>
          <w:szCs w:val="24"/>
          <w:lang w:val="en-GB"/>
        </w:rPr>
        <w:t>Finally, over time energy taxation has become an important source of budget revenues, contributing to higher retail prices</w:t>
      </w:r>
      <w:r>
        <w:rPr>
          <w:rFonts w:ascii="Times New Roman" w:hAnsi="Times New Roman" w:cs="Times New Roman"/>
          <w:b/>
          <w:sz w:val="24"/>
          <w:szCs w:val="24"/>
          <w:lang w:val="en-GB"/>
        </w:rPr>
        <w:t>…</w:t>
      </w:r>
    </w:p>
    <w:p w:rsidR="00301A6D" w:rsidRPr="00301A6D" w:rsidRDefault="00301A6D" w:rsidP="000919B8">
      <w:pPr>
        <w:spacing w:line="240" w:lineRule="auto"/>
        <w:jc w:val="both"/>
        <w:rPr>
          <w:rFonts w:ascii="Times New Roman" w:hAnsi="Times New Roman" w:cs="Times New Roman"/>
          <w:b/>
          <w:sz w:val="24"/>
          <w:szCs w:val="24"/>
          <w:lang w:val="en-GB"/>
        </w:rPr>
      </w:pPr>
      <w:r w:rsidRPr="00301A6D">
        <w:rPr>
          <w:rFonts w:ascii="Times New Roman" w:hAnsi="Times New Roman" w:cs="Times New Roman"/>
          <w:b/>
          <w:sz w:val="24"/>
          <w:szCs w:val="24"/>
          <w:lang w:val="en-GB"/>
        </w:rPr>
        <w:t xml:space="preserve">The threat to Europe’s clean tech sector </w:t>
      </w:r>
    </w:p>
    <w:p w:rsidR="00301A6D" w:rsidRPr="00301A6D" w:rsidRDefault="00301A6D" w:rsidP="000919B8">
      <w:pPr>
        <w:spacing w:line="240" w:lineRule="auto"/>
        <w:jc w:val="both"/>
        <w:rPr>
          <w:rFonts w:ascii="Times New Roman" w:hAnsi="Times New Roman" w:cs="Times New Roman"/>
          <w:b/>
          <w:sz w:val="24"/>
          <w:szCs w:val="24"/>
          <w:lang w:val="en-GB"/>
        </w:rPr>
      </w:pPr>
      <w:r w:rsidRPr="00301A6D">
        <w:rPr>
          <w:rFonts w:ascii="Times New Roman" w:hAnsi="Times New Roman" w:cs="Times New Roman"/>
          <w:b/>
          <w:sz w:val="24"/>
          <w:szCs w:val="24"/>
          <w:lang w:val="en-GB"/>
        </w:rPr>
        <w:t>Although Europe is a world leader in clean tech innovation, it is squandering early-stage advantages owing to the weaknesses in its innovation ecosystem…</w:t>
      </w:r>
    </w:p>
    <w:p w:rsidR="00301A6D" w:rsidRPr="00301A6D" w:rsidRDefault="00301A6D" w:rsidP="000919B8">
      <w:pPr>
        <w:spacing w:line="240" w:lineRule="auto"/>
        <w:jc w:val="both"/>
        <w:rPr>
          <w:rFonts w:ascii="Times New Roman" w:hAnsi="Times New Roman" w:cs="Times New Roman"/>
          <w:b/>
          <w:sz w:val="24"/>
          <w:szCs w:val="24"/>
          <w:lang w:val="en-GB"/>
        </w:rPr>
      </w:pPr>
      <w:r w:rsidRPr="00301A6D">
        <w:rPr>
          <w:rFonts w:ascii="Times New Roman" w:hAnsi="Times New Roman" w:cs="Times New Roman"/>
          <w:b/>
          <w:sz w:val="24"/>
          <w:szCs w:val="24"/>
          <w:lang w:val="en-GB"/>
        </w:rPr>
        <w:t>Europe’s innovation potential is not translating into manufacturing superiority for clean tech, despite the size of its domestic market…</w:t>
      </w:r>
    </w:p>
    <w:p w:rsidR="00301A6D" w:rsidRDefault="00301A6D" w:rsidP="000919B8">
      <w:pPr>
        <w:spacing w:line="240" w:lineRule="auto"/>
        <w:jc w:val="both"/>
        <w:rPr>
          <w:rFonts w:ascii="Times New Roman" w:hAnsi="Times New Roman" w:cs="Times New Roman"/>
          <w:b/>
          <w:sz w:val="24"/>
          <w:szCs w:val="24"/>
          <w:lang w:val="en-GB"/>
        </w:rPr>
      </w:pPr>
      <w:r w:rsidRPr="00301A6D">
        <w:rPr>
          <w:rFonts w:ascii="Times New Roman" w:hAnsi="Times New Roman" w:cs="Times New Roman"/>
          <w:b/>
          <w:noProof/>
          <w:sz w:val="24"/>
          <w:szCs w:val="24"/>
          <w:lang w:eastAsia="es-ES"/>
        </w:rPr>
        <w:drawing>
          <wp:inline distT="0" distB="0" distL="0" distR="0" wp14:anchorId="3A55B3F8" wp14:editId="2E3248B1">
            <wp:extent cx="5731510" cy="3189071"/>
            <wp:effectExtent l="0" t="0" r="254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3189071"/>
                    </a:xfrm>
                    <a:prstGeom prst="rect">
                      <a:avLst/>
                    </a:prstGeom>
                  </pic:spPr>
                </pic:pic>
              </a:graphicData>
            </a:graphic>
          </wp:inline>
        </w:drawing>
      </w:r>
    </w:p>
    <w:p w:rsidR="00301A6D" w:rsidRPr="00301A6D" w:rsidRDefault="00301A6D" w:rsidP="000919B8">
      <w:pPr>
        <w:spacing w:line="240" w:lineRule="auto"/>
        <w:jc w:val="both"/>
        <w:rPr>
          <w:rFonts w:ascii="Times New Roman" w:hAnsi="Times New Roman" w:cs="Times New Roman"/>
          <w:b/>
          <w:sz w:val="24"/>
          <w:szCs w:val="24"/>
          <w:lang w:val="en-GB"/>
        </w:rPr>
      </w:pPr>
      <w:r w:rsidRPr="00301A6D">
        <w:rPr>
          <w:rFonts w:ascii="Times New Roman" w:hAnsi="Times New Roman" w:cs="Times New Roman"/>
          <w:b/>
          <w:sz w:val="24"/>
          <w:szCs w:val="24"/>
          <w:lang w:val="en-GB"/>
        </w:rPr>
        <w:lastRenderedPageBreak/>
        <w:t>The threat to Europe’s position in clean tech owes mainly to a lack of an industrial strategy equivalent to other major regions…</w:t>
      </w:r>
    </w:p>
    <w:p w:rsidR="00301A6D" w:rsidRPr="00301A6D" w:rsidRDefault="00301A6D" w:rsidP="000919B8">
      <w:pPr>
        <w:spacing w:line="240" w:lineRule="auto"/>
        <w:jc w:val="both"/>
        <w:rPr>
          <w:rFonts w:ascii="Times New Roman" w:hAnsi="Times New Roman" w:cs="Times New Roman"/>
          <w:b/>
          <w:sz w:val="24"/>
          <w:szCs w:val="24"/>
          <w:lang w:val="en-GB"/>
        </w:rPr>
      </w:pPr>
      <w:r w:rsidRPr="00301A6D">
        <w:rPr>
          <w:rFonts w:ascii="Times New Roman" w:hAnsi="Times New Roman" w:cs="Times New Roman"/>
          <w:b/>
          <w:sz w:val="24"/>
          <w:szCs w:val="24"/>
          <w:lang w:val="en-GB"/>
        </w:rPr>
        <w:t>The EU’s improving outlook for its battery industry demonstrates that a focused policy effort can succeed, even if non-EU players may benefit most…</w:t>
      </w:r>
    </w:p>
    <w:p w:rsidR="00301A6D" w:rsidRPr="00301A6D" w:rsidRDefault="00301A6D" w:rsidP="000919B8">
      <w:pPr>
        <w:spacing w:line="240" w:lineRule="auto"/>
        <w:jc w:val="both"/>
        <w:rPr>
          <w:rFonts w:ascii="Times New Roman" w:hAnsi="Times New Roman" w:cs="Times New Roman"/>
          <w:b/>
          <w:sz w:val="24"/>
          <w:szCs w:val="24"/>
          <w:lang w:val="en-GB"/>
        </w:rPr>
      </w:pPr>
      <w:r w:rsidRPr="00301A6D">
        <w:rPr>
          <w:rFonts w:ascii="Times New Roman" w:hAnsi="Times New Roman" w:cs="Times New Roman"/>
          <w:b/>
          <w:sz w:val="24"/>
          <w:szCs w:val="24"/>
          <w:lang w:val="en-GB"/>
        </w:rPr>
        <w:t xml:space="preserve">The challenges of asymmetric decarbonisation </w:t>
      </w:r>
    </w:p>
    <w:p w:rsidR="00301A6D" w:rsidRPr="00301A6D" w:rsidRDefault="00301A6D" w:rsidP="000919B8">
      <w:pPr>
        <w:spacing w:line="240" w:lineRule="auto"/>
        <w:jc w:val="both"/>
        <w:rPr>
          <w:rFonts w:ascii="Times New Roman" w:hAnsi="Times New Roman" w:cs="Times New Roman"/>
          <w:sz w:val="24"/>
          <w:szCs w:val="24"/>
          <w:lang w:val="en-GB"/>
        </w:rPr>
      </w:pPr>
      <w:r w:rsidRPr="00301A6D">
        <w:rPr>
          <w:rFonts w:ascii="Times New Roman" w:hAnsi="Times New Roman" w:cs="Times New Roman"/>
          <w:b/>
          <w:sz w:val="24"/>
          <w:szCs w:val="24"/>
          <w:lang w:val="en-GB"/>
        </w:rPr>
        <w:t>“Hard-to-abate” industries are suffering not only from high energy prices, but also from lack of public support to reach decarbonisation targets and investment in sustainable fuels</w:t>
      </w:r>
      <w:r w:rsidRPr="00301A6D">
        <w:rPr>
          <w:rFonts w:ascii="Times New Roman" w:hAnsi="Times New Roman" w:cs="Times New Roman"/>
          <w:sz w:val="24"/>
          <w:szCs w:val="24"/>
          <w:lang w:val="en-GB"/>
        </w:rPr>
        <w:t>. Despite the massive investment needs facing Energy Intensive Industries (EIIs), and the challenging business case for investment in “hard-to-abate” sectors, there is limited public support for the transition in Europe. Only a residual share of current ETS resources is earmarked to EIIs, with priority given to residential efficiency, renewables development or, recently, lowering energy bills. While EIIs in other regions face neither the same decarbonisation targets nor require similar investments, they benefit from more generous state support. China, for example, provides over 90% of the global USD 70 billion subsidies in the aluminium sector, as well as large subsidies for steel. Decarbonisation is also a competitive disadvantage for the “hardest-to-abate” parts of the transport sector (aviation and maritime). Extra-EU flights and sea journeys are partly excluded from the ETS, meaning the prices of these journeys do not yet reflect their climate impact. Consequently, there is a risk of carbon leakage and business diversion from transport hubs in the EU to those in the EU’s neighbourhood, unless effective solutions for ensuring a level playing field are found at the international level. At the same time, although low-carbon fuels will be critical for the decarbonisation of these industries, ramping up the marginal production capacity that exists today is challenging. In particular, the EU needs to start building a supply chain for alternative fuels, or the costs of meeting its targets will be significant.</w:t>
      </w:r>
    </w:p>
    <w:p w:rsidR="00301A6D" w:rsidRPr="00301A6D" w:rsidRDefault="00301A6D" w:rsidP="000919B8">
      <w:pPr>
        <w:spacing w:line="240" w:lineRule="auto"/>
        <w:jc w:val="both"/>
        <w:rPr>
          <w:rFonts w:ascii="Times New Roman" w:hAnsi="Times New Roman" w:cs="Times New Roman"/>
          <w:b/>
          <w:sz w:val="24"/>
          <w:szCs w:val="24"/>
          <w:lang w:val="en-GB"/>
        </w:rPr>
      </w:pPr>
      <w:r w:rsidRPr="00301A6D">
        <w:rPr>
          <w:rFonts w:ascii="Times New Roman" w:hAnsi="Times New Roman" w:cs="Times New Roman"/>
          <w:b/>
          <w:sz w:val="24"/>
          <w:szCs w:val="24"/>
          <w:lang w:val="en-GB"/>
        </w:rPr>
        <w:t>Overall, transport can play a critical role in the decarbonisation of the EU economy, but whether it proves to be an opportunity for Europe depends on planning…</w:t>
      </w:r>
    </w:p>
    <w:p w:rsidR="00301A6D" w:rsidRPr="00301A6D" w:rsidRDefault="00301A6D" w:rsidP="000919B8">
      <w:pPr>
        <w:spacing w:line="240" w:lineRule="auto"/>
        <w:jc w:val="both"/>
        <w:rPr>
          <w:lang w:val="en-GB"/>
        </w:rPr>
      </w:pPr>
      <w:r w:rsidRPr="00301A6D">
        <w:rPr>
          <w:noProof/>
          <w:lang w:eastAsia="es-ES"/>
        </w:rPr>
        <w:drawing>
          <wp:inline distT="0" distB="0" distL="0" distR="0" wp14:anchorId="71E5359C" wp14:editId="0D864282">
            <wp:extent cx="5731510" cy="3031699"/>
            <wp:effectExtent l="0" t="0" r="254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3031699"/>
                    </a:xfrm>
                    <a:prstGeom prst="rect">
                      <a:avLst/>
                    </a:prstGeom>
                  </pic:spPr>
                </pic:pic>
              </a:graphicData>
            </a:graphic>
          </wp:inline>
        </w:drawing>
      </w:r>
    </w:p>
    <w:p w:rsidR="00301A6D" w:rsidRDefault="00301A6D" w:rsidP="000919B8">
      <w:pPr>
        <w:spacing w:line="240" w:lineRule="auto"/>
        <w:jc w:val="both"/>
        <w:rPr>
          <w:rFonts w:ascii="Times New Roman" w:hAnsi="Times New Roman" w:cs="Times New Roman"/>
          <w:sz w:val="24"/>
          <w:szCs w:val="24"/>
          <w:lang w:val="en-GB"/>
        </w:rPr>
      </w:pPr>
      <w:r w:rsidRPr="00301A6D">
        <w:rPr>
          <w:rFonts w:ascii="Times New Roman" w:hAnsi="Times New Roman" w:cs="Times New Roman"/>
          <w:b/>
          <w:sz w:val="24"/>
          <w:szCs w:val="24"/>
          <w:lang w:val="en-GB"/>
        </w:rPr>
        <w:t xml:space="preserve">The automotive sector is a key example of lack of EU planning, applying a </w:t>
      </w:r>
      <w:r>
        <w:rPr>
          <w:rFonts w:ascii="Times New Roman" w:hAnsi="Times New Roman" w:cs="Times New Roman"/>
          <w:b/>
          <w:sz w:val="24"/>
          <w:szCs w:val="24"/>
          <w:lang w:val="en-GB"/>
        </w:rPr>
        <w:t>climate policy without an indus</w:t>
      </w:r>
      <w:r w:rsidRPr="00301A6D">
        <w:rPr>
          <w:rFonts w:ascii="Times New Roman" w:hAnsi="Times New Roman" w:cs="Times New Roman"/>
          <w:b/>
          <w:sz w:val="24"/>
          <w:szCs w:val="24"/>
          <w:lang w:val="en-GB"/>
        </w:rPr>
        <w:t>trial policy</w:t>
      </w:r>
      <w:r>
        <w:rPr>
          <w:rFonts w:ascii="Times New Roman" w:hAnsi="Times New Roman" w:cs="Times New Roman"/>
          <w:sz w:val="24"/>
          <w:szCs w:val="24"/>
          <w:lang w:val="en-GB"/>
        </w:rPr>
        <w:t xml:space="preserve">. </w:t>
      </w:r>
      <w:r w:rsidRPr="00301A6D">
        <w:rPr>
          <w:rFonts w:ascii="Times New Roman" w:hAnsi="Times New Roman" w:cs="Times New Roman"/>
          <w:sz w:val="24"/>
          <w:szCs w:val="24"/>
          <w:lang w:val="en-GB"/>
        </w:rPr>
        <w:t xml:space="preserve">The technology neutrality principle has not always been </w:t>
      </w:r>
      <w:r w:rsidRPr="00301A6D">
        <w:rPr>
          <w:rFonts w:ascii="Times New Roman" w:hAnsi="Times New Roman" w:cs="Times New Roman"/>
          <w:sz w:val="24"/>
          <w:szCs w:val="24"/>
          <w:lang w:val="en-GB"/>
        </w:rPr>
        <w:lastRenderedPageBreak/>
        <w:t>applied in the automotive sector. The ambitious target of zero tailpipe emissions by 2035 will lead to a de facto phasing out of new registrations of vehicles with internal combustion engines and the rapid market penetration of EVs. Yet, the EU has not followed up these ambitions with a synchronised push to convert the supply chain. For example, the Commission only launched the European Battery Alliance to build a battery value chain in Europe in 2017, while Europe as a whole is far behind on installing charging infrastructure. China, by contrast, has been focusing on the full EV supply chain since 2012 and, as a result, it has moved faster and at a larger scale and is now one generation ahead in EV technology in virtually all domains, while also producing at lower cost. European companies are already losing market share and this trend may accelerate as shipping bottlenecks are overcome [see Figure 9]. Chinese carmakers’ market share for EVs in Europe rose from 5% in 2015 to almost 15% in 2023, while the share of European carmakers in the European EV market fell from 80% to 60%</w:t>
      </w:r>
      <w:r w:rsidR="00DF362F">
        <w:rPr>
          <w:rFonts w:ascii="Times New Roman" w:hAnsi="Times New Roman" w:cs="Times New Roman"/>
          <w:sz w:val="24"/>
          <w:szCs w:val="24"/>
          <w:lang w:val="en-GB"/>
        </w:rPr>
        <w:t>.</w:t>
      </w:r>
    </w:p>
    <w:p w:rsidR="00DF362F" w:rsidRDefault="00DF362F" w:rsidP="000919B8">
      <w:pPr>
        <w:spacing w:line="240" w:lineRule="auto"/>
        <w:jc w:val="both"/>
        <w:rPr>
          <w:rFonts w:ascii="Times New Roman" w:hAnsi="Times New Roman" w:cs="Times New Roman"/>
          <w:b/>
          <w:sz w:val="24"/>
          <w:szCs w:val="24"/>
          <w:lang w:val="en-GB"/>
        </w:rPr>
      </w:pPr>
      <w:r w:rsidRPr="00DF362F">
        <w:rPr>
          <w:rFonts w:ascii="Times New Roman" w:hAnsi="Times New Roman" w:cs="Times New Roman"/>
          <w:b/>
          <w:noProof/>
          <w:sz w:val="24"/>
          <w:szCs w:val="24"/>
          <w:lang w:eastAsia="es-ES"/>
        </w:rPr>
        <w:drawing>
          <wp:inline distT="0" distB="0" distL="0" distR="0" wp14:anchorId="14370534" wp14:editId="33A08C48">
            <wp:extent cx="5729552" cy="2965450"/>
            <wp:effectExtent l="0" t="0" r="5080" b="635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2966463"/>
                    </a:xfrm>
                    <a:prstGeom prst="rect">
                      <a:avLst/>
                    </a:prstGeom>
                  </pic:spPr>
                </pic:pic>
              </a:graphicData>
            </a:graphic>
          </wp:inline>
        </w:drawing>
      </w:r>
    </w:p>
    <w:p w:rsidR="00DF362F" w:rsidRPr="00DF362F" w:rsidRDefault="00DF362F" w:rsidP="000919B8">
      <w:pPr>
        <w:spacing w:line="240" w:lineRule="auto"/>
        <w:jc w:val="both"/>
        <w:rPr>
          <w:rFonts w:ascii="Times New Roman" w:hAnsi="Times New Roman" w:cs="Times New Roman"/>
          <w:b/>
          <w:sz w:val="24"/>
          <w:szCs w:val="24"/>
          <w:lang w:val="en-GB"/>
        </w:rPr>
      </w:pPr>
      <w:r w:rsidRPr="00DF362F">
        <w:rPr>
          <w:rFonts w:ascii="Times New Roman" w:hAnsi="Times New Roman" w:cs="Times New Roman"/>
          <w:b/>
          <w:sz w:val="24"/>
          <w:szCs w:val="24"/>
          <w:lang w:val="en-GB"/>
        </w:rPr>
        <w:t xml:space="preserve">A joint plan for decarbonisation and competitiveness </w:t>
      </w:r>
    </w:p>
    <w:p w:rsidR="00DF362F" w:rsidRPr="00DF362F" w:rsidRDefault="00DF362F" w:rsidP="000919B8">
      <w:pPr>
        <w:spacing w:line="240" w:lineRule="auto"/>
        <w:jc w:val="both"/>
        <w:rPr>
          <w:rFonts w:ascii="Times New Roman" w:hAnsi="Times New Roman" w:cs="Times New Roman"/>
          <w:b/>
          <w:sz w:val="24"/>
          <w:szCs w:val="24"/>
          <w:lang w:val="en-GB"/>
        </w:rPr>
      </w:pPr>
      <w:r w:rsidRPr="00DF362F">
        <w:rPr>
          <w:rFonts w:ascii="Times New Roman" w:hAnsi="Times New Roman" w:cs="Times New Roman"/>
          <w:b/>
          <w:sz w:val="24"/>
          <w:szCs w:val="24"/>
          <w:lang w:val="en-GB"/>
        </w:rPr>
        <w:t>The first key goal for the energy sector is to lower the cost of energy for end users by transferring the benefits of the decarbonisation…</w:t>
      </w:r>
    </w:p>
    <w:p w:rsidR="00DF362F" w:rsidRPr="00DF362F" w:rsidRDefault="00DF362F" w:rsidP="000919B8">
      <w:pPr>
        <w:spacing w:line="240" w:lineRule="auto"/>
        <w:jc w:val="both"/>
        <w:rPr>
          <w:rFonts w:ascii="Times New Roman" w:hAnsi="Times New Roman" w:cs="Times New Roman"/>
          <w:b/>
          <w:sz w:val="24"/>
          <w:szCs w:val="24"/>
          <w:lang w:val="en-GB"/>
        </w:rPr>
      </w:pPr>
      <w:r w:rsidRPr="00DF362F">
        <w:rPr>
          <w:rFonts w:ascii="Times New Roman" w:hAnsi="Times New Roman" w:cs="Times New Roman"/>
          <w:b/>
          <w:sz w:val="24"/>
          <w:szCs w:val="24"/>
          <w:lang w:val="en-GB"/>
        </w:rPr>
        <w:t>At the same time, transferring the benefits of decarbonisation requires policies to better decouple the price of natural gas from clean energy…</w:t>
      </w:r>
    </w:p>
    <w:p w:rsidR="00DF362F" w:rsidRPr="00DF362F" w:rsidRDefault="00DF362F" w:rsidP="000919B8">
      <w:pPr>
        <w:spacing w:line="240" w:lineRule="auto"/>
        <w:jc w:val="both"/>
        <w:rPr>
          <w:rFonts w:ascii="Times New Roman" w:hAnsi="Times New Roman" w:cs="Times New Roman"/>
          <w:b/>
          <w:sz w:val="24"/>
          <w:szCs w:val="24"/>
          <w:lang w:val="en-GB"/>
        </w:rPr>
      </w:pPr>
      <w:r w:rsidRPr="00DF362F">
        <w:rPr>
          <w:rFonts w:ascii="Times New Roman" w:hAnsi="Times New Roman" w:cs="Times New Roman"/>
          <w:b/>
          <w:sz w:val="24"/>
          <w:szCs w:val="24"/>
          <w:lang w:val="en-GB"/>
        </w:rPr>
        <w:t>The second key goal is to accelerate decarbonisation in a cost-efficient way, leveraging all available solutions through a technology-neutral approach…</w:t>
      </w:r>
    </w:p>
    <w:p w:rsidR="00DF362F" w:rsidRPr="00DF362F" w:rsidRDefault="00DF362F" w:rsidP="000919B8">
      <w:pPr>
        <w:spacing w:line="240" w:lineRule="auto"/>
        <w:jc w:val="both"/>
        <w:rPr>
          <w:rFonts w:ascii="Times New Roman" w:hAnsi="Times New Roman" w:cs="Times New Roman"/>
          <w:b/>
          <w:sz w:val="24"/>
          <w:szCs w:val="24"/>
          <w:lang w:val="en-GB"/>
        </w:rPr>
      </w:pPr>
      <w:r w:rsidRPr="00DF362F">
        <w:rPr>
          <w:rFonts w:ascii="Times New Roman" w:hAnsi="Times New Roman" w:cs="Times New Roman"/>
          <w:b/>
          <w:sz w:val="24"/>
          <w:szCs w:val="24"/>
          <w:lang w:val="en-GB"/>
        </w:rPr>
        <w:t>A central element in accelerating decarbonisation will be unlocking the potential of clean energy through a collective EU focus on grids…</w:t>
      </w:r>
    </w:p>
    <w:p w:rsidR="00DF362F" w:rsidRPr="00DF362F" w:rsidRDefault="00DF362F" w:rsidP="000919B8">
      <w:pPr>
        <w:spacing w:line="240" w:lineRule="auto"/>
        <w:jc w:val="both"/>
        <w:rPr>
          <w:rFonts w:ascii="Times New Roman" w:hAnsi="Times New Roman" w:cs="Times New Roman"/>
          <w:b/>
          <w:sz w:val="24"/>
          <w:szCs w:val="24"/>
          <w:lang w:val="en-GB"/>
        </w:rPr>
      </w:pPr>
      <w:r w:rsidRPr="00DF362F">
        <w:rPr>
          <w:rFonts w:ascii="Times New Roman" w:hAnsi="Times New Roman" w:cs="Times New Roman"/>
          <w:b/>
          <w:sz w:val="24"/>
          <w:szCs w:val="24"/>
          <w:lang w:val="en-GB"/>
        </w:rPr>
        <w:t>In parallel, the EU should develop the governance needed for a genuine Energy Union so that decisions and market functions of cross-border relevance are taken centrally…</w:t>
      </w:r>
    </w:p>
    <w:p w:rsidR="00DF362F" w:rsidRPr="00DF362F" w:rsidRDefault="00DF362F" w:rsidP="000919B8">
      <w:pPr>
        <w:spacing w:line="240" w:lineRule="auto"/>
        <w:jc w:val="both"/>
        <w:rPr>
          <w:rFonts w:ascii="Times New Roman" w:hAnsi="Times New Roman" w:cs="Times New Roman"/>
          <w:b/>
          <w:sz w:val="24"/>
          <w:szCs w:val="24"/>
          <w:lang w:val="en-GB"/>
        </w:rPr>
      </w:pPr>
      <w:r w:rsidRPr="00DF362F">
        <w:rPr>
          <w:rFonts w:ascii="Times New Roman" w:hAnsi="Times New Roman" w:cs="Times New Roman"/>
          <w:b/>
          <w:sz w:val="24"/>
          <w:szCs w:val="24"/>
          <w:lang w:val="en-GB"/>
        </w:rPr>
        <w:t>While “hard-to-abate” industries will benefit from lower energy prices, the EU should take a pragmatic approach to decarbonisation to mitigate potential trade-offs</w:t>
      </w:r>
      <w:r w:rsidR="00A021C8">
        <w:rPr>
          <w:rFonts w:ascii="Times New Roman" w:hAnsi="Times New Roman" w:cs="Times New Roman"/>
          <w:b/>
          <w:sz w:val="24"/>
          <w:szCs w:val="24"/>
          <w:lang w:val="en-GB"/>
        </w:rPr>
        <w:t>…</w:t>
      </w:r>
    </w:p>
    <w:p w:rsidR="00DF362F" w:rsidRPr="00DF362F" w:rsidRDefault="00DF362F" w:rsidP="000919B8">
      <w:pPr>
        <w:spacing w:line="240" w:lineRule="auto"/>
        <w:jc w:val="both"/>
        <w:rPr>
          <w:rFonts w:ascii="Times New Roman" w:hAnsi="Times New Roman" w:cs="Times New Roman"/>
          <w:b/>
          <w:sz w:val="24"/>
          <w:szCs w:val="24"/>
          <w:lang w:val="en-GB"/>
        </w:rPr>
      </w:pPr>
      <w:r w:rsidRPr="00DF362F">
        <w:rPr>
          <w:rFonts w:ascii="Times New Roman" w:hAnsi="Times New Roman" w:cs="Times New Roman"/>
          <w:b/>
          <w:sz w:val="24"/>
          <w:szCs w:val="24"/>
          <w:lang w:val="en-GB"/>
        </w:rPr>
        <w:lastRenderedPageBreak/>
        <w:t>To capitalise on the decarbonisation push, Europe should refocus its</w:t>
      </w:r>
      <w:r w:rsidR="004E3B41">
        <w:rPr>
          <w:rFonts w:ascii="Times New Roman" w:hAnsi="Times New Roman" w:cs="Times New Roman"/>
          <w:b/>
          <w:sz w:val="24"/>
          <w:szCs w:val="24"/>
          <w:lang w:val="en-GB"/>
        </w:rPr>
        <w:t xml:space="preserve"> support for clean tech manufac</w:t>
      </w:r>
      <w:r w:rsidRPr="00DF362F">
        <w:rPr>
          <w:rFonts w:ascii="Times New Roman" w:hAnsi="Times New Roman" w:cs="Times New Roman"/>
          <w:b/>
          <w:sz w:val="24"/>
          <w:szCs w:val="24"/>
          <w:lang w:val="en-GB"/>
        </w:rPr>
        <w:t>turing, focusing on technologies where it either has a lead or where there is a strategic case for developing domestic capacity…</w:t>
      </w:r>
    </w:p>
    <w:p w:rsidR="00DF362F" w:rsidRPr="00DF362F" w:rsidRDefault="00DF362F" w:rsidP="000919B8">
      <w:pPr>
        <w:spacing w:line="240" w:lineRule="auto"/>
        <w:jc w:val="both"/>
        <w:rPr>
          <w:rFonts w:ascii="Times New Roman" w:hAnsi="Times New Roman" w:cs="Times New Roman"/>
          <w:b/>
          <w:sz w:val="24"/>
          <w:szCs w:val="24"/>
          <w:lang w:val="en-GB"/>
        </w:rPr>
      </w:pPr>
      <w:r w:rsidRPr="00DF362F">
        <w:rPr>
          <w:rFonts w:ascii="Times New Roman" w:hAnsi="Times New Roman" w:cs="Times New Roman"/>
          <w:b/>
          <w:sz w:val="24"/>
          <w:szCs w:val="24"/>
          <w:lang w:val="en-GB"/>
        </w:rPr>
        <w:t>Trade policy will be fundamental to combine decarbonisation with competitiveness, securing supply chains, growing new markets and offsetting state-sponsored competition…</w:t>
      </w:r>
    </w:p>
    <w:p w:rsidR="00DF362F" w:rsidRPr="00DF362F" w:rsidRDefault="00DF362F" w:rsidP="000919B8">
      <w:pPr>
        <w:spacing w:line="240" w:lineRule="auto"/>
        <w:jc w:val="both"/>
        <w:rPr>
          <w:rFonts w:ascii="Times New Roman" w:hAnsi="Times New Roman" w:cs="Times New Roman"/>
          <w:b/>
          <w:sz w:val="24"/>
          <w:szCs w:val="24"/>
          <w:lang w:val="en-GB"/>
        </w:rPr>
      </w:pPr>
      <w:r w:rsidRPr="00DF362F">
        <w:rPr>
          <w:rFonts w:ascii="Times New Roman" w:hAnsi="Times New Roman" w:cs="Times New Roman"/>
          <w:b/>
          <w:sz w:val="24"/>
          <w:szCs w:val="24"/>
          <w:lang w:val="en-GB"/>
        </w:rPr>
        <w:t>As part of its decarbonisation strategy, the EU should develop an industrial action plan for the automotive sector…</w:t>
      </w:r>
    </w:p>
    <w:p w:rsidR="00DF362F" w:rsidRPr="00DF362F" w:rsidRDefault="00DF362F" w:rsidP="000919B8">
      <w:pPr>
        <w:spacing w:line="240" w:lineRule="auto"/>
        <w:jc w:val="both"/>
        <w:rPr>
          <w:rFonts w:ascii="Times New Roman" w:hAnsi="Times New Roman" w:cs="Times New Roman"/>
          <w:b/>
          <w:sz w:val="24"/>
          <w:szCs w:val="24"/>
          <w:lang w:val="en-GB"/>
        </w:rPr>
      </w:pPr>
      <w:r w:rsidRPr="00DF362F">
        <w:rPr>
          <w:rFonts w:ascii="Times New Roman" w:hAnsi="Times New Roman" w:cs="Times New Roman"/>
          <w:b/>
          <w:sz w:val="24"/>
          <w:szCs w:val="24"/>
          <w:lang w:val="en-GB"/>
        </w:rPr>
        <w:t>The wider EU strategy towards cross-border and modal integration and sustainable transport needs to plan for competitiveness and not only for cohesion…</w:t>
      </w:r>
    </w:p>
    <w:p w:rsidR="00DF362F" w:rsidRPr="00DF362F" w:rsidRDefault="00DF362F" w:rsidP="000919B8">
      <w:pPr>
        <w:spacing w:line="240" w:lineRule="auto"/>
        <w:jc w:val="both"/>
        <w:rPr>
          <w:rFonts w:ascii="Times New Roman" w:hAnsi="Times New Roman" w:cs="Times New Roman"/>
          <w:b/>
          <w:sz w:val="24"/>
          <w:szCs w:val="24"/>
          <w:lang w:val="en-GB"/>
        </w:rPr>
      </w:pPr>
      <w:r w:rsidRPr="00DF362F">
        <w:rPr>
          <w:rFonts w:ascii="Times New Roman" w:hAnsi="Times New Roman" w:cs="Times New Roman"/>
          <w:b/>
          <w:sz w:val="24"/>
          <w:szCs w:val="24"/>
          <w:lang w:val="en-GB"/>
        </w:rPr>
        <w:t xml:space="preserve">4. Increasing security and reducing dependencies </w:t>
      </w:r>
    </w:p>
    <w:p w:rsidR="00DF362F" w:rsidRDefault="00DF362F" w:rsidP="000919B8">
      <w:pPr>
        <w:spacing w:line="240" w:lineRule="auto"/>
        <w:jc w:val="both"/>
        <w:rPr>
          <w:rFonts w:ascii="Times New Roman" w:hAnsi="Times New Roman" w:cs="Times New Roman"/>
          <w:sz w:val="24"/>
          <w:szCs w:val="24"/>
          <w:lang w:val="en-GB"/>
        </w:rPr>
      </w:pPr>
      <w:r w:rsidRPr="00DF362F">
        <w:rPr>
          <w:rFonts w:ascii="Times New Roman" w:hAnsi="Times New Roman" w:cs="Times New Roman"/>
          <w:b/>
          <w:sz w:val="24"/>
          <w:szCs w:val="24"/>
          <w:lang w:val="en-GB"/>
        </w:rPr>
        <w:t>While dependencies are a two-way street, Europe is vulnerable to both coercion and, in extreme cases, geo-economic fragmentation</w:t>
      </w:r>
      <w:r w:rsidRPr="00DF362F">
        <w:rPr>
          <w:rFonts w:ascii="Times New Roman" w:hAnsi="Times New Roman" w:cs="Times New Roman"/>
          <w:sz w:val="24"/>
          <w:szCs w:val="24"/>
          <w:lang w:val="en-GB"/>
        </w:rPr>
        <w:t>. Europe has extensive external dependencies,</w:t>
      </w:r>
      <w:r w:rsidR="004E3B41">
        <w:rPr>
          <w:rFonts w:ascii="Times New Roman" w:hAnsi="Times New Roman" w:cs="Times New Roman"/>
          <w:sz w:val="24"/>
          <w:szCs w:val="24"/>
          <w:lang w:val="en-GB"/>
        </w:rPr>
        <w:t xml:space="preserve"> ranging from critical raw mate</w:t>
      </w:r>
      <w:r w:rsidRPr="00DF362F">
        <w:rPr>
          <w:rFonts w:ascii="Times New Roman" w:hAnsi="Times New Roman" w:cs="Times New Roman"/>
          <w:sz w:val="24"/>
          <w:szCs w:val="24"/>
          <w:lang w:val="en-GB"/>
        </w:rPr>
        <w:t>rials (CRMs) to advanced technologies. Many of these dependencies could become vulnerabilities in a situation where trade fragments along geopolitical lines. Around 40% of Europe’s imports are sourced from a small number of suppliers and difficult to substitute, and around half of these imports originate from countries with which</w:t>
      </w:r>
      <w:r w:rsidR="004E3B41">
        <w:rPr>
          <w:rFonts w:ascii="Times New Roman" w:hAnsi="Times New Roman" w:cs="Times New Roman"/>
          <w:sz w:val="24"/>
          <w:szCs w:val="24"/>
          <w:lang w:val="en-GB"/>
        </w:rPr>
        <w:t xml:space="preserve"> it is not strategically aligned</w:t>
      </w:r>
      <w:r w:rsidRPr="00DF362F">
        <w:rPr>
          <w:rFonts w:ascii="Times New Roman" w:hAnsi="Times New Roman" w:cs="Times New Roman"/>
          <w:sz w:val="24"/>
          <w:szCs w:val="24"/>
          <w:lang w:val="en-GB"/>
        </w:rPr>
        <w:t>. As a result, Europe’s notional exposure to any “sudden stops” in trade caused by geopolitical conflagration is high. However, absent an extreme unforeseen scenario, a profound and rapid decoupling of global trade seems unlikely in the medium term. Evidence of de-globalisation is currently limited, with companies preferring to diversify suppliers rather than re-shore or near-shore pro</w:t>
      </w:r>
      <w:r>
        <w:rPr>
          <w:rFonts w:ascii="Times New Roman" w:hAnsi="Times New Roman" w:cs="Times New Roman"/>
          <w:sz w:val="24"/>
          <w:szCs w:val="24"/>
          <w:lang w:val="en-GB"/>
        </w:rPr>
        <w:t>duction on a significant scale</w:t>
      </w:r>
      <w:r w:rsidRPr="00DF362F">
        <w:rPr>
          <w:rFonts w:ascii="Times New Roman" w:hAnsi="Times New Roman" w:cs="Times New Roman"/>
          <w:sz w:val="24"/>
          <w:szCs w:val="24"/>
          <w:lang w:val="en-GB"/>
        </w:rPr>
        <w:t xml:space="preserve">. Neither China nor the EU has an incentive to accelerate this process: as the previous chapter demonstrated, China is reliant on the EU to absorb its excess capacity in clean technologies. The more immediate risk for Europe is that dependencies could be used to create an opportunity for coercion, making it harder for the EU to maintain a united stance and undermining its common policy objectives. A growing use of dependencies as a “geopolitical weapon” is in turn likely to increase uncertainty and have a detrimental </w:t>
      </w:r>
      <w:r>
        <w:rPr>
          <w:rFonts w:ascii="Times New Roman" w:hAnsi="Times New Roman" w:cs="Times New Roman"/>
          <w:sz w:val="24"/>
          <w:szCs w:val="24"/>
          <w:lang w:val="en-GB"/>
        </w:rPr>
        <w:t>effect on business investment.</w:t>
      </w:r>
    </w:p>
    <w:p w:rsidR="00DF362F" w:rsidRPr="00DF362F" w:rsidRDefault="00DF362F" w:rsidP="000919B8">
      <w:pPr>
        <w:spacing w:line="240" w:lineRule="auto"/>
        <w:jc w:val="both"/>
        <w:rPr>
          <w:rFonts w:ascii="Times New Roman" w:hAnsi="Times New Roman" w:cs="Times New Roman"/>
          <w:sz w:val="24"/>
          <w:szCs w:val="24"/>
          <w:lang w:val="en-GB"/>
        </w:rPr>
      </w:pPr>
      <w:r w:rsidRPr="00DF362F">
        <w:rPr>
          <w:rFonts w:ascii="Times New Roman" w:hAnsi="Times New Roman" w:cs="Times New Roman"/>
          <w:sz w:val="24"/>
          <w:szCs w:val="24"/>
          <w:lang w:val="en-GB"/>
        </w:rPr>
        <w:t>Deteriorating geopolitical relations also create new needs for spending on defence and defence industrial capacity…</w:t>
      </w:r>
    </w:p>
    <w:p w:rsidR="00DF362F" w:rsidRPr="00DF362F" w:rsidRDefault="00DF362F" w:rsidP="000919B8">
      <w:pPr>
        <w:spacing w:line="240" w:lineRule="auto"/>
        <w:jc w:val="both"/>
        <w:rPr>
          <w:rFonts w:ascii="Times New Roman" w:hAnsi="Times New Roman" w:cs="Times New Roman"/>
          <w:sz w:val="24"/>
          <w:szCs w:val="24"/>
          <w:lang w:val="en-GB"/>
        </w:rPr>
      </w:pPr>
      <w:r w:rsidRPr="00DF362F">
        <w:rPr>
          <w:rFonts w:ascii="Times New Roman" w:hAnsi="Times New Roman" w:cs="Times New Roman"/>
          <w:noProof/>
          <w:sz w:val="24"/>
          <w:szCs w:val="24"/>
          <w:lang w:eastAsia="es-ES"/>
        </w:rPr>
        <w:drawing>
          <wp:inline distT="0" distB="0" distL="0" distR="0" wp14:anchorId="74ED6C94" wp14:editId="5B9937BB">
            <wp:extent cx="5734050" cy="254000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4050" cy="2540000"/>
                    </a:xfrm>
                    <a:prstGeom prst="rect">
                      <a:avLst/>
                    </a:prstGeom>
                  </pic:spPr>
                </pic:pic>
              </a:graphicData>
            </a:graphic>
          </wp:inline>
        </w:drawing>
      </w:r>
    </w:p>
    <w:p w:rsidR="00DF362F" w:rsidRPr="00112C7C" w:rsidRDefault="00DF362F" w:rsidP="000919B8">
      <w:pPr>
        <w:spacing w:line="240" w:lineRule="auto"/>
        <w:jc w:val="both"/>
        <w:rPr>
          <w:rFonts w:ascii="Times New Roman" w:hAnsi="Times New Roman" w:cs="Times New Roman"/>
          <w:b/>
          <w:sz w:val="24"/>
          <w:szCs w:val="24"/>
          <w:lang w:val="en-GB"/>
        </w:rPr>
      </w:pPr>
      <w:r w:rsidRPr="00112C7C">
        <w:rPr>
          <w:rFonts w:ascii="Times New Roman" w:hAnsi="Times New Roman" w:cs="Times New Roman"/>
          <w:b/>
          <w:sz w:val="24"/>
          <w:szCs w:val="24"/>
          <w:lang w:val="en-GB"/>
        </w:rPr>
        <w:lastRenderedPageBreak/>
        <w:t>Becoming more independent creates an “insurance cost” for Europe, but these costs can be mitigated by cooperation…</w:t>
      </w:r>
    </w:p>
    <w:p w:rsidR="00112C7C" w:rsidRPr="00112C7C" w:rsidRDefault="00112C7C" w:rsidP="000919B8">
      <w:pPr>
        <w:spacing w:line="240" w:lineRule="auto"/>
        <w:jc w:val="both"/>
        <w:rPr>
          <w:rFonts w:ascii="Times New Roman" w:hAnsi="Times New Roman" w:cs="Times New Roman"/>
          <w:b/>
          <w:sz w:val="24"/>
          <w:szCs w:val="24"/>
          <w:lang w:val="en-GB"/>
        </w:rPr>
      </w:pPr>
      <w:r w:rsidRPr="00112C7C">
        <w:rPr>
          <w:rFonts w:ascii="Times New Roman" w:hAnsi="Times New Roman" w:cs="Times New Roman"/>
          <w:b/>
          <w:sz w:val="24"/>
          <w:szCs w:val="24"/>
          <w:lang w:val="en-GB"/>
        </w:rPr>
        <w:t xml:space="preserve">Reducing external vulnerabilities </w:t>
      </w:r>
    </w:p>
    <w:p w:rsidR="00DF362F" w:rsidRDefault="00112C7C" w:rsidP="000919B8">
      <w:pPr>
        <w:spacing w:line="240" w:lineRule="auto"/>
        <w:jc w:val="both"/>
        <w:rPr>
          <w:rFonts w:ascii="Times New Roman" w:hAnsi="Times New Roman" w:cs="Times New Roman"/>
          <w:sz w:val="24"/>
          <w:szCs w:val="24"/>
          <w:lang w:val="en-GB"/>
        </w:rPr>
      </w:pPr>
      <w:r w:rsidRPr="00112C7C">
        <w:rPr>
          <w:rFonts w:ascii="Times New Roman" w:hAnsi="Times New Roman" w:cs="Times New Roman"/>
          <w:b/>
          <w:sz w:val="24"/>
          <w:szCs w:val="24"/>
          <w:lang w:val="en-GB"/>
        </w:rPr>
        <w:t>As outlined in the previous chapter, access to CRMs is critical for the clean tech and automotive industry, yet supply is highly concentrated</w:t>
      </w:r>
      <w:r w:rsidRPr="00112C7C">
        <w:rPr>
          <w:lang w:val="en-GB"/>
        </w:rPr>
        <w:t xml:space="preserve">. </w:t>
      </w:r>
      <w:r w:rsidRPr="00112C7C">
        <w:rPr>
          <w:rFonts w:ascii="Times New Roman" w:hAnsi="Times New Roman" w:cs="Times New Roman"/>
          <w:sz w:val="24"/>
          <w:szCs w:val="24"/>
          <w:lang w:val="en-GB"/>
        </w:rPr>
        <w:t>The global market for critical minerals for the energy transition has doubled during the past five years, reaching EUR 300 billio</w:t>
      </w:r>
      <w:r w:rsidR="004E3B41">
        <w:rPr>
          <w:rFonts w:ascii="Times New Roman" w:hAnsi="Times New Roman" w:cs="Times New Roman"/>
          <w:sz w:val="24"/>
          <w:szCs w:val="24"/>
          <w:lang w:val="en-GB"/>
        </w:rPr>
        <w:t>n in 2022. Accelerating deploy</w:t>
      </w:r>
      <w:r w:rsidRPr="00112C7C">
        <w:rPr>
          <w:rFonts w:ascii="Times New Roman" w:hAnsi="Times New Roman" w:cs="Times New Roman"/>
          <w:sz w:val="24"/>
          <w:szCs w:val="24"/>
          <w:lang w:val="en-GB"/>
        </w:rPr>
        <w:t>ment of clean energy technologies is driving unprecedented growth in demand. From 2017 to 2022, global demand for lithium tripled, while demand for cobalt rose by 70% and 40% for nickel. According to IEA projections, mineral demand for clean energy technologies is expected to grow by a factor of 4 to 6 by 2040. However, the supply of CRMs is highly concentrated in a handful of providers, especially for processing and refining, which creates two main risks for Europe. The first is price volatility, which hampers investment decisions. For example, although an extreme case, the price of lithium increased twelvefold over two years before tumbling again more than 80%, preventing the opening of competitive mines in the EU. While oil stocks and gas storage play an important role in cushioning shocks in the energy market, there is no equivalent for critical minerals in the event of large market swings. The second risk is that CRMs can be used as geopolitical weapon, as a large part of extraction and processing is concentrated in countries with which the EU is not strategically aligned. For example, China is the single largest processer of nickel, copper, lithium and cobalt, accounting for between 35-70% of processing activity, and has shown willingness to use its market power [see Figure 2]. Export restrictions from the country grew by a factor of nine between 2009 and 2020. Little progress is being made so far with diversification. Compared with three years ago, the share of the top three producers for key CRMs either remains unchanged or has increased further</w:t>
      </w:r>
      <w:r>
        <w:rPr>
          <w:rFonts w:ascii="Times New Roman" w:hAnsi="Times New Roman" w:cs="Times New Roman"/>
          <w:sz w:val="24"/>
          <w:szCs w:val="24"/>
          <w:lang w:val="en-GB"/>
        </w:rPr>
        <w:t>.</w:t>
      </w:r>
    </w:p>
    <w:p w:rsidR="00112C7C" w:rsidRDefault="00112C7C" w:rsidP="000919B8">
      <w:pPr>
        <w:spacing w:line="240" w:lineRule="auto"/>
        <w:jc w:val="both"/>
        <w:rPr>
          <w:rFonts w:ascii="Times New Roman" w:hAnsi="Times New Roman" w:cs="Times New Roman"/>
          <w:b/>
          <w:sz w:val="24"/>
          <w:szCs w:val="24"/>
          <w:lang w:val="en-GB"/>
        </w:rPr>
      </w:pPr>
      <w:r w:rsidRPr="00112C7C">
        <w:rPr>
          <w:rFonts w:ascii="Times New Roman" w:hAnsi="Times New Roman" w:cs="Times New Roman"/>
          <w:noProof/>
          <w:sz w:val="24"/>
          <w:szCs w:val="24"/>
          <w:lang w:eastAsia="es-ES"/>
        </w:rPr>
        <w:drawing>
          <wp:inline distT="0" distB="0" distL="0" distR="0" wp14:anchorId="0AAC173A" wp14:editId="43C96C13">
            <wp:extent cx="5731510" cy="3706499"/>
            <wp:effectExtent l="0" t="0" r="2540" b="825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3706499"/>
                    </a:xfrm>
                    <a:prstGeom prst="rect">
                      <a:avLst/>
                    </a:prstGeom>
                  </pic:spPr>
                </pic:pic>
              </a:graphicData>
            </a:graphic>
          </wp:inline>
        </w:drawing>
      </w:r>
      <w:r w:rsidRPr="00112C7C">
        <w:rPr>
          <w:rFonts w:ascii="Times New Roman" w:hAnsi="Times New Roman" w:cs="Times New Roman"/>
          <w:b/>
          <w:sz w:val="24"/>
          <w:szCs w:val="24"/>
          <w:lang w:val="en-GB"/>
        </w:rPr>
        <w:t>Faced with these constraints, CRMs are subject to a global race to secure supply chains, and Europe is currently falling behind…</w:t>
      </w:r>
    </w:p>
    <w:p w:rsidR="00112C7C" w:rsidRDefault="00112C7C" w:rsidP="000919B8">
      <w:pPr>
        <w:spacing w:line="240" w:lineRule="auto"/>
        <w:jc w:val="both"/>
        <w:rPr>
          <w:rFonts w:ascii="Times New Roman" w:hAnsi="Times New Roman" w:cs="Times New Roman"/>
          <w:sz w:val="24"/>
          <w:szCs w:val="24"/>
          <w:lang w:val="en-GB"/>
        </w:rPr>
      </w:pPr>
      <w:r w:rsidRPr="00112C7C">
        <w:rPr>
          <w:rFonts w:ascii="Times New Roman" w:hAnsi="Times New Roman" w:cs="Times New Roman"/>
          <w:b/>
          <w:sz w:val="24"/>
          <w:szCs w:val="24"/>
          <w:lang w:val="en-GB"/>
        </w:rPr>
        <w:lastRenderedPageBreak/>
        <w:t>Strategic dependencies also extend to critical technologies for the digitalisation of Europe’s economy</w:t>
      </w:r>
      <w:r w:rsidRPr="00112C7C">
        <w:rPr>
          <w:rFonts w:ascii="Times New Roman" w:hAnsi="Times New Roman" w:cs="Times New Roman"/>
          <w:sz w:val="24"/>
          <w:szCs w:val="24"/>
          <w:lang w:val="en-GB"/>
        </w:rPr>
        <w:t>. The EU relies on foreign countries for over 80% of digital products, services, infrastruc</w:t>
      </w:r>
      <w:r>
        <w:rPr>
          <w:rFonts w:ascii="Times New Roman" w:hAnsi="Times New Roman" w:cs="Times New Roman"/>
          <w:sz w:val="24"/>
          <w:szCs w:val="24"/>
          <w:lang w:val="en-GB"/>
        </w:rPr>
        <w:t>ture and intellectual property</w:t>
      </w:r>
      <w:r w:rsidRPr="00112C7C">
        <w:rPr>
          <w:rFonts w:ascii="Times New Roman" w:hAnsi="Times New Roman" w:cs="Times New Roman"/>
          <w:sz w:val="24"/>
          <w:szCs w:val="24"/>
          <w:lang w:val="en-GB"/>
        </w:rPr>
        <w:t>. Dependencies are partic</w:t>
      </w:r>
      <w:r>
        <w:rPr>
          <w:rFonts w:ascii="Times New Roman" w:hAnsi="Times New Roman" w:cs="Times New Roman"/>
          <w:sz w:val="24"/>
          <w:szCs w:val="24"/>
          <w:lang w:val="en-GB"/>
        </w:rPr>
        <w:t>ularly acute, however, for semi</w:t>
      </w:r>
      <w:r w:rsidRPr="00112C7C">
        <w:rPr>
          <w:rFonts w:ascii="Times New Roman" w:hAnsi="Times New Roman" w:cs="Times New Roman"/>
          <w:sz w:val="24"/>
          <w:szCs w:val="24"/>
          <w:lang w:val="en-GB"/>
        </w:rPr>
        <w:t>conductors owing to the structure of the industry, which is dominated by a small number of large players. The US has specialised in chips design, Korea, Taiwan and China in chips manufacturing, and Japan and some EU Member States in key materials and equipment – optics, chemistry and machinery [see Figure 3]. Europe has little domestic capacity in many parts of the supply chain. For example, the EU currently has no foundry producing below 22 nm process nodes and relies on Asia for 75% to 90% of wafer fabrication capacity (as does the US). Europe has become dependent on non-EU countries for chips design, packaging and assembly as well. Dependencies are also acute for other advanced tech. The EU’s AI industry relies on hardware produced largely by one US-based company for the most advanced processors. Similarly, Europe’s dependence on cloud services developed and run by US companies is massive. For quantum computing platforms, the EU suffers from six critical depe</w:t>
      </w:r>
      <w:r>
        <w:rPr>
          <w:rFonts w:ascii="Times New Roman" w:hAnsi="Times New Roman" w:cs="Times New Roman"/>
          <w:sz w:val="24"/>
          <w:szCs w:val="24"/>
          <w:lang w:val="en-GB"/>
        </w:rPr>
        <w:t>ndencies across 17 key technolo</w:t>
      </w:r>
      <w:r w:rsidRPr="00112C7C">
        <w:rPr>
          <w:rFonts w:ascii="Times New Roman" w:hAnsi="Times New Roman" w:cs="Times New Roman"/>
          <w:sz w:val="24"/>
          <w:szCs w:val="24"/>
          <w:lang w:val="en-GB"/>
        </w:rPr>
        <w:t>gies, components and materials. China and the US hold technological leadership in most of these critical elements. In the telecoms sector, Europe is less dependent on foreign technology: top EU vendors are well positioned in the global supply of telecoms equipment. However, it will be important that dependencies do not increase, especially on high-risk suppliers that could compromise the security of EU networks and citizens’ data. Currently, 14 Member States have no restrictions on high-risk suppliers in place.</w:t>
      </w:r>
    </w:p>
    <w:p w:rsidR="00112C7C" w:rsidRDefault="00112C7C" w:rsidP="000919B8">
      <w:pPr>
        <w:spacing w:line="240" w:lineRule="auto"/>
        <w:jc w:val="both"/>
        <w:rPr>
          <w:rFonts w:ascii="Times New Roman" w:hAnsi="Times New Roman" w:cs="Times New Roman"/>
          <w:b/>
          <w:sz w:val="24"/>
          <w:szCs w:val="24"/>
          <w:lang w:val="en-GB"/>
        </w:rPr>
      </w:pPr>
      <w:r w:rsidRPr="00112C7C">
        <w:rPr>
          <w:rFonts w:ascii="Times New Roman" w:hAnsi="Times New Roman" w:cs="Times New Roman"/>
          <w:b/>
          <w:noProof/>
          <w:sz w:val="24"/>
          <w:szCs w:val="24"/>
          <w:lang w:eastAsia="es-ES"/>
        </w:rPr>
        <w:drawing>
          <wp:inline distT="0" distB="0" distL="0" distR="0" wp14:anchorId="31BDD297" wp14:editId="1857F393">
            <wp:extent cx="5731510" cy="3239283"/>
            <wp:effectExtent l="0" t="0" r="254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3239283"/>
                    </a:xfrm>
                    <a:prstGeom prst="rect">
                      <a:avLst/>
                    </a:prstGeom>
                  </pic:spPr>
                </pic:pic>
              </a:graphicData>
            </a:graphic>
          </wp:inline>
        </w:drawing>
      </w:r>
    </w:p>
    <w:p w:rsidR="00112C7C" w:rsidRPr="00F07AA4" w:rsidRDefault="00112C7C" w:rsidP="000919B8">
      <w:pPr>
        <w:spacing w:line="240" w:lineRule="auto"/>
        <w:jc w:val="both"/>
        <w:rPr>
          <w:rFonts w:ascii="Times New Roman" w:hAnsi="Times New Roman" w:cs="Times New Roman"/>
          <w:b/>
          <w:sz w:val="24"/>
          <w:szCs w:val="24"/>
          <w:lang w:val="en-GB"/>
        </w:rPr>
      </w:pPr>
      <w:r w:rsidRPr="00F07AA4">
        <w:rPr>
          <w:rFonts w:ascii="Times New Roman" w:hAnsi="Times New Roman" w:cs="Times New Roman"/>
          <w:b/>
          <w:sz w:val="24"/>
          <w:szCs w:val="24"/>
          <w:lang w:val="en-GB"/>
        </w:rPr>
        <w:t>To reduce its vulnerabilities, the EU needs to develop a genuine “foreign economic policy” based on securing critical resources…</w:t>
      </w:r>
    </w:p>
    <w:p w:rsidR="00112C7C" w:rsidRPr="00F07AA4" w:rsidRDefault="00112C7C" w:rsidP="000919B8">
      <w:pPr>
        <w:spacing w:line="240" w:lineRule="auto"/>
        <w:jc w:val="both"/>
        <w:rPr>
          <w:rFonts w:ascii="Times New Roman" w:hAnsi="Times New Roman" w:cs="Times New Roman"/>
          <w:b/>
          <w:sz w:val="24"/>
          <w:szCs w:val="24"/>
          <w:lang w:val="en-GB"/>
        </w:rPr>
      </w:pPr>
      <w:r w:rsidRPr="00F07AA4">
        <w:rPr>
          <w:rFonts w:ascii="Times New Roman" w:hAnsi="Times New Roman" w:cs="Times New Roman"/>
          <w:b/>
          <w:sz w:val="24"/>
          <w:szCs w:val="24"/>
          <w:lang w:val="en-GB"/>
        </w:rPr>
        <w:t>The EU must also harness the potential of domestic resources through mining, recycling and innovation in alternative materials…</w:t>
      </w:r>
    </w:p>
    <w:p w:rsidR="00112C7C" w:rsidRDefault="00112C7C" w:rsidP="000919B8">
      <w:pPr>
        <w:spacing w:line="240" w:lineRule="auto"/>
        <w:jc w:val="both"/>
        <w:rPr>
          <w:rFonts w:ascii="Times New Roman" w:hAnsi="Times New Roman" w:cs="Times New Roman"/>
          <w:b/>
          <w:sz w:val="24"/>
          <w:szCs w:val="24"/>
          <w:lang w:val="en-GB"/>
        </w:rPr>
      </w:pPr>
      <w:r w:rsidRPr="00F07AA4">
        <w:rPr>
          <w:rFonts w:ascii="Times New Roman" w:hAnsi="Times New Roman" w:cs="Times New Roman"/>
          <w:b/>
          <w:sz w:val="24"/>
          <w:szCs w:val="24"/>
          <w:lang w:val="en-GB"/>
        </w:rPr>
        <w:t>For strategic industries, the EU should pursue a coordinated EU strategy to bolster domestic production capacity and to protect key network infrastructures…</w:t>
      </w:r>
    </w:p>
    <w:p w:rsidR="00F07AA4" w:rsidRPr="00F07AA4" w:rsidRDefault="00F07AA4" w:rsidP="000919B8">
      <w:pPr>
        <w:spacing w:line="240" w:lineRule="auto"/>
        <w:jc w:val="both"/>
        <w:rPr>
          <w:rFonts w:ascii="Times New Roman" w:hAnsi="Times New Roman" w:cs="Times New Roman"/>
          <w:b/>
          <w:sz w:val="24"/>
          <w:szCs w:val="24"/>
          <w:lang w:val="en-GB"/>
        </w:rPr>
      </w:pPr>
    </w:p>
    <w:p w:rsidR="00F07AA4" w:rsidRPr="00F07AA4" w:rsidRDefault="00112C7C" w:rsidP="000919B8">
      <w:pPr>
        <w:spacing w:line="240" w:lineRule="auto"/>
        <w:jc w:val="both"/>
        <w:rPr>
          <w:rFonts w:ascii="Times New Roman" w:hAnsi="Times New Roman" w:cs="Times New Roman"/>
          <w:b/>
          <w:sz w:val="24"/>
          <w:szCs w:val="24"/>
          <w:lang w:val="en-GB"/>
        </w:rPr>
      </w:pPr>
      <w:r w:rsidRPr="00F07AA4">
        <w:rPr>
          <w:rFonts w:ascii="Times New Roman" w:hAnsi="Times New Roman" w:cs="Times New Roman"/>
          <w:b/>
          <w:sz w:val="24"/>
          <w:szCs w:val="24"/>
          <w:lang w:val="en-GB"/>
        </w:rPr>
        <w:lastRenderedPageBreak/>
        <w:t xml:space="preserve">Strengthening industrial capacity for defence and space </w:t>
      </w:r>
    </w:p>
    <w:p w:rsidR="00112C7C" w:rsidRPr="00F07AA4" w:rsidRDefault="00112C7C" w:rsidP="000919B8">
      <w:pPr>
        <w:spacing w:line="240" w:lineRule="auto"/>
        <w:jc w:val="both"/>
        <w:rPr>
          <w:rFonts w:ascii="Times New Roman" w:hAnsi="Times New Roman" w:cs="Times New Roman"/>
          <w:b/>
          <w:sz w:val="24"/>
          <w:szCs w:val="24"/>
          <w:lang w:val="en-GB"/>
        </w:rPr>
      </w:pPr>
      <w:r w:rsidRPr="00F07AA4">
        <w:rPr>
          <w:rFonts w:ascii="Times New Roman" w:hAnsi="Times New Roman" w:cs="Times New Roman"/>
          <w:b/>
          <w:sz w:val="24"/>
          <w:szCs w:val="24"/>
          <w:lang w:val="en-GB"/>
        </w:rPr>
        <w:t>The European defence industry not only suffers from lower defence spending but also a lack of focus on technological development</w:t>
      </w:r>
      <w:r w:rsidR="00F07AA4" w:rsidRPr="00F07AA4">
        <w:rPr>
          <w:rFonts w:ascii="Times New Roman" w:hAnsi="Times New Roman" w:cs="Times New Roman"/>
          <w:b/>
          <w:sz w:val="24"/>
          <w:szCs w:val="24"/>
          <w:lang w:val="en-GB"/>
        </w:rPr>
        <w:t>…</w:t>
      </w:r>
    </w:p>
    <w:p w:rsidR="00112C7C" w:rsidRPr="00F07AA4" w:rsidRDefault="00F07AA4" w:rsidP="000919B8">
      <w:pPr>
        <w:spacing w:line="240" w:lineRule="auto"/>
        <w:jc w:val="both"/>
        <w:rPr>
          <w:rFonts w:ascii="Times New Roman" w:hAnsi="Times New Roman" w:cs="Times New Roman"/>
          <w:b/>
          <w:sz w:val="24"/>
          <w:szCs w:val="24"/>
          <w:lang w:val="en-GB"/>
        </w:rPr>
      </w:pPr>
      <w:r w:rsidRPr="00F07AA4">
        <w:rPr>
          <w:rFonts w:ascii="Times New Roman" w:hAnsi="Times New Roman" w:cs="Times New Roman"/>
          <w:b/>
          <w:sz w:val="24"/>
          <w:szCs w:val="24"/>
          <w:lang w:val="en-GB"/>
        </w:rPr>
        <w:t>The European defence industry is also fragmented, limiting its scale and hindering operational effective ness in the field…</w:t>
      </w:r>
    </w:p>
    <w:p w:rsidR="00F07AA4" w:rsidRDefault="00F07AA4" w:rsidP="000919B8">
      <w:pPr>
        <w:spacing w:line="240" w:lineRule="auto"/>
        <w:jc w:val="both"/>
        <w:rPr>
          <w:rFonts w:ascii="Times New Roman" w:hAnsi="Times New Roman" w:cs="Times New Roman"/>
          <w:b/>
          <w:sz w:val="24"/>
          <w:szCs w:val="24"/>
          <w:lang w:val="en-GB"/>
        </w:rPr>
      </w:pPr>
      <w:r w:rsidRPr="00F07AA4">
        <w:rPr>
          <w:rFonts w:ascii="Times New Roman" w:hAnsi="Times New Roman" w:cs="Times New Roman"/>
          <w:b/>
          <w:noProof/>
          <w:sz w:val="24"/>
          <w:szCs w:val="24"/>
          <w:lang w:eastAsia="es-ES"/>
        </w:rPr>
        <w:drawing>
          <wp:inline distT="0" distB="0" distL="0" distR="0" wp14:anchorId="295F7C19" wp14:editId="6A0A2DCC">
            <wp:extent cx="5731510" cy="3648939"/>
            <wp:effectExtent l="0" t="0" r="2540" b="889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3648939"/>
                    </a:xfrm>
                    <a:prstGeom prst="rect">
                      <a:avLst/>
                    </a:prstGeom>
                  </pic:spPr>
                </pic:pic>
              </a:graphicData>
            </a:graphic>
          </wp:inline>
        </w:drawing>
      </w:r>
    </w:p>
    <w:p w:rsidR="00F07AA4" w:rsidRDefault="00F07AA4" w:rsidP="000919B8">
      <w:pPr>
        <w:spacing w:line="240" w:lineRule="auto"/>
        <w:jc w:val="both"/>
        <w:rPr>
          <w:rFonts w:ascii="Times New Roman" w:hAnsi="Times New Roman" w:cs="Times New Roman"/>
          <w:b/>
          <w:sz w:val="24"/>
          <w:szCs w:val="24"/>
          <w:lang w:val="en-GB"/>
        </w:rPr>
      </w:pPr>
      <w:r w:rsidRPr="00F07AA4">
        <w:rPr>
          <w:rFonts w:ascii="Times New Roman" w:hAnsi="Times New Roman" w:cs="Times New Roman"/>
          <w:b/>
          <w:sz w:val="24"/>
          <w:szCs w:val="24"/>
          <w:lang w:val="en-GB"/>
        </w:rPr>
        <w:t>The EU has developed a world-class space sector, despite much lower levels of funding, but is now starting to lose ground…</w:t>
      </w:r>
    </w:p>
    <w:p w:rsidR="00F07AA4" w:rsidRDefault="00F07AA4" w:rsidP="000919B8">
      <w:pPr>
        <w:spacing w:line="240" w:lineRule="auto"/>
        <w:jc w:val="both"/>
        <w:rPr>
          <w:rFonts w:ascii="Times New Roman" w:hAnsi="Times New Roman" w:cs="Times New Roman"/>
          <w:b/>
          <w:sz w:val="24"/>
          <w:szCs w:val="24"/>
          <w:lang w:val="en-GB"/>
        </w:rPr>
      </w:pPr>
      <w:r w:rsidRPr="00F07AA4">
        <w:rPr>
          <w:rFonts w:ascii="Times New Roman" w:hAnsi="Times New Roman" w:cs="Times New Roman"/>
          <w:b/>
          <w:noProof/>
          <w:sz w:val="24"/>
          <w:szCs w:val="24"/>
          <w:lang w:eastAsia="es-ES"/>
        </w:rPr>
        <w:drawing>
          <wp:inline distT="0" distB="0" distL="0" distR="0" wp14:anchorId="0D703F38" wp14:editId="00B032C8">
            <wp:extent cx="5731510" cy="3165190"/>
            <wp:effectExtent l="0" t="0" r="254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3165190"/>
                    </a:xfrm>
                    <a:prstGeom prst="rect">
                      <a:avLst/>
                    </a:prstGeom>
                  </pic:spPr>
                </pic:pic>
              </a:graphicData>
            </a:graphic>
          </wp:inline>
        </w:drawing>
      </w:r>
    </w:p>
    <w:p w:rsidR="00F07AA4" w:rsidRPr="00F07AA4" w:rsidRDefault="00F07AA4" w:rsidP="000919B8">
      <w:pPr>
        <w:spacing w:line="240" w:lineRule="auto"/>
        <w:jc w:val="both"/>
        <w:rPr>
          <w:rFonts w:ascii="Times New Roman" w:hAnsi="Times New Roman" w:cs="Times New Roman"/>
          <w:b/>
          <w:sz w:val="24"/>
          <w:szCs w:val="24"/>
          <w:lang w:val="en-GB"/>
        </w:rPr>
      </w:pPr>
      <w:r w:rsidRPr="00F07AA4">
        <w:rPr>
          <w:rFonts w:ascii="Times New Roman" w:hAnsi="Times New Roman" w:cs="Times New Roman"/>
          <w:b/>
          <w:sz w:val="24"/>
          <w:szCs w:val="24"/>
          <w:lang w:val="en-GB"/>
        </w:rPr>
        <w:lastRenderedPageBreak/>
        <w:t>For both defence and space industries, insufficient aggregation and coordination of public spending in Europe compounds industrial fragmentation…</w:t>
      </w:r>
    </w:p>
    <w:p w:rsidR="00F07AA4" w:rsidRPr="00F07AA4" w:rsidRDefault="00F07AA4" w:rsidP="000919B8">
      <w:pPr>
        <w:spacing w:line="240" w:lineRule="auto"/>
        <w:jc w:val="both"/>
        <w:rPr>
          <w:rFonts w:ascii="Times New Roman" w:hAnsi="Times New Roman" w:cs="Times New Roman"/>
          <w:b/>
          <w:sz w:val="24"/>
          <w:szCs w:val="24"/>
          <w:lang w:val="en-GB"/>
        </w:rPr>
      </w:pPr>
      <w:r w:rsidRPr="00F07AA4">
        <w:rPr>
          <w:rFonts w:ascii="Times New Roman" w:hAnsi="Times New Roman" w:cs="Times New Roman"/>
          <w:b/>
          <w:sz w:val="24"/>
          <w:szCs w:val="24"/>
          <w:lang w:val="en-GB"/>
        </w:rPr>
        <w:t>In the absence of common European spending, policy actions for the defence sector need to focus on aggregating demand and integrating industrial defence assets…</w:t>
      </w:r>
    </w:p>
    <w:p w:rsidR="00F07AA4" w:rsidRPr="00F07AA4" w:rsidRDefault="00F07AA4" w:rsidP="000919B8">
      <w:pPr>
        <w:spacing w:line="240" w:lineRule="auto"/>
        <w:jc w:val="both"/>
        <w:rPr>
          <w:rFonts w:ascii="Times New Roman" w:hAnsi="Times New Roman" w:cs="Times New Roman"/>
          <w:b/>
          <w:sz w:val="24"/>
          <w:szCs w:val="24"/>
          <w:lang w:val="en-GB"/>
        </w:rPr>
      </w:pPr>
      <w:r w:rsidRPr="00F07AA4">
        <w:rPr>
          <w:rFonts w:ascii="Times New Roman" w:hAnsi="Times New Roman" w:cs="Times New Roman"/>
          <w:b/>
          <w:sz w:val="24"/>
          <w:szCs w:val="24"/>
          <w:lang w:val="en-GB"/>
        </w:rPr>
        <w:t>Together with the urgent need to increase overall defence investment, there is a strong case to reinforce cooperation and pooling of resources for defence R&amp;D at the EU level…</w:t>
      </w:r>
    </w:p>
    <w:p w:rsidR="00F07AA4" w:rsidRPr="00F07AA4" w:rsidRDefault="00F07AA4" w:rsidP="000919B8">
      <w:pPr>
        <w:spacing w:line="240" w:lineRule="auto"/>
        <w:jc w:val="both"/>
        <w:rPr>
          <w:rFonts w:ascii="Times New Roman" w:hAnsi="Times New Roman" w:cs="Times New Roman"/>
          <w:b/>
          <w:sz w:val="24"/>
          <w:szCs w:val="24"/>
          <w:lang w:val="en-GB"/>
        </w:rPr>
      </w:pPr>
      <w:r w:rsidRPr="00F07AA4">
        <w:rPr>
          <w:rFonts w:ascii="Times New Roman" w:hAnsi="Times New Roman" w:cs="Times New Roman"/>
          <w:b/>
          <w:sz w:val="24"/>
          <w:szCs w:val="24"/>
          <w:lang w:val="en-GB"/>
        </w:rPr>
        <w:t>The European space sector would benefit from updated governance and investment rules, and greater coordination of public spending in a true Single Market for space…</w:t>
      </w:r>
    </w:p>
    <w:p w:rsidR="00F07AA4" w:rsidRPr="00F07AA4" w:rsidRDefault="00F07AA4" w:rsidP="000919B8">
      <w:pPr>
        <w:spacing w:line="240" w:lineRule="auto"/>
        <w:jc w:val="both"/>
        <w:rPr>
          <w:rFonts w:ascii="Times New Roman" w:hAnsi="Times New Roman" w:cs="Times New Roman"/>
          <w:b/>
          <w:sz w:val="24"/>
          <w:szCs w:val="24"/>
          <w:lang w:val="en-GB"/>
        </w:rPr>
      </w:pPr>
      <w:r w:rsidRPr="00F07AA4">
        <w:rPr>
          <w:rFonts w:ascii="Times New Roman" w:hAnsi="Times New Roman" w:cs="Times New Roman"/>
          <w:b/>
          <w:sz w:val="24"/>
          <w:szCs w:val="24"/>
          <w:lang w:val="en-GB"/>
        </w:rPr>
        <w:t xml:space="preserve">5. Financing investments </w:t>
      </w:r>
    </w:p>
    <w:p w:rsidR="00F07AA4" w:rsidRPr="00F07AA4" w:rsidRDefault="00F07AA4" w:rsidP="000919B8">
      <w:pPr>
        <w:spacing w:line="240" w:lineRule="auto"/>
        <w:jc w:val="both"/>
        <w:rPr>
          <w:rFonts w:ascii="Times New Roman" w:hAnsi="Times New Roman" w:cs="Times New Roman"/>
          <w:b/>
          <w:sz w:val="24"/>
          <w:szCs w:val="24"/>
          <w:lang w:val="en-GB"/>
        </w:rPr>
      </w:pPr>
      <w:r w:rsidRPr="00F07AA4">
        <w:rPr>
          <w:rFonts w:ascii="Times New Roman" w:hAnsi="Times New Roman" w:cs="Times New Roman"/>
          <w:b/>
          <w:sz w:val="24"/>
          <w:szCs w:val="24"/>
          <w:lang w:val="en-GB"/>
        </w:rPr>
        <w:t>The financing needs required for the EU to meet its objectives are massive, but productive investment is weak despite ample private savings</w:t>
      </w:r>
      <w:r>
        <w:rPr>
          <w:rFonts w:ascii="Times New Roman" w:hAnsi="Times New Roman" w:cs="Times New Roman"/>
          <w:b/>
          <w:sz w:val="24"/>
          <w:szCs w:val="24"/>
          <w:lang w:val="en-GB"/>
        </w:rPr>
        <w:t>.</w:t>
      </w:r>
      <w:r w:rsidRPr="00F07AA4">
        <w:rPr>
          <w:rFonts w:ascii="Times New Roman" w:hAnsi="Times New Roman" w:cs="Times New Roman"/>
          <w:sz w:val="24"/>
          <w:szCs w:val="24"/>
          <w:lang w:val="en-GB"/>
        </w:rPr>
        <w:t xml:space="preserve"> To meet the objectives laid out in this report, a minimum annual additional investment of EUR 750 to 800 billion is needed, base</w:t>
      </w:r>
      <w:r w:rsidR="00A021C8">
        <w:rPr>
          <w:rFonts w:ascii="Times New Roman" w:hAnsi="Times New Roman" w:cs="Times New Roman"/>
          <w:sz w:val="24"/>
          <w:szCs w:val="24"/>
          <w:lang w:val="en-GB"/>
        </w:rPr>
        <w:t>d on the latest Commission esti</w:t>
      </w:r>
      <w:r w:rsidRPr="00F07AA4">
        <w:rPr>
          <w:rFonts w:ascii="Times New Roman" w:hAnsi="Times New Roman" w:cs="Times New Roman"/>
          <w:sz w:val="24"/>
          <w:szCs w:val="24"/>
          <w:lang w:val="en-GB"/>
        </w:rPr>
        <w:t>mates, corresponding to 4.4-4.7% of EU GDP in 2023. For comparison, investment under the Marshall Plan between 1948-51 was equivalent to 1-2% of EU GDP. Delivering this increase would require the EU’s investment share to jump from around 22% of GDP today to around 27%, reversing a multi-decade decline across most large EU economies. However, productive investment in the EU is not rising to this challenge. Since the Great Financial Crisis (GFC), a sizeable and persistent gap has opened between private productive investment01 in the EU and the US. At the same time, the private investment gap across the two economies has not been offset by higher government investment, which also dropped after the GFC and has been persistently lower in the EU compared to the US as a share of GDP. EU households provide ample savings to finance higher investment, but at present these savings are not being channelled efficiently into productive investments. In 2022, EU household savings were EUR 1,390 billion compared with EUR 840 billion in the US. But, despite their higher savings, EU households have considerably lower wealth than their US counterparts, largely because of the lower returns they receive from financial markets on their asset holdings.</w:t>
      </w:r>
    </w:p>
    <w:p w:rsidR="00DF362F" w:rsidRPr="00FE4D5D" w:rsidRDefault="00F07AA4" w:rsidP="000919B8">
      <w:pPr>
        <w:spacing w:line="240" w:lineRule="auto"/>
        <w:jc w:val="both"/>
        <w:rPr>
          <w:rFonts w:ascii="Times New Roman" w:hAnsi="Times New Roman" w:cs="Times New Roman"/>
          <w:b/>
          <w:sz w:val="24"/>
          <w:szCs w:val="24"/>
          <w:lang w:val="en-GB"/>
        </w:rPr>
      </w:pPr>
      <w:r w:rsidRPr="00FE4D5D">
        <w:rPr>
          <w:rFonts w:ascii="Times New Roman" w:hAnsi="Times New Roman" w:cs="Times New Roman"/>
          <w:b/>
          <w:sz w:val="24"/>
          <w:szCs w:val="24"/>
          <w:lang w:val="en-GB"/>
        </w:rPr>
        <w:t>The EU can meet these investment needs without overstretching the resources of the European economy, but the private sector will need public support to finance the plan…</w:t>
      </w:r>
    </w:p>
    <w:p w:rsidR="00F07AA4" w:rsidRPr="00FE4D5D" w:rsidRDefault="00F07AA4" w:rsidP="000919B8">
      <w:pPr>
        <w:spacing w:line="240" w:lineRule="auto"/>
        <w:jc w:val="both"/>
        <w:rPr>
          <w:rFonts w:ascii="Times New Roman" w:hAnsi="Times New Roman" w:cs="Times New Roman"/>
          <w:b/>
          <w:sz w:val="24"/>
          <w:szCs w:val="24"/>
          <w:lang w:val="en-GB"/>
        </w:rPr>
      </w:pPr>
      <w:r w:rsidRPr="00FE4D5D">
        <w:rPr>
          <w:rFonts w:ascii="Times New Roman" w:hAnsi="Times New Roman" w:cs="Times New Roman"/>
          <w:b/>
          <w:sz w:val="24"/>
          <w:szCs w:val="24"/>
          <w:lang w:val="en-GB"/>
        </w:rPr>
        <w:t>The required stimulus to private investment will have some impact on public finances, but productivity gains can reduce the fiscal costs…</w:t>
      </w:r>
    </w:p>
    <w:p w:rsidR="00F07AA4" w:rsidRPr="00FE4D5D" w:rsidRDefault="00F07AA4" w:rsidP="000919B8">
      <w:pPr>
        <w:spacing w:line="240" w:lineRule="auto"/>
        <w:jc w:val="both"/>
        <w:rPr>
          <w:rFonts w:ascii="Times New Roman" w:hAnsi="Times New Roman" w:cs="Times New Roman"/>
          <w:b/>
          <w:sz w:val="24"/>
          <w:szCs w:val="24"/>
          <w:lang w:val="en-GB"/>
        </w:rPr>
      </w:pPr>
      <w:r w:rsidRPr="00FE4D5D">
        <w:rPr>
          <w:rFonts w:ascii="Times New Roman" w:hAnsi="Times New Roman" w:cs="Times New Roman"/>
          <w:b/>
          <w:sz w:val="24"/>
          <w:szCs w:val="24"/>
          <w:lang w:val="en-GB"/>
        </w:rPr>
        <w:t xml:space="preserve">THE ROOT CAUSES OF LOW INVESTMENT FINANCING IN EUROPE </w:t>
      </w:r>
    </w:p>
    <w:p w:rsidR="00F07AA4" w:rsidRPr="00FE4D5D" w:rsidRDefault="00F07AA4" w:rsidP="000919B8">
      <w:pPr>
        <w:spacing w:line="240" w:lineRule="auto"/>
        <w:jc w:val="both"/>
        <w:rPr>
          <w:rFonts w:ascii="Times New Roman" w:hAnsi="Times New Roman" w:cs="Times New Roman"/>
          <w:b/>
          <w:sz w:val="24"/>
          <w:szCs w:val="24"/>
          <w:lang w:val="en-GB"/>
        </w:rPr>
      </w:pPr>
      <w:r w:rsidRPr="00FE4D5D">
        <w:rPr>
          <w:rFonts w:ascii="Times New Roman" w:hAnsi="Times New Roman" w:cs="Times New Roman"/>
          <w:b/>
          <w:sz w:val="24"/>
          <w:szCs w:val="24"/>
          <w:lang w:val="en-GB"/>
        </w:rPr>
        <w:t>A key reason for less efficient financial intermediation in Europe is that capital markets remain fragmented and flows of savings into capital markets are lower…</w:t>
      </w:r>
    </w:p>
    <w:p w:rsidR="00F07AA4" w:rsidRPr="00FE4D5D" w:rsidRDefault="00F07AA4" w:rsidP="000919B8">
      <w:pPr>
        <w:spacing w:line="240" w:lineRule="auto"/>
        <w:jc w:val="both"/>
        <w:rPr>
          <w:rFonts w:ascii="Times New Roman" w:hAnsi="Times New Roman" w:cs="Times New Roman"/>
          <w:b/>
          <w:sz w:val="24"/>
          <w:szCs w:val="24"/>
          <w:lang w:val="en-GB"/>
        </w:rPr>
      </w:pPr>
      <w:r w:rsidRPr="00FE4D5D">
        <w:rPr>
          <w:rFonts w:ascii="Times New Roman" w:hAnsi="Times New Roman" w:cs="Times New Roman"/>
          <w:b/>
          <w:sz w:val="24"/>
          <w:szCs w:val="24"/>
          <w:lang w:val="en-GB"/>
        </w:rPr>
        <w:t>The mirror image is that the EU relies excessively on bank financing, which is less well-suited to fund innovative projects and faces several constraints…</w:t>
      </w:r>
    </w:p>
    <w:p w:rsidR="00F07AA4" w:rsidRPr="00FE4D5D" w:rsidRDefault="00F07AA4" w:rsidP="000919B8">
      <w:pPr>
        <w:spacing w:line="240" w:lineRule="auto"/>
        <w:jc w:val="both"/>
        <w:rPr>
          <w:rFonts w:ascii="Times New Roman" w:hAnsi="Times New Roman" w:cs="Times New Roman"/>
          <w:b/>
          <w:sz w:val="24"/>
          <w:szCs w:val="24"/>
          <w:lang w:val="en-GB"/>
        </w:rPr>
      </w:pPr>
      <w:r w:rsidRPr="00FE4D5D">
        <w:rPr>
          <w:rFonts w:ascii="Times New Roman" w:hAnsi="Times New Roman" w:cs="Times New Roman"/>
          <w:b/>
          <w:sz w:val="24"/>
          <w:szCs w:val="24"/>
          <w:lang w:val="en-GB"/>
        </w:rPr>
        <w:t>At the same time, EU support for both public and private investment is constrained by the size of the EU budget, its lack of focus and a too conservative attitude to risk…</w:t>
      </w:r>
    </w:p>
    <w:p w:rsidR="00F07AA4" w:rsidRPr="00FE4D5D" w:rsidRDefault="00F07AA4" w:rsidP="000919B8">
      <w:pPr>
        <w:spacing w:line="240" w:lineRule="auto"/>
        <w:jc w:val="both"/>
        <w:rPr>
          <w:rFonts w:ascii="Times New Roman" w:hAnsi="Times New Roman" w:cs="Times New Roman"/>
          <w:b/>
          <w:sz w:val="24"/>
          <w:szCs w:val="24"/>
          <w:lang w:val="en-GB"/>
        </w:rPr>
      </w:pPr>
      <w:r w:rsidRPr="00FE4D5D">
        <w:rPr>
          <w:rFonts w:ascii="Times New Roman" w:hAnsi="Times New Roman" w:cs="Times New Roman"/>
          <w:b/>
          <w:sz w:val="24"/>
          <w:szCs w:val="24"/>
          <w:lang w:val="en-GB"/>
        </w:rPr>
        <w:lastRenderedPageBreak/>
        <w:t>It is unquestionable that the issuance of a common safe asset would make the CMU much easier to achieve and more complete…</w:t>
      </w:r>
    </w:p>
    <w:p w:rsidR="00F07AA4" w:rsidRPr="00FE4D5D" w:rsidRDefault="00F07AA4" w:rsidP="000919B8">
      <w:pPr>
        <w:spacing w:line="240" w:lineRule="auto"/>
        <w:jc w:val="both"/>
        <w:rPr>
          <w:rFonts w:ascii="Times New Roman" w:hAnsi="Times New Roman" w:cs="Times New Roman"/>
          <w:b/>
          <w:sz w:val="24"/>
          <w:szCs w:val="24"/>
          <w:lang w:val="en-GB"/>
        </w:rPr>
      </w:pPr>
      <w:r w:rsidRPr="00FE4D5D">
        <w:rPr>
          <w:rFonts w:ascii="Times New Roman" w:hAnsi="Times New Roman" w:cs="Times New Roman"/>
          <w:b/>
          <w:sz w:val="24"/>
          <w:szCs w:val="24"/>
          <w:lang w:val="en-GB"/>
        </w:rPr>
        <w:t>Some joint funding of investment at the EU level is necessary to maximise productivity growth, as well as to finance other European public goods…</w:t>
      </w:r>
    </w:p>
    <w:p w:rsidR="00F07AA4" w:rsidRPr="00FE4D5D" w:rsidRDefault="00FE4D5D" w:rsidP="000919B8">
      <w:pPr>
        <w:spacing w:line="240" w:lineRule="auto"/>
        <w:jc w:val="both"/>
        <w:rPr>
          <w:rFonts w:ascii="Times New Roman" w:hAnsi="Times New Roman" w:cs="Times New Roman"/>
          <w:b/>
          <w:sz w:val="24"/>
          <w:szCs w:val="24"/>
          <w:lang w:val="en-GB"/>
        </w:rPr>
      </w:pPr>
      <w:r w:rsidRPr="00FE4D5D">
        <w:rPr>
          <w:rFonts w:ascii="Times New Roman" w:hAnsi="Times New Roman" w:cs="Times New Roman"/>
          <w:b/>
          <w:sz w:val="24"/>
          <w:szCs w:val="24"/>
          <w:lang w:val="en-GB"/>
        </w:rPr>
        <w:t>The issuance of common safe assets to fund joint investment projects could follow existing templates - however, it would have to be accompanied by all the safeguards that such a fundamental step would entail…</w:t>
      </w:r>
    </w:p>
    <w:p w:rsidR="00FE4D5D" w:rsidRPr="00FE4D5D" w:rsidRDefault="00FE4D5D" w:rsidP="000919B8">
      <w:pPr>
        <w:spacing w:line="240" w:lineRule="auto"/>
        <w:jc w:val="both"/>
        <w:rPr>
          <w:rFonts w:ascii="Times New Roman" w:hAnsi="Times New Roman" w:cs="Times New Roman"/>
          <w:b/>
          <w:sz w:val="24"/>
          <w:szCs w:val="24"/>
          <w:lang w:val="en-GB"/>
        </w:rPr>
      </w:pPr>
      <w:r w:rsidRPr="00FE4D5D">
        <w:rPr>
          <w:rFonts w:ascii="Times New Roman" w:hAnsi="Times New Roman" w:cs="Times New Roman"/>
          <w:b/>
          <w:sz w:val="24"/>
          <w:szCs w:val="24"/>
          <w:lang w:val="en-GB"/>
        </w:rPr>
        <w:t xml:space="preserve">MOBILISING PRIVATE AND PUBLIC FINANCE AT SCALE </w:t>
      </w:r>
    </w:p>
    <w:p w:rsidR="00FE4D5D" w:rsidRPr="00FE4D5D" w:rsidRDefault="00FE4D5D" w:rsidP="000919B8">
      <w:pPr>
        <w:spacing w:line="240" w:lineRule="auto"/>
        <w:jc w:val="both"/>
        <w:rPr>
          <w:rFonts w:ascii="Times New Roman" w:hAnsi="Times New Roman" w:cs="Times New Roman"/>
          <w:b/>
          <w:sz w:val="24"/>
          <w:szCs w:val="24"/>
          <w:lang w:val="en-GB"/>
        </w:rPr>
      </w:pPr>
      <w:r w:rsidRPr="00FE4D5D">
        <w:rPr>
          <w:rFonts w:ascii="Times New Roman" w:hAnsi="Times New Roman" w:cs="Times New Roman"/>
          <w:b/>
          <w:sz w:val="24"/>
          <w:szCs w:val="24"/>
          <w:lang w:val="en-GB"/>
        </w:rPr>
        <w:t>To unlock private capital, the EU must build a genuine Capital Markets Union (CMU) supported by a stronger pension…</w:t>
      </w:r>
    </w:p>
    <w:p w:rsidR="00FE4D5D" w:rsidRPr="00FE4D5D" w:rsidRDefault="00FE4D5D" w:rsidP="000919B8">
      <w:pPr>
        <w:spacing w:line="240" w:lineRule="auto"/>
        <w:jc w:val="both"/>
        <w:rPr>
          <w:rFonts w:ascii="Times New Roman" w:hAnsi="Times New Roman" w:cs="Times New Roman"/>
          <w:b/>
          <w:sz w:val="24"/>
          <w:szCs w:val="24"/>
          <w:lang w:val="en-GB"/>
        </w:rPr>
      </w:pPr>
      <w:r w:rsidRPr="00FE4D5D">
        <w:rPr>
          <w:rFonts w:ascii="Times New Roman" w:hAnsi="Times New Roman" w:cs="Times New Roman"/>
          <w:b/>
          <w:sz w:val="24"/>
          <w:szCs w:val="24"/>
          <w:lang w:val="en-GB"/>
        </w:rPr>
        <w:t>To increase the financing capacity of the banking sector, the EU should aim to revive securitisation and complete the Banking Union…</w:t>
      </w:r>
    </w:p>
    <w:p w:rsidR="00FE4D5D" w:rsidRPr="00FE4D5D" w:rsidRDefault="00FE4D5D" w:rsidP="000919B8">
      <w:pPr>
        <w:spacing w:line="240" w:lineRule="auto"/>
        <w:jc w:val="both"/>
        <w:rPr>
          <w:rFonts w:ascii="Times New Roman" w:hAnsi="Times New Roman" w:cs="Times New Roman"/>
          <w:b/>
          <w:sz w:val="24"/>
          <w:szCs w:val="24"/>
          <w:lang w:val="en-GB"/>
        </w:rPr>
      </w:pPr>
      <w:r w:rsidRPr="00FE4D5D">
        <w:rPr>
          <w:rFonts w:ascii="Times New Roman" w:hAnsi="Times New Roman" w:cs="Times New Roman"/>
          <w:b/>
          <w:sz w:val="24"/>
          <w:szCs w:val="24"/>
          <w:lang w:val="en-GB"/>
        </w:rPr>
        <w:t>The EU budget should be reformed to increase its focus and efficiency, as well as being better leveraged to support private investment…</w:t>
      </w:r>
    </w:p>
    <w:p w:rsidR="00FE4D5D" w:rsidRPr="00FE4D5D" w:rsidRDefault="00FE4D5D" w:rsidP="000919B8">
      <w:pPr>
        <w:spacing w:line="240" w:lineRule="auto"/>
        <w:jc w:val="both"/>
        <w:rPr>
          <w:rFonts w:ascii="Times New Roman" w:hAnsi="Times New Roman" w:cs="Times New Roman"/>
          <w:b/>
          <w:sz w:val="24"/>
          <w:szCs w:val="24"/>
          <w:lang w:val="en-GB"/>
        </w:rPr>
      </w:pPr>
      <w:r w:rsidRPr="00FE4D5D">
        <w:rPr>
          <w:rFonts w:ascii="Times New Roman" w:hAnsi="Times New Roman" w:cs="Times New Roman"/>
          <w:b/>
          <w:sz w:val="24"/>
          <w:szCs w:val="24"/>
          <w:lang w:val="en-GB"/>
        </w:rPr>
        <w:t>Finally, the EU should move towards regular issuance of common safe assets to enable joint investment projects among Member States and to help integrate capital markets…</w:t>
      </w:r>
    </w:p>
    <w:p w:rsidR="00FE4D5D" w:rsidRPr="00FE4D5D" w:rsidRDefault="00FE4D5D" w:rsidP="000919B8">
      <w:pPr>
        <w:spacing w:line="240" w:lineRule="auto"/>
        <w:jc w:val="both"/>
        <w:rPr>
          <w:rFonts w:ascii="Times New Roman" w:hAnsi="Times New Roman" w:cs="Times New Roman"/>
          <w:b/>
          <w:sz w:val="24"/>
          <w:szCs w:val="24"/>
          <w:lang w:val="en-GB"/>
        </w:rPr>
      </w:pPr>
      <w:r w:rsidRPr="00FE4D5D">
        <w:rPr>
          <w:rFonts w:ascii="Times New Roman" w:hAnsi="Times New Roman" w:cs="Times New Roman"/>
          <w:b/>
          <w:sz w:val="24"/>
          <w:szCs w:val="24"/>
          <w:lang w:val="en-GB"/>
        </w:rPr>
        <w:t xml:space="preserve">6. Strengthening governance </w:t>
      </w:r>
    </w:p>
    <w:p w:rsidR="00FE4D5D" w:rsidRDefault="00FE4D5D" w:rsidP="000919B8">
      <w:pPr>
        <w:spacing w:line="240" w:lineRule="auto"/>
        <w:jc w:val="both"/>
        <w:rPr>
          <w:rFonts w:ascii="Times New Roman" w:hAnsi="Times New Roman" w:cs="Times New Roman"/>
          <w:sz w:val="24"/>
          <w:szCs w:val="24"/>
          <w:lang w:val="en-GB"/>
        </w:rPr>
      </w:pPr>
      <w:r w:rsidRPr="00FE4D5D">
        <w:rPr>
          <w:rFonts w:ascii="Times New Roman" w:hAnsi="Times New Roman" w:cs="Times New Roman"/>
          <w:b/>
          <w:sz w:val="24"/>
          <w:szCs w:val="24"/>
          <w:lang w:val="en-GB"/>
        </w:rPr>
        <w:t>A new industrial strategy for Europe will not succeed without parallel changes to the institutional setup and functioning of the EU</w:t>
      </w:r>
      <w:r w:rsidRPr="00FE4D5D">
        <w:rPr>
          <w:rFonts w:ascii="Times New Roman" w:hAnsi="Times New Roman" w:cs="Times New Roman"/>
          <w:sz w:val="24"/>
          <w:szCs w:val="24"/>
          <w:lang w:val="en-GB"/>
        </w:rPr>
        <w:t>. As demonstrated throughout this report, successful industrial policies today require strategies that span investment, taxation, education, access to finance, regulation, trade and foreign policy, united behind an agreed strategic goal. Europe’s major competitors, as single countries, can apply these strategies. The EU’s decision-making rules are based on a valid internal logic -to achieve consensus or at least reach a broad majority- but they appear slow and cumbersome in comparison with developments taking place externally. Crucially, Europe’s decision-making rules have not substantially evolved as the EU has enlarged and as the global environment facing Europe has become more hostile and complex. Decisions are typically made issue-by-issue in different sub-committees, with little coordination across policy areas. Multiple veto players can delay or dilute action. The upshot is a legislative process with an average time o</w:t>
      </w:r>
      <w:r w:rsidR="004E3B41">
        <w:rPr>
          <w:rFonts w:ascii="Times New Roman" w:hAnsi="Times New Roman" w:cs="Times New Roman"/>
          <w:sz w:val="24"/>
          <w:szCs w:val="24"/>
          <w:lang w:val="en-GB"/>
        </w:rPr>
        <w:t>f 19 months to agree new laws -</w:t>
      </w:r>
      <w:r w:rsidRPr="00FE4D5D">
        <w:rPr>
          <w:rFonts w:ascii="Times New Roman" w:hAnsi="Times New Roman" w:cs="Times New Roman"/>
          <w:sz w:val="24"/>
          <w:szCs w:val="24"/>
          <w:lang w:val="en-GB"/>
        </w:rPr>
        <w:t xml:space="preserve">from the Commission’s proposal to </w:t>
      </w:r>
      <w:r w:rsidR="004E3B41">
        <w:rPr>
          <w:rFonts w:ascii="Times New Roman" w:hAnsi="Times New Roman" w:cs="Times New Roman"/>
          <w:sz w:val="24"/>
          <w:szCs w:val="24"/>
          <w:lang w:val="en-GB"/>
        </w:rPr>
        <w:t>the signing of the adopted act-</w:t>
      </w:r>
      <w:r w:rsidRPr="00FE4D5D">
        <w:rPr>
          <w:rFonts w:ascii="Times New Roman" w:hAnsi="Times New Roman" w:cs="Times New Roman"/>
          <w:sz w:val="24"/>
          <w:szCs w:val="24"/>
          <w:lang w:val="en-GB"/>
        </w:rPr>
        <w:t xml:space="preserve"> and which even then does not deliver results at the level and pace EU citizens expect. Strengthening the EU requires Treaty changes, but it is not a precondition for Europe to move forward: much can be done with targeted adjustments. Until the consensus for Treaty changes is in place, a renewed European partnership should be built on three overarching goals: refocusing the work of the EU, accelerating EU action and integration, and simplifying rules.</w:t>
      </w:r>
    </w:p>
    <w:p w:rsidR="00FE4D5D" w:rsidRPr="00AF76C6" w:rsidRDefault="00FE4D5D" w:rsidP="000919B8">
      <w:pPr>
        <w:spacing w:line="240" w:lineRule="auto"/>
        <w:jc w:val="both"/>
        <w:rPr>
          <w:rFonts w:ascii="Times New Roman" w:hAnsi="Times New Roman" w:cs="Times New Roman"/>
          <w:b/>
          <w:sz w:val="24"/>
          <w:szCs w:val="24"/>
          <w:lang w:val="en-GB"/>
        </w:rPr>
      </w:pPr>
      <w:r w:rsidRPr="00AF76C6">
        <w:rPr>
          <w:rFonts w:ascii="Times New Roman" w:hAnsi="Times New Roman" w:cs="Times New Roman"/>
          <w:b/>
          <w:sz w:val="24"/>
          <w:szCs w:val="24"/>
          <w:lang w:val="en-GB"/>
        </w:rPr>
        <w:t xml:space="preserve">REFOCUSING THE WORK OF THE EU </w:t>
      </w:r>
    </w:p>
    <w:p w:rsidR="00FE4D5D" w:rsidRPr="00AF76C6" w:rsidRDefault="00FE4D5D" w:rsidP="000919B8">
      <w:pPr>
        <w:spacing w:line="240" w:lineRule="auto"/>
        <w:jc w:val="both"/>
        <w:rPr>
          <w:rFonts w:ascii="Times New Roman" w:hAnsi="Times New Roman" w:cs="Times New Roman"/>
          <w:sz w:val="24"/>
          <w:szCs w:val="24"/>
          <w:lang w:val="en-GB"/>
        </w:rPr>
      </w:pPr>
      <w:r w:rsidRPr="00AF76C6">
        <w:rPr>
          <w:rFonts w:ascii="Times New Roman" w:hAnsi="Times New Roman" w:cs="Times New Roman"/>
          <w:b/>
          <w:sz w:val="24"/>
          <w:szCs w:val="24"/>
          <w:lang w:val="en-GB"/>
        </w:rPr>
        <w:t>The report recommends establishing a new “Competitiveness Coordination Framework” to foster EU-wide coordination in priority areas, replacing other overlapping coordination instruments</w:t>
      </w:r>
      <w:r w:rsidRPr="00AF76C6">
        <w:rPr>
          <w:rFonts w:ascii="Times New Roman" w:hAnsi="Times New Roman" w:cs="Times New Roman"/>
          <w:sz w:val="24"/>
          <w:szCs w:val="24"/>
          <w:lang w:val="en-GB"/>
        </w:rPr>
        <w:t xml:space="preserve">. The EU has a variety of tools to coordinate policies, such as the European Semester for economic policies and National Energy and Climate Plans for energy policies. In most cases, however, the established processes have so far proven to be largely bureaucratic and ineffective at fostering genuine EU-wide policy coordination. The </w:t>
      </w:r>
      <w:r w:rsidRPr="00AF76C6">
        <w:rPr>
          <w:rFonts w:ascii="Times New Roman" w:hAnsi="Times New Roman" w:cs="Times New Roman"/>
          <w:sz w:val="24"/>
          <w:szCs w:val="24"/>
          <w:lang w:val="en-GB"/>
        </w:rPr>
        <w:lastRenderedPageBreak/>
        <w:t xml:space="preserve">new framework would address only </w:t>
      </w:r>
      <w:r w:rsidR="00AF76C6" w:rsidRPr="00AF76C6">
        <w:rPr>
          <w:rFonts w:ascii="Times New Roman" w:hAnsi="Times New Roman" w:cs="Times New Roman"/>
          <w:sz w:val="24"/>
          <w:szCs w:val="24"/>
          <w:lang w:val="en-GB"/>
        </w:rPr>
        <w:t>EU-level strategic priorities -</w:t>
      </w:r>
      <w:r w:rsidRPr="00AF76C6">
        <w:rPr>
          <w:rFonts w:ascii="Times New Roman" w:hAnsi="Times New Roman" w:cs="Times New Roman"/>
          <w:sz w:val="24"/>
          <w:szCs w:val="24"/>
          <w:lang w:val="en-GB"/>
        </w:rPr>
        <w:t xml:space="preserve">“EU </w:t>
      </w:r>
      <w:r w:rsidR="00AF76C6" w:rsidRPr="00AF76C6">
        <w:rPr>
          <w:rFonts w:ascii="Times New Roman" w:hAnsi="Times New Roman" w:cs="Times New Roman"/>
          <w:sz w:val="24"/>
          <w:szCs w:val="24"/>
          <w:lang w:val="en-GB"/>
        </w:rPr>
        <w:t>Competitiveness Priorities”-</w:t>
      </w:r>
      <w:r w:rsidRPr="00AF76C6">
        <w:rPr>
          <w:rFonts w:ascii="Times New Roman" w:hAnsi="Times New Roman" w:cs="Times New Roman"/>
          <w:sz w:val="24"/>
          <w:szCs w:val="24"/>
          <w:lang w:val="en-GB"/>
        </w:rPr>
        <w:t xml:space="preserve"> which would be formulated and adopted by the European Council. These priorities would be defined at the beginning of each European political cycle in a European Council debate and adopted i</w:t>
      </w:r>
      <w:r w:rsidR="00AF76C6" w:rsidRPr="00AF76C6">
        <w:rPr>
          <w:rFonts w:ascii="Times New Roman" w:hAnsi="Times New Roman" w:cs="Times New Roman"/>
          <w:sz w:val="24"/>
          <w:szCs w:val="24"/>
          <w:lang w:val="en-GB"/>
        </w:rPr>
        <w:t>n European Council conclusions</w:t>
      </w:r>
      <w:r w:rsidRPr="00AF76C6">
        <w:rPr>
          <w:rFonts w:ascii="Times New Roman" w:hAnsi="Times New Roman" w:cs="Times New Roman"/>
          <w:sz w:val="24"/>
          <w:szCs w:val="24"/>
          <w:lang w:val="en-GB"/>
        </w:rPr>
        <w:t>. Thereafter, the coordination of all economic policies relevant to the EU’s agreed strategic priorities would be merged into the new coordination framework, excluding fiscal policy surveillance which would continue to be governed by the European Semester exercise. Not only would this rationalisation help to organise and focus the EU’s activities, it would also represent a major simplification exercise for both EU and national administrations.</w:t>
      </w:r>
    </w:p>
    <w:p w:rsidR="00FE4D5D" w:rsidRPr="00AF76C6" w:rsidRDefault="00FE4D5D" w:rsidP="000919B8">
      <w:pPr>
        <w:spacing w:line="240" w:lineRule="auto"/>
        <w:jc w:val="both"/>
        <w:rPr>
          <w:rFonts w:ascii="Times New Roman" w:hAnsi="Times New Roman" w:cs="Times New Roman"/>
          <w:sz w:val="24"/>
          <w:szCs w:val="24"/>
          <w:lang w:val="en-GB"/>
        </w:rPr>
      </w:pPr>
      <w:r w:rsidRPr="00AF76C6">
        <w:rPr>
          <w:rFonts w:ascii="Times New Roman" w:hAnsi="Times New Roman" w:cs="Times New Roman"/>
          <w:b/>
          <w:sz w:val="24"/>
          <w:szCs w:val="24"/>
          <w:lang w:val="en-GB"/>
        </w:rPr>
        <w:t>The Competitiveness Coordination Framework would be divided into Competitiveness Action Plans for each strategic priority, with well-defined objectives, governance, and financing</w:t>
      </w:r>
      <w:r w:rsidRPr="00AF76C6">
        <w:rPr>
          <w:rFonts w:ascii="Times New Roman" w:hAnsi="Times New Roman" w:cs="Times New Roman"/>
          <w:sz w:val="24"/>
          <w:szCs w:val="24"/>
          <w:lang w:val="en-GB"/>
        </w:rPr>
        <w:t>. For the first cycle, the objectives could correspond to the goals set out in this report. Governance of the Action Plans should aim to minimise bureaucracy and involve a wide range of stakeholders: Member States, technical experts, the private sector, and EU institutions and agencies. The Commission should have a mandate for horizontal actions and exclusive competencies of the EU, such as revamping competition policy and reducing administrative and regulatory burdens. For shared competencies like closing the skills gap and accelerating innovation, the Commission should provide guidelines and share the institutional setup for implementation with relevant national bodies and industry experts, as discussed in the relevant chapters of this report. In specific sectors of the economy, a new setup could be envisaged bringing together the Commission, industry and Member States, as well as relevant sectoral agencies.</w:t>
      </w:r>
    </w:p>
    <w:p w:rsidR="00FE4D5D" w:rsidRPr="00AF76C6" w:rsidRDefault="00FE4D5D" w:rsidP="000919B8">
      <w:pPr>
        <w:spacing w:line="240" w:lineRule="auto"/>
        <w:jc w:val="both"/>
        <w:rPr>
          <w:rFonts w:ascii="Times New Roman" w:hAnsi="Times New Roman" w:cs="Times New Roman"/>
          <w:sz w:val="24"/>
          <w:szCs w:val="24"/>
          <w:lang w:val="en-GB"/>
        </w:rPr>
      </w:pPr>
      <w:r w:rsidRPr="00AF76C6">
        <w:rPr>
          <w:rFonts w:ascii="Times New Roman" w:hAnsi="Times New Roman" w:cs="Times New Roman"/>
          <w:b/>
          <w:sz w:val="24"/>
          <w:szCs w:val="24"/>
          <w:lang w:val="en-GB"/>
        </w:rPr>
        <w:t>At the same time, refocusing implies that the EU should be more rigorous in</w:t>
      </w:r>
      <w:r w:rsidR="00AF76C6" w:rsidRPr="00AF76C6">
        <w:rPr>
          <w:rFonts w:ascii="Times New Roman" w:hAnsi="Times New Roman" w:cs="Times New Roman"/>
          <w:b/>
          <w:sz w:val="24"/>
          <w:szCs w:val="24"/>
          <w:lang w:val="en-GB"/>
        </w:rPr>
        <w:t xml:space="preserve"> applying the subsidiarity prin</w:t>
      </w:r>
      <w:r w:rsidRPr="00AF76C6">
        <w:rPr>
          <w:rFonts w:ascii="Times New Roman" w:hAnsi="Times New Roman" w:cs="Times New Roman"/>
          <w:b/>
          <w:sz w:val="24"/>
          <w:szCs w:val="24"/>
          <w:lang w:val="en-GB"/>
        </w:rPr>
        <w:t>ciple and exercise more “self-restraint</w:t>
      </w:r>
      <w:r w:rsidRPr="00AF76C6">
        <w:rPr>
          <w:rFonts w:ascii="Times New Roman" w:hAnsi="Times New Roman" w:cs="Times New Roman"/>
          <w:sz w:val="24"/>
          <w:szCs w:val="24"/>
          <w:lang w:val="en-GB"/>
        </w:rPr>
        <w:t>”. The Commission’s legislative activity has been growing excessively, also due to passive scrutiny of the subsidiarity principle by national parliaments, which sets the boundaries of the Commission’s right of initiative. While national parliaments have the power to scrutinise whether EU legislation complies with the subsidiarity princi</w:t>
      </w:r>
      <w:r w:rsidR="00AF76C6" w:rsidRPr="00AF76C6">
        <w:rPr>
          <w:rFonts w:ascii="Times New Roman" w:hAnsi="Times New Roman" w:cs="Times New Roman"/>
          <w:sz w:val="24"/>
          <w:szCs w:val="24"/>
          <w:lang w:val="en-GB"/>
        </w:rPr>
        <w:t>ple through reasoned opinions -</w:t>
      </w:r>
      <w:r w:rsidRPr="00AF76C6">
        <w:rPr>
          <w:rFonts w:ascii="Times New Roman" w:hAnsi="Times New Roman" w:cs="Times New Roman"/>
          <w:sz w:val="24"/>
          <w:szCs w:val="24"/>
          <w:lang w:val="en-GB"/>
        </w:rPr>
        <w:t>and potentially trigger the so-</w:t>
      </w:r>
      <w:r w:rsidR="00AF76C6" w:rsidRPr="00AF76C6">
        <w:rPr>
          <w:rFonts w:ascii="Times New Roman" w:hAnsi="Times New Roman" w:cs="Times New Roman"/>
          <w:sz w:val="24"/>
          <w:szCs w:val="24"/>
          <w:lang w:val="en-GB"/>
        </w:rPr>
        <w:t>called “yellow card procedure”-</w:t>
      </w:r>
      <w:r w:rsidRPr="00AF76C6">
        <w:rPr>
          <w:rFonts w:ascii="Times New Roman" w:hAnsi="Times New Roman" w:cs="Times New Roman"/>
          <w:sz w:val="24"/>
          <w:szCs w:val="24"/>
          <w:lang w:val="en-GB"/>
        </w:rPr>
        <w:t xml:space="preserve"> many do not actively exercise this right. For example, of the 39 national parliaments or chambers in the EU, only nine (from seven Member States) issued reasoned opinions in the context of scrutinising subsidiarity in 2023. An EU-wide inquiry should be launched to analyse the reasons behind national parliaments’ passive exercise of their scrutiny of the subsidiarity principle. Building on its conclusions, initiatives should be taken to reinforce the administrative capacity and role of national parliaments and Member States in their control over EU legislative activity. Moreover, EU institutions should apply a “self-restraint” principle in policymaking, both by better filtering future initiatives and by streamlining the existing acquis, building on the measures described in “Simplifying rules” below.</w:t>
      </w:r>
    </w:p>
    <w:p w:rsidR="00AF76C6" w:rsidRPr="00AF76C6" w:rsidRDefault="00FE4D5D" w:rsidP="000919B8">
      <w:pPr>
        <w:spacing w:line="240" w:lineRule="auto"/>
        <w:jc w:val="both"/>
        <w:rPr>
          <w:rFonts w:ascii="Times New Roman" w:hAnsi="Times New Roman" w:cs="Times New Roman"/>
          <w:b/>
          <w:sz w:val="24"/>
          <w:szCs w:val="24"/>
          <w:lang w:val="en-GB"/>
        </w:rPr>
      </w:pPr>
      <w:r w:rsidRPr="00AF76C6">
        <w:rPr>
          <w:rFonts w:ascii="Times New Roman" w:hAnsi="Times New Roman" w:cs="Times New Roman"/>
          <w:b/>
          <w:sz w:val="24"/>
          <w:szCs w:val="24"/>
          <w:lang w:val="en-GB"/>
        </w:rPr>
        <w:t xml:space="preserve">ACCELERATING THE WORK OF THE EU </w:t>
      </w:r>
    </w:p>
    <w:p w:rsidR="00FE4D5D" w:rsidRPr="00AF76C6" w:rsidRDefault="00FE4D5D" w:rsidP="000919B8">
      <w:pPr>
        <w:spacing w:line="240" w:lineRule="auto"/>
        <w:jc w:val="both"/>
        <w:rPr>
          <w:rFonts w:ascii="Times New Roman" w:hAnsi="Times New Roman" w:cs="Times New Roman"/>
          <w:sz w:val="24"/>
          <w:szCs w:val="24"/>
          <w:lang w:val="en-GB"/>
        </w:rPr>
      </w:pPr>
      <w:r w:rsidRPr="00AF76C6">
        <w:rPr>
          <w:rFonts w:ascii="Times New Roman" w:hAnsi="Times New Roman" w:cs="Times New Roman"/>
          <w:b/>
          <w:sz w:val="24"/>
          <w:szCs w:val="24"/>
          <w:lang w:val="en-GB"/>
        </w:rPr>
        <w:t>Council votes subject to qualified majority voting (QMV) should be extended to more areas, and if action at the EU level is blocked, a differentiated approach to integration should be pursued</w:t>
      </w:r>
      <w:r w:rsidRPr="00AF76C6">
        <w:rPr>
          <w:rFonts w:ascii="Times New Roman" w:hAnsi="Times New Roman" w:cs="Times New Roman"/>
          <w:sz w:val="24"/>
          <w:szCs w:val="24"/>
          <w:lang w:val="en-GB"/>
        </w:rPr>
        <w:t xml:space="preserve">. So far, many efforts to deepen European integration between Member States have been hindered by unanimity voting in the Council of the European Union. All possibilities offered by the EU Treaties should therefore be exploited to extend QMV. The so-called “passerelle” clause should be leveraged to generalise voting by qualified majority in all policy areas in the Council. This step would require an upfront agreement, subject to unanimity at the level of the European Council, and would have a positive impact on the pace </w:t>
      </w:r>
      <w:r w:rsidRPr="00AF76C6">
        <w:rPr>
          <w:rFonts w:ascii="Times New Roman" w:hAnsi="Times New Roman" w:cs="Times New Roman"/>
          <w:sz w:val="24"/>
          <w:szCs w:val="24"/>
          <w:lang w:val="en-GB"/>
        </w:rPr>
        <w:lastRenderedPageBreak/>
        <w:t>at which key legislative initiatives are adopted by the EU. If action at the EU level is hindered by existing institutional procedures, the next-best option is for like-minded groups of Member States to resort to enhanced cooperation as foreseen by Articles 20 TEU and 329 TFEU. Enhanced cooperation offers two important safeguards: the consent of the European Parliament (EP) and judicial oversight of the Court of Justice of the EU (CJEU). It is also based on a Commission proposal. As an illustration, if the EU is unable to establish a special regime for innovative companies under normal procedures, a voluntary 28th company rulebook harmonising legislation concerning corporate law and insolvency, as well as a few key aspects of labour law and taxation, to be made progressively more ambitious, could be explored under enhanced cooperation by willing Member States. As a last resort, intergovernmental cooperation should be considered. However, acting outside of the Treaties creates parallel legal frameworks and implies the absence of judicial oversight by CJEU, democratic legitimacy via the EP, and the Commission’s involvement in preparing texts</w:t>
      </w:r>
      <w:r w:rsidR="00AF76C6" w:rsidRPr="00AF76C6">
        <w:rPr>
          <w:rFonts w:ascii="Times New Roman" w:hAnsi="Times New Roman" w:cs="Times New Roman"/>
          <w:sz w:val="24"/>
          <w:szCs w:val="24"/>
          <w:lang w:val="en-GB"/>
        </w:rPr>
        <w:t>.</w:t>
      </w:r>
    </w:p>
    <w:p w:rsidR="00AF76C6" w:rsidRPr="00AF76C6" w:rsidRDefault="00AF76C6" w:rsidP="000919B8">
      <w:pPr>
        <w:spacing w:line="240" w:lineRule="auto"/>
        <w:jc w:val="both"/>
        <w:rPr>
          <w:rFonts w:ascii="Times New Roman" w:hAnsi="Times New Roman" w:cs="Times New Roman"/>
          <w:b/>
          <w:sz w:val="24"/>
          <w:szCs w:val="24"/>
          <w:lang w:val="en-GB"/>
        </w:rPr>
      </w:pPr>
      <w:r w:rsidRPr="00AF76C6">
        <w:rPr>
          <w:rFonts w:ascii="Times New Roman" w:hAnsi="Times New Roman" w:cs="Times New Roman"/>
          <w:b/>
          <w:sz w:val="24"/>
          <w:szCs w:val="24"/>
          <w:lang w:val="en-GB"/>
        </w:rPr>
        <w:t>SIMPLIFYING RULES</w:t>
      </w:r>
    </w:p>
    <w:p w:rsidR="00AF76C6" w:rsidRPr="00AF76C6" w:rsidRDefault="00AF76C6" w:rsidP="000919B8">
      <w:pPr>
        <w:spacing w:line="240" w:lineRule="auto"/>
        <w:jc w:val="both"/>
        <w:rPr>
          <w:rFonts w:ascii="Times New Roman" w:hAnsi="Times New Roman" w:cs="Times New Roman"/>
          <w:sz w:val="24"/>
          <w:szCs w:val="24"/>
          <w:lang w:val="en-GB"/>
        </w:rPr>
      </w:pPr>
      <w:r w:rsidRPr="00AF76C6">
        <w:rPr>
          <w:rFonts w:ascii="Times New Roman" w:hAnsi="Times New Roman" w:cs="Times New Roman"/>
          <w:b/>
          <w:sz w:val="24"/>
          <w:szCs w:val="24"/>
          <w:lang w:val="en-GB"/>
        </w:rPr>
        <w:t>The regulatory burden on European companies is high and continues to grow, but the EU lacks a common methodology to assess it.</w:t>
      </w:r>
      <w:r w:rsidRPr="00AF76C6">
        <w:rPr>
          <w:rFonts w:ascii="Times New Roman" w:hAnsi="Times New Roman" w:cs="Times New Roman"/>
          <w:sz w:val="24"/>
          <w:szCs w:val="24"/>
          <w:lang w:val="en-GB"/>
        </w:rPr>
        <w:t xml:space="preserve"> The Commission has been working for years to reduce the “stock” and “flow” of regulation under the Better Regulation agenda. However, this effort has had limited impact so far. The stock of regulation remains large and new regulation in the EU is growing faster than in other comparable economies. While direct comparisons are obscured by different political and legal systems, around 3,500 pieces of legislation were enacted and around 2,000 resolutions were passed in the US at the federal level over the past three Congress mandates (2019-2024). During the same period, around 13,000 acts were passed by the EU. Despite this increasing flow of regulation, the EU lacks a quantitative framework to analyse the costs and benefits of new laws. Among the EU institutions, only the Commission has developed a methodology (the Standard Cost Model) to calculate regulatory burdens, but its concrete application varies across pieces of legislation. The co-legislators -the European Parliament and Council- have no methodology in place to measure the impact of amendments they propose to draft EU legislation. Moreover, there is no single methodology in place to assess the impact of EU legislation once transposed at national level, with only a few Member States systematically measuring the impact of transposed EU law - in turn making it harder for national parliaments to exercise scrutiny.</w:t>
      </w:r>
    </w:p>
    <w:p w:rsidR="00AF76C6" w:rsidRPr="00AF76C6" w:rsidRDefault="00AF76C6" w:rsidP="000919B8">
      <w:pPr>
        <w:spacing w:line="240" w:lineRule="auto"/>
        <w:jc w:val="both"/>
        <w:rPr>
          <w:rFonts w:ascii="Times New Roman" w:hAnsi="Times New Roman" w:cs="Times New Roman"/>
          <w:sz w:val="24"/>
          <w:szCs w:val="24"/>
          <w:lang w:val="en-GB"/>
        </w:rPr>
      </w:pPr>
      <w:r w:rsidRPr="00AF76C6">
        <w:rPr>
          <w:rFonts w:ascii="Times New Roman" w:hAnsi="Times New Roman" w:cs="Times New Roman"/>
          <w:b/>
          <w:sz w:val="24"/>
          <w:szCs w:val="24"/>
          <w:lang w:val="en-GB"/>
        </w:rPr>
        <w:t>Companies in Europe face three main hindrances from the rising weight of regulation</w:t>
      </w:r>
      <w:r w:rsidRPr="00AF76C6">
        <w:rPr>
          <w:rFonts w:ascii="Times New Roman" w:hAnsi="Times New Roman" w:cs="Times New Roman"/>
          <w:sz w:val="24"/>
          <w:szCs w:val="24"/>
          <w:lang w:val="en-GB"/>
        </w:rPr>
        <w:t>. First, they need to comply with the accumulation of or frequent changes to EU legislation over time, translating into overlap and inconsistencies. For example, a Business Europe gap analysis of 13 pieces of EU law flagged duplication across 169 requirements, including differences (29%) and outright inconsistencies (11%). Second, EU companies face an extra burden due to national transposition, for instance as Member States “gold plate” of EU legislation or implement laws with divergent requirements and standards from one country to another. As touched on in chapter 2, GDPR in particular has been implemented with a large degree of fragmentation which undermines the EU’s digital goals. Third, EU regulation imposes a proportionally higher burden on SMEs and small mid-caps than on larger companies, yet the EU lacks a framework to assess these costs. About 80% of Commission Work Programme items are relevant to SMEs but only around half of impact assessments substantially focused on these companies. The EU also lacks a commonly agreed definition of small mid-caps and readily available statistical data.</w:t>
      </w:r>
    </w:p>
    <w:p w:rsidR="00AF76C6" w:rsidRPr="00AF76C6" w:rsidRDefault="00AF76C6" w:rsidP="000919B8">
      <w:pPr>
        <w:spacing w:line="240" w:lineRule="auto"/>
        <w:jc w:val="both"/>
        <w:rPr>
          <w:rFonts w:ascii="Times New Roman" w:hAnsi="Times New Roman" w:cs="Times New Roman"/>
          <w:sz w:val="24"/>
          <w:szCs w:val="24"/>
          <w:lang w:val="en-GB"/>
        </w:rPr>
      </w:pPr>
      <w:r w:rsidRPr="00AF76C6">
        <w:rPr>
          <w:rFonts w:ascii="Times New Roman" w:hAnsi="Times New Roman" w:cs="Times New Roman"/>
          <w:b/>
          <w:sz w:val="24"/>
          <w:szCs w:val="24"/>
          <w:lang w:val="en-GB"/>
        </w:rPr>
        <w:t>To start lowering the “stock” of regulation, the report recommends appoin</w:t>
      </w:r>
      <w:r>
        <w:rPr>
          <w:rFonts w:ascii="Times New Roman" w:hAnsi="Times New Roman" w:cs="Times New Roman"/>
          <w:b/>
          <w:sz w:val="24"/>
          <w:szCs w:val="24"/>
          <w:lang w:val="en-GB"/>
        </w:rPr>
        <w:t>ting a new Commission Vice Pres</w:t>
      </w:r>
      <w:r w:rsidRPr="00AF76C6">
        <w:rPr>
          <w:rFonts w:ascii="Times New Roman" w:hAnsi="Times New Roman" w:cs="Times New Roman"/>
          <w:b/>
          <w:sz w:val="24"/>
          <w:szCs w:val="24"/>
          <w:lang w:val="en-GB"/>
        </w:rPr>
        <w:t xml:space="preserve">ident for Simplification to streamline the acquis, while adopting a </w:t>
      </w:r>
      <w:r w:rsidRPr="00AF76C6">
        <w:rPr>
          <w:rFonts w:ascii="Times New Roman" w:hAnsi="Times New Roman" w:cs="Times New Roman"/>
          <w:b/>
          <w:sz w:val="24"/>
          <w:szCs w:val="24"/>
          <w:lang w:val="en-GB"/>
        </w:rPr>
        <w:lastRenderedPageBreak/>
        <w:t>single, clear methodology to quantify the cost of the new regulatory “flow”</w:t>
      </w:r>
      <w:r w:rsidRPr="00AF76C6">
        <w:rPr>
          <w:rFonts w:ascii="Times New Roman" w:hAnsi="Times New Roman" w:cs="Times New Roman"/>
          <w:sz w:val="24"/>
          <w:szCs w:val="24"/>
          <w:lang w:val="en-GB"/>
        </w:rPr>
        <w:t>. At the start of each Commission mandate, before adopting new EU legislation, a fixed period of at least six months should be devoted to systematically assessing and stress-testing all existing regulation by sector of economic activity. On this basis, a second phase should focus on pursuing the codification and consolidation of EU legislation by policy area. This process should include simplifying and removing overlap and inconsistencies across the whole “legislative chain”, with priority given to those economic sectors where Europe is particularly exposed to international competition. This exercise should be run by all members of the College of Commissioners within their respective competencies and coordinated by a Vice-President for Simplification. To ensure that new legislation is consistent with this simplification drive, a single methodology should be developed and consistently applied within the Commission across its impact assessments. This methodology should be applied to all new legislation and be adopted by co-legislators when amending legislation. It is also recommended to add a new standard requirement in the article on the transposition of directives requi</w:t>
      </w:r>
      <w:r>
        <w:rPr>
          <w:rFonts w:ascii="Times New Roman" w:hAnsi="Times New Roman" w:cs="Times New Roman"/>
          <w:sz w:val="24"/>
          <w:szCs w:val="24"/>
          <w:lang w:val="en-GB"/>
        </w:rPr>
        <w:t>ring Member States to systemati</w:t>
      </w:r>
      <w:r w:rsidRPr="00AF76C6">
        <w:rPr>
          <w:rFonts w:ascii="Times New Roman" w:hAnsi="Times New Roman" w:cs="Times New Roman"/>
          <w:sz w:val="24"/>
          <w:szCs w:val="24"/>
          <w:lang w:val="en-GB"/>
        </w:rPr>
        <w:t>cally assess new legislation using the same methodology as the EU institutions. At the same time, the Single Market Enforcement Taskforce (SMET) should be strengthened and focused on evaluating and addressing instances of incorrect transposition and transposition which exceeds the requirements of EU directives. Finally, implementation and enforcement authorities in the Member States should be streamlined and merged.</w:t>
      </w:r>
    </w:p>
    <w:p w:rsidR="00AF76C6" w:rsidRPr="00AF76C6" w:rsidRDefault="00AF76C6" w:rsidP="000919B8">
      <w:pPr>
        <w:spacing w:line="240" w:lineRule="auto"/>
        <w:jc w:val="both"/>
        <w:rPr>
          <w:rFonts w:ascii="Times New Roman" w:hAnsi="Times New Roman" w:cs="Times New Roman"/>
          <w:sz w:val="24"/>
          <w:szCs w:val="24"/>
          <w:lang w:val="en-GB"/>
        </w:rPr>
      </w:pPr>
      <w:r w:rsidRPr="00AF76C6">
        <w:rPr>
          <w:rFonts w:ascii="Times New Roman" w:hAnsi="Times New Roman" w:cs="Times New Roman"/>
          <w:b/>
          <w:sz w:val="24"/>
          <w:szCs w:val="24"/>
          <w:lang w:val="en-GB"/>
        </w:rPr>
        <w:t>The EU should fully implement the announced cut by 25% of reporting obligations and commit to achieving a further reduction for SMEs up to 50%, upholding proportionality for SMEs in EU law and extending it to small mid-caps</w:t>
      </w:r>
      <w:r w:rsidRPr="00AF76C6">
        <w:rPr>
          <w:rFonts w:ascii="Times New Roman" w:hAnsi="Times New Roman" w:cs="Times New Roman"/>
          <w:sz w:val="24"/>
          <w:szCs w:val="24"/>
          <w:lang w:val="en-GB"/>
        </w:rPr>
        <w:t>. The report recommends that all new proposals up for adoption should be subject to a revamped competitiveness test, with a clear, strong methodology to measure the cumulative impact, including both compliance costs and administrative burden. These checks should be performed by involving committees of industrial operators supporting the Commission in assessing the impact of all draft autonomous acts. On this basis, the Commission should choose to postpone initiatives which are particularly problematic from an innovation standpoint or with a disproportionate impact on SMEs. In addition, the Commission should extend mitigation measures to small mid-caps. The EU should also enable the use of AI-powered software and machine-processed data to lower compliance and administrative costs for SMEs. Measures should include requiring harmonised reporting templates, de minimis reporting thresholds, and centralised reporting requirements using one multilingual interface.</w:t>
      </w:r>
    </w:p>
    <w:p w:rsidR="0063372F" w:rsidRDefault="0063372F" w:rsidP="0063372F">
      <w:pPr>
        <w:shd w:val="clear" w:color="auto" w:fill="FFFFFF"/>
        <w:spacing w:line="240" w:lineRule="auto"/>
        <w:jc w:val="both"/>
        <w:rPr>
          <w:rFonts w:ascii="Times New Roman" w:hAnsi="Times New Roman" w:cs="Times New Roman"/>
          <w:bCs/>
          <w:color w:val="000000"/>
          <w:sz w:val="24"/>
          <w:szCs w:val="24"/>
          <w:lang w:val="en-GB"/>
        </w:rPr>
      </w:pPr>
      <w:r w:rsidRPr="0063372F">
        <w:rPr>
          <w:rFonts w:ascii="Times New Roman" w:hAnsi="Times New Roman" w:cs="Times New Roman"/>
          <w:b/>
          <w:sz w:val="24"/>
          <w:szCs w:val="24"/>
          <w:lang w:val="en-GB"/>
        </w:rPr>
        <w:t xml:space="preserve">The future of European competitiveness - Part B | In-depth analysis and recommendations </w:t>
      </w:r>
      <w:r w:rsidRPr="0063372F">
        <w:rPr>
          <w:rFonts w:ascii="Times New Roman" w:hAnsi="Times New Roman" w:cs="Times New Roman"/>
          <w:bCs/>
          <w:color w:val="000000"/>
          <w:sz w:val="24"/>
          <w:szCs w:val="24"/>
          <w:lang w:val="en-GB"/>
        </w:rPr>
        <w:t>(Nota: hasta el 18/9/24 no existía una versión en español del Informe)</w:t>
      </w:r>
    </w:p>
    <w:p w:rsidR="0063372F" w:rsidRPr="0072405B" w:rsidRDefault="0063372F" w:rsidP="0063372F">
      <w:pPr>
        <w:shd w:val="clear" w:color="auto" w:fill="FFFFFF"/>
        <w:spacing w:line="240" w:lineRule="auto"/>
        <w:jc w:val="both"/>
        <w:rPr>
          <w:rFonts w:ascii="Times New Roman" w:hAnsi="Times New Roman" w:cs="Times New Roman"/>
          <w:b/>
          <w:sz w:val="24"/>
          <w:szCs w:val="24"/>
          <w:lang w:val="en-GB"/>
        </w:rPr>
      </w:pPr>
      <w:r w:rsidRPr="0072405B">
        <w:rPr>
          <w:rFonts w:ascii="Times New Roman" w:hAnsi="Times New Roman" w:cs="Times New Roman"/>
          <w:b/>
          <w:sz w:val="24"/>
          <w:szCs w:val="24"/>
          <w:lang w:val="en-GB"/>
        </w:rPr>
        <w:t xml:space="preserve">1. Energy </w:t>
      </w:r>
    </w:p>
    <w:p w:rsidR="0063372F" w:rsidRPr="0072405B" w:rsidRDefault="0063372F" w:rsidP="0063372F">
      <w:pPr>
        <w:shd w:val="clear" w:color="auto" w:fill="FFFFFF"/>
        <w:spacing w:line="240" w:lineRule="auto"/>
        <w:jc w:val="both"/>
        <w:rPr>
          <w:rFonts w:ascii="Times New Roman" w:hAnsi="Times New Roman" w:cs="Times New Roman"/>
          <w:b/>
          <w:sz w:val="24"/>
          <w:szCs w:val="24"/>
          <w:lang w:val="en-GB"/>
        </w:rPr>
      </w:pPr>
      <w:r w:rsidRPr="0072405B">
        <w:rPr>
          <w:rFonts w:ascii="Times New Roman" w:hAnsi="Times New Roman" w:cs="Times New Roman"/>
          <w:b/>
          <w:sz w:val="24"/>
          <w:szCs w:val="24"/>
          <w:lang w:val="en-GB"/>
        </w:rPr>
        <w:t xml:space="preserve">The starting point </w:t>
      </w:r>
    </w:p>
    <w:p w:rsidR="0063372F" w:rsidRPr="0072405B" w:rsidRDefault="0063372F" w:rsidP="0063372F">
      <w:pPr>
        <w:shd w:val="clear" w:color="auto" w:fill="FFFFFF"/>
        <w:spacing w:line="240" w:lineRule="auto"/>
        <w:jc w:val="both"/>
        <w:rPr>
          <w:rFonts w:ascii="Times New Roman" w:hAnsi="Times New Roman" w:cs="Times New Roman"/>
          <w:sz w:val="24"/>
          <w:szCs w:val="24"/>
          <w:lang w:val="en-GB"/>
        </w:rPr>
      </w:pPr>
      <w:r w:rsidRPr="0072405B">
        <w:rPr>
          <w:rFonts w:ascii="Times New Roman" w:hAnsi="Times New Roman" w:cs="Times New Roman"/>
          <w:b/>
          <w:sz w:val="24"/>
          <w:szCs w:val="24"/>
          <w:lang w:val="en-GB"/>
        </w:rPr>
        <w:t>Energy is a key driver of the European Union’s competitiveness gap vis-à-vis other world regions</w:t>
      </w:r>
      <w:r w:rsidRPr="0072405B">
        <w:rPr>
          <w:rFonts w:ascii="Times New Roman" w:hAnsi="Times New Roman" w:cs="Times New Roman"/>
          <w:sz w:val="24"/>
          <w:szCs w:val="24"/>
          <w:lang w:val="en-GB"/>
        </w:rPr>
        <w:t>. This has been the case since the early 2000s, but the gap has recently deteriorated as a result of the energy crisis. Structural reasons are at the core of this gap and have been exacerbated during the last two years</w:t>
      </w:r>
      <w:r w:rsidR="0072405B">
        <w:rPr>
          <w:rFonts w:ascii="Times New Roman" w:hAnsi="Times New Roman" w:cs="Times New Roman"/>
          <w:sz w:val="24"/>
          <w:szCs w:val="24"/>
          <w:lang w:val="en-GB"/>
        </w:rPr>
        <w:t>…</w:t>
      </w:r>
    </w:p>
    <w:p w:rsidR="0063372F" w:rsidRDefault="0063372F" w:rsidP="0063372F">
      <w:pPr>
        <w:shd w:val="clear" w:color="auto" w:fill="FFFFFF"/>
        <w:spacing w:line="240" w:lineRule="auto"/>
        <w:jc w:val="both"/>
        <w:rPr>
          <w:rFonts w:ascii="Times New Roman" w:hAnsi="Times New Roman" w:cs="Times New Roman"/>
          <w:bCs/>
          <w:color w:val="000000"/>
          <w:sz w:val="24"/>
          <w:szCs w:val="24"/>
          <w:lang w:val="en-GB"/>
        </w:rPr>
      </w:pPr>
      <w:r w:rsidRPr="0063372F">
        <w:rPr>
          <w:rFonts w:ascii="Times New Roman" w:hAnsi="Times New Roman" w:cs="Times New Roman"/>
          <w:bCs/>
          <w:noProof/>
          <w:color w:val="000000"/>
          <w:sz w:val="24"/>
          <w:szCs w:val="24"/>
          <w:lang w:eastAsia="es-ES"/>
        </w:rPr>
        <w:lastRenderedPageBreak/>
        <w:drawing>
          <wp:inline distT="0" distB="0" distL="0" distR="0" wp14:anchorId="611266FF" wp14:editId="36BB73D8">
            <wp:extent cx="5727700" cy="2679700"/>
            <wp:effectExtent l="0" t="0" r="6350" b="635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2681483"/>
                    </a:xfrm>
                    <a:prstGeom prst="rect">
                      <a:avLst/>
                    </a:prstGeom>
                  </pic:spPr>
                </pic:pic>
              </a:graphicData>
            </a:graphic>
          </wp:inline>
        </w:drawing>
      </w:r>
    </w:p>
    <w:p w:rsidR="0063372F" w:rsidRDefault="00900C8D" w:rsidP="0063372F">
      <w:pPr>
        <w:shd w:val="clear" w:color="auto" w:fill="FFFFFF"/>
        <w:spacing w:line="240" w:lineRule="auto"/>
        <w:jc w:val="both"/>
        <w:rPr>
          <w:rFonts w:ascii="Times New Roman" w:hAnsi="Times New Roman" w:cs="Times New Roman"/>
          <w:bCs/>
          <w:color w:val="000000"/>
          <w:sz w:val="24"/>
          <w:szCs w:val="24"/>
          <w:lang w:val="en-GB"/>
        </w:rPr>
      </w:pPr>
      <w:r w:rsidRPr="00900C8D">
        <w:rPr>
          <w:rFonts w:ascii="Times New Roman" w:hAnsi="Times New Roman" w:cs="Times New Roman"/>
          <w:bCs/>
          <w:noProof/>
          <w:color w:val="000000"/>
          <w:sz w:val="24"/>
          <w:szCs w:val="24"/>
          <w:lang w:eastAsia="es-ES"/>
        </w:rPr>
        <w:drawing>
          <wp:inline distT="0" distB="0" distL="0" distR="0" wp14:anchorId="1347446C" wp14:editId="30013668">
            <wp:extent cx="5727700" cy="2876550"/>
            <wp:effectExtent l="0" t="0" r="635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2878463"/>
                    </a:xfrm>
                    <a:prstGeom prst="rect">
                      <a:avLst/>
                    </a:prstGeom>
                  </pic:spPr>
                </pic:pic>
              </a:graphicData>
            </a:graphic>
          </wp:inline>
        </w:drawing>
      </w:r>
    </w:p>
    <w:p w:rsidR="00900C8D" w:rsidRDefault="00900C8D" w:rsidP="0063372F">
      <w:pPr>
        <w:shd w:val="clear" w:color="auto" w:fill="FFFFFF"/>
        <w:spacing w:line="240" w:lineRule="auto"/>
        <w:jc w:val="both"/>
        <w:rPr>
          <w:rFonts w:ascii="Times New Roman" w:hAnsi="Times New Roman" w:cs="Times New Roman"/>
          <w:bCs/>
          <w:color w:val="000000"/>
          <w:sz w:val="24"/>
          <w:szCs w:val="24"/>
          <w:lang w:val="en-GB"/>
        </w:rPr>
      </w:pPr>
      <w:r w:rsidRPr="00900C8D">
        <w:rPr>
          <w:rFonts w:ascii="Times New Roman" w:hAnsi="Times New Roman" w:cs="Times New Roman"/>
          <w:bCs/>
          <w:noProof/>
          <w:color w:val="000000"/>
          <w:sz w:val="24"/>
          <w:szCs w:val="24"/>
          <w:lang w:eastAsia="es-ES"/>
        </w:rPr>
        <w:drawing>
          <wp:inline distT="0" distB="0" distL="0" distR="0" wp14:anchorId="4B1F49D6" wp14:editId="515A0A0F">
            <wp:extent cx="5727656" cy="2806700"/>
            <wp:effectExtent l="0" t="0" r="698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2808589"/>
                    </a:xfrm>
                    <a:prstGeom prst="rect">
                      <a:avLst/>
                    </a:prstGeom>
                  </pic:spPr>
                </pic:pic>
              </a:graphicData>
            </a:graphic>
          </wp:inline>
        </w:drawing>
      </w:r>
    </w:p>
    <w:p w:rsidR="00900C8D" w:rsidRDefault="00900C8D" w:rsidP="0063372F">
      <w:pPr>
        <w:shd w:val="clear" w:color="auto" w:fill="FFFFFF"/>
        <w:spacing w:line="240" w:lineRule="auto"/>
        <w:jc w:val="both"/>
        <w:rPr>
          <w:rFonts w:ascii="Times New Roman" w:hAnsi="Times New Roman" w:cs="Times New Roman"/>
          <w:bCs/>
          <w:color w:val="000000"/>
          <w:sz w:val="24"/>
          <w:szCs w:val="24"/>
          <w:lang w:val="en-GB"/>
        </w:rPr>
      </w:pPr>
      <w:r w:rsidRPr="00900C8D">
        <w:rPr>
          <w:rFonts w:ascii="Times New Roman" w:hAnsi="Times New Roman" w:cs="Times New Roman"/>
          <w:bCs/>
          <w:noProof/>
          <w:color w:val="000000"/>
          <w:sz w:val="24"/>
          <w:szCs w:val="24"/>
          <w:lang w:eastAsia="es-ES"/>
        </w:rPr>
        <w:lastRenderedPageBreak/>
        <w:drawing>
          <wp:inline distT="0" distB="0" distL="0" distR="0" wp14:anchorId="0071454A" wp14:editId="6FA779D9">
            <wp:extent cx="5731251" cy="2851150"/>
            <wp:effectExtent l="0" t="0" r="3175" b="63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2851279"/>
                    </a:xfrm>
                    <a:prstGeom prst="rect">
                      <a:avLst/>
                    </a:prstGeom>
                  </pic:spPr>
                </pic:pic>
              </a:graphicData>
            </a:graphic>
          </wp:inline>
        </w:drawing>
      </w:r>
    </w:p>
    <w:p w:rsidR="00900C8D" w:rsidRDefault="00900C8D" w:rsidP="0063372F">
      <w:pPr>
        <w:shd w:val="clear" w:color="auto" w:fill="FFFFFF"/>
        <w:spacing w:line="240" w:lineRule="auto"/>
        <w:jc w:val="both"/>
        <w:rPr>
          <w:rFonts w:ascii="Times New Roman" w:hAnsi="Times New Roman" w:cs="Times New Roman"/>
          <w:bCs/>
          <w:color w:val="000000"/>
          <w:sz w:val="24"/>
          <w:szCs w:val="24"/>
          <w:lang w:val="en-GB"/>
        </w:rPr>
      </w:pPr>
      <w:r w:rsidRPr="00900C8D">
        <w:rPr>
          <w:rFonts w:ascii="Times New Roman" w:hAnsi="Times New Roman" w:cs="Times New Roman"/>
          <w:bCs/>
          <w:noProof/>
          <w:color w:val="000000"/>
          <w:sz w:val="24"/>
          <w:szCs w:val="24"/>
          <w:lang w:eastAsia="es-ES"/>
        </w:rPr>
        <w:drawing>
          <wp:inline distT="0" distB="0" distL="0" distR="0" wp14:anchorId="5E28147F" wp14:editId="21155D3F">
            <wp:extent cx="5732931" cy="2622550"/>
            <wp:effectExtent l="0" t="0" r="1270" b="635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2621900"/>
                    </a:xfrm>
                    <a:prstGeom prst="rect">
                      <a:avLst/>
                    </a:prstGeom>
                  </pic:spPr>
                </pic:pic>
              </a:graphicData>
            </a:graphic>
          </wp:inline>
        </w:drawing>
      </w:r>
    </w:p>
    <w:p w:rsidR="00900C8D" w:rsidRDefault="00900C8D" w:rsidP="0063372F">
      <w:pPr>
        <w:shd w:val="clear" w:color="auto" w:fill="FFFFFF"/>
        <w:spacing w:line="240" w:lineRule="auto"/>
        <w:jc w:val="both"/>
        <w:rPr>
          <w:rFonts w:ascii="Times New Roman" w:hAnsi="Times New Roman" w:cs="Times New Roman"/>
          <w:bCs/>
          <w:color w:val="000000"/>
          <w:sz w:val="24"/>
          <w:szCs w:val="24"/>
          <w:lang w:val="en-GB"/>
        </w:rPr>
      </w:pPr>
      <w:r w:rsidRPr="00900C8D">
        <w:rPr>
          <w:rFonts w:ascii="Times New Roman" w:hAnsi="Times New Roman" w:cs="Times New Roman"/>
          <w:bCs/>
          <w:noProof/>
          <w:color w:val="000000"/>
          <w:sz w:val="24"/>
          <w:szCs w:val="24"/>
          <w:lang w:eastAsia="es-ES"/>
        </w:rPr>
        <w:drawing>
          <wp:inline distT="0" distB="0" distL="0" distR="0" wp14:anchorId="68542129" wp14:editId="18988E97">
            <wp:extent cx="5731773" cy="2882900"/>
            <wp:effectExtent l="0" t="0" r="254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2882768"/>
                    </a:xfrm>
                    <a:prstGeom prst="rect">
                      <a:avLst/>
                    </a:prstGeom>
                  </pic:spPr>
                </pic:pic>
              </a:graphicData>
            </a:graphic>
          </wp:inline>
        </w:drawing>
      </w:r>
    </w:p>
    <w:p w:rsidR="00900C8D" w:rsidRDefault="001E36A5" w:rsidP="0063372F">
      <w:pPr>
        <w:shd w:val="clear" w:color="auto" w:fill="FFFFFF"/>
        <w:spacing w:line="240" w:lineRule="auto"/>
        <w:jc w:val="both"/>
        <w:rPr>
          <w:rFonts w:ascii="Times New Roman" w:hAnsi="Times New Roman" w:cs="Times New Roman"/>
          <w:bCs/>
          <w:color w:val="000000"/>
          <w:sz w:val="24"/>
          <w:szCs w:val="24"/>
          <w:lang w:val="en-GB"/>
        </w:rPr>
      </w:pPr>
      <w:r w:rsidRPr="001E36A5">
        <w:rPr>
          <w:rFonts w:ascii="Times New Roman" w:hAnsi="Times New Roman" w:cs="Times New Roman"/>
          <w:bCs/>
          <w:noProof/>
          <w:color w:val="000000"/>
          <w:sz w:val="24"/>
          <w:szCs w:val="24"/>
          <w:lang w:eastAsia="es-ES"/>
        </w:rPr>
        <w:lastRenderedPageBreak/>
        <w:drawing>
          <wp:inline distT="0" distB="0" distL="0" distR="0" wp14:anchorId="693081E0" wp14:editId="090B7F45">
            <wp:extent cx="5721350" cy="2736850"/>
            <wp:effectExtent l="0" t="0" r="0" b="635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2741710"/>
                    </a:xfrm>
                    <a:prstGeom prst="rect">
                      <a:avLst/>
                    </a:prstGeom>
                  </pic:spPr>
                </pic:pic>
              </a:graphicData>
            </a:graphic>
          </wp:inline>
        </w:drawing>
      </w:r>
    </w:p>
    <w:p w:rsidR="001E36A5" w:rsidRDefault="001E36A5" w:rsidP="0063372F">
      <w:pPr>
        <w:shd w:val="clear" w:color="auto" w:fill="FFFFFF"/>
        <w:spacing w:line="240" w:lineRule="auto"/>
        <w:jc w:val="both"/>
        <w:rPr>
          <w:rFonts w:ascii="Times New Roman" w:hAnsi="Times New Roman" w:cs="Times New Roman"/>
          <w:bCs/>
          <w:color w:val="000000"/>
          <w:sz w:val="24"/>
          <w:szCs w:val="24"/>
          <w:lang w:val="en-GB"/>
        </w:rPr>
      </w:pPr>
      <w:r w:rsidRPr="001E36A5">
        <w:rPr>
          <w:rFonts w:ascii="Times New Roman" w:hAnsi="Times New Roman" w:cs="Times New Roman"/>
          <w:bCs/>
          <w:noProof/>
          <w:color w:val="000000"/>
          <w:sz w:val="24"/>
          <w:szCs w:val="24"/>
          <w:lang w:eastAsia="es-ES"/>
        </w:rPr>
        <w:drawing>
          <wp:inline distT="0" distB="0" distL="0" distR="0" wp14:anchorId="1252D6BE" wp14:editId="60B73DFF">
            <wp:extent cx="5726996" cy="2781300"/>
            <wp:effectExtent l="0" t="0" r="762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2783492"/>
                    </a:xfrm>
                    <a:prstGeom prst="rect">
                      <a:avLst/>
                    </a:prstGeom>
                  </pic:spPr>
                </pic:pic>
              </a:graphicData>
            </a:graphic>
          </wp:inline>
        </w:drawing>
      </w:r>
    </w:p>
    <w:p w:rsidR="001E36A5" w:rsidRDefault="001E36A5" w:rsidP="0063372F">
      <w:pPr>
        <w:shd w:val="clear" w:color="auto" w:fill="FFFFFF"/>
        <w:spacing w:line="240" w:lineRule="auto"/>
        <w:jc w:val="both"/>
        <w:rPr>
          <w:rFonts w:ascii="Times New Roman" w:hAnsi="Times New Roman" w:cs="Times New Roman"/>
          <w:bCs/>
          <w:color w:val="000000"/>
          <w:sz w:val="24"/>
          <w:szCs w:val="24"/>
          <w:lang w:val="en-GB"/>
        </w:rPr>
      </w:pPr>
      <w:r w:rsidRPr="001E36A5">
        <w:rPr>
          <w:rFonts w:ascii="Times New Roman" w:hAnsi="Times New Roman" w:cs="Times New Roman"/>
          <w:bCs/>
          <w:noProof/>
          <w:color w:val="000000"/>
          <w:sz w:val="24"/>
          <w:szCs w:val="24"/>
          <w:lang w:eastAsia="es-ES"/>
        </w:rPr>
        <w:drawing>
          <wp:inline distT="0" distB="0" distL="0" distR="0" wp14:anchorId="6C66CAE8" wp14:editId="471AC3CC">
            <wp:extent cx="5727700" cy="3003550"/>
            <wp:effectExtent l="0" t="0" r="6350" b="635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31510" cy="3005548"/>
                    </a:xfrm>
                    <a:prstGeom prst="rect">
                      <a:avLst/>
                    </a:prstGeom>
                  </pic:spPr>
                </pic:pic>
              </a:graphicData>
            </a:graphic>
          </wp:inline>
        </w:drawing>
      </w:r>
    </w:p>
    <w:p w:rsidR="001E36A5" w:rsidRDefault="001E36A5" w:rsidP="0063372F">
      <w:pPr>
        <w:shd w:val="clear" w:color="auto" w:fill="FFFFFF"/>
        <w:spacing w:line="240" w:lineRule="auto"/>
        <w:jc w:val="both"/>
        <w:rPr>
          <w:rFonts w:ascii="Times New Roman" w:hAnsi="Times New Roman" w:cs="Times New Roman"/>
          <w:bCs/>
          <w:color w:val="000000"/>
          <w:sz w:val="24"/>
          <w:szCs w:val="24"/>
          <w:lang w:val="en-GB"/>
        </w:rPr>
      </w:pPr>
      <w:r w:rsidRPr="001E36A5">
        <w:rPr>
          <w:rFonts w:ascii="Times New Roman" w:hAnsi="Times New Roman" w:cs="Times New Roman"/>
          <w:bCs/>
          <w:noProof/>
          <w:color w:val="000000"/>
          <w:sz w:val="24"/>
          <w:szCs w:val="24"/>
          <w:lang w:eastAsia="es-ES"/>
        </w:rPr>
        <w:lastRenderedPageBreak/>
        <w:drawing>
          <wp:inline distT="0" distB="0" distL="0" distR="0" wp14:anchorId="699C2C05" wp14:editId="058CFEA8">
            <wp:extent cx="5731510" cy="3256428"/>
            <wp:effectExtent l="0" t="0" r="2540" b="127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3256428"/>
                    </a:xfrm>
                    <a:prstGeom prst="rect">
                      <a:avLst/>
                    </a:prstGeom>
                  </pic:spPr>
                </pic:pic>
              </a:graphicData>
            </a:graphic>
          </wp:inline>
        </w:drawing>
      </w:r>
    </w:p>
    <w:p w:rsidR="001E36A5" w:rsidRDefault="001E36A5" w:rsidP="0063372F">
      <w:pPr>
        <w:shd w:val="clear" w:color="auto" w:fill="FFFFFF"/>
        <w:spacing w:line="240" w:lineRule="auto"/>
        <w:jc w:val="both"/>
        <w:rPr>
          <w:rFonts w:ascii="Times New Roman" w:hAnsi="Times New Roman" w:cs="Times New Roman"/>
          <w:bCs/>
          <w:color w:val="000000"/>
          <w:sz w:val="24"/>
          <w:szCs w:val="24"/>
          <w:lang w:val="en-GB"/>
        </w:rPr>
      </w:pPr>
      <w:r w:rsidRPr="001E36A5">
        <w:rPr>
          <w:rFonts w:ascii="Times New Roman" w:hAnsi="Times New Roman" w:cs="Times New Roman"/>
          <w:bCs/>
          <w:noProof/>
          <w:color w:val="000000"/>
          <w:sz w:val="24"/>
          <w:szCs w:val="24"/>
          <w:lang w:eastAsia="es-ES"/>
        </w:rPr>
        <w:drawing>
          <wp:inline distT="0" distB="0" distL="0" distR="0" wp14:anchorId="4EE8577A" wp14:editId="789D1081">
            <wp:extent cx="5731510" cy="2994959"/>
            <wp:effectExtent l="0" t="0" r="254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2994959"/>
                    </a:xfrm>
                    <a:prstGeom prst="rect">
                      <a:avLst/>
                    </a:prstGeom>
                  </pic:spPr>
                </pic:pic>
              </a:graphicData>
            </a:graphic>
          </wp:inline>
        </w:drawing>
      </w:r>
    </w:p>
    <w:p w:rsidR="001E36A5" w:rsidRDefault="001E36A5" w:rsidP="0063372F">
      <w:pPr>
        <w:shd w:val="clear" w:color="auto" w:fill="FFFFFF"/>
        <w:spacing w:line="240" w:lineRule="auto"/>
        <w:jc w:val="both"/>
        <w:rPr>
          <w:rFonts w:ascii="Times New Roman" w:hAnsi="Times New Roman" w:cs="Times New Roman"/>
          <w:bCs/>
          <w:color w:val="000000"/>
          <w:sz w:val="24"/>
          <w:szCs w:val="24"/>
          <w:lang w:val="en-GB"/>
        </w:rPr>
      </w:pPr>
      <w:r w:rsidRPr="001E36A5">
        <w:rPr>
          <w:rFonts w:ascii="Times New Roman" w:hAnsi="Times New Roman" w:cs="Times New Roman"/>
          <w:bCs/>
          <w:noProof/>
          <w:color w:val="000000"/>
          <w:sz w:val="24"/>
          <w:szCs w:val="24"/>
          <w:lang w:eastAsia="es-ES"/>
        </w:rPr>
        <w:drawing>
          <wp:inline distT="0" distB="0" distL="0" distR="0" wp14:anchorId="75BBC6FF" wp14:editId="614B8A94">
            <wp:extent cx="5731510" cy="1973574"/>
            <wp:effectExtent l="0" t="0" r="2540" b="825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1973574"/>
                    </a:xfrm>
                    <a:prstGeom prst="rect">
                      <a:avLst/>
                    </a:prstGeom>
                  </pic:spPr>
                </pic:pic>
              </a:graphicData>
            </a:graphic>
          </wp:inline>
        </w:drawing>
      </w:r>
    </w:p>
    <w:p w:rsidR="001E36A5" w:rsidRDefault="001E36A5" w:rsidP="0063372F">
      <w:pPr>
        <w:shd w:val="clear" w:color="auto" w:fill="FFFFFF"/>
        <w:spacing w:line="240" w:lineRule="auto"/>
        <w:jc w:val="both"/>
        <w:rPr>
          <w:rFonts w:ascii="Times New Roman" w:hAnsi="Times New Roman" w:cs="Times New Roman"/>
          <w:bCs/>
          <w:color w:val="000000"/>
          <w:sz w:val="24"/>
          <w:szCs w:val="24"/>
          <w:lang w:val="en-GB"/>
        </w:rPr>
      </w:pPr>
      <w:r w:rsidRPr="001E36A5">
        <w:rPr>
          <w:rFonts w:ascii="Times New Roman" w:hAnsi="Times New Roman" w:cs="Times New Roman"/>
          <w:bCs/>
          <w:noProof/>
          <w:color w:val="000000"/>
          <w:sz w:val="24"/>
          <w:szCs w:val="24"/>
          <w:lang w:eastAsia="es-ES"/>
        </w:rPr>
        <w:lastRenderedPageBreak/>
        <w:drawing>
          <wp:inline distT="0" distB="0" distL="0" distR="0" wp14:anchorId="73D8144F" wp14:editId="699D3965">
            <wp:extent cx="5731510" cy="2883513"/>
            <wp:effectExtent l="0" t="0" r="254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2883513"/>
                    </a:xfrm>
                    <a:prstGeom prst="rect">
                      <a:avLst/>
                    </a:prstGeom>
                  </pic:spPr>
                </pic:pic>
              </a:graphicData>
            </a:graphic>
          </wp:inline>
        </w:drawing>
      </w:r>
    </w:p>
    <w:p w:rsidR="0072405B" w:rsidRDefault="0072405B" w:rsidP="0063372F">
      <w:pPr>
        <w:shd w:val="clear" w:color="auto" w:fill="FFFFFF"/>
        <w:spacing w:line="240" w:lineRule="auto"/>
        <w:jc w:val="both"/>
        <w:rPr>
          <w:rFonts w:ascii="Times New Roman" w:hAnsi="Times New Roman" w:cs="Times New Roman"/>
          <w:bCs/>
          <w:color w:val="000000"/>
          <w:sz w:val="24"/>
          <w:szCs w:val="24"/>
          <w:lang w:val="en-GB"/>
        </w:rPr>
      </w:pPr>
      <w:r w:rsidRPr="0072405B">
        <w:rPr>
          <w:rFonts w:ascii="Times New Roman" w:hAnsi="Times New Roman" w:cs="Times New Roman"/>
          <w:bCs/>
          <w:noProof/>
          <w:color w:val="000000"/>
          <w:sz w:val="24"/>
          <w:szCs w:val="24"/>
          <w:lang w:eastAsia="es-ES"/>
        </w:rPr>
        <w:drawing>
          <wp:inline distT="0" distB="0" distL="0" distR="0" wp14:anchorId="2B545F56" wp14:editId="570A593D">
            <wp:extent cx="5731510" cy="1833348"/>
            <wp:effectExtent l="0" t="0" r="254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1510" cy="1833348"/>
                    </a:xfrm>
                    <a:prstGeom prst="rect">
                      <a:avLst/>
                    </a:prstGeom>
                  </pic:spPr>
                </pic:pic>
              </a:graphicData>
            </a:graphic>
          </wp:inline>
        </w:drawing>
      </w:r>
    </w:p>
    <w:p w:rsidR="0072405B" w:rsidRDefault="0072405B" w:rsidP="0063372F">
      <w:pPr>
        <w:shd w:val="clear" w:color="auto" w:fill="FFFFFF"/>
        <w:spacing w:line="240" w:lineRule="auto"/>
        <w:jc w:val="both"/>
        <w:rPr>
          <w:rFonts w:ascii="Times New Roman" w:hAnsi="Times New Roman" w:cs="Times New Roman"/>
          <w:bCs/>
          <w:color w:val="000000"/>
          <w:sz w:val="24"/>
          <w:szCs w:val="24"/>
          <w:lang w:val="en-GB"/>
        </w:rPr>
      </w:pPr>
      <w:r w:rsidRPr="0072405B">
        <w:rPr>
          <w:rFonts w:ascii="Times New Roman" w:hAnsi="Times New Roman" w:cs="Times New Roman"/>
          <w:bCs/>
          <w:noProof/>
          <w:color w:val="000000"/>
          <w:sz w:val="24"/>
          <w:szCs w:val="24"/>
          <w:lang w:eastAsia="es-ES"/>
        </w:rPr>
        <w:drawing>
          <wp:inline distT="0" distB="0" distL="0" distR="0" wp14:anchorId="44145A78" wp14:editId="12EEE406">
            <wp:extent cx="5731510" cy="2567545"/>
            <wp:effectExtent l="0" t="0" r="2540" b="444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2567545"/>
                    </a:xfrm>
                    <a:prstGeom prst="rect">
                      <a:avLst/>
                    </a:prstGeom>
                  </pic:spPr>
                </pic:pic>
              </a:graphicData>
            </a:graphic>
          </wp:inline>
        </w:drawing>
      </w:r>
    </w:p>
    <w:p w:rsidR="0072405B" w:rsidRDefault="0072405B" w:rsidP="0063372F">
      <w:pPr>
        <w:shd w:val="clear" w:color="auto" w:fill="FFFFFF"/>
        <w:spacing w:line="240" w:lineRule="auto"/>
        <w:jc w:val="both"/>
        <w:rPr>
          <w:rFonts w:ascii="Times New Roman" w:hAnsi="Times New Roman" w:cs="Times New Roman"/>
          <w:bCs/>
          <w:color w:val="000000"/>
          <w:sz w:val="24"/>
          <w:szCs w:val="24"/>
          <w:lang w:val="en-GB"/>
        </w:rPr>
      </w:pPr>
      <w:r w:rsidRPr="0072405B">
        <w:rPr>
          <w:rFonts w:ascii="Times New Roman" w:hAnsi="Times New Roman" w:cs="Times New Roman"/>
          <w:bCs/>
          <w:noProof/>
          <w:color w:val="000000"/>
          <w:sz w:val="24"/>
          <w:szCs w:val="24"/>
          <w:lang w:eastAsia="es-ES"/>
        </w:rPr>
        <w:lastRenderedPageBreak/>
        <w:drawing>
          <wp:inline distT="0" distB="0" distL="0" distR="0" wp14:anchorId="08FF3E30" wp14:editId="776CF863">
            <wp:extent cx="5731510" cy="1724352"/>
            <wp:effectExtent l="0" t="0" r="2540" b="952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1724352"/>
                    </a:xfrm>
                    <a:prstGeom prst="rect">
                      <a:avLst/>
                    </a:prstGeom>
                  </pic:spPr>
                </pic:pic>
              </a:graphicData>
            </a:graphic>
          </wp:inline>
        </w:drawing>
      </w:r>
    </w:p>
    <w:p w:rsidR="0072405B" w:rsidRDefault="0072405B" w:rsidP="0063372F">
      <w:pPr>
        <w:shd w:val="clear" w:color="auto" w:fill="FFFFFF"/>
        <w:spacing w:line="240" w:lineRule="auto"/>
        <w:jc w:val="both"/>
        <w:rPr>
          <w:rFonts w:ascii="Times New Roman" w:hAnsi="Times New Roman" w:cs="Times New Roman"/>
          <w:bCs/>
          <w:color w:val="000000"/>
          <w:sz w:val="24"/>
          <w:szCs w:val="24"/>
          <w:lang w:val="en-GB"/>
        </w:rPr>
      </w:pPr>
      <w:r w:rsidRPr="0072405B">
        <w:rPr>
          <w:rFonts w:ascii="Times New Roman" w:hAnsi="Times New Roman" w:cs="Times New Roman"/>
          <w:bCs/>
          <w:noProof/>
          <w:color w:val="000000"/>
          <w:sz w:val="24"/>
          <w:szCs w:val="24"/>
          <w:lang w:eastAsia="es-ES"/>
        </w:rPr>
        <w:drawing>
          <wp:inline distT="0" distB="0" distL="0" distR="0" wp14:anchorId="59F9E1A7" wp14:editId="2C67743F">
            <wp:extent cx="5731510" cy="843193"/>
            <wp:effectExtent l="0" t="0" r="254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843193"/>
                    </a:xfrm>
                    <a:prstGeom prst="rect">
                      <a:avLst/>
                    </a:prstGeom>
                  </pic:spPr>
                </pic:pic>
              </a:graphicData>
            </a:graphic>
          </wp:inline>
        </w:drawing>
      </w:r>
    </w:p>
    <w:p w:rsidR="0072405B" w:rsidRPr="000914C4" w:rsidRDefault="0072405B" w:rsidP="0063372F">
      <w:pPr>
        <w:shd w:val="clear" w:color="auto" w:fill="FFFFFF"/>
        <w:spacing w:line="240" w:lineRule="auto"/>
        <w:jc w:val="both"/>
        <w:rPr>
          <w:rFonts w:ascii="Times New Roman" w:hAnsi="Times New Roman" w:cs="Times New Roman"/>
          <w:b/>
          <w:sz w:val="24"/>
          <w:szCs w:val="24"/>
          <w:lang w:val="en-GB"/>
        </w:rPr>
      </w:pPr>
      <w:r w:rsidRPr="000914C4">
        <w:rPr>
          <w:rFonts w:ascii="Times New Roman" w:hAnsi="Times New Roman" w:cs="Times New Roman"/>
          <w:b/>
          <w:sz w:val="24"/>
          <w:szCs w:val="24"/>
          <w:lang w:val="en-GB"/>
        </w:rPr>
        <w:t xml:space="preserve">Objectives and proposals </w:t>
      </w:r>
    </w:p>
    <w:p w:rsidR="0072405B" w:rsidRPr="000914C4" w:rsidRDefault="0072405B" w:rsidP="0063372F">
      <w:pPr>
        <w:shd w:val="clear" w:color="auto" w:fill="FFFFFF"/>
        <w:spacing w:line="240" w:lineRule="auto"/>
        <w:jc w:val="both"/>
        <w:rPr>
          <w:rFonts w:ascii="Times New Roman" w:hAnsi="Times New Roman" w:cs="Times New Roman"/>
          <w:sz w:val="24"/>
          <w:szCs w:val="24"/>
          <w:lang w:val="en-GB"/>
        </w:rPr>
      </w:pPr>
      <w:r w:rsidRPr="000914C4">
        <w:rPr>
          <w:rFonts w:ascii="Times New Roman" w:hAnsi="Times New Roman" w:cs="Times New Roman"/>
          <w:sz w:val="24"/>
          <w:szCs w:val="24"/>
          <w:lang w:val="en-GB"/>
        </w:rPr>
        <w:t xml:space="preserve">To address the competitiveness challenges the EU faces, two objectives should be pursued in parallel: </w:t>
      </w:r>
    </w:p>
    <w:p w:rsidR="0072405B" w:rsidRPr="000914C4" w:rsidRDefault="0072405B" w:rsidP="0063372F">
      <w:pPr>
        <w:shd w:val="clear" w:color="auto" w:fill="FFFFFF"/>
        <w:spacing w:line="240" w:lineRule="auto"/>
        <w:jc w:val="both"/>
        <w:rPr>
          <w:rFonts w:ascii="Times New Roman" w:hAnsi="Times New Roman" w:cs="Times New Roman"/>
          <w:sz w:val="24"/>
          <w:szCs w:val="24"/>
          <w:lang w:val="en-GB"/>
        </w:rPr>
      </w:pPr>
      <w:r w:rsidRPr="000914C4">
        <w:rPr>
          <w:rFonts w:ascii="Times New Roman" w:hAnsi="Times New Roman" w:cs="Times New Roman"/>
          <w:sz w:val="24"/>
          <w:szCs w:val="24"/>
          <w:lang w:val="en-GB"/>
        </w:rPr>
        <w:t>• First, the cost of energy must be lowered for the final user</w:t>
      </w:r>
      <w:r w:rsidR="000914C4" w:rsidRPr="000914C4">
        <w:rPr>
          <w:rFonts w:ascii="Times New Roman" w:hAnsi="Times New Roman" w:cs="Times New Roman"/>
          <w:sz w:val="24"/>
          <w:szCs w:val="24"/>
          <w:lang w:val="en-GB"/>
        </w:rPr>
        <w:t>.</w:t>
      </w:r>
      <w:r w:rsidRPr="000914C4">
        <w:rPr>
          <w:rFonts w:ascii="Times New Roman" w:hAnsi="Times New Roman" w:cs="Times New Roman"/>
          <w:sz w:val="24"/>
          <w:szCs w:val="24"/>
          <w:lang w:val="en-GB"/>
        </w:rPr>
        <w:t xml:space="preserve"> The cost benefits of d</w:t>
      </w:r>
      <w:r w:rsidR="000914C4" w:rsidRPr="000914C4">
        <w:rPr>
          <w:rFonts w:ascii="Times New Roman" w:hAnsi="Times New Roman" w:cs="Times New Roman"/>
          <w:sz w:val="24"/>
          <w:szCs w:val="24"/>
          <w:lang w:val="en-GB"/>
        </w:rPr>
        <w:t>ecarbonisation should be antici</w:t>
      </w:r>
      <w:r w:rsidRPr="000914C4">
        <w:rPr>
          <w:rFonts w:ascii="Times New Roman" w:hAnsi="Times New Roman" w:cs="Times New Roman"/>
          <w:sz w:val="24"/>
          <w:szCs w:val="24"/>
          <w:lang w:val="en-GB"/>
        </w:rPr>
        <w:t xml:space="preserve">pated and transferred to all consumers </w:t>
      </w:r>
    </w:p>
    <w:p w:rsidR="0072405B" w:rsidRPr="000914C4" w:rsidRDefault="0072405B" w:rsidP="0063372F">
      <w:pPr>
        <w:shd w:val="clear" w:color="auto" w:fill="FFFFFF"/>
        <w:spacing w:line="240" w:lineRule="auto"/>
        <w:jc w:val="both"/>
        <w:rPr>
          <w:rFonts w:ascii="Times New Roman" w:hAnsi="Times New Roman" w:cs="Times New Roman"/>
          <w:sz w:val="24"/>
          <w:szCs w:val="24"/>
          <w:lang w:val="en-GB"/>
        </w:rPr>
      </w:pPr>
      <w:r w:rsidRPr="000914C4">
        <w:rPr>
          <w:rFonts w:ascii="Times New Roman" w:hAnsi="Times New Roman" w:cs="Times New Roman"/>
          <w:sz w:val="24"/>
          <w:szCs w:val="24"/>
          <w:lang w:val="en-GB"/>
        </w:rPr>
        <w:t>• Second, decarbonisation must be accelerated</w:t>
      </w:r>
      <w:r w:rsidR="000914C4" w:rsidRPr="000914C4">
        <w:rPr>
          <w:rFonts w:ascii="Times New Roman" w:hAnsi="Times New Roman" w:cs="Times New Roman"/>
          <w:sz w:val="24"/>
          <w:szCs w:val="24"/>
          <w:lang w:val="en-GB"/>
        </w:rPr>
        <w:t>.</w:t>
      </w:r>
      <w:r w:rsidRPr="000914C4">
        <w:rPr>
          <w:rFonts w:ascii="Times New Roman" w:hAnsi="Times New Roman" w:cs="Times New Roman"/>
          <w:sz w:val="24"/>
          <w:szCs w:val="24"/>
          <w:lang w:val="en-GB"/>
        </w:rPr>
        <w:t xml:space="preserve"> To achieve this, all available technologies and solutions (e g renewables, nuclear, hydrogen, batteries, demand response, infrastructure roll-out and energy efficiency and CCUS technologies) must be leveraged by adopting a technology-neutral approach and by developing an overall cost-efficient system</w:t>
      </w:r>
      <w:r w:rsidR="006573BE">
        <w:rPr>
          <w:rFonts w:ascii="Times New Roman" w:hAnsi="Times New Roman" w:cs="Times New Roman"/>
          <w:sz w:val="24"/>
          <w:szCs w:val="24"/>
          <w:lang w:val="en-GB"/>
        </w:rPr>
        <w:t xml:space="preserve">. </w:t>
      </w:r>
      <w:r w:rsidRPr="000914C4">
        <w:rPr>
          <w:rFonts w:ascii="Times New Roman" w:hAnsi="Times New Roman" w:cs="Times New Roman"/>
          <w:sz w:val="24"/>
          <w:szCs w:val="24"/>
          <w:lang w:val="en-GB"/>
        </w:rPr>
        <w:t xml:space="preserve">The proposals covered in this section aim to: </w:t>
      </w:r>
    </w:p>
    <w:p w:rsidR="0072405B" w:rsidRPr="000914C4" w:rsidRDefault="0072405B" w:rsidP="0063372F">
      <w:pPr>
        <w:shd w:val="clear" w:color="auto" w:fill="FFFFFF"/>
        <w:spacing w:line="240" w:lineRule="auto"/>
        <w:jc w:val="both"/>
        <w:rPr>
          <w:rFonts w:ascii="Times New Roman" w:hAnsi="Times New Roman" w:cs="Times New Roman"/>
          <w:sz w:val="24"/>
          <w:szCs w:val="24"/>
          <w:lang w:val="en-GB"/>
        </w:rPr>
      </w:pPr>
      <w:r w:rsidRPr="000914C4">
        <w:rPr>
          <w:rFonts w:ascii="Times New Roman" w:hAnsi="Times New Roman" w:cs="Times New Roman"/>
          <w:sz w:val="24"/>
          <w:szCs w:val="24"/>
          <w:lang w:val="en-GB"/>
        </w:rPr>
        <w:t xml:space="preserve">i) maximise endogenous low-cost resources; </w:t>
      </w:r>
    </w:p>
    <w:p w:rsidR="0072405B" w:rsidRPr="000914C4" w:rsidRDefault="0072405B" w:rsidP="0063372F">
      <w:pPr>
        <w:shd w:val="clear" w:color="auto" w:fill="FFFFFF"/>
        <w:spacing w:line="240" w:lineRule="auto"/>
        <w:jc w:val="both"/>
        <w:rPr>
          <w:rFonts w:ascii="Times New Roman" w:hAnsi="Times New Roman" w:cs="Times New Roman"/>
          <w:sz w:val="24"/>
          <w:szCs w:val="24"/>
          <w:lang w:val="en-GB"/>
        </w:rPr>
      </w:pPr>
      <w:r w:rsidRPr="000914C4">
        <w:rPr>
          <w:rFonts w:ascii="Times New Roman" w:hAnsi="Times New Roman" w:cs="Times New Roman"/>
          <w:sz w:val="24"/>
          <w:szCs w:val="24"/>
          <w:lang w:val="en-GB"/>
        </w:rPr>
        <w:t>ii) ensure competitive sourcing and potential for diversification;</w:t>
      </w:r>
    </w:p>
    <w:p w:rsidR="006573BE" w:rsidRDefault="0072405B" w:rsidP="0063372F">
      <w:pPr>
        <w:shd w:val="clear" w:color="auto" w:fill="FFFFFF"/>
        <w:spacing w:line="240" w:lineRule="auto"/>
        <w:jc w:val="both"/>
        <w:rPr>
          <w:rFonts w:ascii="Times New Roman" w:hAnsi="Times New Roman" w:cs="Times New Roman"/>
          <w:sz w:val="24"/>
          <w:szCs w:val="24"/>
          <w:lang w:val="en-GB"/>
        </w:rPr>
      </w:pPr>
      <w:r w:rsidRPr="000914C4">
        <w:rPr>
          <w:rFonts w:ascii="Times New Roman" w:hAnsi="Times New Roman" w:cs="Times New Roman"/>
          <w:sz w:val="24"/>
          <w:szCs w:val="24"/>
          <w:lang w:val="en-GB"/>
        </w:rPr>
        <w:t xml:space="preserve">iii) maintain appropriate incentives to attract the required financial resources; </w:t>
      </w:r>
    </w:p>
    <w:p w:rsidR="006573BE" w:rsidRDefault="006573BE" w:rsidP="0063372F">
      <w:pPr>
        <w:shd w:val="clear" w:color="auto" w:fill="FFFFFF"/>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iv</w:t>
      </w:r>
      <w:r w:rsidR="0072405B" w:rsidRPr="000914C4">
        <w:rPr>
          <w:rFonts w:ascii="Times New Roman" w:hAnsi="Times New Roman" w:cs="Times New Roman"/>
          <w:sz w:val="24"/>
          <w:szCs w:val="24"/>
          <w:lang w:val="en-GB"/>
        </w:rPr>
        <w:t xml:space="preserve">) review the segmenting of markets and shift to price structures closer to costs; </w:t>
      </w:r>
    </w:p>
    <w:p w:rsidR="001E36A5" w:rsidRDefault="0072405B" w:rsidP="0063372F">
      <w:pPr>
        <w:shd w:val="clear" w:color="auto" w:fill="FFFFFF"/>
        <w:spacing w:line="240" w:lineRule="auto"/>
        <w:jc w:val="both"/>
        <w:rPr>
          <w:rFonts w:ascii="Times New Roman" w:hAnsi="Times New Roman" w:cs="Times New Roman"/>
          <w:sz w:val="24"/>
          <w:szCs w:val="24"/>
          <w:lang w:val="en-GB"/>
        </w:rPr>
      </w:pPr>
      <w:r w:rsidRPr="000914C4">
        <w:rPr>
          <w:rFonts w:ascii="Times New Roman" w:hAnsi="Times New Roman" w:cs="Times New Roman"/>
          <w:sz w:val="24"/>
          <w:szCs w:val="24"/>
          <w:lang w:val="en-GB"/>
        </w:rPr>
        <w:t>v) harmonise treatment (e.g. taxation, surcharges and State aid) in particular for the sectors exposed to international competition. The proposals are organised in three groups - proposals for natural g</w:t>
      </w:r>
      <w:r w:rsidR="006573BE">
        <w:rPr>
          <w:rFonts w:ascii="Times New Roman" w:hAnsi="Times New Roman" w:cs="Times New Roman"/>
          <w:sz w:val="24"/>
          <w:szCs w:val="24"/>
          <w:lang w:val="en-GB"/>
        </w:rPr>
        <w:t>as, the electricity sector and “horizontal”</w:t>
      </w:r>
      <w:r w:rsidRPr="000914C4">
        <w:rPr>
          <w:rFonts w:ascii="Times New Roman" w:hAnsi="Times New Roman" w:cs="Times New Roman"/>
          <w:sz w:val="24"/>
          <w:szCs w:val="24"/>
          <w:lang w:val="en-GB"/>
        </w:rPr>
        <w:t xml:space="preserve"> proposals</w:t>
      </w:r>
      <w:r w:rsidR="000914C4">
        <w:rPr>
          <w:rFonts w:ascii="Times New Roman" w:hAnsi="Times New Roman" w:cs="Times New Roman"/>
          <w:sz w:val="24"/>
          <w:szCs w:val="24"/>
          <w:lang w:val="en-GB"/>
        </w:rPr>
        <w:t>…</w:t>
      </w:r>
    </w:p>
    <w:p w:rsidR="000914C4" w:rsidRPr="000914C4" w:rsidRDefault="000914C4" w:rsidP="000914C4">
      <w:pPr>
        <w:shd w:val="clear" w:color="auto" w:fill="FFFFFF"/>
        <w:spacing w:line="240" w:lineRule="auto"/>
        <w:jc w:val="both"/>
        <w:rPr>
          <w:rFonts w:ascii="Times New Roman" w:hAnsi="Times New Roman" w:cs="Times New Roman"/>
          <w:b/>
          <w:sz w:val="24"/>
          <w:szCs w:val="24"/>
          <w:lang w:val="en-GB"/>
        </w:rPr>
      </w:pPr>
      <w:r w:rsidRPr="000914C4">
        <w:rPr>
          <w:rFonts w:ascii="Times New Roman" w:hAnsi="Times New Roman" w:cs="Times New Roman"/>
          <w:b/>
          <w:sz w:val="24"/>
          <w:szCs w:val="24"/>
          <w:lang w:val="en-GB"/>
        </w:rPr>
        <w:t>Maintain nuclear supply and accelerate the development of ‘new nuclear’ (including the domestic supply chain).</w:t>
      </w:r>
    </w:p>
    <w:p w:rsidR="000914C4" w:rsidRPr="000914C4" w:rsidRDefault="000914C4" w:rsidP="000914C4">
      <w:pPr>
        <w:shd w:val="clear" w:color="auto" w:fill="FFFFFF"/>
        <w:spacing w:line="240" w:lineRule="auto"/>
        <w:jc w:val="both"/>
        <w:rPr>
          <w:rFonts w:ascii="Times New Roman" w:hAnsi="Times New Roman" w:cs="Times New Roman"/>
          <w:sz w:val="24"/>
          <w:szCs w:val="24"/>
          <w:lang w:val="en-GB"/>
        </w:rPr>
      </w:pPr>
      <w:r w:rsidRPr="000914C4">
        <w:rPr>
          <w:rFonts w:ascii="Times New Roman" w:hAnsi="Times New Roman" w:cs="Times New Roman"/>
          <w:sz w:val="24"/>
          <w:szCs w:val="24"/>
          <w:lang w:val="en-GB"/>
        </w:rPr>
        <w:t xml:space="preserve">• In the short term, adopt a cost-efficient approach to the extension of nuclear assets (in full respect of safety and security concerns). The vast, majority of nuclear assets have already built and amortised. Therefore, it can make sense to extend their lifetime to benefit from lower generation costs in the power mix In other cases, the extension of assets would require a significant investment effort This effort should be commensurate with the expected benefits for the economy, for instance </w:t>
      </w:r>
      <w:r w:rsidR="00A021C8" w:rsidRPr="000914C4">
        <w:rPr>
          <w:rFonts w:ascii="Times New Roman" w:hAnsi="Times New Roman" w:cs="Times New Roman"/>
          <w:sz w:val="24"/>
          <w:szCs w:val="24"/>
          <w:lang w:val="en-GB"/>
        </w:rPr>
        <w:t>it’s</w:t>
      </w:r>
      <w:r w:rsidRPr="000914C4">
        <w:rPr>
          <w:rFonts w:ascii="Times New Roman" w:hAnsi="Times New Roman" w:cs="Times New Roman"/>
          <w:sz w:val="24"/>
          <w:szCs w:val="24"/>
          <w:lang w:val="en-GB"/>
        </w:rPr>
        <w:t xml:space="preserve"> potential to enhance the security of supply and reduce energy prices. </w:t>
      </w:r>
    </w:p>
    <w:p w:rsidR="000914C4" w:rsidRPr="000914C4" w:rsidRDefault="000914C4" w:rsidP="000914C4">
      <w:pPr>
        <w:shd w:val="clear" w:color="auto" w:fill="FFFFFF"/>
        <w:spacing w:line="240" w:lineRule="auto"/>
        <w:jc w:val="both"/>
        <w:rPr>
          <w:rFonts w:ascii="Times New Roman" w:hAnsi="Times New Roman" w:cs="Times New Roman"/>
          <w:sz w:val="24"/>
          <w:szCs w:val="24"/>
          <w:lang w:val="en-GB"/>
        </w:rPr>
      </w:pPr>
      <w:r w:rsidRPr="000914C4">
        <w:rPr>
          <w:rFonts w:ascii="Times New Roman" w:hAnsi="Times New Roman" w:cs="Times New Roman"/>
          <w:sz w:val="24"/>
          <w:szCs w:val="24"/>
          <w:lang w:val="en-GB"/>
        </w:rPr>
        <w:lastRenderedPageBreak/>
        <w:t>• In the medium to long term, develop EU industrial value chains for the cost-efficient deployment of establ</w:t>
      </w:r>
      <w:r w:rsidR="006573BE">
        <w:rPr>
          <w:rFonts w:ascii="Times New Roman" w:hAnsi="Times New Roman" w:cs="Times New Roman"/>
          <w:sz w:val="24"/>
          <w:szCs w:val="24"/>
          <w:lang w:val="en-GB"/>
        </w:rPr>
        <w:t>ished nuclear technologies and “new nuclear”</w:t>
      </w:r>
      <w:r w:rsidRPr="000914C4">
        <w:rPr>
          <w:rFonts w:ascii="Times New Roman" w:hAnsi="Times New Roman" w:cs="Times New Roman"/>
          <w:sz w:val="24"/>
          <w:szCs w:val="24"/>
          <w:lang w:val="en-GB"/>
        </w:rPr>
        <w:t xml:space="preserve"> (SMRs and AMRs), for the instances that Member States would like to pursue these technologies. In 2024, the Commission launched the European Industrial Alliance on Small Modular Reactors to facilitate and coordinate stakeholder cooperation at the EU level for the development, demonstration and deployment of SMRs as a viable and competitive technological solution to decarbonise the European energy system</w:t>
      </w:r>
      <w:r>
        <w:rPr>
          <w:rFonts w:ascii="Times New Roman" w:hAnsi="Times New Roman" w:cs="Times New Roman"/>
          <w:sz w:val="24"/>
          <w:szCs w:val="24"/>
          <w:lang w:val="en-GB"/>
        </w:rPr>
        <w:t>.</w:t>
      </w:r>
      <w:r w:rsidRPr="000914C4">
        <w:rPr>
          <w:rFonts w:ascii="Times New Roman" w:hAnsi="Times New Roman" w:cs="Times New Roman"/>
          <w:sz w:val="24"/>
          <w:szCs w:val="24"/>
          <w:lang w:val="en-GB"/>
        </w:rPr>
        <w:t xml:space="preserve"> The first projects are expected to be delivered in the 2030s. </w:t>
      </w:r>
    </w:p>
    <w:p w:rsidR="000914C4" w:rsidRDefault="000914C4" w:rsidP="000914C4">
      <w:pPr>
        <w:shd w:val="clear" w:color="auto" w:fill="FFFFFF"/>
        <w:spacing w:line="240" w:lineRule="auto"/>
        <w:jc w:val="both"/>
        <w:rPr>
          <w:rFonts w:ascii="Times New Roman" w:hAnsi="Times New Roman" w:cs="Times New Roman"/>
          <w:sz w:val="24"/>
          <w:szCs w:val="24"/>
          <w:lang w:val="en-GB"/>
        </w:rPr>
      </w:pPr>
      <w:r w:rsidRPr="000914C4">
        <w:rPr>
          <w:rFonts w:ascii="Times New Roman" w:hAnsi="Times New Roman" w:cs="Times New Roman"/>
          <w:sz w:val="24"/>
          <w:szCs w:val="24"/>
          <w:lang w:val="en-GB"/>
        </w:rPr>
        <w:t xml:space="preserve">• Allocate additional financial support to R&amp;I in new nuclear technologies like SMRs, including from the EIB. </w:t>
      </w:r>
    </w:p>
    <w:p w:rsidR="000914C4" w:rsidRPr="000914C4" w:rsidRDefault="000914C4" w:rsidP="000914C4">
      <w:pPr>
        <w:shd w:val="clear" w:color="auto" w:fill="FFFFFF"/>
        <w:spacing w:line="240" w:lineRule="auto"/>
        <w:jc w:val="both"/>
        <w:rPr>
          <w:rFonts w:ascii="Times New Roman" w:hAnsi="Times New Roman" w:cs="Times New Roman"/>
          <w:sz w:val="24"/>
          <w:szCs w:val="24"/>
          <w:lang w:val="en-GB"/>
        </w:rPr>
      </w:pPr>
      <w:r w:rsidRPr="000914C4">
        <w:rPr>
          <w:rFonts w:ascii="Times New Roman" w:hAnsi="Times New Roman" w:cs="Times New Roman"/>
          <w:sz w:val="24"/>
          <w:szCs w:val="24"/>
          <w:lang w:val="en-GB"/>
        </w:rPr>
        <w:t xml:space="preserve">• Facilitating and coordinate future research and innovation needs, particularly for AMRs. This should be achieved under the Euratom Research and Training Programme and by establishing a nuclear skills academy. </w:t>
      </w:r>
    </w:p>
    <w:p w:rsidR="000914C4" w:rsidRPr="000914C4" w:rsidRDefault="000914C4" w:rsidP="000914C4">
      <w:pPr>
        <w:shd w:val="clear" w:color="auto" w:fill="FFFFFF"/>
        <w:spacing w:line="240" w:lineRule="auto"/>
        <w:jc w:val="both"/>
        <w:rPr>
          <w:rFonts w:ascii="Times New Roman" w:hAnsi="Times New Roman" w:cs="Times New Roman"/>
          <w:sz w:val="24"/>
          <w:szCs w:val="24"/>
          <w:lang w:val="en-GB"/>
        </w:rPr>
      </w:pPr>
      <w:r w:rsidRPr="000914C4">
        <w:rPr>
          <w:rFonts w:ascii="Times New Roman" w:hAnsi="Times New Roman" w:cs="Times New Roman"/>
          <w:sz w:val="24"/>
          <w:szCs w:val="24"/>
          <w:lang w:val="en-GB"/>
        </w:rPr>
        <w:t xml:space="preserve">• Support national nuclear safety regulators, including by developing </w:t>
      </w:r>
      <w:r>
        <w:rPr>
          <w:rFonts w:ascii="Times New Roman" w:hAnsi="Times New Roman" w:cs="Times New Roman"/>
          <w:sz w:val="24"/>
          <w:szCs w:val="24"/>
          <w:lang w:val="en-GB"/>
        </w:rPr>
        <w:t>an enabling framework for stand</w:t>
      </w:r>
      <w:r w:rsidRPr="000914C4">
        <w:rPr>
          <w:rFonts w:ascii="Times New Roman" w:hAnsi="Times New Roman" w:cs="Times New Roman"/>
          <w:sz w:val="24"/>
          <w:szCs w:val="24"/>
          <w:lang w:val="en-GB"/>
        </w:rPr>
        <w:t>ardisation and for regulatory sandboxes. This would ensure a smooth and robust licensing process, and help to reduce site-specific costs, as well as risks for investors</w:t>
      </w:r>
      <w:r>
        <w:rPr>
          <w:rFonts w:ascii="Times New Roman" w:hAnsi="Times New Roman" w:cs="Times New Roman"/>
          <w:sz w:val="24"/>
          <w:szCs w:val="24"/>
          <w:lang w:val="en-GB"/>
        </w:rPr>
        <w:t>…</w:t>
      </w:r>
    </w:p>
    <w:p w:rsidR="00863FD8" w:rsidRPr="00863FD8" w:rsidRDefault="000914C4" w:rsidP="0063372F">
      <w:pPr>
        <w:shd w:val="clear" w:color="auto" w:fill="FFFFFF"/>
        <w:spacing w:line="240" w:lineRule="auto"/>
        <w:jc w:val="both"/>
        <w:rPr>
          <w:rFonts w:ascii="Times New Roman" w:hAnsi="Times New Roman" w:cs="Times New Roman"/>
          <w:b/>
          <w:sz w:val="24"/>
          <w:szCs w:val="24"/>
          <w:lang w:val="en-GB"/>
        </w:rPr>
      </w:pPr>
      <w:r w:rsidRPr="00863FD8">
        <w:rPr>
          <w:rFonts w:ascii="Times New Roman" w:hAnsi="Times New Roman" w:cs="Times New Roman"/>
          <w:b/>
          <w:sz w:val="24"/>
          <w:szCs w:val="24"/>
          <w:lang w:val="en-GB"/>
        </w:rPr>
        <w:t xml:space="preserve">2. Critical raw materials </w:t>
      </w:r>
    </w:p>
    <w:p w:rsidR="00863FD8" w:rsidRDefault="000914C4" w:rsidP="0063372F">
      <w:pPr>
        <w:shd w:val="clear" w:color="auto" w:fill="FFFFFF"/>
        <w:spacing w:line="240" w:lineRule="auto"/>
        <w:jc w:val="both"/>
        <w:rPr>
          <w:rFonts w:ascii="Times New Roman" w:hAnsi="Times New Roman" w:cs="Times New Roman"/>
          <w:sz w:val="24"/>
          <w:szCs w:val="24"/>
          <w:lang w:val="en-GB"/>
        </w:rPr>
      </w:pPr>
      <w:r w:rsidRPr="00863FD8">
        <w:rPr>
          <w:rFonts w:ascii="Times New Roman" w:hAnsi="Times New Roman" w:cs="Times New Roman"/>
          <w:b/>
          <w:sz w:val="24"/>
          <w:szCs w:val="24"/>
          <w:lang w:val="en-GB"/>
        </w:rPr>
        <w:t>The starting point Critical raw materials are essential to accelerate the transformation required of the EU’s economy.</w:t>
      </w:r>
      <w:r w:rsidRPr="00863FD8">
        <w:rPr>
          <w:rFonts w:ascii="Times New Roman" w:hAnsi="Times New Roman" w:cs="Times New Roman"/>
          <w:sz w:val="24"/>
          <w:szCs w:val="24"/>
          <w:lang w:val="en-GB"/>
        </w:rPr>
        <w:t xml:space="preserve"> Rapid demand growth is putting at risk the global supply-demand balance, with additional challenges posed by the limited diversification of supplies and a high level of dependency in EU supply chains. </w:t>
      </w:r>
    </w:p>
    <w:p w:rsidR="00863FD8" w:rsidRPr="00863FD8" w:rsidRDefault="00863FD8" w:rsidP="0063372F">
      <w:pPr>
        <w:shd w:val="clear" w:color="auto" w:fill="FFFFFF"/>
        <w:spacing w:line="240" w:lineRule="auto"/>
        <w:jc w:val="both"/>
        <w:rPr>
          <w:rFonts w:ascii="Times New Roman" w:hAnsi="Times New Roman" w:cs="Times New Roman"/>
          <w:b/>
          <w:sz w:val="24"/>
          <w:szCs w:val="24"/>
          <w:lang w:val="en-GB"/>
        </w:rPr>
      </w:pPr>
      <w:r w:rsidRPr="00863FD8">
        <w:rPr>
          <w:rFonts w:ascii="Times New Roman" w:hAnsi="Times New Roman" w:cs="Times New Roman"/>
          <w:b/>
          <w:sz w:val="24"/>
          <w:szCs w:val="24"/>
          <w:lang w:val="en-GB"/>
        </w:rPr>
        <w:t>Multiple challenges to be add</w:t>
      </w:r>
      <w:r w:rsidR="006573BE">
        <w:rPr>
          <w:rFonts w:ascii="Times New Roman" w:hAnsi="Times New Roman" w:cs="Times New Roman"/>
          <w:b/>
          <w:sz w:val="24"/>
          <w:szCs w:val="24"/>
          <w:lang w:val="en-GB"/>
        </w:rPr>
        <w:t>r</w:t>
      </w:r>
      <w:r w:rsidRPr="00863FD8">
        <w:rPr>
          <w:rFonts w:ascii="Times New Roman" w:hAnsi="Times New Roman" w:cs="Times New Roman"/>
          <w:b/>
          <w:sz w:val="24"/>
          <w:szCs w:val="24"/>
          <w:lang w:val="en-GB"/>
        </w:rPr>
        <w:t>essed</w:t>
      </w:r>
    </w:p>
    <w:p w:rsidR="00863FD8" w:rsidRDefault="000914C4" w:rsidP="0063372F">
      <w:pPr>
        <w:shd w:val="clear" w:color="auto" w:fill="FFFFFF"/>
        <w:spacing w:line="240" w:lineRule="auto"/>
        <w:jc w:val="both"/>
        <w:rPr>
          <w:rFonts w:ascii="Times New Roman" w:hAnsi="Times New Roman" w:cs="Times New Roman"/>
          <w:sz w:val="24"/>
          <w:szCs w:val="24"/>
          <w:lang w:val="en-GB"/>
        </w:rPr>
      </w:pPr>
      <w:r w:rsidRPr="00863FD8">
        <w:rPr>
          <w:rFonts w:ascii="Times New Roman" w:hAnsi="Times New Roman" w:cs="Times New Roman"/>
          <w:b/>
          <w:sz w:val="24"/>
          <w:szCs w:val="24"/>
          <w:lang w:val="en-GB"/>
        </w:rPr>
        <w:t>Raw materials are critical for a broad range of goods</w:t>
      </w:r>
      <w:r w:rsidRPr="00863FD8">
        <w:rPr>
          <w:rFonts w:ascii="Times New Roman" w:hAnsi="Times New Roman" w:cs="Times New Roman"/>
          <w:sz w:val="24"/>
          <w:szCs w:val="24"/>
          <w:lang w:val="en-GB"/>
        </w:rPr>
        <w:t>. These materials are need</w:t>
      </w:r>
      <w:r w:rsidR="00863FD8" w:rsidRPr="00863FD8">
        <w:rPr>
          <w:rFonts w:ascii="Times New Roman" w:hAnsi="Times New Roman" w:cs="Times New Roman"/>
          <w:sz w:val="24"/>
          <w:szCs w:val="24"/>
          <w:lang w:val="en-GB"/>
        </w:rPr>
        <w:t>ed to deliver clean energy tech</w:t>
      </w:r>
      <w:r w:rsidRPr="00863FD8">
        <w:rPr>
          <w:rFonts w:ascii="Times New Roman" w:hAnsi="Times New Roman" w:cs="Times New Roman"/>
          <w:sz w:val="24"/>
          <w:szCs w:val="24"/>
          <w:lang w:val="en-GB"/>
        </w:rPr>
        <w:t>nologies for the green transition (e.g. lithium, cobalt and nickel for producing batteries, among other clean en</w:t>
      </w:r>
      <w:r w:rsidR="00863FD8">
        <w:rPr>
          <w:rFonts w:ascii="Times New Roman" w:hAnsi="Times New Roman" w:cs="Times New Roman"/>
          <w:sz w:val="24"/>
          <w:szCs w:val="24"/>
          <w:lang w:val="en-GB"/>
        </w:rPr>
        <w:t>ergy technologies</w:t>
      </w:r>
      <w:r w:rsidRPr="00863FD8">
        <w:rPr>
          <w:rFonts w:ascii="Times New Roman" w:hAnsi="Times New Roman" w:cs="Times New Roman"/>
          <w:sz w:val="24"/>
          <w:szCs w:val="24"/>
          <w:lang w:val="en-GB"/>
        </w:rPr>
        <w:t>), advanced technologies for the digital transition (e.g. gallium for semi-conductors), and defence and space applications (e.g. titanium and tungsten). As an example, one smartphone might contain up to 50 different metals</w:t>
      </w:r>
      <w:r w:rsidR="00863FD8">
        <w:rPr>
          <w:rFonts w:ascii="Times New Roman" w:hAnsi="Times New Roman" w:cs="Times New Roman"/>
          <w:sz w:val="24"/>
          <w:szCs w:val="24"/>
          <w:lang w:val="en-GB"/>
        </w:rPr>
        <w:t>…</w:t>
      </w:r>
    </w:p>
    <w:p w:rsidR="00863FD8" w:rsidRPr="00863FD8" w:rsidRDefault="00863FD8" w:rsidP="0063372F">
      <w:pPr>
        <w:shd w:val="clear" w:color="auto" w:fill="FFFFFF"/>
        <w:spacing w:line="240" w:lineRule="auto"/>
        <w:jc w:val="both"/>
        <w:rPr>
          <w:rFonts w:ascii="Times New Roman" w:hAnsi="Times New Roman" w:cs="Times New Roman"/>
          <w:b/>
          <w:sz w:val="24"/>
          <w:szCs w:val="24"/>
          <w:lang w:val="en-GB"/>
        </w:rPr>
      </w:pPr>
      <w:r w:rsidRPr="00863FD8">
        <w:rPr>
          <w:rFonts w:ascii="Times New Roman" w:hAnsi="Times New Roman" w:cs="Times New Roman"/>
          <w:b/>
          <w:sz w:val="24"/>
          <w:szCs w:val="24"/>
          <w:lang w:val="en-GB"/>
        </w:rPr>
        <w:t>The EU’s competitiveness gap</w:t>
      </w:r>
      <w:r w:rsidRPr="00863FD8">
        <w:rPr>
          <w:rFonts w:ascii="Times New Roman" w:hAnsi="Times New Roman" w:cs="Times New Roman"/>
          <w:sz w:val="24"/>
          <w:szCs w:val="24"/>
          <w:lang w:val="en-GB"/>
        </w:rPr>
        <w:t xml:space="preserve"> </w:t>
      </w:r>
    </w:p>
    <w:p w:rsidR="00863FD8" w:rsidRPr="00863FD8" w:rsidRDefault="00863FD8" w:rsidP="0063372F">
      <w:pPr>
        <w:shd w:val="clear" w:color="auto" w:fill="FFFFFF"/>
        <w:spacing w:line="240" w:lineRule="auto"/>
        <w:jc w:val="both"/>
        <w:rPr>
          <w:rFonts w:ascii="Times New Roman" w:hAnsi="Times New Roman" w:cs="Times New Roman"/>
          <w:sz w:val="24"/>
          <w:szCs w:val="24"/>
          <w:lang w:val="en-GB"/>
        </w:rPr>
      </w:pPr>
      <w:r w:rsidRPr="00863FD8">
        <w:rPr>
          <w:rFonts w:ascii="Times New Roman" w:hAnsi="Times New Roman" w:cs="Times New Roman"/>
          <w:b/>
          <w:sz w:val="24"/>
          <w:szCs w:val="24"/>
          <w:lang w:val="en-GB"/>
        </w:rPr>
        <w:t>A twin dependence on both mining and refining may jeopardise the green and digital transitions</w:t>
      </w:r>
      <w:r w:rsidRPr="00863FD8">
        <w:rPr>
          <w:rFonts w:ascii="Times New Roman" w:hAnsi="Times New Roman" w:cs="Times New Roman"/>
          <w:sz w:val="24"/>
          <w:szCs w:val="24"/>
          <w:lang w:val="en-GB"/>
        </w:rPr>
        <w:t xml:space="preserve">. Historically, the EU has based its economy on a commodity supply model, where raw materials are extracted from resource-rich nations in developing economies, are processed in other countries (e.g. in China) and then imported either as a refined product or in final goods. </w:t>
      </w:r>
    </w:p>
    <w:p w:rsidR="00863FD8" w:rsidRPr="00863FD8" w:rsidRDefault="00863FD8" w:rsidP="0063372F">
      <w:pPr>
        <w:shd w:val="clear" w:color="auto" w:fill="FFFFFF"/>
        <w:spacing w:line="240" w:lineRule="auto"/>
        <w:jc w:val="both"/>
        <w:rPr>
          <w:rFonts w:ascii="Times New Roman" w:hAnsi="Times New Roman" w:cs="Times New Roman"/>
          <w:sz w:val="24"/>
          <w:szCs w:val="24"/>
          <w:lang w:val="en-GB"/>
        </w:rPr>
      </w:pPr>
      <w:r w:rsidRPr="00863FD8">
        <w:rPr>
          <w:rFonts w:ascii="Times New Roman" w:hAnsi="Times New Roman" w:cs="Times New Roman"/>
          <w:b/>
          <w:sz w:val="24"/>
          <w:szCs w:val="24"/>
          <w:lang w:val="en-GB"/>
        </w:rPr>
        <w:t>The EU’s share of the global production of most critical raw materials is lower than 7%.</w:t>
      </w:r>
      <w:r w:rsidRPr="00863FD8">
        <w:rPr>
          <w:rFonts w:ascii="Times New Roman" w:hAnsi="Times New Roman" w:cs="Times New Roman"/>
          <w:sz w:val="24"/>
          <w:szCs w:val="24"/>
          <w:lang w:val="en-GB"/>
        </w:rPr>
        <w:t xml:space="preserve"> Unlike fossil fuels, where until recently the EU was dependent only on the commodity, but not refining, the EU exhibits a broader dependence on the processing, refining and manufacturing of critical raw materials. Throughout the supply chain, the EU’s overall vulnerability decreases progressively, with a 28% share in global production at the manufacturing stage (declining to 20% when space technologies are excluded).</w:t>
      </w:r>
    </w:p>
    <w:p w:rsidR="00863FD8" w:rsidRPr="00863FD8" w:rsidRDefault="00863FD8" w:rsidP="0063372F">
      <w:pPr>
        <w:shd w:val="clear" w:color="auto" w:fill="FFFFFF"/>
        <w:spacing w:line="240" w:lineRule="auto"/>
        <w:jc w:val="both"/>
        <w:rPr>
          <w:rFonts w:ascii="Times New Roman" w:hAnsi="Times New Roman" w:cs="Times New Roman"/>
          <w:sz w:val="24"/>
          <w:szCs w:val="24"/>
          <w:lang w:val="en-GB"/>
        </w:rPr>
      </w:pPr>
      <w:r w:rsidRPr="00863FD8">
        <w:rPr>
          <w:rFonts w:ascii="Times New Roman" w:hAnsi="Times New Roman" w:cs="Times New Roman"/>
          <w:b/>
          <w:sz w:val="24"/>
          <w:szCs w:val="24"/>
          <w:lang w:val="en-GB"/>
        </w:rPr>
        <w:t>Nevertheless, certain technologies, such as solar photovoltaics and batteries, manifest dependencies that extend across the entire supply chain</w:t>
      </w:r>
      <w:r w:rsidRPr="00863FD8">
        <w:rPr>
          <w:rFonts w:ascii="Times New Roman" w:hAnsi="Times New Roman" w:cs="Times New Roman"/>
          <w:sz w:val="24"/>
          <w:szCs w:val="24"/>
          <w:lang w:val="en-GB"/>
        </w:rPr>
        <w:t xml:space="preserve">. New dependence on these critical </w:t>
      </w:r>
      <w:r w:rsidRPr="00863FD8">
        <w:rPr>
          <w:rFonts w:ascii="Times New Roman" w:hAnsi="Times New Roman" w:cs="Times New Roman"/>
          <w:sz w:val="24"/>
          <w:szCs w:val="24"/>
          <w:lang w:val="en-GB"/>
        </w:rPr>
        <w:lastRenderedPageBreak/>
        <w:t xml:space="preserve">raw materials concentrated in a handful of providers is emerging and potentially slowing the progress of the EU’s green and digital transitions or making them more costly. </w:t>
      </w:r>
    </w:p>
    <w:p w:rsidR="00863FD8" w:rsidRDefault="00863FD8" w:rsidP="0063372F">
      <w:pPr>
        <w:shd w:val="clear" w:color="auto" w:fill="FFFFFF"/>
        <w:spacing w:line="240" w:lineRule="auto"/>
        <w:jc w:val="both"/>
        <w:rPr>
          <w:rFonts w:ascii="Times New Roman" w:hAnsi="Times New Roman" w:cs="Times New Roman"/>
          <w:sz w:val="24"/>
          <w:szCs w:val="24"/>
          <w:lang w:val="en-GB"/>
        </w:rPr>
      </w:pPr>
      <w:r w:rsidRPr="00863FD8">
        <w:rPr>
          <w:rFonts w:ascii="Times New Roman" w:hAnsi="Times New Roman" w:cs="Times New Roman"/>
          <w:b/>
          <w:sz w:val="24"/>
          <w:szCs w:val="24"/>
          <w:lang w:val="en-GB"/>
        </w:rPr>
        <w:t>The Commission identified 34 critical raw materials and 16 strategic raw materials in 2023ix, as part of the regular review and update of its list of critical raw materials</w:t>
      </w:r>
      <w:r w:rsidRPr="00863FD8">
        <w:rPr>
          <w:rFonts w:ascii="Times New Roman" w:hAnsi="Times New Roman" w:cs="Times New Roman"/>
          <w:sz w:val="24"/>
          <w:szCs w:val="24"/>
          <w:lang w:val="en-GB"/>
        </w:rPr>
        <w:t>. Critical raw materials on the list combine raw materials of high importance to the EU economy and of high risk associated with their supply. Strategic raw materials are crucial to technologies essential for Europe’s green and digital transitions and for defence and space applications, while being subject to potential supply risks in the future</w:t>
      </w:r>
      <w:r>
        <w:rPr>
          <w:rFonts w:ascii="Times New Roman" w:hAnsi="Times New Roman" w:cs="Times New Roman"/>
          <w:sz w:val="24"/>
          <w:szCs w:val="24"/>
          <w:lang w:val="en-GB"/>
        </w:rPr>
        <w:t>…</w:t>
      </w:r>
    </w:p>
    <w:p w:rsidR="00863FD8" w:rsidRDefault="00863FD8" w:rsidP="0063372F">
      <w:pPr>
        <w:shd w:val="clear" w:color="auto" w:fill="FFFFFF"/>
        <w:spacing w:line="240" w:lineRule="auto"/>
        <w:jc w:val="both"/>
        <w:rPr>
          <w:rFonts w:ascii="Times New Roman" w:hAnsi="Times New Roman" w:cs="Times New Roman"/>
          <w:sz w:val="24"/>
          <w:szCs w:val="24"/>
          <w:lang w:val="en-GB"/>
        </w:rPr>
      </w:pPr>
      <w:r w:rsidRPr="00863FD8">
        <w:rPr>
          <w:rFonts w:ascii="Times New Roman" w:hAnsi="Times New Roman" w:cs="Times New Roman"/>
          <w:noProof/>
          <w:sz w:val="24"/>
          <w:szCs w:val="24"/>
          <w:lang w:eastAsia="es-ES"/>
        </w:rPr>
        <w:drawing>
          <wp:inline distT="0" distB="0" distL="0" distR="0" wp14:anchorId="33E5A219" wp14:editId="32B15935">
            <wp:extent cx="5733172" cy="4330700"/>
            <wp:effectExtent l="0" t="0" r="127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4329445"/>
                    </a:xfrm>
                    <a:prstGeom prst="rect">
                      <a:avLst/>
                    </a:prstGeom>
                  </pic:spPr>
                </pic:pic>
              </a:graphicData>
            </a:graphic>
          </wp:inline>
        </w:drawing>
      </w:r>
    </w:p>
    <w:p w:rsidR="00B7262A" w:rsidRDefault="00B7262A" w:rsidP="0063372F">
      <w:pPr>
        <w:shd w:val="clear" w:color="auto" w:fill="FFFFFF"/>
        <w:spacing w:line="240" w:lineRule="auto"/>
        <w:jc w:val="both"/>
        <w:rPr>
          <w:rFonts w:ascii="Times New Roman" w:hAnsi="Times New Roman" w:cs="Times New Roman"/>
          <w:sz w:val="24"/>
          <w:szCs w:val="24"/>
          <w:lang w:val="en-GB"/>
        </w:rPr>
      </w:pPr>
      <w:r w:rsidRPr="00B7262A">
        <w:rPr>
          <w:rFonts w:ascii="Times New Roman" w:hAnsi="Times New Roman" w:cs="Times New Roman"/>
          <w:noProof/>
          <w:sz w:val="24"/>
          <w:szCs w:val="24"/>
          <w:lang w:eastAsia="es-ES"/>
        </w:rPr>
        <w:drawing>
          <wp:inline distT="0" distB="0" distL="0" distR="0" wp14:anchorId="7F9A6C56" wp14:editId="0DDBF07B">
            <wp:extent cx="5731533" cy="2590800"/>
            <wp:effectExtent l="0" t="0" r="254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2590790"/>
                    </a:xfrm>
                    <a:prstGeom prst="rect">
                      <a:avLst/>
                    </a:prstGeom>
                  </pic:spPr>
                </pic:pic>
              </a:graphicData>
            </a:graphic>
          </wp:inline>
        </w:drawing>
      </w:r>
    </w:p>
    <w:p w:rsidR="00B7262A" w:rsidRPr="00B7262A" w:rsidRDefault="00B7262A" w:rsidP="0063372F">
      <w:pPr>
        <w:shd w:val="clear" w:color="auto" w:fill="FFFFFF"/>
        <w:spacing w:line="240" w:lineRule="auto"/>
        <w:jc w:val="both"/>
        <w:rPr>
          <w:rFonts w:ascii="Times New Roman" w:hAnsi="Times New Roman" w:cs="Times New Roman"/>
          <w:b/>
          <w:sz w:val="24"/>
          <w:szCs w:val="24"/>
          <w:lang w:val="en-GB"/>
        </w:rPr>
      </w:pPr>
      <w:r w:rsidRPr="00B7262A">
        <w:rPr>
          <w:rFonts w:ascii="Times New Roman" w:hAnsi="Times New Roman" w:cs="Times New Roman"/>
          <w:b/>
          <w:sz w:val="24"/>
          <w:szCs w:val="24"/>
          <w:lang w:val="en-GB"/>
        </w:rPr>
        <w:lastRenderedPageBreak/>
        <w:t xml:space="preserve">Objectives and proposals </w:t>
      </w:r>
    </w:p>
    <w:p w:rsidR="00B7262A" w:rsidRDefault="00B7262A" w:rsidP="0063372F">
      <w:pPr>
        <w:shd w:val="clear" w:color="auto" w:fill="FFFFFF"/>
        <w:spacing w:line="240" w:lineRule="auto"/>
        <w:jc w:val="both"/>
        <w:rPr>
          <w:rFonts w:ascii="Times New Roman" w:hAnsi="Times New Roman" w:cs="Times New Roman"/>
          <w:sz w:val="24"/>
          <w:szCs w:val="24"/>
          <w:lang w:val="en-GB"/>
        </w:rPr>
      </w:pPr>
      <w:r w:rsidRPr="00B7262A">
        <w:rPr>
          <w:rFonts w:ascii="Times New Roman" w:hAnsi="Times New Roman" w:cs="Times New Roman"/>
          <w:sz w:val="24"/>
          <w:szCs w:val="24"/>
          <w:lang w:val="en-GB"/>
        </w:rPr>
        <w:t xml:space="preserve">The overall objective is to secure competitive and stable access to commodities, strengthen supply chains and reduce dependency risks to avoid a slowdown of the EU’s green and digital transitions. </w:t>
      </w:r>
    </w:p>
    <w:p w:rsidR="00B7262A" w:rsidRPr="00B7262A" w:rsidRDefault="00B7262A" w:rsidP="0063372F">
      <w:pPr>
        <w:shd w:val="clear" w:color="auto" w:fill="FFFFFF"/>
        <w:spacing w:line="240" w:lineRule="auto"/>
        <w:jc w:val="both"/>
        <w:rPr>
          <w:rFonts w:ascii="Times New Roman" w:hAnsi="Times New Roman" w:cs="Times New Roman"/>
          <w:sz w:val="24"/>
          <w:szCs w:val="24"/>
          <w:lang w:val="en-GB"/>
        </w:rPr>
      </w:pPr>
      <w:r w:rsidRPr="00B7262A">
        <w:rPr>
          <w:rFonts w:ascii="Times New Roman" w:hAnsi="Times New Roman" w:cs="Times New Roman"/>
          <w:b/>
          <w:sz w:val="24"/>
          <w:szCs w:val="24"/>
          <w:lang w:val="en-GB"/>
        </w:rPr>
        <w:t>To achieve this, Europe needs a coordinated strategy covering the entire value chain, from raw materials to final products</w:t>
      </w:r>
      <w:r w:rsidRPr="00B7262A">
        <w:rPr>
          <w:rFonts w:ascii="Times New Roman" w:hAnsi="Times New Roman" w:cs="Times New Roman"/>
          <w:sz w:val="24"/>
          <w:szCs w:val="24"/>
          <w:lang w:val="en-GB"/>
        </w:rPr>
        <w:t xml:space="preserve">. This calls for raising the level of involvement of national governments and of the EU, including through trade policies, scale-up financing, the diversification of supply sources and products, </w:t>
      </w:r>
      <w:r w:rsidR="006573BE" w:rsidRPr="00B7262A">
        <w:rPr>
          <w:rFonts w:ascii="Times New Roman" w:hAnsi="Times New Roman" w:cs="Times New Roman"/>
          <w:sz w:val="24"/>
          <w:szCs w:val="24"/>
          <w:lang w:val="en-GB"/>
        </w:rPr>
        <w:t>and the</w:t>
      </w:r>
      <w:r w:rsidRPr="00B7262A">
        <w:rPr>
          <w:rFonts w:ascii="Times New Roman" w:hAnsi="Times New Roman" w:cs="Times New Roman"/>
          <w:sz w:val="24"/>
          <w:szCs w:val="24"/>
          <w:lang w:val="en-GB"/>
        </w:rPr>
        <w:t xml:space="preserve"> integration of EU producers in global value chains and the promotion of the domestic supply chain. </w:t>
      </w:r>
    </w:p>
    <w:p w:rsidR="00B7262A" w:rsidRPr="00B7262A" w:rsidRDefault="00B7262A" w:rsidP="0063372F">
      <w:pPr>
        <w:shd w:val="clear" w:color="auto" w:fill="FFFFFF"/>
        <w:spacing w:line="240" w:lineRule="auto"/>
        <w:jc w:val="both"/>
        <w:rPr>
          <w:rFonts w:ascii="Times New Roman" w:hAnsi="Times New Roman" w:cs="Times New Roman"/>
          <w:sz w:val="24"/>
          <w:szCs w:val="24"/>
          <w:lang w:val="en-GB"/>
        </w:rPr>
      </w:pPr>
      <w:r w:rsidRPr="00B7262A">
        <w:rPr>
          <w:rFonts w:ascii="Times New Roman" w:hAnsi="Times New Roman" w:cs="Times New Roman"/>
          <w:sz w:val="24"/>
          <w:szCs w:val="24"/>
          <w:lang w:val="en-GB"/>
        </w:rPr>
        <w:t>The proposals are organised according to the main relevant actions of the CRMA and as additional proposals…</w:t>
      </w:r>
    </w:p>
    <w:p w:rsidR="00B7262A" w:rsidRPr="00B7262A" w:rsidRDefault="00B7262A" w:rsidP="000919B8">
      <w:pPr>
        <w:spacing w:line="240" w:lineRule="auto"/>
        <w:jc w:val="both"/>
        <w:rPr>
          <w:rFonts w:ascii="Times New Roman" w:hAnsi="Times New Roman" w:cs="Times New Roman"/>
          <w:b/>
          <w:sz w:val="24"/>
          <w:szCs w:val="24"/>
          <w:lang w:val="en-GB"/>
        </w:rPr>
      </w:pPr>
      <w:r w:rsidRPr="00B7262A">
        <w:rPr>
          <w:rFonts w:ascii="Times New Roman" w:hAnsi="Times New Roman" w:cs="Times New Roman"/>
          <w:b/>
          <w:sz w:val="24"/>
          <w:szCs w:val="24"/>
          <w:lang w:val="en-GB"/>
        </w:rPr>
        <w:t xml:space="preserve">3. Digitalisation and advanced technologies Introduction </w:t>
      </w:r>
    </w:p>
    <w:p w:rsidR="00FE4D5D" w:rsidRDefault="00B7262A" w:rsidP="000919B8">
      <w:pPr>
        <w:spacing w:line="240" w:lineRule="auto"/>
        <w:jc w:val="both"/>
        <w:rPr>
          <w:rFonts w:ascii="Times New Roman" w:hAnsi="Times New Roman" w:cs="Times New Roman"/>
          <w:sz w:val="24"/>
          <w:szCs w:val="24"/>
          <w:lang w:val="en-GB"/>
        </w:rPr>
      </w:pPr>
      <w:r w:rsidRPr="00B7262A">
        <w:rPr>
          <w:rFonts w:ascii="Times New Roman" w:hAnsi="Times New Roman" w:cs="Times New Roman"/>
          <w:b/>
          <w:sz w:val="24"/>
          <w:szCs w:val="24"/>
          <w:lang w:val="en-GB"/>
        </w:rPr>
        <w:t>The EU’s competitiveness will increasingly depend on the digitalisation of all sectors and on building strengths in advanced technologies, which will drive investment, job and wealth creation</w:t>
      </w:r>
      <w:r w:rsidRPr="00B7262A">
        <w:rPr>
          <w:rFonts w:ascii="Times New Roman" w:hAnsi="Times New Roman" w:cs="Times New Roman"/>
          <w:sz w:val="24"/>
          <w:szCs w:val="24"/>
          <w:lang w:val="en-GB"/>
        </w:rPr>
        <w:t>. In 2021, the ICT sector represented around 5.5% of the EU’s GDP (EUR 718 billion of gross value added) and close to 4.5% of its business economy em</w:t>
      </w:r>
      <w:r>
        <w:rPr>
          <w:rFonts w:ascii="Times New Roman" w:hAnsi="Times New Roman" w:cs="Times New Roman"/>
          <w:sz w:val="24"/>
          <w:szCs w:val="24"/>
          <w:lang w:val="en-GB"/>
        </w:rPr>
        <w:t>ployment (6.7 million employed)</w:t>
      </w:r>
      <w:r w:rsidRPr="00B7262A">
        <w:rPr>
          <w:rFonts w:ascii="Times New Roman" w:hAnsi="Times New Roman" w:cs="Times New Roman"/>
          <w:sz w:val="24"/>
          <w:szCs w:val="24"/>
          <w:lang w:val="en-GB"/>
        </w:rPr>
        <w:t>, with ICT services contributing more than ICT manufacturing. Beyond the size of the ICT sector itself, digitalisation in the EU plays a key role in all industrial and service sectors in terms of both cost competitiveness (efficiency and productivity gains), and increasingly of innovation and the quality of products and services</w:t>
      </w:r>
      <w:r>
        <w:rPr>
          <w:rFonts w:ascii="Times New Roman" w:hAnsi="Times New Roman" w:cs="Times New Roman"/>
          <w:sz w:val="24"/>
          <w:szCs w:val="24"/>
          <w:lang w:val="en-GB"/>
        </w:rPr>
        <w:t>…</w:t>
      </w:r>
    </w:p>
    <w:p w:rsidR="00B7262A" w:rsidRDefault="00B7262A" w:rsidP="000919B8">
      <w:pPr>
        <w:spacing w:line="240" w:lineRule="auto"/>
        <w:jc w:val="both"/>
        <w:rPr>
          <w:rFonts w:ascii="Times New Roman" w:hAnsi="Times New Roman" w:cs="Times New Roman"/>
          <w:sz w:val="24"/>
          <w:szCs w:val="24"/>
          <w:lang w:val="en-GB"/>
        </w:rPr>
      </w:pPr>
      <w:r w:rsidRPr="00B7262A">
        <w:rPr>
          <w:rFonts w:ascii="Times New Roman" w:hAnsi="Times New Roman" w:cs="Times New Roman"/>
          <w:noProof/>
          <w:sz w:val="24"/>
          <w:szCs w:val="24"/>
          <w:lang w:eastAsia="es-ES"/>
        </w:rPr>
        <w:drawing>
          <wp:inline distT="0" distB="0" distL="0" distR="0" wp14:anchorId="7B85EF08" wp14:editId="2F81C28F">
            <wp:extent cx="5731510" cy="3227648"/>
            <wp:effectExtent l="0" t="0" r="254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3227648"/>
                    </a:xfrm>
                    <a:prstGeom prst="rect">
                      <a:avLst/>
                    </a:prstGeom>
                  </pic:spPr>
                </pic:pic>
              </a:graphicData>
            </a:graphic>
          </wp:inline>
        </w:drawing>
      </w:r>
    </w:p>
    <w:p w:rsidR="00116243" w:rsidRPr="00116243" w:rsidRDefault="00116243" w:rsidP="000919B8">
      <w:pPr>
        <w:spacing w:line="240" w:lineRule="auto"/>
        <w:jc w:val="both"/>
        <w:rPr>
          <w:rFonts w:ascii="Times New Roman" w:hAnsi="Times New Roman" w:cs="Times New Roman"/>
          <w:b/>
          <w:sz w:val="24"/>
          <w:szCs w:val="24"/>
          <w:lang w:val="en-GB"/>
        </w:rPr>
      </w:pPr>
      <w:r w:rsidRPr="00116243">
        <w:rPr>
          <w:rFonts w:ascii="Times New Roman" w:hAnsi="Times New Roman" w:cs="Times New Roman"/>
          <w:b/>
          <w:sz w:val="24"/>
          <w:szCs w:val="24"/>
          <w:lang w:val="en-GB"/>
        </w:rPr>
        <w:t xml:space="preserve">3.1 High-speed/capacity broadband networks </w:t>
      </w:r>
    </w:p>
    <w:p w:rsidR="00116243" w:rsidRPr="00116243" w:rsidRDefault="00116243" w:rsidP="000919B8">
      <w:pPr>
        <w:spacing w:line="240" w:lineRule="auto"/>
        <w:jc w:val="both"/>
        <w:rPr>
          <w:rFonts w:ascii="Times New Roman" w:hAnsi="Times New Roman" w:cs="Times New Roman"/>
          <w:b/>
          <w:sz w:val="24"/>
          <w:szCs w:val="24"/>
          <w:lang w:val="en-GB"/>
        </w:rPr>
      </w:pPr>
      <w:r w:rsidRPr="00116243">
        <w:rPr>
          <w:rFonts w:ascii="Times New Roman" w:hAnsi="Times New Roman" w:cs="Times New Roman"/>
          <w:b/>
          <w:sz w:val="24"/>
          <w:szCs w:val="24"/>
          <w:lang w:val="en-GB"/>
        </w:rPr>
        <w:t xml:space="preserve">The starting point </w:t>
      </w:r>
    </w:p>
    <w:p w:rsidR="00116243" w:rsidRDefault="00116243" w:rsidP="000919B8">
      <w:pPr>
        <w:spacing w:line="240" w:lineRule="auto"/>
        <w:jc w:val="both"/>
        <w:rPr>
          <w:rFonts w:ascii="Times New Roman" w:hAnsi="Times New Roman" w:cs="Times New Roman"/>
          <w:sz w:val="24"/>
          <w:szCs w:val="24"/>
          <w:lang w:val="en-GB"/>
        </w:rPr>
      </w:pPr>
      <w:r w:rsidRPr="00116243">
        <w:rPr>
          <w:rFonts w:ascii="Times New Roman" w:hAnsi="Times New Roman" w:cs="Times New Roman"/>
          <w:b/>
          <w:sz w:val="24"/>
          <w:szCs w:val="24"/>
          <w:lang w:val="en-GB"/>
        </w:rPr>
        <w:t>Today, the EU has dozens of telecom players serving around 450 million consumers, compared with a handful in the US and China, respectively</w:t>
      </w:r>
      <w:r w:rsidRPr="00116243">
        <w:rPr>
          <w:rFonts w:ascii="Times New Roman" w:hAnsi="Times New Roman" w:cs="Times New Roman"/>
          <w:sz w:val="24"/>
          <w:szCs w:val="24"/>
          <w:lang w:val="en-GB"/>
        </w:rPr>
        <w:t xml:space="preserve">. EU companies lack the scale required </w:t>
      </w:r>
      <w:r>
        <w:rPr>
          <w:rFonts w:ascii="Times New Roman" w:hAnsi="Times New Roman" w:cs="Times New Roman"/>
          <w:sz w:val="24"/>
          <w:szCs w:val="24"/>
          <w:lang w:val="en-GB"/>
        </w:rPr>
        <w:t>to provide citizens with ubiqui</w:t>
      </w:r>
      <w:r w:rsidRPr="00116243">
        <w:rPr>
          <w:rFonts w:ascii="Times New Roman" w:hAnsi="Times New Roman" w:cs="Times New Roman"/>
          <w:sz w:val="24"/>
          <w:szCs w:val="24"/>
          <w:lang w:val="en-GB"/>
        </w:rPr>
        <w:t xml:space="preserve">tous access to fiber and 5G broadband and to equip </w:t>
      </w:r>
      <w:r w:rsidRPr="00116243">
        <w:rPr>
          <w:rFonts w:ascii="Times New Roman" w:hAnsi="Times New Roman" w:cs="Times New Roman"/>
          <w:sz w:val="24"/>
          <w:szCs w:val="24"/>
          <w:lang w:val="en-GB"/>
        </w:rPr>
        <w:lastRenderedPageBreak/>
        <w:t>businesses with advanced platforms for innovation. The EU has a total of 34 mobile network operators (MNOs) and 351 non-investment-based virtual operators (MVNOs), compared with three MNOs in the US (plus 70 MVNOs) and four</w:t>
      </w:r>
      <w:r>
        <w:rPr>
          <w:rFonts w:ascii="Times New Roman" w:hAnsi="Times New Roman" w:cs="Times New Roman"/>
          <w:sz w:val="24"/>
          <w:szCs w:val="24"/>
          <w:lang w:val="en-GB"/>
        </w:rPr>
        <w:t xml:space="preserve"> MNOs in China (plus 16 MVNOs)</w:t>
      </w:r>
      <w:r w:rsidRPr="00116243">
        <w:rPr>
          <w:rFonts w:ascii="Times New Roman" w:hAnsi="Times New Roman" w:cs="Times New Roman"/>
          <w:sz w:val="24"/>
          <w:szCs w:val="24"/>
          <w:lang w:val="en-GB"/>
        </w:rPr>
        <w:t xml:space="preserve">. </w:t>
      </w:r>
      <w:r>
        <w:rPr>
          <w:rFonts w:ascii="Times New Roman" w:hAnsi="Times New Roman" w:cs="Times New Roman"/>
          <w:sz w:val="24"/>
          <w:szCs w:val="24"/>
          <w:lang w:val="en-GB"/>
        </w:rPr>
        <w:t>The EU fixed broadband market -</w:t>
      </w:r>
      <w:r w:rsidRPr="00116243">
        <w:rPr>
          <w:rFonts w:ascii="Times New Roman" w:hAnsi="Times New Roman" w:cs="Times New Roman"/>
          <w:sz w:val="24"/>
          <w:szCs w:val="24"/>
          <w:lang w:val="en-GB"/>
        </w:rPr>
        <w:t>where the top three operators hold a jo</w:t>
      </w:r>
      <w:r>
        <w:rPr>
          <w:rFonts w:ascii="Times New Roman" w:hAnsi="Times New Roman" w:cs="Times New Roman"/>
          <w:sz w:val="24"/>
          <w:szCs w:val="24"/>
          <w:lang w:val="en-GB"/>
        </w:rPr>
        <w:t>int share of 35% across Europe-</w:t>
      </w:r>
      <w:r w:rsidRPr="00116243">
        <w:rPr>
          <w:rFonts w:ascii="Times New Roman" w:hAnsi="Times New Roman" w:cs="Times New Roman"/>
          <w:sz w:val="24"/>
          <w:szCs w:val="24"/>
          <w:lang w:val="en-GB"/>
        </w:rPr>
        <w:t xml:space="preserve"> is also less concentrated than that of the US (with a joint share of 66%) or China (with a joint share of 95%). Lowe</w:t>
      </w:r>
      <w:r>
        <w:rPr>
          <w:rFonts w:ascii="Times New Roman" w:hAnsi="Times New Roman" w:cs="Times New Roman"/>
          <w:sz w:val="24"/>
          <w:szCs w:val="24"/>
          <w:lang w:val="en-GB"/>
        </w:rPr>
        <w:t>r prices in Europe have undoubt</w:t>
      </w:r>
      <w:r w:rsidRPr="00116243">
        <w:rPr>
          <w:rFonts w:ascii="Times New Roman" w:hAnsi="Times New Roman" w:cs="Times New Roman"/>
          <w:sz w:val="24"/>
          <w:szCs w:val="24"/>
          <w:lang w:val="en-GB"/>
        </w:rPr>
        <w:t>edly benefitted citizens and businesses but, over time, they have also reduced the industry profitability and, as a consequence, investment levels in Europe, including EU companies’ innovation in new technologies beyond basic connectivity</w:t>
      </w:r>
      <w:r>
        <w:rPr>
          <w:rFonts w:ascii="Times New Roman" w:hAnsi="Times New Roman" w:cs="Times New Roman"/>
          <w:sz w:val="24"/>
          <w:szCs w:val="24"/>
          <w:lang w:val="en-GB"/>
        </w:rPr>
        <w:t>..</w:t>
      </w:r>
      <w:r w:rsidRPr="00116243">
        <w:rPr>
          <w:rFonts w:ascii="Times New Roman" w:hAnsi="Times New Roman" w:cs="Times New Roman"/>
          <w:sz w:val="24"/>
          <w:szCs w:val="24"/>
          <w:lang w:val="en-GB"/>
        </w:rPr>
        <w:t>.</w:t>
      </w:r>
    </w:p>
    <w:p w:rsidR="00116243" w:rsidRDefault="00116243" w:rsidP="000919B8">
      <w:pPr>
        <w:spacing w:line="240" w:lineRule="auto"/>
        <w:jc w:val="both"/>
        <w:rPr>
          <w:rFonts w:ascii="Times New Roman" w:hAnsi="Times New Roman" w:cs="Times New Roman"/>
          <w:sz w:val="24"/>
          <w:szCs w:val="24"/>
          <w:lang w:val="en-GB"/>
        </w:rPr>
      </w:pPr>
      <w:r w:rsidRPr="00116243">
        <w:rPr>
          <w:rFonts w:ascii="Times New Roman" w:hAnsi="Times New Roman" w:cs="Times New Roman"/>
          <w:noProof/>
          <w:sz w:val="24"/>
          <w:szCs w:val="24"/>
          <w:lang w:eastAsia="es-ES"/>
        </w:rPr>
        <w:drawing>
          <wp:inline distT="0" distB="0" distL="0" distR="0" wp14:anchorId="276F8F95" wp14:editId="33532175">
            <wp:extent cx="5731510" cy="3528920"/>
            <wp:effectExtent l="0" t="0" r="254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3528920"/>
                    </a:xfrm>
                    <a:prstGeom prst="rect">
                      <a:avLst/>
                    </a:prstGeom>
                  </pic:spPr>
                </pic:pic>
              </a:graphicData>
            </a:graphic>
          </wp:inline>
        </w:drawing>
      </w:r>
    </w:p>
    <w:p w:rsidR="00116243" w:rsidRDefault="00116243" w:rsidP="000919B8">
      <w:pPr>
        <w:spacing w:line="240" w:lineRule="auto"/>
        <w:jc w:val="both"/>
        <w:rPr>
          <w:rFonts w:ascii="Times New Roman" w:hAnsi="Times New Roman" w:cs="Times New Roman"/>
          <w:sz w:val="24"/>
          <w:szCs w:val="24"/>
          <w:lang w:val="en-GB"/>
        </w:rPr>
      </w:pPr>
      <w:r w:rsidRPr="00116243">
        <w:rPr>
          <w:rFonts w:ascii="Times New Roman" w:hAnsi="Times New Roman" w:cs="Times New Roman"/>
          <w:noProof/>
          <w:sz w:val="24"/>
          <w:szCs w:val="24"/>
          <w:lang w:eastAsia="es-ES"/>
        </w:rPr>
        <w:drawing>
          <wp:inline distT="0" distB="0" distL="0" distR="0" wp14:anchorId="6759BB1E" wp14:editId="5ABEC1BF">
            <wp:extent cx="5731510" cy="3095995"/>
            <wp:effectExtent l="0" t="0" r="2540" b="9525"/>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3095995"/>
                    </a:xfrm>
                    <a:prstGeom prst="rect">
                      <a:avLst/>
                    </a:prstGeom>
                  </pic:spPr>
                </pic:pic>
              </a:graphicData>
            </a:graphic>
          </wp:inline>
        </w:drawing>
      </w:r>
    </w:p>
    <w:p w:rsidR="00116243" w:rsidRDefault="00116243" w:rsidP="000919B8">
      <w:pPr>
        <w:spacing w:line="240" w:lineRule="auto"/>
        <w:jc w:val="both"/>
        <w:rPr>
          <w:rFonts w:ascii="Times New Roman" w:hAnsi="Times New Roman" w:cs="Times New Roman"/>
          <w:sz w:val="24"/>
          <w:szCs w:val="24"/>
          <w:lang w:val="en-GB"/>
        </w:rPr>
      </w:pPr>
    </w:p>
    <w:p w:rsidR="00116243" w:rsidRPr="00116243" w:rsidRDefault="00116243" w:rsidP="000919B8">
      <w:pPr>
        <w:spacing w:line="240" w:lineRule="auto"/>
        <w:jc w:val="both"/>
        <w:rPr>
          <w:rFonts w:ascii="Times New Roman" w:hAnsi="Times New Roman" w:cs="Times New Roman"/>
          <w:b/>
          <w:sz w:val="24"/>
          <w:szCs w:val="24"/>
          <w:lang w:val="en-GB"/>
        </w:rPr>
      </w:pPr>
      <w:r w:rsidRPr="00116243">
        <w:rPr>
          <w:rFonts w:ascii="Times New Roman" w:hAnsi="Times New Roman" w:cs="Times New Roman"/>
          <w:b/>
          <w:sz w:val="24"/>
          <w:szCs w:val="24"/>
          <w:lang w:val="en-GB"/>
        </w:rPr>
        <w:lastRenderedPageBreak/>
        <w:t xml:space="preserve">Objectives and proposals </w:t>
      </w:r>
    </w:p>
    <w:p w:rsidR="00116243" w:rsidRPr="00116243" w:rsidRDefault="00116243" w:rsidP="000919B8">
      <w:pPr>
        <w:spacing w:line="240" w:lineRule="auto"/>
        <w:jc w:val="both"/>
        <w:rPr>
          <w:rFonts w:ascii="Times New Roman" w:hAnsi="Times New Roman" w:cs="Times New Roman"/>
          <w:sz w:val="24"/>
          <w:szCs w:val="24"/>
          <w:lang w:val="en-GB"/>
        </w:rPr>
      </w:pPr>
      <w:r w:rsidRPr="00116243">
        <w:rPr>
          <w:rFonts w:ascii="Times New Roman" w:hAnsi="Times New Roman" w:cs="Times New Roman"/>
          <w:sz w:val="24"/>
          <w:szCs w:val="24"/>
          <w:lang w:val="en-GB"/>
        </w:rPr>
        <w:t xml:space="preserve">The EU will deliver state-of-the-art communication services to its citizens and businesses provided by strong and successful EU companies, which are not overdependent on critical equipment and software providers from outside the EU. The EU should, therefore, aim to: </w:t>
      </w:r>
    </w:p>
    <w:p w:rsidR="00116243" w:rsidRPr="00116243" w:rsidRDefault="00116243" w:rsidP="000919B8">
      <w:pPr>
        <w:spacing w:line="240" w:lineRule="auto"/>
        <w:jc w:val="both"/>
        <w:rPr>
          <w:rFonts w:ascii="Times New Roman" w:hAnsi="Times New Roman" w:cs="Times New Roman"/>
          <w:sz w:val="24"/>
          <w:szCs w:val="24"/>
          <w:lang w:val="en-GB"/>
        </w:rPr>
      </w:pPr>
      <w:r w:rsidRPr="00116243">
        <w:rPr>
          <w:rFonts w:ascii="Times New Roman" w:hAnsi="Times New Roman" w:cs="Times New Roman"/>
          <w:sz w:val="24"/>
          <w:szCs w:val="24"/>
          <w:lang w:val="en-GB"/>
        </w:rPr>
        <w:t xml:space="preserve">• Boost the deployment of competitive high-speed, low-latency, ubiquitous mobile and fixed broadband services, as well as autonomous satellite capacity by 2030 These services should be delivered throughout Europe seamlessly at a standard on par with the best experiences globally. </w:t>
      </w:r>
    </w:p>
    <w:p w:rsidR="00116243" w:rsidRPr="00116243" w:rsidRDefault="00116243" w:rsidP="000919B8">
      <w:pPr>
        <w:spacing w:line="240" w:lineRule="auto"/>
        <w:jc w:val="both"/>
        <w:rPr>
          <w:rFonts w:ascii="Times New Roman" w:hAnsi="Times New Roman" w:cs="Times New Roman"/>
          <w:sz w:val="24"/>
          <w:szCs w:val="24"/>
          <w:lang w:val="en-GB"/>
        </w:rPr>
      </w:pPr>
      <w:r w:rsidRPr="00116243">
        <w:rPr>
          <w:rFonts w:ascii="Times New Roman" w:hAnsi="Times New Roman" w:cs="Times New Roman"/>
          <w:sz w:val="24"/>
          <w:szCs w:val="24"/>
          <w:lang w:val="en-GB"/>
        </w:rPr>
        <w:t>• Increase private investment in digital networks (5G standalone and fiber), supporting consolidation of players and infrastructures, and underpin leadership in strategic areas (e g O-RAN, edge c</w:t>
      </w:r>
      <w:r>
        <w:rPr>
          <w:rFonts w:ascii="Times New Roman" w:hAnsi="Times New Roman" w:cs="Times New Roman"/>
          <w:sz w:val="24"/>
          <w:szCs w:val="24"/>
          <w:lang w:val="en-GB"/>
        </w:rPr>
        <w:t>omputing, network API standardi</w:t>
      </w:r>
      <w:r w:rsidRPr="00116243">
        <w:rPr>
          <w:rFonts w:ascii="Times New Roman" w:hAnsi="Times New Roman" w:cs="Times New Roman"/>
          <w:sz w:val="24"/>
          <w:szCs w:val="24"/>
          <w:lang w:val="en-GB"/>
        </w:rPr>
        <w:t xml:space="preserve">sation, IoT and other M2M business services). </w:t>
      </w:r>
    </w:p>
    <w:p w:rsidR="00116243" w:rsidRPr="00116243" w:rsidRDefault="00116243" w:rsidP="000919B8">
      <w:pPr>
        <w:spacing w:line="240" w:lineRule="auto"/>
        <w:jc w:val="both"/>
        <w:rPr>
          <w:rFonts w:ascii="Times New Roman" w:hAnsi="Times New Roman" w:cs="Times New Roman"/>
          <w:sz w:val="24"/>
          <w:szCs w:val="24"/>
          <w:lang w:val="en-GB"/>
        </w:rPr>
      </w:pPr>
      <w:r w:rsidRPr="00116243">
        <w:rPr>
          <w:rFonts w:ascii="Times New Roman" w:hAnsi="Times New Roman" w:cs="Times New Roman"/>
          <w:sz w:val="24"/>
          <w:szCs w:val="24"/>
          <w:lang w:val="en-GB"/>
        </w:rPr>
        <w:t>• Strengthen the security and open strategic autonomy of the EU’s digital communication networks by supporting EU-based providers of equipment and software for communications.</w:t>
      </w:r>
    </w:p>
    <w:p w:rsidR="00472116" w:rsidRPr="00472116" w:rsidRDefault="00472116" w:rsidP="000919B8">
      <w:pPr>
        <w:spacing w:line="240" w:lineRule="auto"/>
        <w:jc w:val="both"/>
        <w:rPr>
          <w:rFonts w:ascii="Times New Roman" w:hAnsi="Times New Roman" w:cs="Times New Roman"/>
          <w:b/>
          <w:sz w:val="24"/>
          <w:szCs w:val="24"/>
          <w:lang w:val="en-GB"/>
        </w:rPr>
      </w:pPr>
      <w:r w:rsidRPr="00472116">
        <w:rPr>
          <w:rFonts w:ascii="Times New Roman" w:hAnsi="Times New Roman" w:cs="Times New Roman"/>
          <w:b/>
          <w:sz w:val="24"/>
          <w:szCs w:val="24"/>
          <w:lang w:val="en-GB"/>
        </w:rPr>
        <w:t xml:space="preserve">3.2 Computing and AI </w:t>
      </w:r>
    </w:p>
    <w:p w:rsidR="00472116" w:rsidRPr="00472116" w:rsidRDefault="00472116" w:rsidP="000919B8">
      <w:pPr>
        <w:spacing w:line="240" w:lineRule="auto"/>
        <w:jc w:val="both"/>
        <w:rPr>
          <w:rFonts w:ascii="Times New Roman" w:hAnsi="Times New Roman" w:cs="Times New Roman"/>
          <w:b/>
          <w:sz w:val="24"/>
          <w:szCs w:val="24"/>
          <w:lang w:val="en-GB"/>
        </w:rPr>
      </w:pPr>
      <w:r w:rsidRPr="00472116">
        <w:rPr>
          <w:rFonts w:ascii="Times New Roman" w:hAnsi="Times New Roman" w:cs="Times New Roman"/>
          <w:b/>
          <w:sz w:val="24"/>
          <w:szCs w:val="24"/>
          <w:lang w:val="en-GB"/>
        </w:rPr>
        <w:t xml:space="preserve">The starting point </w:t>
      </w:r>
    </w:p>
    <w:p w:rsidR="00F07AA4" w:rsidRDefault="00472116" w:rsidP="000919B8">
      <w:pPr>
        <w:spacing w:line="240" w:lineRule="auto"/>
        <w:jc w:val="both"/>
        <w:rPr>
          <w:rFonts w:ascii="Times New Roman" w:hAnsi="Times New Roman" w:cs="Times New Roman"/>
          <w:sz w:val="24"/>
          <w:szCs w:val="24"/>
          <w:lang w:val="en-GB"/>
        </w:rPr>
      </w:pPr>
      <w:r w:rsidRPr="00472116">
        <w:rPr>
          <w:rFonts w:ascii="Times New Roman" w:hAnsi="Times New Roman" w:cs="Times New Roman"/>
          <w:b/>
          <w:sz w:val="24"/>
          <w:szCs w:val="24"/>
          <w:lang w:val="en-GB"/>
        </w:rPr>
        <w:t>The EU is losing ground in R&amp;D and in the creation of innovative tech companies with global reach</w:t>
      </w:r>
      <w:r w:rsidRPr="00472116">
        <w:rPr>
          <w:rFonts w:ascii="Times New Roman" w:hAnsi="Times New Roman" w:cs="Times New Roman"/>
          <w:sz w:val="24"/>
          <w:szCs w:val="24"/>
          <w:lang w:val="en-GB"/>
        </w:rPr>
        <w:t>. The EU has generated fewer new lead innovators in</w:t>
      </w:r>
      <w:r w:rsidR="006573BE">
        <w:rPr>
          <w:rFonts w:ascii="Times New Roman" w:hAnsi="Times New Roman" w:cs="Times New Roman"/>
          <w:sz w:val="24"/>
          <w:szCs w:val="24"/>
          <w:lang w:val="en-GB"/>
        </w:rPr>
        <w:t xml:space="preserve"> the past decade than the US</w:t>
      </w:r>
      <w:r w:rsidRPr="00472116">
        <w:rPr>
          <w:rFonts w:ascii="Times New Roman" w:hAnsi="Times New Roman" w:cs="Times New Roman"/>
          <w:sz w:val="24"/>
          <w:szCs w:val="24"/>
          <w:lang w:val="en-GB"/>
        </w:rPr>
        <w:t>, and that the share of EU firms in the top 2,500 global R&amp;D companies has fallen co</w:t>
      </w:r>
      <w:r w:rsidR="006573BE">
        <w:rPr>
          <w:rFonts w:ascii="Times New Roman" w:hAnsi="Times New Roman" w:cs="Times New Roman"/>
          <w:sz w:val="24"/>
          <w:szCs w:val="24"/>
          <w:lang w:val="en-GB"/>
        </w:rPr>
        <w:t>mpared to other blocs</w:t>
      </w:r>
      <w:r w:rsidRPr="00472116">
        <w:rPr>
          <w:rFonts w:ascii="Times New Roman" w:hAnsi="Times New Roman" w:cs="Times New Roman"/>
          <w:sz w:val="24"/>
          <w:szCs w:val="24"/>
          <w:lang w:val="en-GB"/>
        </w:rPr>
        <w:t>. This trend also reflects the EU’s weaker specialisation in software and computer services as well as the fact that the EU’s industrial innovation model is more diversified, but also more focused on established technologies than in the US or China. For instance, among leading companies in software and internet, EU firms represent only 7% of R&amp;D expenditure, compared with 71% for the US and 15% for China; similarly, the EU only accounts for 12% of R&amp;D expenditure among leading companies producing technology hardware and electronic equipment, compared with 40% for the US, and 19% for China…</w:t>
      </w:r>
    </w:p>
    <w:p w:rsidR="00472116" w:rsidRDefault="00472116" w:rsidP="000919B8">
      <w:pPr>
        <w:spacing w:line="240" w:lineRule="auto"/>
        <w:jc w:val="both"/>
        <w:rPr>
          <w:rFonts w:ascii="Times New Roman" w:hAnsi="Times New Roman" w:cs="Times New Roman"/>
          <w:b/>
          <w:sz w:val="24"/>
          <w:szCs w:val="24"/>
          <w:lang w:val="en-GB"/>
        </w:rPr>
      </w:pPr>
      <w:r w:rsidRPr="00472116">
        <w:rPr>
          <w:rFonts w:ascii="Times New Roman" w:hAnsi="Times New Roman" w:cs="Times New Roman"/>
          <w:b/>
          <w:noProof/>
          <w:sz w:val="24"/>
          <w:szCs w:val="24"/>
          <w:lang w:eastAsia="es-ES"/>
        </w:rPr>
        <w:drawing>
          <wp:inline distT="0" distB="0" distL="0" distR="0" wp14:anchorId="210EDAE8" wp14:editId="1AACF222">
            <wp:extent cx="5731510" cy="3167639"/>
            <wp:effectExtent l="0" t="0" r="254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3167639"/>
                    </a:xfrm>
                    <a:prstGeom prst="rect">
                      <a:avLst/>
                    </a:prstGeom>
                  </pic:spPr>
                </pic:pic>
              </a:graphicData>
            </a:graphic>
          </wp:inline>
        </w:drawing>
      </w:r>
    </w:p>
    <w:p w:rsidR="00472116" w:rsidRDefault="00472116" w:rsidP="000919B8">
      <w:pPr>
        <w:spacing w:line="240" w:lineRule="auto"/>
        <w:jc w:val="both"/>
        <w:rPr>
          <w:rFonts w:ascii="Times New Roman" w:hAnsi="Times New Roman" w:cs="Times New Roman"/>
          <w:b/>
          <w:sz w:val="24"/>
          <w:szCs w:val="24"/>
          <w:lang w:val="en-GB"/>
        </w:rPr>
      </w:pPr>
      <w:r w:rsidRPr="00472116">
        <w:rPr>
          <w:rFonts w:ascii="Times New Roman" w:hAnsi="Times New Roman" w:cs="Times New Roman"/>
          <w:b/>
          <w:noProof/>
          <w:sz w:val="24"/>
          <w:szCs w:val="24"/>
          <w:lang w:eastAsia="es-ES"/>
        </w:rPr>
        <w:lastRenderedPageBreak/>
        <w:drawing>
          <wp:inline distT="0" distB="0" distL="0" distR="0" wp14:anchorId="70CFDAB1" wp14:editId="05EF8E22">
            <wp:extent cx="5731510" cy="3452990"/>
            <wp:effectExtent l="0" t="0" r="254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3452990"/>
                    </a:xfrm>
                    <a:prstGeom prst="rect">
                      <a:avLst/>
                    </a:prstGeom>
                  </pic:spPr>
                </pic:pic>
              </a:graphicData>
            </a:graphic>
          </wp:inline>
        </w:drawing>
      </w:r>
    </w:p>
    <w:p w:rsidR="00472116" w:rsidRPr="00472116" w:rsidRDefault="00472116" w:rsidP="000919B8">
      <w:pPr>
        <w:spacing w:line="240" w:lineRule="auto"/>
        <w:jc w:val="both"/>
        <w:rPr>
          <w:rFonts w:ascii="Times New Roman" w:hAnsi="Times New Roman" w:cs="Times New Roman"/>
          <w:b/>
          <w:sz w:val="24"/>
          <w:szCs w:val="24"/>
          <w:lang w:val="en-GB"/>
        </w:rPr>
      </w:pPr>
      <w:r w:rsidRPr="00472116">
        <w:rPr>
          <w:rFonts w:ascii="Times New Roman" w:hAnsi="Times New Roman" w:cs="Times New Roman"/>
          <w:b/>
          <w:sz w:val="24"/>
          <w:szCs w:val="24"/>
          <w:lang w:val="en-GB"/>
        </w:rPr>
        <w:t xml:space="preserve">Objectives and proposals </w:t>
      </w:r>
    </w:p>
    <w:p w:rsidR="00472116" w:rsidRPr="00472116" w:rsidRDefault="00472116" w:rsidP="000919B8">
      <w:pPr>
        <w:spacing w:line="240" w:lineRule="auto"/>
        <w:jc w:val="both"/>
        <w:rPr>
          <w:rFonts w:ascii="Times New Roman" w:hAnsi="Times New Roman" w:cs="Times New Roman"/>
          <w:sz w:val="24"/>
          <w:szCs w:val="24"/>
          <w:lang w:val="en-GB"/>
        </w:rPr>
      </w:pPr>
      <w:r w:rsidRPr="00472116">
        <w:rPr>
          <w:rFonts w:ascii="Times New Roman" w:hAnsi="Times New Roman" w:cs="Times New Roman"/>
          <w:sz w:val="24"/>
          <w:szCs w:val="24"/>
          <w:lang w:val="en-GB"/>
        </w:rPr>
        <w:t xml:space="preserve">The EU must have the ambition to be a leader in developing AI for its sectors of strength, regain and retain control over data and sensitive cloud services, and develop a robust financial and talent flywheel to support innovation in computing and AI. To achieve this, the EU should aim to: </w:t>
      </w:r>
    </w:p>
    <w:p w:rsidR="00472116" w:rsidRPr="00472116" w:rsidRDefault="00472116" w:rsidP="000919B8">
      <w:pPr>
        <w:spacing w:line="240" w:lineRule="auto"/>
        <w:jc w:val="both"/>
        <w:rPr>
          <w:rFonts w:ascii="Times New Roman" w:hAnsi="Times New Roman" w:cs="Times New Roman"/>
          <w:sz w:val="24"/>
          <w:szCs w:val="24"/>
          <w:lang w:val="en-GB"/>
        </w:rPr>
      </w:pPr>
      <w:r w:rsidRPr="00472116">
        <w:rPr>
          <w:rFonts w:ascii="Times New Roman" w:hAnsi="Times New Roman" w:cs="Times New Roman"/>
          <w:sz w:val="24"/>
          <w:szCs w:val="24"/>
          <w:lang w:val="en-GB"/>
        </w:rPr>
        <w:t xml:space="preserve">• Secure a strong position during the next five years in AI embedded in key industrial sectors, such as advanced manufacturing and industrial robotics, chemicals, telecoms and biotech based on a set of EU-developed sectoral Large Language Models and Vertical Models. </w:t>
      </w:r>
    </w:p>
    <w:p w:rsidR="00472116" w:rsidRPr="00472116" w:rsidRDefault="00472116" w:rsidP="000919B8">
      <w:pPr>
        <w:spacing w:line="240" w:lineRule="auto"/>
        <w:jc w:val="both"/>
        <w:rPr>
          <w:rFonts w:ascii="Times New Roman" w:hAnsi="Times New Roman" w:cs="Times New Roman"/>
          <w:sz w:val="24"/>
          <w:szCs w:val="24"/>
          <w:lang w:val="en-GB"/>
        </w:rPr>
      </w:pPr>
      <w:r w:rsidRPr="00472116">
        <w:rPr>
          <w:rFonts w:ascii="Times New Roman" w:hAnsi="Times New Roman" w:cs="Times New Roman"/>
          <w:sz w:val="24"/>
          <w:szCs w:val="24"/>
          <w:lang w:val="en-GB"/>
        </w:rPr>
        <w:t xml:space="preserve">• Expand the EU’s computing capability and capacity of the Euro-HPC network across Europe to serve both science and research, as well as to business ventures. </w:t>
      </w:r>
    </w:p>
    <w:p w:rsidR="00472116" w:rsidRPr="00472116" w:rsidRDefault="00472116" w:rsidP="000919B8">
      <w:pPr>
        <w:spacing w:line="240" w:lineRule="auto"/>
        <w:jc w:val="both"/>
        <w:rPr>
          <w:rFonts w:ascii="Times New Roman" w:hAnsi="Times New Roman" w:cs="Times New Roman"/>
          <w:sz w:val="24"/>
          <w:szCs w:val="24"/>
          <w:lang w:val="en-GB"/>
        </w:rPr>
      </w:pPr>
      <w:r w:rsidRPr="00472116">
        <w:rPr>
          <w:rFonts w:ascii="Times New Roman" w:hAnsi="Times New Roman" w:cs="Times New Roman"/>
          <w:sz w:val="24"/>
          <w:szCs w:val="24"/>
          <w:lang w:val="en-GB"/>
        </w:rPr>
        <w:t xml:space="preserve">• Retain control of security, data encryption and residency capabilities within EU companies and institutions and facilitate the consolidation of EU cloud providers. </w:t>
      </w:r>
    </w:p>
    <w:p w:rsidR="00472116" w:rsidRDefault="00472116" w:rsidP="000919B8">
      <w:pPr>
        <w:spacing w:line="240" w:lineRule="auto"/>
        <w:jc w:val="both"/>
        <w:rPr>
          <w:rFonts w:ascii="Times New Roman" w:hAnsi="Times New Roman" w:cs="Times New Roman"/>
          <w:sz w:val="24"/>
          <w:szCs w:val="24"/>
          <w:lang w:val="en-GB"/>
        </w:rPr>
      </w:pPr>
      <w:r w:rsidRPr="00472116">
        <w:rPr>
          <w:rFonts w:ascii="Times New Roman" w:hAnsi="Times New Roman" w:cs="Times New Roman"/>
          <w:sz w:val="24"/>
          <w:szCs w:val="24"/>
          <w:lang w:val="en-GB"/>
        </w:rPr>
        <w:t>• Develop research excellence in quantum computing and couple EU HPC installations with quantum testing labs…</w:t>
      </w:r>
    </w:p>
    <w:p w:rsidR="00472116" w:rsidRPr="00472116" w:rsidRDefault="00472116" w:rsidP="000919B8">
      <w:pPr>
        <w:spacing w:line="240" w:lineRule="auto"/>
        <w:jc w:val="both"/>
        <w:rPr>
          <w:rFonts w:ascii="Times New Roman" w:hAnsi="Times New Roman" w:cs="Times New Roman"/>
          <w:b/>
          <w:sz w:val="24"/>
          <w:szCs w:val="24"/>
          <w:lang w:val="en-GB"/>
        </w:rPr>
      </w:pPr>
      <w:r w:rsidRPr="00472116">
        <w:rPr>
          <w:rFonts w:ascii="Times New Roman" w:hAnsi="Times New Roman" w:cs="Times New Roman"/>
          <w:b/>
          <w:sz w:val="24"/>
          <w:szCs w:val="24"/>
          <w:lang w:val="en-GB"/>
        </w:rPr>
        <w:t xml:space="preserve">3.3 Semiconductors </w:t>
      </w:r>
    </w:p>
    <w:p w:rsidR="00472116" w:rsidRPr="00472116" w:rsidRDefault="00472116" w:rsidP="000919B8">
      <w:pPr>
        <w:spacing w:line="240" w:lineRule="auto"/>
        <w:jc w:val="both"/>
        <w:rPr>
          <w:rFonts w:ascii="Times New Roman" w:hAnsi="Times New Roman" w:cs="Times New Roman"/>
          <w:b/>
          <w:sz w:val="24"/>
          <w:szCs w:val="24"/>
          <w:lang w:val="en-GB"/>
        </w:rPr>
      </w:pPr>
      <w:r w:rsidRPr="00472116">
        <w:rPr>
          <w:rFonts w:ascii="Times New Roman" w:hAnsi="Times New Roman" w:cs="Times New Roman"/>
          <w:b/>
          <w:sz w:val="24"/>
          <w:szCs w:val="24"/>
          <w:lang w:val="en-GB"/>
        </w:rPr>
        <w:t xml:space="preserve">The starting point </w:t>
      </w:r>
    </w:p>
    <w:p w:rsidR="00472116" w:rsidRDefault="00472116" w:rsidP="000919B8">
      <w:pPr>
        <w:spacing w:line="240" w:lineRule="auto"/>
        <w:jc w:val="both"/>
        <w:rPr>
          <w:rFonts w:ascii="Times New Roman" w:hAnsi="Times New Roman" w:cs="Times New Roman"/>
          <w:sz w:val="24"/>
          <w:szCs w:val="24"/>
          <w:lang w:val="en-GB"/>
        </w:rPr>
      </w:pPr>
      <w:r w:rsidRPr="00472116">
        <w:rPr>
          <w:rFonts w:ascii="Times New Roman" w:hAnsi="Times New Roman" w:cs="Times New Roman"/>
          <w:sz w:val="24"/>
          <w:szCs w:val="24"/>
          <w:lang w:val="en-GB"/>
        </w:rPr>
        <w:t>The EU has key strengths and leads in selected segments of the chips market,</w:t>
      </w:r>
      <w:r>
        <w:rPr>
          <w:rFonts w:ascii="Times New Roman" w:hAnsi="Times New Roman" w:cs="Times New Roman"/>
          <w:sz w:val="24"/>
          <w:szCs w:val="24"/>
          <w:lang w:val="en-GB"/>
        </w:rPr>
        <w:t xml:space="preserve"> but its position is impacted -as in most other areas-</w:t>
      </w:r>
      <w:r w:rsidRPr="00472116">
        <w:rPr>
          <w:rFonts w:ascii="Times New Roman" w:hAnsi="Times New Roman" w:cs="Times New Roman"/>
          <w:sz w:val="24"/>
          <w:szCs w:val="24"/>
          <w:lang w:val="en-GB"/>
        </w:rPr>
        <w:t xml:space="preserve"> by strong dependence on non-EU players and scarce presence in high-value innovative segments. The global chip market was valued at USD 520 billion in 2023 and is expec</w:t>
      </w:r>
      <w:r>
        <w:rPr>
          <w:rFonts w:ascii="Times New Roman" w:hAnsi="Times New Roman" w:cs="Times New Roman"/>
          <w:sz w:val="24"/>
          <w:szCs w:val="24"/>
          <w:lang w:val="en-GB"/>
        </w:rPr>
        <w:t>ted to grow by 13.1% in 2024</w:t>
      </w:r>
      <w:r w:rsidRPr="00472116">
        <w:rPr>
          <w:rFonts w:ascii="Times New Roman" w:hAnsi="Times New Roman" w:cs="Times New Roman"/>
          <w:sz w:val="24"/>
          <w:szCs w:val="24"/>
          <w:lang w:val="en-GB"/>
        </w:rPr>
        <w:t>. The EU market is valued at USD 57 billion, representing around 10% of the global supply across the value chain, down from 20% in the nineties. Its current value is half of the 20%</w:t>
      </w:r>
      <w:r>
        <w:rPr>
          <w:rFonts w:ascii="Times New Roman" w:hAnsi="Times New Roman" w:cs="Times New Roman"/>
          <w:sz w:val="24"/>
          <w:szCs w:val="24"/>
          <w:lang w:val="en-GB"/>
        </w:rPr>
        <w:t xml:space="preserve"> target for 2030</w:t>
      </w:r>
      <w:r w:rsidRPr="00472116">
        <w:rPr>
          <w:rFonts w:ascii="Times New Roman" w:hAnsi="Times New Roman" w:cs="Times New Roman"/>
          <w:sz w:val="24"/>
          <w:szCs w:val="24"/>
          <w:lang w:val="en-GB"/>
        </w:rPr>
        <w:t>. The EU’s share of the global capacity of wafers production has also decreased to 7%. In 2023, the EU market grew by 5.9%, while the Americas, Asia Pacific and Japan experienced a downturn…</w:t>
      </w:r>
    </w:p>
    <w:p w:rsidR="00472116" w:rsidRDefault="00472116" w:rsidP="000919B8">
      <w:pPr>
        <w:spacing w:line="240" w:lineRule="auto"/>
        <w:jc w:val="both"/>
        <w:rPr>
          <w:rFonts w:ascii="Times New Roman" w:hAnsi="Times New Roman" w:cs="Times New Roman"/>
          <w:b/>
          <w:sz w:val="24"/>
          <w:szCs w:val="24"/>
          <w:lang w:val="en-GB"/>
        </w:rPr>
      </w:pPr>
      <w:r w:rsidRPr="00472116">
        <w:rPr>
          <w:rFonts w:ascii="Times New Roman" w:hAnsi="Times New Roman" w:cs="Times New Roman"/>
          <w:b/>
          <w:noProof/>
          <w:sz w:val="24"/>
          <w:szCs w:val="24"/>
          <w:lang w:eastAsia="es-ES"/>
        </w:rPr>
        <w:lastRenderedPageBreak/>
        <w:drawing>
          <wp:inline distT="0" distB="0" distL="0" distR="0" wp14:anchorId="43FC700B" wp14:editId="654BEC18">
            <wp:extent cx="5731510" cy="3400941"/>
            <wp:effectExtent l="0" t="0" r="2540" b="9525"/>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3400941"/>
                    </a:xfrm>
                    <a:prstGeom prst="rect">
                      <a:avLst/>
                    </a:prstGeom>
                  </pic:spPr>
                </pic:pic>
              </a:graphicData>
            </a:graphic>
          </wp:inline>
        </w:drawing>
      </w:r>
    </w:p>
    <w:p w:rsidR="00E10456" w:rsidRPr="00E10456" w:rsidRDefault="00E10456" w:rsidP="000919B8">
      <w:pPr>
        <w:spacing w:line="240" w:lineRule="auto"/>
        <w:jc w:val="both"/>
        <w:rPr>
          <w:rFonts w:ascii="Times New Roman" w:hAnsi="Times New Roman" w:cs="Times New Roman"/>
          <w:sz w:val="24"/>
          <w:szCs w:val="24"/>
          <w:lang w:val="en-GB"/>
        </w:rPr>
      </w:pPr>
      <w:r w:rsidRPr="00E10456">
        <w:rPr>
          <w:rFonts w:ascii="Times New Roman" w:hAnsi="Times New Roman" w:cs="Times New Roman"/>
          <w:sz w:val="24"/>
          <w:szCs w:val="24"/>
          <w:lang w:val="en-GB"/>
        </w:rPr>
        <w:t xml:space="preserve">Objectives and proposals </w:t>
      </w:r>
    </w:p>
    <w:p w:rsidR="00E10456" w:rsidRPr="00E10456" w:rsidRDefault="00E10456" w:rsidP="000919B8">
      <w:pPr>
        <w:spacing w:line="240" w:lineRule="auto"/>
        <w:jc w:val="both"/>
        <w:rPr>
          <w:rFonts w:ascii="Times New Roman" w:hAnsi="Times New Roman" w:cs="Times New Roman"/>
          <w:sz w:val="24"/>
          <w:szCs w:val="24"/>
          <w:lang w:val="en-GB"/>
        </w:rPr>
      </w:pPr>
      <w:r w:rsidRPr="00E10456">
        <w:rPr>
          <w:rFonts w:ascii="Times New Roman" w:hAnsi="Times New Roman" w:cs="Times New Roman"/>
          <w:sz w:val="24"/>
          <w:szCs w:val="24"/>
          <w:lang w:val="en-GB"/>
        </w:rPr>
        <w:t xml:space="preserve">The EU must de-risk its strategic dependencies and improve its capabilities in semiconductors, focusing on supply chain segments where it has or can develop a competitive advantage. The EU should aim to: </w:t>
      </w:r>
    </w:p>
    <w:p w:rsidR="00E10456" w:rsidRPr="00E10456" w:rsidRDefault="00E10456" w:rsidP="000919B8">
      <w:pPr>
        <w:spacing w:line="240" w:lineRule="auto"/>
        <w:jc w:val="both"/>
        <w:rPr>
          <w:rFonts w:ascii="Times New Roman" w:hAnsi="Times New Roman" w:cs="Times New Roman"/>
          <w:sz w:val="24"/>
          <w:szCs w:val="24"/>
          <w:lang w:val="en-GB"/>
        </w:rPr>
      </w:pPr>
      <w:r w:rsidRPr="00E10456">
        <w:rPr>
          <w:rFonts w:ascii="Times New Roman" w:hAnsi="Times New Roman" w:cs="Times New Roman"/>
          <w:sz w:val="24"/>
          <w:szCs w:val="24"/>
          <w:lang w:val="en-GB"/>
        </w:rPr>
        <w:t>• Boost R&amp;D in selected mainstream and innovative product segments, like larger node</w:t>
      </w:r>
      <w:r w:rsidR="006573BE">
        <w:rPr>
          <w:rFonts w:ascii="Times New Roman" w:hAnsi="Times New Roman" w:cs="Times New Roman"/>
          <w:sz w:val="24"/>
          <w:szCs w:val="24"/>
          <w:lang w:val="en-GB"/>
        </w:rPr>
        <w:t>s (sensors, power controls, etc.</w:t>
      </w:r>
      <w:r w:rsidRPr="00E10456">
        <w:rPr>
          <w:rFonts w:ascii="Times New Roman" w:hAnsi="Times New Roman" w:cs="Times New Roman"/>
          <w:sz w:val="24"/>
          <w:szCs w:val="24"/>
          <w:lang w:val="en-GB"/>
        </w:rPr>
        <w:t>), where the EU is already present</w:t>
      </w:r>
      <w:r>
        <w:rPr>
          <w:rFonts w:ascii="Times New Roman" w:hAnsi="Times New Roman" w:cs="Times New Roman"/>
          <w:sz w:val="24"/>
          <w:szCs w:val="24"/>
          <w:lang w:val="en-GB"/>
        </w:rPr>
        <w:t>.</w:t>
      </w:r>
      <w:r w:rsidRPr="00E10456">
        <w:rPr>
          <w:rFonts w:ascii="Times New Roman" w:hAnsi="Times New Roman" w:cs="Times New Roman"/>
          <w:sz w:val="24"/>
          <w:szCs w:val="24"/>
          <w:lang w:val="en-GB"/>
        </w:rPr>
        <w:t xml:space="preserve"> </w:t>
      </w:r>
    </w:p>
    <w:p w:rsidR="00E10456" w:rsidRPr="00E10456" w:rsidRDefault="00E10456" w:rsidP="000919B8">
      <w:pPr>
        <w:spacing w:line="240" w:lineRule="auto"/>
        <w:jc w:val="both"/>
        <w:rPr>
          <w:rFonts w:ascii="Times New Roman" w:hAnsi="Times New Roman" w:cs="Times New Roman"/>
          <w:sz w:val="24"/>
          <w:szCs w:val="24"/>
          <w:lang w:val="en-GB"/>
        </w:rPr>
      </w:pPr>
      <w:r w:rsidRPr="00E10456">
        <w:rPr>
          <w:rFonts w:ascii="Times New Roman" w:hAnsi="Times New Roman" w:cs="Times New Roman"/>
          <w:sz w:val="24"/>
          <w:szCs w:val="24"/>
          <w:lang w:val="en-GB"/>
        </w:rPr>
        <w:t>• Develop a sovereign position in design and manufacturing processes, incentivising technology transfer only for newer manufacturing technologies</w:t>
      </w:r>
      <w:r>
        <w:rPr>
          <w:rFonts w:ascii="Times New Roman" w:hAnsi="Times New Roman" w:cs="Times New Roman"/>
          <w:sz w:val="24"/>
          <w:szCs w:val="24"/>
          <w:lang w:val="en-GB"/>
        </w:rPr>
        <w:t>.</w:t>
      </w:r>
      <w:r w:rsidRPr="00E10456">
        <w:rPr>
          <w:rFonts w:ascii="Times New Roman" w:hAnsi="Times New Roman" w:cs="Times New Roman"/>
          <w:sz w:val="24"/>
          <w:szCs w:val="24"/>
          <w:lang w:val="en-GB"/>
        </w:rPr>
        <w:t xml:space="preserve"> </w:t>
      </w:r>
    </w:p>
    <w:p w:rsidR="00472116" w:rsidRDefault="00E10456" w:rsidP="000919B8">
      <w:pPr>
        <w:spacing w:line="240" w:lineRule="auto"/>
        <w:jc w:val="both"/>
        <w:rPr>
          <w:rFonts w:ascii="Times New Roman" w:hAnsi="Times New Roman" w:cs="Times New Roman"/>
          <w:sz w:val="24"/>
          <w:szCs w:val="24"/>
          <w:lang w:val="en-GB"/>
        </w:rPr>
      </w:pPr>
      <w:r w:rsidRPr="00E10456">
        <w:rPr>
          <w:rFonts w:ascii="Times New Roman" w:hAnsi="Times New Roman" w:cs="Times New Roman"/>
          <w:sz w:val="24"/>
          <w:szCs w:val="24"/>
          <w:lang w:val="en-GB"/>
        </w:rPr>
        <w:t>• Strengthen EU companies of demonstrated excellence in selected semiconductor equipment and materials, defending their export ambitions and expanding their addressable markets</w:t>
      </w:r>
      <w:r>
        <w:rPr>
          <w:rFonts w:ascii="Times New Roman" w:hAnsi="Times New Roman" w:cs="Times New Roman"/>
          <w:sz w:val="24"/>
          <w:szCs w:val="24"/>
          <w:lang w:val="en-GB"/>
        </w:rPr>
        <w:t>.</w:t>
      </w:r>
    </w:p>
    <w:p w:rsidR="00E10456" w:rsidRPr="00E10456" w:rsidRDefault="00E10456" w:rsidP="000919B8">
      <w:pPr>
        <w:spacing w:line="240" w:lineRule="auto"/>
        <w:jc w:val="both"/>
        <w:rPr>
          <w:rFonts w:ascii="Times New Roman" w:hAnsi="Times New Roman" w:cs="Times New Roman"/>
          <w:b/>
          <w:sz w:val="24"/>
          <w:szCs w:val="24"/>
          <w:lang w:val="en-GB"/>
        </w:rPr>
      </w:pPr>
      <w:r w:rsidRPr="00E10456">
        <w:rPr>
          <w:rFonts w:ascii="Times New Roman" w:hAnsi="Times New Roman" w:cs="Times New Roman"/>
          <w:b/>
          <w:sz w:val="24"/>
          <w:szCs w:val="24"/>
          <w:lang w:val="en-GB"/>
        </w:rPr>
        <w:t xml:space="preserve">4. Energy-intensive industries </w:t>
      </w:r>
    </w:p>
    <w:p w:rsidR="00E10456" w:rsidRPr="00E10456" w:rsidRDefault="00E10456" w:rsidP="000919B8">
      <w:pPr>
        <w:spacing w:line="240" w:lineRule="auto"/>
        <w:jc w:val="both"/>
        <w:rPr>
          <w:rFonts w:ascii="Times New Roman" w:hAnsi="Times New Roman" w:cs="Times New Roman"/>
          <w:b/>
          <w:sz w:val="24"/>
          <w:szCs w:val="24"/>
          <w:lang w:val="en-GB"/>
        </w:rPr>
      </w:pPr>
      <w:r w:rsidRPr="00E10456">
        <w:rPr>
          <w:rFonts w:ascii="Times New Roman" w:hAnsi="Times New Roman" w:cs="Times New Roman"/>
          <w:b/>
          <w:sz w:val="24"/>
          <w:szCs w:val="24"/>
          <w:lang w:val="en-GB"/>
        </w:rPr>
        <w:t xml:space="preserve">The starting point </w:t>
      </w:r>
    </w:p>
    <w:p w:rsidR="00E10456" w:rsidRDefault="00E10456" w:rsidP="000919B8">
      <w:pPr>
        <w:spacing w:line="240" w:lineRule="auto"/>
        <w:jc w:val="both"/>
        <w:rPr>
          <w:rFonts w:ascii="Times New Roman" w:hAnsi="Times New Roman" w:cs="Times New Roman"/>
          <w:sz w:val="24"/>
          <w:szCs w:val="24"/>
          <w:lang w:val="en-GB"/>
        </w:rPr>
      </w:pPr>
      <w:r w:rsidRPr="00E10456">
        <w:rPr>
          <w:rFonts w:ascii="Times New Roman" w:hAnsi="Times New Roman" w:cs="Times New Roman"/>
          <w:b/>
          <w:sz w:val="24"/>
          <w:szCs w:val="24"/>
          <w:lang w:val="en-GB"/>
        </w:rPr>
        <w:t>Energy-intensive industries (EIIs) are a vital part of the European economy and play a critical role in reducing the EU’s strategic dependencies</w:t>
      </w:r>
      <w:r w:rsidRPr="00E10456">
        <w:rPr>
          <w:rFonts w:ascii="Times New Roman" w:hAnsi="Times New Roman" w:cs="Times New Roman"/>
          <w:sz w:val="24"/>
          <w:szCs w:val="24"/>
          <w:lang w:val="en-GB"/>
        </w:rPr>
        <w:t>. EIIs contribute directly and indirectly, through downstream activities, to a large share of the EU’s economy, employment and innovation. They comprise industries such as chemicals, basic metals, non-metallic minerals (ceramics, glass and cement), plastics, paper products, wood and wood products, and food. Evidence in this chapter will focus on the four most energy-intensive industries in the EU (at NACE two-digit classification level): chemicals; basic metals; non-metallic minerals; pulp, paper and printing.</w:t>
      </w:r>
    </w:p>
    <w:p w:rsidR="00E10456" w:rsidRDefault="00E10456" w:rsidP="000919B8">
      <w:pPr>
        <w:spacing w:line="240" w:lineRule="auto"/>
        <w:jc w:val="both"/>
        <w:rPr>
          <w:rFonts w:ascii="Times New Roman" w:hAnsi="Times New Roman" w:cs="Times New Roman"/>
          <w:b/>
          <w:sz w:val="24"/>
          <w:szCs w:val="24"/>
          <w:lang w:val="en-GB"/>
        </w:rPr>
      </w:pPr>
      <w:r w:rsidRPr="00E10456">
        <w:rPr>
          <w:rFonts w:ascii="Times New Roman" w:hAnsi="Times New Roman" w:cs="Times New Roman"/>
          <w:b/>
          <w:noProof/>
          <w:sz w:val="24"/>
          <w:szCs w:val="24"/>
          <w:lang w:eastAsia="es-ES"/>
        </w:rPr>
        <w:lastRenderedPageBreak/>
        <w:drawing>
          <wp:inline distT="0" distB="0" distL="0" distR="0" wp14:anchorId="59CD12B9" wp14:editId="58F5F879">
            <wp:extent cx="5727446" cy="2616200"/>
            <wp:effectExtent l="0" t="0" r="6985"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2618056"/>
                    </a:xfrm>
                    <a:prstGeom prst="rect">
                      <a:avLst/>
                    </a:prstGeom>
                  </pic:spPr>
                </pic:pic>
              </a:graphicData>
            </a:graphic>
          </wp:inline>
        </w:drawing>
      </w:r>
    </w:p>
    <w:p w:rsidR="00E10456" w:rsidRDefault="00A856D8" w:rsidP="000919B8">
      <w:pPr>
        <w:spacing w:line="240" w:lineRule="auto"/>
        <w:jc w:val="both"/>
        <w:rPr>
          <w:rFonts w:ascii="Times New Roman" w:hAnsi="Times New Roman" w:cs="Times New Roman"/>
          <w:b/>
          <w:sz w:val="24"/>
          <w:szCs w:val="24"/>
          <w:lang w:val="en-GB"/>
        </w:rPr>
      </w:pPr>
      <w:r w:rsidRPr="00A856D8">
        <w:rPr>
          <w:rFonts w:ascii="Times New Roman" w:hAnsi="Times New Roman" w:cs="Times New Roman"/>
          <w:b/>
          <w:noProof/>
          <w:sz w:val="24"/>
          <w:szCs w:val="24"/>
          <w:lang w:eastAsia="es-ES"/>
        </w:rPr>
        <w:drawing>
          <wp:inline distT="0" distB="0" distL="0" distR="0" wp14:anchorId="5985BF6E" wp14:editId="52CF241F">
            <wp:extent cx="5727507" cy="2952750"/>
            <wp:effectExtent l="0" t="0" r="6985"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2954814"/>
                    </a:xfrm>
                    <a:prstGeom prst="rect">
                      <a:avLst/>
                    </a:prstGeom>
                  </pic:spPr>
                </pic:pic>
              </a:graphicData>
            </a:graphic>
          </wp:inline>
        </w:drawing>
      </w:r>
    </w:p>
    <w:p w:rsidR="00A856D8" w:rsidRDefault="00A856D8" w:rsidP="000919B8">
      <w:pPr>
        <w:spacing w:line="240" w:lineRule="auto"/>
        <w:jc w:val="both"/>
        <w:rPr>
          <w:rFonts w:ascii="Times New Roman" w:hAnsi="Times New Roman" w:cs="Times New Roman"/>
          <w:b/>
          <w:sz w:val="24"/>
          <w:szCs w:val="24"/>
          <w:lang w:val="en-GB"/>
        </w:rPr>
      </w:pPr>
      <w:r w:rsidRPr="00A856D8">
        <w:rPr>
          <w:rFonts w:ascii="Times New Roman" w:hAnsi="Times New Roman" w:cs="Times New Roman"/>
          <w:b/>
          <w:noProof/>
          <w:sz w:val="24"/>
          <w:szCs w:val="24"/>
          <w:lang w:eastAsia="es-ES"/>
        </w:rPr>
        <w:drawing>
          <wp:inline distT="0" distB="0" distL="0" distR="0" wp14:anchorId="1E6B945A" wp14:editId="21FFBE33">
            <wp:extent cx="5732356" cy="3009900"/>
            <wp:effectExtent l="0" t="0" r="1905"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31510" cy="3009456"/>
                    </a:xfrm>
                    <a:prstGeom prst="rect">
                      <a:avLst/>
                    </a:prstGeom>
                  </pic:spPr>
                </pic:pic>
              </a:graphicData>
            </a:graphic>
          </wp:inline>
        </w:drawing>
      </w:r>
    </w:p>
    <w:p w:rsidR="00A856D8" w:rsidRPr="00A856D8" w:rsidRDefault="00A856D8" w:rsidP="000919B8">
      <w:pPr>
        <w:spacing w:line="240" w:lineRule="auto"/>
        <w:jc w:val="both"/>
        <w:rPr>
          <w:rFonts w:ascii="Times New Roman" w:hAnsi="Times New Roman" w:cs="Times New Roman"/>
          <w:b/>
          <w:sz w:val="24"/>
          <w:szCs w:val="24"/>
          <w:lang w:val="en-GB"/>
        </w:rPr>
      </w:pPr>
      <w:r w:rsidRPr="00A856D8">
        <w:rPr>
          <w:rFonts w:ascii="Times New Roman" w:hAnsi="Times New Roman" w:cs="Times New Roman"/>
          <w:b/>
          <w:sz w:val="24"/>
          <w:szCs w:val="24"/>
          <w:lang w:val="en-GB"/>
        </w:rPr>
        <w:lastRenderedPageBreak/>
        <w:t xml:space="preserve">Objectives and proposals </w:t>
      </w:r>
    </w:p>
    <w:p w:rsidR="00A856D8" w:rsidRPr="00A856D8" w:rsidRDefault="00A856D8" w:rsidP="000919B8">
      <w:pPr>
        <w:spacing w:line="240" w:lineRule="auto"/>
        <w:jc w:val="both"/>
        <w:rPr>
          <w:rFonts w:ascii="Times New Roman" w:hAnsi="Times New Roman" w:cs="Times New Roman"/>
          <w:sz w:val="24"/>
          <w:szCs w:val="24"/>
          <w:lang w:val="en-GB"/>
        </w:rPr>
      </w:pPr>
      <w:r w:rsidRPr="00A856D8">
        <w:rPr>
          <w:rFonts w:ascii="Times New Roman" w:hAnsi="Times New Roman" w:cs="Times New Roman"/>
          <w:sz w:val="24"/>
          <w:szCs w:val="24"/>
          <w:lang w:val="en-GB"/>
        </w:rPr>
        <w:t xml:space="preserve">Two objectives are to be pursued in parallel: </w:t>
      </w:r>
    </w:p>
    <w:p w:rsidR="00A856D8" w:rsidRPr="00A856D8" w:rsidRDefault="00A856D8" w:rsidP="000919B8">
      <w:pPr>
        <w:spacing w:line="240" w:lineRule="auto"/>
        <w:jc w:val="both"/>
        <w:rPr>
          <w:rFonts w:ascii="Times New Roman" w:hAnsi="Times New Roman" w:cs="Times New Roman"/>
          <w:sz w:val="24"/>
          <w:szCs w:val="24"/>
          <w:lang w:val="en-GB"/>
        </w:rPr>
      </w:pPr>
      <w:r w:rsidRPr="00A856D8">
        <w:rPr>
          <w:rFonts w:ascii="Times New Roman" w:hAnsi="Times New Roman" w:cs="Times New Roman"/>
          <w:sz w:val="24"/>
          <w:szCs w:val="24"/>
          <w:lang w:val="en-GB"/>
        </w:rPr>
        <w:t xml:space="preserve">• Enable EIIs in their path to decarbonisation, which is very granular and industry specific. </w:t>
      </w:r>
    </w:p>
    <w:p w:rsidR="00A856D8" w:rsidRDefault="00A856D8" w:rsidP="000919B8">
      <w:pPr>
        <w:spacing w:line="240" w:lineRule="auto"/>
        <w:jc w:val="both"/>
        <w:rPr>
          <w:rFonts w:ascii="Times New Roman" w:hAnsi="Times New Roman" w:cs="Times New Roman"/>
          <w:sz w:val="24"/>
          <w:szCs w:val="24"/>
          <w:lang w:val="en-GB"/>
        </w:rPr>
      </w:pPr>
      <w:r w:rsidRPr="00A856D8">
        <w:rPr>
          <w:rFonts w:ascii="Times New Roman" w:hAnsi="Times New Roman" w:cs="Times New Roman"/>
          <w:sz w:val="24"/>
          <w:szCs w:val="24"/>
          <w:lang w:val="en-GB"/>
        </w:rPr>
        <w:t>• Level the playing field with international competition Guidelines for proposals: i) ensure a competitive and predictable supply of energy input; ii) support the transition to decarbonised solutions (by ensuring investment and markets for low-emissions products); iii) avoid production relocation driven by asymmetric subsidies, weaker decarbonisation regulation, or regulatory burden…</w:t>
      </w:r>
    </w:p>
    <w:p w:rsidR="00A856D8" w:rsidRPr="00A856D8" w:rsidRDefault="00A856D8" w:rsidP="000919B8">
      <w:pPr>
        <w:spacing w:line="240" w:lineRule="auto"/>
        <w:jc w:val="both"/>
        <w:rPr>
          <w:rFonts w:ascii="Times New Roman" w:hAnsi="Times New Roman" w:cs="Times New Roman"/>
          <w:b/>
          <w:sz w:val="24"/>
          <w:szCs w:val="24"/>
          <w:lang w:val="en-GB"/>
        </w:rPr>
      </w:pPr>
      <w:r w:rsidRPr="00A856D8">
        <w:rPr>
          <w:rFonts w:ascii="Times New Roman" w:hAnsi="Times New Roman" w:cs="Times New Roman"/>
          <w:b/>
          <w:sz w:val="24"/>
          <w:szCs w:val="24"/>
          <w:lang w:val="en-GB"/>
        </w:rPr>
        <w:t xml:space="preserve">5. Clean technologies </w:t>
      </w:r>
    </w:p>
    <w:p w:rsidR="00A856D8" w:rsidRPr="00A856D8" w:rsidRDefault="00A856D8" w:rsidP="000919B8">
      <w:pPr>
        <w:spacing w:line="240" w:lineRule="auto"/>
        <w:jc w:val="both"/>
        <w:rPr>
          <w:rFonts w:ascii="Times New Roman" w:hAnsi="Times New Roman" w:cs="Times New Roman"/>
          <w:b/>
          <w:sz w:val="24"/>
          <w:szCs w:val="24"/>
          <w:lang w:val="en-GB"/>
        </w:rPr>
      </w:pPr>
      <w:r w:rsidRPr="00A856D8">
        <w:rPr>
          <w:rFonts w:ascii="Times New Roman" w:hAnsi="Times New Roman" w:cs="Times New Roman"/>
          <w:b/>
          <w:sz w:val="24"/>
          <w:szCs w:val="24"/>
          <w:lang w:val="en-GB"/>
        </w:rPr>
        <w:t xml:space="preserve">The starting point </w:t>
      </w:r>
    </w:p>
    <w:p w:rsidR="00A856D8" w:rsidRPr="00A856D8" w:rsidRDefault="00A856D8" w:rsidP="000919B8">
      <w:pPr>
        <w:spacing w:line="240" w:lineRule="auto"/>
        <w:jc w:val="both"/>
        <w:rPr>
          <w:rFonts w:ascii="Times New Roman" w:hAnsi="Times New Roman" w:cs="Times New Roman"/>
          <w:b/>
          <w:sz w:val="24"/>
          <w:szCs w:val="24"/>
          <w:lang w:val="en-GB"/>
        </w:rPr>
      </w:pPr>
      <w:r w:rsidRPr="00A856D8">
        <w:rPr>
          <w:rFonts w:ascii="Times New Roman" w:hAnsi="Times New Roman" w:cs="Times New Roman"/>
          <w:b/>
          <w:sz w:val="24"/>
          <w:szCs w:val="24"/>
          <w:lang w:val="en-GB"/>
        </w:rPr>
        <w:t xml:space="preserve">A fast-growing global market </w:t>
      </w:r>
    </w:p>
    <w:p w:rsidR="00A856D8" w:rsidRDefault="00A856D8" w:rsidP="000919B8">
      <w:pPr>
        <w:spacing w:line="240" w:lineRule="auto"/>
        <w:jc w:val="both"/>
        <w:rPr>
          <w:rFonts w:ascii="Times New Roman" w:hAnsi="Times New Roman" w:cs="Times New Roman"/>
          <w:sz w:val="24"/>
          <w:szCs w:val="24"/>
          <w:lang w:val="en-GB"/>
        </w:rPr>
      </w:pPr>
      <w:r w:rsidRPr="00A856D8">
        <w:rPr>
          <w:rFonts w:ascii="Times New Roman" w:hAnsi="Times New Roman" w:cs="Times New Roman"/>
          <w:sz w:val="24"/>
          <w:szCs w:val="24"/>
          <w:lang w:val="en-GB"/>
        </w:rPr>
        <w:t>Clean technologies are indispensable to reach climate neutrality targets, in the EU and worldwide. They include a wide range of technologies01 that produce or store renewable energy or absorb emissions. As enablers of the path towards decarbonisation, clean technologies are becoming ‘the new oil’. The widespread deployment of clean technologies maintains the possibility of limiting global warming to 1.</w:t>
      </w:r>
      <w:r>
        <w:rPr>
          <w:rFonts w:ascii="Times New Roman" w:hAnsi="Times New Roman" w:cs="Times New Roman"/>
          <w:sz w:val="24"/>
          <w:szCs w:val="24"/>
          <w:lang w:val="en-GB"/>
        </w:rPr>
        <w:t>5°C above pre-industrial levels</w:t>
      </w:r>
      <w:r w:rsidRPr="00A856D8">
        <w:rPr>
          <w:rFonts w:ascii="Times New Roman" w:hAnsi="Times New Roman" w:cs="Times New Roman"/>
          <w:sz w:val="24"/>
          <w:szCs w:val="24"/>
          <w:lang w:val="en-GB"/>
        </w:rPr>
        <w:t>. By 2030, solar PV and wind, electrification, bioenergy, hydrogen, CCUS and fuel shifts are set to together contribute to 65% of emission reductions…</w:t>
      </w:r>
    </w:p>
    <w:p w:rsidR="00A856D8" w:rsidRDefault="00A856D8" w:rsidP="000919B8">
      <w:pPr>
        <w:spacing w:line="240" w:lineRule="auto"/>
        <w:jc w:val="both"/>
        <w:rPr>
          <w:rFonts w:ascii="Times New Roman" w:hAnsi="Times New Roman" w:cs="Times New Roman"/>
          <w:sz w:val="24"/>
          <w:szCs w:val="24"/>
          <w:lang w:val="en-GB"/>
        </w:rPr>
      </w:pPr>
      <w:r w:rsidRPr="00A856D8">
        <w:rPr>
          <w:rFonts w:ascii="Times New Roman" w:hAnsi="Times New Roman" w:cs="Times New Roman"/>
          <w:noProof/>
          <w:sz w:val="24"/>
          <w:szCs w:val="24"/>
          <w:lang w:eastAsia="es-ES"/>
        </w:rPr>
        <w:drawing>
          <wp:inline distT="0" distB="0" distL="0" distR="0" wp14:anchorId="4685002E" wp14:editId="6FACB05B">
            <wp:extent cx="5731510" cy="3239895"/>
            <wp:effectExtent l="0" t="0" r="254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3239895"/>
                    </a:xfrm>
                    <a:prstGeom prst="rect">
                      <a:avLst/>
                    </a:prstGeom>
                  </pic:spPr>
                </pic:pic>
              </a:graphicData>
            </a:graphic>
          </wp:inline>
        </w:drawing>
      </w:r>
    </w:p>
    <w:p w:rsidR="00A856D8" w:rsidRDefault="00014ADF" w:rsidP="000919B8">
      <w:pPr>
        <w:spacing w:line="240" w:lineRule="auto"/>
        <w:jc w:val="both"/>
        <w:rPr>
          <w:rFonts w:ascii="Times New Roman" w:hAnsi="Times New Roman" w:cs="Times New Roman"/>
          <w:sz w:val="24"/>
          <w:szCs w:val="24"/>
          <w:lang w:val="en-GB"/>
        </w:rPr>
      </w:pPr>
      <w:r w:rsidRPr="00014ADF">
        <w:rPr>
          <w:rFonts w:ascii="Times New Roman" w:hAnsi="Times New Roman" w:cs="Times New Roman"/>
          <w:noProof/>
          <w:sz w:val="24"/>
          <w:szCs w:val="24"/>
          <w:lang w:eastAsia="es-ES"/>
        </w:rPr>
        <w:lastRenderedPageBreak/>
        <w:drawing>
          <wp:inline distT="0" distB="0" distL="0" distR="0" wp14:anchorId="4B099341" wp14:editId="678C14A9">
            <wp:extent cx="5731510" cy="3356240"/>
            <wp:effectExtent l="0" t="0" r="254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3356240"/>
                    </a:xfrm>
                    <a:prstGeom prst="rect">
                      <a:avLst/>
                    </a:prstGeom>
                  </pic:spPr>
                </pic:pic>
              </a:graphicData>
            </a:graphic>
          </wp:inline>
        </w:drawing>
      </w:r>
    </w:p>
    <w:p w:rsidR="00014ADF" w:rsidRPr="00BE0B48" w:rsidRDefault="00014ADF" w:rsidP="000919B8">
      <w:pPr>
        <w:spacing w:line="240" w:lineRule="auto"/>
        <w:jc w:val="both"/>
        <w:rPr>
          <w:rFonts w:ascii="Times New Roman" w:hAnsi="Times New Roman" w:cs="Times New Roman"/>
          <w:b/>
          <w:sz w:val="24"/>
          <w:szCs w:val="24"/>
          <w:lang w:val="en-GB"/>
        </w:rPr>
      </w:pPr>
      <w:r w:rsidRPr="00BE0B48">
        <w:rPr>
          <w:rFonts w:ascii="Times New Roman" w:hAnsi="Times New Roman" w:cs="Times New Roman"/>
          <w:b/>
          <w:sz w:val="24"/>
          <w:szCs w:val="24"/>
          <w:lang w:val="en-GB"/>
        </w:rPr>
        <w:t xml:space="preserve">Objectives and proposals </w:t>
      </w:r>
    </w:p>
    <w:p w:rsidR="00014ADF" w:rsidRPr="00BE0B48" w:rsidRDefault="00014ADF" w:rsidP="000919B8">
      <w:pPr>
        <w:spacing w:line="240" w:lineRule="auto"/>
        <w:jc w:val="both"/>
        <w:rPr>
          <w:rFonts w:ascii="Times New Roman" w:hAnsi="Times New Roman" w:cs="Times New Roman"/>
          <w:sz w:val="24"/>
          <w:szCs w:val="24"/>
          <w:lang w:val="en-GB"/>
        </w:rPr>
      </w:pPr>
      <w:r w:rsidRPr="00BE0B48">
        <w:rPr>
          <w:rFonts w:ascii="Times New Roman" w:hAnsi="Times New Roman" w:cs="Times New Roman"/>
          <w:sz w:val="24"/>
          <w:szCs w:val="24"/>
          <w:lang w:val="en-GB"/>
        </w:rPr>
        <w:t xml:space="preserve">With different efforts targeting individual technologies, the EU should aim to: </w:t>
      </w:r>
    </w:p>
    <w:p w:rsidR="00014ADF" w:rsidRPr="00BE0B48" w:rsidRDefault="00014ADF" w:rsidP="000919B8">
      <w:pPr>
        <w:spacing w:line="240" w:lineRule="auto"/>
        <w:jc w:val="both"/>
        <w:rPr>
          <w:rFonts w:ascii="Times New Roman" w:hAnsi="Times New Roman" w:cs="Times New Roman"/>
          <w:sz w:val="24"/>
          <w:szCs w:val="24"/>
          <w:lang w:val="en-GB"/>
        </w:rPr>
      </w:pPr>
      <w:r w:rsidRPr="00BE0B48">
        <w:rPr>
          <w:rFonts w:ascii="Times New Roman" w:hAnsi="Times New Roman" w:cs="Times New Roman"/>
          <w:sz w:val="24"/>
          <w:szCs w:val="24"/>
          <w:lang w:val="en-GB"/>
        </w:rPr>
        <w:t>• Secure a minimum share of EU autonomy in the supply of selected clean technologies and their components across the different steps of the value chain in an integrated way This would increa</w:t>
      </w:r>
      <w:r w:rsidR="00BE0B48">
        <w:rPr>
          <w:rFonts w:ascii="Times New Roman" w:hAnsi="Times New Roman" w:cs="Times New Roman"/>
          <w:sz w:val="24"/>
          <w:szCs w:val="24"/>
          <w:lang w:val="en-GB"/>
        </w:rPr>
        <w:t>se the reliability and predicta</w:t>
      </w:r>
      <w:r w:rsidRPr="00BE0B48">
        <w:rPr>
          <w:rFonts w:ascii="Times New Roman" w:hAnsi="Times New Roman" w:cs="Times New Roman"/>
          <w:sz w:val="24"/>
          <w:szCs w:val="24"/>
          <w:lang w:val="en-GB"/>
        </w:rPr>
        <w:t>bility of supply, enable faster ramping up of production in case of disruptions, help to retain know-how, and improve the visibility of supply chain cost structures</w:t>
      </w:r>
      <w:r w:rsidR="00BE0B48" w:rsidRPr="00BE0B48">
        <w:rPr>
          <w:rFonts w:ascii="Times New Roman" w:hAnsi="Times New Roman" w:cs="Times New Roman"/>
          <w:sz w:val="24"/>
          <w:szCs w:val="24"/>
          <w:lang w:val="en-GB"/>
        </w:rPr>
        <w:t>.</w:t>
      </w:r>
      <w:r w:rsidRPr="00BE0B48">
        <w:rPr>
          <w:rFonts w:ascii="Times New Roman" w:hAnsi="Times New Roman" w:cs="Times New Roman"/>
          <w:sz w:val="24"/>
          <w:szCs w:val="24"/>
          <w:lang w:val="en-GB"/>
        </w:rPr>
        <w:t xml:space="preserve"> </w:t>
      </w:r>
    </w:p>
    <w:p w:rsidR="00014ADF" w:rsidRPr="00BE0B48" w:rsidRDefault="00014ADF" w:rsidP="000919B8">
      <w:pPr>
        <w:spacing w:line="240" w:lineRule="auto"/>
        <w:jc w:val="both"/>
        <w:rPr>
          <w:rFonts w:ascii="Times New Roman" w:hAnsi="Times New Roman" w:cs="Times New Roman"/>
          <w:sz w:val="24"/>
          <w:szCs w:val="24"/>
          <w:lang w:val="en-GB"/>
        </w:rPr>
      </w:pPr>
      <w:r w:rsidRPr="00BE0B48">
        <w:rPr>
          <w:rFonts w:ascii="Times New Roman" w:hAnsi="Times New Roman" w:cs="Times New Roman"/>
          <w:sz w:val="24"/>
          <w:szCs w:val="24"/>
          <w:lang w:val="en-GB"/>
        </w:rPr>
        <w:t>• Ensure resilience to potential supply chain shocks, aiming for diversification</w:t>
      </w:r>
      <w:r w:rsidR="00BE0B48" w:rsidRPr="00BE0B48">
        <w:rPr>
          <w:rFonts w:ascii="Times New Roman" w:hAnsi="Times New Roman" w:cs="Times New Roman"/>
          <w:sz w:val="24"/>
          <w:szCs w:val="24"/>
          <w:lang w:val="en-GB"/>
        </w:rPr>
        <w:t>.</w:t>
      </w:r>
      <w:r w:rsidRPr="00BE0B48">
        <w:rPr>
          <w:rFonts w:ascii="Times New Roman" w:hAnsi="Times New Roman" w:cs="Times New Roman"/>
          <w:sz w:val="24"/>
          <w:szCs w:val="24"/>
          <w:lang w:val="en-GB"/>
        </w:rPr>
        <w:t xml:space="preserve"> </w:t>
      </w:r>
    </w:p>
    <w:p w:rsidR="00014ADF" w:rsidRDefault="00014ADF" w:rsidP="000919B8">
      <w:pPr>
        <w:spacing w:line="240" w:lineRule="auto"/>
        <w:jc w:val="both"/>
        <w:rPr>
          <w:rFonts w:ascii="Times New Roman" w:hAnsi="Times New Roman" w:cs="Times New Roman"/>
          <w:sz w:val="24"/>
          <w:szCs w:val="24"/>
          <w:lang w:val="en-GB"/>
        </w:rPr>
      </w:pPr>
      <w:r w:rsidRPr="00BE0B48">
        <w:rPr>
          <w:rFonts w:ascii="Times New Roman" w:hAnsi="Times New Roman" w:cs="Times New Roman"/>
          <w:sz w:val="24"/>
          <w:szCs w:val="24"/>
          <w:lang w:val="en-GB"/>
        </w:rPr>
        <w:t>• Create the conditions to develop and scale competitive EU industries focused on the most innovative, sustain able and highest value-added segments of value chains, where the EU can leverage its comparative advantages Innovation and manufacturing should go hand in hand</w:t>
      </w:r>
      <w:r w:rsidR="006573BE">
        <w:rPr>
          <w:rFonts w:ascii="Times New Roman" w:hAnsi="Times New Roman" w:cs="Times New Roman"/>
          <w:sz w:val="24"/>
          <w:szCs w:val="24"/>
          <w:lang w:val="en-GB"/>
        </w:rPr>
        <w:t>, to avoid the EU becoming the “laboratory”</w:t>
      </w:r>
      <w:r w:rsidRPr="00BE0B48">
        <w:rPr>
          <w:rFonts w:ascii="Times New Roman" w:hAnsi="Times New Roman" w:cs="Times New Roman"/>
          <w:sz w:val="24"/>
          <w:szCs w:val="24"/>
          <w:lang w:val="en-GB"/>
        </w:rPr>
        <w:t xml:space="preserve"> of the world EU action to sustain a predictable demand of clean technologies is a prerequisite, addres</w:t>
      </w:r>
      <w:r w:rsidR="00BE0B48">
        <w:rPr>
          <w:rFonts w:ascii="Times New Roman" w:hAnsi="Times New Roman" w:cs="Times New Roman"/>
          <w:sz w:val="24"/>
          <w:szCs w:val="24"/>
          <w:lang w:val="en-GB"/>
        </w:rPr>
        <w:t>sed in the respective chapters</w:t>
      </w:r>
      <w:r w:rsidRPr="00BE0B48">
        <w:rPr>
          <w:rFonts w:ascii="Times New Roman" w:hAnsi="Times New Roman" w:cs="Times New Roman"/>
          <w:sz w:val="24"/>
          <w:szCs w:val="24"/>
          <w:lang w:val="en-GB"/>
        </w:rPr>
        <w:t>. The short and medium-term proposals outlined in this chapter both build upon and expand the measures outlined in the NZIA</w:t>
      </w:r>
      <w:r w:rsidR="00BE0B48" w:rsidRPr="00BE0B48">
        <w:rPr>
          <w:rFonts w:ascii="Times New Roman" w:hAnsi="Times New Roman" w:cs="Times New Roman"/>
          <w:sz w:val="24"/>
          <w:szCs w:val="24"/>
          <w:lang w:val="en-GB"/>
        </w:rPr>
        <w:t>.</w:t>
      </w:r>
    </w:p>
    <w:p w:rsidR="00BE0B48" w:rsidRPr="00BE0B48" w:rsidRDefault="00BE0B48" w:rsidP="000919B8">
      <w:pPr>
        <w:spacing w:line="240" w:lineRule="auto"/>
        <w:jc w:val="both"/>
        <w:rPr>
          <w:rFonts w:ascii="Times New Roman" w:hAnsi="Times New Roman" w:cs="Times New Roman"/>
          <w:b/>
          <w:sz w:val="24"/>
          <w:szCs w:val="24"/>
          <w:lang w:val="en-GB"/>
        </w:rPr>
      </w:pPr>
      <w:r w:rsidRPr="00BE0B48">
        <w:rPr>
          <w:rFonts w:ascii="Times New Roman" w:hAnsi="Times New Roman" w:cs="Times New Roman"/>
          <w:b/>
          <w:sz w:val="24"/>
          <w:szCs w:val="24"/>
          <w:lang w:val="en-GB"/>
        </w:rPr>
        <w:t xml:space="preserve">6. Automotive </w:t>
      </w:r>
    </w:p>
    <w:p w:rsidR="00BE0B48" w:rsidRPr="00BE0B48" w:rsidRDefault="00BE0B48" w:rsidP="000919B8">
      <w:pPr>
        <w:spacing w:line="240" w:lineRule="auto"/>
        <w:jc w:val="both"/>
        <w:rPr>
          <w:rFonts w:ascii="Times New Roman" w:hAnsi="Times New Roman" w:cs="Times New Roman"/>
          <w:b/>
          <w:sz w:val="24"/>
          <w:szCs w:val="24"/>
          <w:lang w:val="en-GB"/>
        </w:rPr>
      </w:pPr>
      <w:r w:rsidRPr="00BE0B48">
        <w:rPr>
          <w:rFonts w:ascii="Times New Roman" w:hAnsi="Times New Roman" w:cs="Times New Roman"/>
          <w:b/>
          <w:sz w:val="24"/>
          <w:szCs w:val="24"/>
          <w:lang w:val="en-GB"/>
        </w:rPr>
        <w:t xml:space="preserve">The starting point </w:t>
      </w:r>
    </w:p>
    <w:p w:rsidR="00BE0B48" w:rsidRDefault="00BE0B48" w:rsidP="000919B8">
      <w:pPr>
        <w:spacing w:line="240" w:lineRule="auto"/>
        <w:jc w:val="both"/>
        <w:rPr>
          <w:rFonts w:ascii="Times New Roman" w:hAnsi="Times New Roman" w:cs="Times New Roman"/>
          <w:sz w:val="24"/>
          <w:szCs w:val="24"/>
          <w:lang w:val="en-GB"/>
        </w:rPr>
      </w:pPr>
      <w:r w:rsidRPr="003E3A1D">
        <w:rPr>
          <w:rFonts w:ascii="Times New Roman" w:hAnsi="Times New Roman" w:cs="Times New Roman"/>
          <w:b/>
          <w:sz w:val="24"/>
          <w:szCs w:val="24"/>
          <w:lang w:val="en-GB"/>
        </w:rPr>
        <w:t>The automotive industry has traditionally been one of Europe’s industrial engines.</w:t>
      </w:r>
      <w:r w:rsidRPr="00BE0B48">
        <w:rPr>
          <w:rFonts w:ascii="Times New Roman" w:hAnsi="Times New Roman" w:cs="Times New Roman"/>
          <w:sz w:val="24"/>
          <w:szCs w:val="24"/>
          <w:lang w:val="en-GB"/>
        </w:rPr>
        <w:t xml:space="preserve"> Nevertheless, the industry is undergoing rapid, profound transformation with a shift in demand to third marke</w:t>
      </w:r>
      <w:r w:rsidR="006573BE">
        <w:rPr>
          <w:rFonts w:ascii="Times New Roman" w:hAnsi="Times New Roman" w:cs="Times New Roman"/>
          <w:sz w:val="24"/>
          <w:szCs w:val="24"/>
          <w:lang w:val="en-GB"/>
        </w:rPr>
        <w:t>ts, towards green mobility and “software-defined cars”</w:t>
      </w:r>
      <w:r w:rsidRPr="00BE0B48">
        <w:rPr>
          <w:rFonts w:ascii="Times New Roman" w:hAnsi="Times New Roman" w:cs="Times New Roman"/>
          <w:sz w:val="24"/>
          <w:szCs w:val="24"/>
          <w:lang w:val="en-GB"/>
        </w:rPr>
        <w:t>. As a result, the EU’s traditional leadership in the automotive industry has been eroded. The automotive supply chain in the EU is currently suffering competitive gaps, both concerning cost and technology</w:t>
      </w:r>
      <w:r w:rsidR="003E3A1D">
        <w:rPr>
          <w:rFonts w:ascii="Times New Roman" w:hAnsi="Times New Roman" w:cs="Times New Roman"/>
          <w:sz w:val="24"/>
          <w:szCs w:val="24"/>
          <w:lang w:val="en-GB"/>
        </w:rPr>
        <w:t>.</w:t>
      </w:r>
    </w:p>
    <w:p w:rsidR="003E3A1D" w:rsidRPr="003E3A1D" w:rsidRDefault="003E3A1D" w:rsidP="000919B8">
      <w:pPr>
        <w:spacing w:line="240" w:lineRule="auto"/>
        <w:jc w:val="both"/>
        <w:rPr>
          <w:rFonts w:ascii="Times New Roman" w:hAnsi="Times New Roman" w:cs="Times New Roman"/>
          <w:sz w:val="24"/>
          <w:szCs w:val="24"/>
          <w:lang w:val="en-GB"/>
        </w:rPr>
      </w:pPr>
      <w:r w:rsidRPr="003E3A1D">
        <w:rPr>
          <w:rFonts w:ascii="Times New Roman" w:hAnsi="Times New Roman" w:cs="Times New Roman"/>
          <w:b/>
          <w:sz w:val="24"/>
          <w:szCs w:val="24"/>
          <w:lang w:val="en-GB"/>
        </w:rPr>
        <w:lastRenderedPageBreak/>
        <w:t>The automotive industry is a structurally important segment of the EU’s economy</w:t>
      </w:r>
      <w:r w:rsidRPr="003E3A1D">
        <w:rPr>
          <w:rFonts w:ascii="Times New Roman" w:hAnsi="Times New Roman" w:cs="Times New Roman"/>
          <w:sz w:val="24"/>
          <w:szCs w:val="24"/>
          <w:lang w:val="en-GB"/>
        </w:rPr>
        <w:t xml:space="preserve">. It is a major employer, providing directly and indirectly (downstream industry) jobs for 13.8 million Europeans, representing 6.1% of total EU employment. 2.6 million people work directly in the manufacturing of motor vehicles, which is 8.5% of the EU’s manufacturing employment. The automotive industry contributes 8% of European manufacturing value added, and it has a EUR 117 billion surplus in (extra-EU) trade, which corresponds to approximately one-fifth of the value of auto motive production. The EU remains a net exporter of vehicles both in terms of the value of net trade and the number of </w:t>
      </w:r>
      <w:r w:rsidR="006573BE" w:rsidRPr="003E3A1D">
        <w:rPr>
          <w:rFonts w:ascii="Times New Roman" w:hAnsi="Times New Roman" w:cs="Times New Roman"/>
          <w:sz w:val="24"/>
          <w:szCs w:val="24"/>
          <w:lang w:val="en-GB"/>
        </w:rPr>
        <w:t>vehicles</w:t>
      </w:r>
      <w:r w:rsidRPr="003E3A1D">
        <w:rPr>
          <w:rFonts w:ascii="Times New Roman" w:hAnsi="Times New Roman" w:cs="Times New Roman"/>
          <w:sz w:val="24"/>
          <w:szCs w:val="24"/>
          <w:lang w:val="en-GB"/>
        </w:rPr>
        <w:t xml:space="preserve"> and it is also a net exporter of car parts. Around 75-80% of the value of vehicles traditionally comes from car part suppliers. </w:t>
      </w:r>
    </w:p>
    <w:p w:rsidR="003E3A1D" w:rsidRDefault="003E3A1D" w:rsidP="000919B8">
      <w:pPr>
        <w:spacing w:line="240" w:lineRule="auto"/>
        <w:jc w:val="both"/>
        <w:rPr>
          <w:rFonts w:ascii="Times New Roman" w:hAnsi="Times New Roman" w:cs="Times New Roman"/>
          <w:sz w:val="24"/>
          <w:szCs w:val="24"/>
          <w:lang w:val="en-GB"/>
        </w:rPr>
      </w:pPr>
      <w:r w:rsidRPr="003E3A1D">
        <w:rPr>
          <w:rFonts w:ascii="Times New Roman" w:hAnsi="Times New Roman" w:cs="Times New Roman"/>
          <w:b/>
          <w:sz w:val="24"/>
          <w:szCs w:val="24"/>
          <w:lang w:val="en-GB"/>
        </w:rPr>
        <w:t>Automotive is a sector with important upstream and downstream linkages</w:t>
      </w:r>
      <w:r w:rsidRPr="003E3A1D">
        <w:rPr>
          <w:rFonts w:ascii="Times New Roman" w:hAnsi="Times New Roman" w:cs="Times New Roman"/>
          <w:sz w:val="24"/>
          <w:szCs w:val="24"/>
          <w:lang w:val="en-GB"/>
        </w:rPr>
        <w:t>. The sector is an important source of input demand from upstream industries, such as metals, chemicals, plastics, and textiles, and it generates demand in downstream sectors, including ICT, repair, and mobility services</w:t>
      </w:r>
      <w:r>
        <w:rPr>
          <w:rFonts w:ascii="Times New Roman" w:hAnsi="Times New Roman" w:cs="Times New Roman"/>
          <w:sz w:val="24"/>
          <w:szCs w:val="24"/>
          <w:lang w:val="en-GB"/>
        </w:rPr>
        <w:t>…</w:t>
      </w:r>
    </w:p>
    <w:p w:rsidR="003E3A1D" w:rsidRDefault="003E3A1D" w:rsidP="000919B8">
      <w:pPr>
        <w:spacing w:line="240" w:lineRule="auto"/>
        <w:jc w:val="both"/>
        <w:rPr>
          <w:rFonts w:ascii="Times New Roman" w:hAnsi="Times New Roman" w:cs="Times New Roman"/>
          <w:sz w:val="24"/>
          <w:szCs w:val="24"/>
          <w:lang w:val="en-GB"/>
        </w:rPr>
      </w:pPr>
      <w:r w:rsidRPr="003E3A1D">
        <w:rPr>
          <w:rFonts w:ascii="Times New Roman" w:hAnsi="Times New Roman" w:cs="Times New Roman"/>
          <w:noProof/>
          <w:sz w:val="24"/>
          <w:szCs w:val="24"/>
          <w:lang w:eastAsia="es-ES"/>
        </w:rPr>
        <w:drawing>
          <wp:inline distT="0" distB="0" distL="0" distR="0" wp14:anchorId="3B59838D" wp14:editId="7A98A086">
            <wp:extent cx="5734050" cy="309245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3091080"/>
                    </a:xfrm>
                    <a:prstGeom prst="rect">
                      <a:avLst/>
                    </a:prstGeom>
                  </pic:spPr>
                </pic:pic>
              </a:graphicData>
            </a:graphic>
          </wp:inline>
        </w:drawing>
      </w:r>
    </w:p>
    <w:p w:rsidR="003E3A1D" w:rsidRDefault="003E3A1D" w:rsidP="000919B8">
      <w:pPr>
        <w:spacing w:line="240" w:lineRule="auto"/>
        <w:jc w:val="both"/>
        <w:rPr>
          <w:rFonts w:ascii="Times New Roman" w:hAnsi="Times New Roman" w:cs="Times New Roman"/>
          <w:sz w:val="24"/>
          <w:szCs w:val="24"/>
          <w:lang w:val="en-GB"/>
        </w:rPr>
      </w:pPr>
      <w:r w:rsidRPr="003E3A1D">
        <w:rPr>
          <w:rFonts w:ascii="Times New Roman" w:hAnsi="Times New Roman" w:cs="Times New Roman"/>
          <w:noProof/>
          <w:sz w:val="24"/>
          <w:szCs w:val="24"/>
          <w:lang w:eastAsia="es-ES"/>
        </w:rPr>
        <w:drawing>
          <wp:inline distT="0" distB="0" distL="0" distR="0" wp14:anchorId="104FB8F8" wp14:editId="53A5DD69">
            <wp:extent cx="5732124" cy="2781300"/>
            <wp:effectExtent l="0" t="0" r="254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2781002"/>
                    </a:xfrm>
                    <a:prstGeom prst="rect">
                      <a:avLst/>
                    </a:prstGeom>
                  </pic:spPr>
                </pic:pic>
              </a:graphicData>
            </a:graphic>
          </wp:inline>
        </w:drawing>
      </w:r>
    </w:p>
    <w:p w:rsidR="003E3A1D" w:rsidRDefault="003E3A1D" w:rsidP="000919B8">
      <w:pPr>
        <w:spacing w:line="240" w:lineRule="auto"/>
        <w:jc w:val="both"/>
        <w:rPr>
          <w:rFonts w:ascii="Times New Roman" w:hAnsi="Times New Roman" w:cs="Times New Roman"/>
          <w:sz w:val="24"/>
          <w:szCs w:val="24"/>
          <w:lang w:val="en-GB"/>
        </w:rPr>
      </w:pPr>
      <w:r w:rsidRPr="003E3A1D">
        <w:rPr>
          <w:rFonts w:ascii="Times New Roman" w:hAnsi="Times New Roman" w:cs="Times New Roman"/>
          <w:b/>
          <w:sz w:val="24"/>
          <w:szCs w:val="24"/>
          <w:lang w:val="en-GB"/>
        </w:rPr>
        <w:lastRenderedPageBreak/>
        <w:t>At the same time as vehicle production in the EU weakened, EU vehicle imports from China have increased strongly</w:t>
      </w:r>
      <w:r w:rsidRPr="003E3A1D">
        <w:rPr>
          <w:rFonts w:ascii="Times New Roman" w:hAnsi="Times New Roman" w:cs="Times New Roman"/>
          <w:sz w:val="24"/>
          <w:szCs w:val="24"/>
          <w:lang w:val="en-GB"/>
        </w:rPr>
        <w:t>. China is now the largest source of car imports into the EU in terms of the number of cars (a fivefold increase from 114,000 vehicles in 2017 to 561,000 in 2022). In 2022, China accounted for 14% of the vehicles imported into the EU, making it the b</w:t>
      </w:r>
      <w:r>
        <w:rPr>
          <w:rFonts w:ascii="Times New Roman" w:hAnsi="Times New Roman" w:cs="Times New Roman"/>
          <w:sz w:val="24"/>
          <w:szCs w:val="24"/>
          <w:lang w:val="en-GB"/>
        </w:rPr>
        <w:t>iggest non-European supplier</w:t>
      </w:r>
      <w:r w:rsidRPr="003E3A1D">
        <w:rPr>
          <w:rFonts w:ascii="Times New Roman" w:hAnsi="Times New Roman" w:cs="Times New Roman"/>
          <w:sz w:val="24"/>
          <w:szCs w:val="24"/>
          <w:lang w:val="en-GB"/>
        </w:rPr>
        <w:t xml:space="preserve">. In particular, the EU is lagging in the fast-growing ‘New Energy Vehicle’ space (BEVs and PHEVs). European brands accounted for only 6% of BEV sales in China in 2022 (compared to 25% of ICE vehicle sales). Conversely, Europe is leaving room in this area of the market. Chinese brands accounted for almost 4% of BEV sales in the EU in 2022, up from </w:t>
      </w:r>
      <w:r>
        <w:rPr>
          <w:rFonts w:ascii="Times New Roman" w:hAnsi="Times New Roman" w:cs="Times New Roman"/>
          <w:sz w:val="24"/>
          <w:szCs w:val="24"/>
          <w:lang w:val="en-GB"/>
        </w:rPr>
        <w:t>just 0.4% three years earlier</w:t>
      </w:r>
      <w:r w:rsidRPr="003E3A1D">
        <w:rPr>
          <w:rFonts w:ascii="Times New Roman" w:hAnsi="Times New Roman" w:cs="Times New Roman"/>
          <w:sz w:val="24"/>
          <w:szCs w:val="24"/>
          <w:lang w:val="en-GB"/>
        </w:rPr>
        <w:t>. Moreover, Chinese carmakers’ market share for EVs (BEV and PHEV) in Europe has risen from 5% in 2015 to almost 15% in 2023. By contrast, the share of European carmakers in the European EV market (new registrations) has fallen from 80%</w:t>
      </w:r>
      <w:r>
        <w:rPr>
          <w:rFonts w:ascii="Times New Roman" w:hAnsi="Times New Roman" w:cs="Times New Roman"/>
          <w:sz w:val="24"/>
          <w:szCs w:val="24"/>
          <w:lang w:val="en-GB"/>
        </w:rPr>
        <w:t xml:space="preserve"> to 60% during the same period</w:t>
      </w:r>
      <w:r w:rsidR="00AD50F6">
        <w:rPr>
          <w:rFonts w:ascii="Times New Roman" w:hAnsi="Times New Roman" w:cs="Times New Roman"/>
          <w:sz w:val="24"/>
          <w:szCs w:val="24"/>
          <w:lang w:val="en-GB"/>
        </w:rPr>
        <w:t>.</w:t>
      </w:r>
    </w:p>
    <w:p w:rsidR="003E3A1D" w:rsidRPr="003E3A1D" w:rsidRDefault="003E3A1D" w:rsidP="000919B8">
      <w:pPr>
        <w:spacing w:line="240" w:lineRule="auto"/>
        <w:jc w:val="both"/>
        <w:rPr>
          <w:rFonts w:ascii="Times New Roman" w:hAnsi="Times New Roman" w:cs="Times New Roman"/>
          <w:sz w:val="24"/>
          <w:szCs w:val="24"/>
          <w:lang w:val="en-GB"/>
        </w:rPr>
      </w:pPr>
      <w:r w:rsidRPr="003E3A1D">
        <w:rPr>
          <w:rFonts w:ascii="Times New Roman" w:hAnsi="Times New Roman" w:cs="Times New Roman"/>
          <w:noProof/>
          <w:sz w:val="24"/>
          <w:szCs w:val="24"/>
          <w:lang w:eastAsia="es-ES"/>
        </w:rPr>
        <w:drawing>
          <wp:inline distT="0" distB="0" distL="0" distR="0" wp14:anchorId="226696FF" wp14:editId="06729AF2">
            <wp:extent cx="5731510" cy="3356852"/>
            <wp:effectExtent l="0" t="0" r="254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3356852"/>
                    </a:xfrm>
                    <a:prstGeom prst="rect">
                      <a:avLst/>
                    </a:prstGeom>
                  </pic:spPr>
                </pic:pic>
              </a:graphicData>
            </a:graphic>
          </wp:inline>
        </w:drawing>
      </w:r>
    </w:p>
    <w:p w:rsidR="003E3A1D" w:rsidRDefault="00AD50F6" w:rsidP="000919B8">
      <w:pPr>
        <w:spacing w:line="240" w:lineRule="auto"/>
        <w:jc w:val="both"/>
        <w:rPr>
          <w:rFonts w:ascii="Times New Roman" w:hAnsi="Times New Roman" w:cs="Times New Roman"/>
          <w:sz w:val="24"/>
          <w:szCs w:val="24"/>
          <w:lang w:val="en-GB"/>
        </w:rPr>
      </w:pPr>
      <w:r w:rsidRPr="00AD50F6">
        <w:rPr>
          <w:rFonts w:ascii="Times New Roman" w:hAnsi="Times New Roman" w:cs="Times New Roman"/>
          <w:b/>
          <w:sz w:val="24"/>
          <w:szCs w:val="24"/>
          <w:lang w:val="en-GB"/>
        </w:rPr>
        <w:t>Automotive production in the EU is suffering from higher costs, lagging technological capabilities, increasing dependencies, and eroding brand value</w:t>
      </w:r>
      <w:r w:rsidRPr="00AD50F6">
        <w:rPr>
          <w:rFonts w:ascii="Times New Roman" w:hAnsi="Times New Roman" w:cs="Times New Roman"/>
          <w:sz w:val="24"/>
          <w:szCs w:val="24"/>
          <w:lang w:val="en-GB"/>
        </w:rPr>
        <w:t>. Estimates suggest approximately 30% higher overall vehicle productions costs in the EU compared to China, with significant differences in transformation cost between EU Member States. Chinese OEMs are one generation ahead of Europeans in terms of technology in virtually all domains, including EV performance (e.g. range, charging time, and charging infrastructure), software (s</w:t>
      </w:r>
      <w:r w:rsidR="006573BE">
        <w:rPr>
          <w:rFonts w:ascii="Times New Roman" w:hAnsi="Times New Roman" w:cs="Times New Roman"/>
          <w:sz w:val="24"/>
          <w:szCs w:val="24"/>
          <w:lang w:val="en-GB"/>
        </w:rPr>
        <w:t>oftware-defined vehicles, auton</w:t>
      </w:r>
      <w:r w:rsidRPr="00AD50F6">
        <w:rPr>
          <w:rFonts w:ascii="Times New Roman" w:hAnsi="Times New Roman" w:cs="Times New Roman"/>
          <w:sz w:val="24"/>
          <w:szCs w:val="24"/>
          <w:lang w:val="en-GB"/>
        </w:rPr>
        <w:t>omous driving levels 2+, 3 and 4), user experience (e.g. best-in-class Human Machine Interfaces and navigation systems), and development time (e.g. 1.5 to 2-year development time, compared to three to five years in Europe). As discussed in the chapter on critical raw materials, it is estimated that, without action, only a very minor share of European raw material needs will be covered by projects in Europe by 2030. China, to the contrary, will control most of the upstream value chain (including more than 90% of lithium refining capacity at present, and more than 70% of the supply of lithium-ion battery cells). Innovative EVs have, finally, also eroded brand value and customer loyalty towards EU companies, as indicated by the decline in market share of European OEMs</w:t>
      </w:r>
      <w:r>
        <w:rPr>
          <w:rFonts w:ascii="Times New Roman" w:hAnsi="Times New Roman" w:cs="Times New Roman"/>
          <w:sz w:val="24"/>
          <w:szCs w:val="24"/>
          <w:lang w:val="en-GB"/>
        </w:rPr>
        <w:t>…</w:t>
      </w:r>
    </w:p>
    <w:p w:rsidR="00AD50F6" w:rsidRDefault="00AD50F6" w:rsidP="000919B8">
      <w:pPr>
        <w:spacing w:line="240" w:lineRule="auto"/>
        <w:jc w:val="both"/>
        <w:rPr>
          <w:rFonts w:ascii="Times New Roman" w:hAnsi="Times New Roman" w:cs="Times New Roman"/>
          <w:sz w:val="24"/>
          <w:szCs w:val="24"/>
          <w:lang w:val="en-GB"/>
        </w:rPr>
      </w:pPr>
    </w:p>
    <w:p w:rsidR="00AD50F6" w:rsidRPr="00AD50F6" w:rsidRDefault="00AD50F6" w:rsidP="000919B8">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lastRenderedPageBreak/>
        <w:t>The root causes of the EU’s emerging competitiveness gap</w:t>
      </w:r>
    </w:p>
    <w:p w:rsidR="00AD50F6" w:rsidRDefault="00AD50F6" w:rsidP="000919B8">
      <w:pPr>
        <w:spacing w:line="240" w:lineRule="auto"/>
        <w:jc w:val="both"/>
        <w:rPr>
          <w:rFonts w:ascii="Times New Roman" w:hAnsi="Times New Roman" w:cs="Times New Roman"/>
          <w:sz w:val="24"/>
          <w:szCs w:val="24"/>
          <w:lang w:val="en-GB"/>
        </w:rPr>
      </w:pPr>
      <w:r w:rsidRPr="00AD50F6">
        <w:rPr>
          <w:rFonts w:ascii="Times New Roman" w:hAnsi="Times New Roman" w:cs="Times New Roman"/>
          <w:b/>
          <w:sz w:val="24"/>
          <w:szCs w:val="24"/>
          <w:lang w:val="en-GB"/>
        </w:rPr>
        <w:t>Multiple factors are driving the loss of EU competitiveness in the automotive sector</w:t>
      </w:r>
      <w:r w:rsidRPr="00AD50F6">
        <w:rPr>
          <w:rFonts w:ascii="Times New Roman" w:hAnsi="Times New Roman" w:cs="Times New Roman"/>
          <w:sz w:val="24"/>
          <w:szCs w:val="24"/>
          <w:lang w:val="en-GB"/>
        </w:rPr>
        <w:t>. EU climate policies set ambitious targets for low-carbon road transport (primarily EVs), as well as for the production of less polluting ICE vehicles. However, the EU’s supply chain is taking time to adjust. At the same time, China has moved faster and at a larger, coordinated scale across the entire EV value chain and can now enjoy lower costs (know-how, economies of scale, lower labour costs) and a technological edge. By contrast to the EU, the US has reacted with large stimulus (IRA) combined with trade barriers to respond to an increased global supply of Chinese EVs</w:t>
      </w:r>
      <w:r>
        <w:rPr>
          <w:rFonts w:ascii="Times New Roman" w:hAnsi="Times New Roman" w:cs="Times New Roman"/>
          <w:sz w:val="24"/>
          <w:szCs w:val="24"/>
          <w:lang w:val="en-GB"/>
        </w:rPr>
        <w:t>.</w:t>
      </w:r>
    </w:p>
    <w:p w:rsidR="00AD50F6" w:rsidRPr="008A3CDB" w:rsidRDefault="00AD50F6" w:rsidP="000919B8">
      <w:pPr>
        <w:spacing w:line="240" w:lineRule="auto"/>
        <w:jc w:val="both"/>
        <w:rPr>
          <w:rFonts w:ascii="Times New Roman" w:hAnsi="Times New Roman" w:cs="Times New Roman"/>
          <w:b/>
          <w:sz w:val="24"/>
          <w:szCs w:val="24"/>
          <w:lang w:val="en-GB"/>
        </w:rPr>
      </w:pPr>
      <w:r w:rsidRPr="008A3CDB">
        <w:rPr>
          <w:rFonts w:ascii="Times New Roman" w:hAnsi="Times New Roman" w:cs="Times New Roman"/>
          <w:b/>
          <w:sz w:val="24"/>
          <w:szCs w:val="24"/>
          <w:lang w:val="en-GB"/>
        </w:rPr>
        <w:t>The EU’s climate policy is demanding ambitious targets from the automotive sector in terms of GHG emission reduction for road transport…</w:t>
      </w:r>
    </w:p>
    <w:p w:rsidR="00AD50F6" w:rsidRPr="008A3CDB" w:rsidRDefault="00AD50F6" w:rsidP="000919B8">
      <w:pPr>
        <w:spacing w:line="240" w:lineRule="auto"/>
        <w:jc w:val="both"/>
        <w:rPr>
          <w:rFonts w:ascii="Times New Roman" w:hAnsi="Times New Roman" w:cs="Times New Roman"/>
          <w:b/>
          <w:sz w:val="24"/>
          <w:szCs w:val="24"/>
          <w:lang w:val="en-GB"/>
        </w:rPr>
      </w:pPr>
      <w:r w:rsidRPr="008A3CDB">
        <w:rPr>
          <w:rFonts w:ascii="Times New Roman" w:hAnsi="Times New Roman" w:cs="Times New Roman"/>
          <w:b/>
          <w:sz w:val="24"/>
          <w:szCs w:val="24"/>
          <w:lang w:val="en-GB"/>
        </w:rPr>
        <w:t>Multiple pieces of legislation have overlapped during the past decade, and more can be expected in the incoming years towards 2030. Legislation has not always been fully coherent…</w:t>
      </w:r>
    </w:p>
    <w:p w:rsidR="00AD50F6" w:rsidRPr="008A3CDB" w:rsidRDefault="00AD50F6" w:rsidP="000919B8">
      <w:pPr>
        <w:spacing w:line="240" w:lineRule="auto"/>
        <w:jc w:val="both"/>
        <w:rPr>
          <w:rFonts w:ascii="Times New Roman" w:hAnsi="Times New Roman" w:cs="Times New Roman"/>
          <w:b/>
          <w:sz w:val="24"/>
          <w:szCs w:val="24"/>
          <w:lang w:val="en-GB"/>
        </w:rPr>
      </w:pPr>
      <w:r w:rsidRPr="008A3CDB">
        <w:rPr>
          <w:rFonts w:ascii="Times New Roman" w:hAnsi="Times New Roman" w:cs="Times New Roman"/>
          <w:b/>
          <w:sz w:val="24"/>
          <w:szCs w:val="24"/>
          <w:lang w:val="en-GB"/>
        </w:rPr>
        <w:t>The EU emission legislation has not succeeded so far in reducing CO2 emissions from road transport…</w:t>
      </w:r>
    </w:p>
    <w:p w:rsidR="00AD50F6" w:rsidRPr="008A3CDB" w:rsidRDefault="00AD50F6" w:rsidP="000919B8">
      <w:pPr>
        <w:spacing w:line="240" w:lineRule="auto"/>
        <w:jc w:val="both"/>
        <w:rPr>
          <w:rFonts w:ascii="Times New Roman" w:hAnsi="Times New Roman" w:cs="Times New Roman"/>
          <w:b/>
          <w:sz w:val="24"/>
          <w:szCs w:val="24"/>
          <w:lang w:val="en-GB"/>
        </w:rPr>
      </w:pPr>
      <w:r w:rsidRPr="008A3CDB">
        <w:rPr>
          <w:rFonts w:ascii="Times New Roman" w:hAnsi="Times New Roman" w:cs="Times New Roman"/>
          <w:b/>
          <w:sz w:val="24"/>
          <w:szCs w:val="24"/>
          <w:lang w:val="en-GB"/>
        </w:rPr>
        <w:t>The technological neutrality principle, which has been a guiding principle of EU legislation, has not always been applied in the automotive sector…</w:t>
      </w:r>
    </w:p>
    <w:p w:rsidR="00AD50F6" w:rsidRPr="008A3CDB" w:rsidRDefault="00AD50F6" w:rsidP="000919B8">
      <w:pPr>
        <w:spacing w:line="240" w:lineRule="auto"/>
        <w:jc w:val="both"/>
        <w:rPr>
          <w:rFonts w:ascii="Times New Roman" w:hAnsi="Times New Roman" w:cs="Times New Roman"/>
          <w:b/>
          <w:sz w:val="24"/>
          <w:szCs w:val="24"/>
          <w:lang w:val="en-GB"/>
        </w:rPr>
      </w:pPr>
      <w:r w:rsidRPr="008A3CDB">
        <w:rPr>
          <w:rFonts w:ascii="Times New Roman" w:hAnsi="Times New Roman" w:cs="Times New Roman"/>
          <w:b/>
          <w:sz w:val="24"/>
          <w:szCs w:val="24"/>
          <w:lang w:val="en-GB"/>
        </w:rPr>
        <w:t>The push towards rapid market penetration by EVs has not been followed in the EU by a synchronised push towards the conversion of the supply chain…</w:t>
      </w:r>
    </w:p>
    <w:p w:rsidR="00AD50F6" w:rsidRPr="008A3CDB" w:rsidRDefault="00AD50F6" w:rsidP="000919B8">
      <w:pPr>
        <w:spacing w:line="240" w:lineRule="auto"/>
        <w:jc w:val="both"/>
        <w:rPr>
          <w:rFonts w:ascii="Times New Roman" w:hAnsi="Times New Roman" w:cs="Times New Roman"/>
          <w:b/>
          <w:sz w:val="24"/>
          <w:szCs w:val="24"/>
          <w:lang w:val="en-GB"/>
        </w:rPr>
      </w:pPr>
      <w:r w:rsidRPr="008A3CDB">
        <w:rPr>
          <w:rFonts w:ascii="Times New Roman" w:hAnsi="Times New Roman" w:cs="Times New Roman"/>
          <w:b/>
          <w:sz w:val="24"/>
          <w:szCs w:val="24"/>
          <w:lang w:val="en-GB"/>
        </w:rPr>
        <w:t>By contrast, at the same time as the EU introduced new legislation, China has pursued a strategy aiming to dominate the global auto industry…</w:t>
      </w:r>
    </w:p>
    <w:p w:rsidR="00AD50F6" w:rsidRPr="008A3CDB" w:rsidRDefault="00AD50F6" w:rsidP="000919B8">
      <w:pPr>
        <w:spacing w:line="240" w:lineRule="auto"/>
        <w:jc w:val="both"/>
        <w:rPr>
          <w:rFonts w:ascii="Times New Roman" w:hAnsi="Times New Roman" w:cs="Times New Roman"/>
          <w:b/>
          <w:sz w:val="24"/>
          <w:szCs w:val="24"/>
          <w:lang w:val="en-GB"/>
        </w:rPr>
      </w:pPr>
      <w:r w:rsidRPr="008A3CDB">
        <w:rPr>
          <w:rFonts w:ascii="Times New Roman" w:hAnsi="Times New Roman" w:cs="Times New Roman"/>
          <w:b/>
          <w:sz w:val="24"/>
          <w:szCs w:val="24"/>
          <w:lang w:val="en-GB"/>
        </w:rPr>
        <w:t>The US has reacted to the ascent of China’s EV industry by increasing import barriers and targeted stimulus to the domestic value chain…</w:t>
      </w:r>
    </w:p>
    <w:p w:rsidR="00AD50F6" w:rsidRPr="008A3CDB" w:rsidRDefault="00AD50F6" w:rsidP="000919B8">
      <w:pPr>
        <w:spacing w:line="240" w:lineRule="auto"/>
        <w:jc w:val="both"/>
        <w:rPr>
          <w:rFonts w:ascii="Times New Roman" w:hAnsi="Times New Roman" w:cs="Times New Roman"/>
          <w:b/>
          <w:sz w:val="24"/>
          <w:szCs w:val="24"/>
          <w:lang w:val="en-GB"/>
        </w:rPr>
      </w:pPr>
      <w:r w:rsidRPr="008A3CDB">
        <w:rPr>
          <w:rFonts w:ascii="Times New Roman" w:hAnsi="Times New Roman" w:cs="Times New Roman"/>
          <w:b/>
          <w:sz w:val="24"/>
          <w:szCs w:val="24"/>
          <w:lang w:val="en-GB"/>
        </w:rPr>
        <w:t>The EU has also increased tariffs on EV imports from China recently…</w:t>
      </w:r>
    </w:p>
    <w:p w:rsidR="00AD50F6" w:rsidRPr="008A3CDB" w:rsidRDefault="00AD50F6" w:rsidP="000919B8">
      <w:pPr>
        <w:spacing w:line="240" w:lineRule="auto"/>
        <w:jc w:val="both"/>
        <w:rPr>
          <w:rFonts w:ascii="Times New Roman" w:hAnsi="Times New Roman" w:cs="Times New Roman"/>
          <w:b/>
          <w:sz w:val="24"/>
          <w:szCs w:val="24"/>
          <w:lang w:val="en-GB"/>
        </w:rPr>
      </w:pPr>
      <w:r w:rsidRPr="008A3CDB">
        <w:rPr>
          <w:rFonts w:ascii="Times New Roman" w:hAnsi="Times New Roman" w:cs="Times New Roman"/>
          <w:b/>
          <w:sz w:val="24"/>
          <w:szCs w:val="24"/>
          <w:lang w:val="en-GB"/>
        </w:rPr>
        <w:t>Operational expenses also affect the cost competitiveness of EU car manufacturing in addition to higher investment costs</w:t>
      </w:r>
      <w:r w:rsidR="008A3CDB" w:rsidRPr="008A3CDB">
        <w:rPr>
          <w:rFonts w:ascii="Times New Roman" w:hAnsi="Times New Roman" w:cs="Times New Roman"/>
          <w:b/>
          <w:sz w:val="24"/>
          <w:szCs w:val="24"/>
          <w:lang w:val="en-GB"/>
        </w:rPr>
        <w:t>…</w:t>
      </w:r>
    </w:p>
    <w:p w:rsidR="00767199" w:rsidRDefault="008A3CDB" w:rsidP="000919B8">
      <w:pPr>
        <w:spacing w:line="240" w:lineRule="auto"/>
        <w:jc w:val="both"/>
        <w:rPr>
          <w:lang w:val="en-GB"/>
        </w:rPr>
      </w:pPr>
      <w:r w:rsidRPr="008A3CDB">
        <w:rPr>
          <w:noProof/>
          <w:lang w:eastAsia="es-ES"/>
        </w:rPr>
        <w:drawing>
          <wp:inline distT="0" distB="0" distL="0" distR="0" wp14:anchorId="2ECD8CF0" wp14:editId="2F18B102">
            <wp:extent cx="5725538" cy="2641600"/>
            <wp:effectExtent l="0" t="0" r="8890" b="635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2644355"/>
                    </a:xfrm>
                    <a:prstGeom prst="rect">
                      <a:avLst/>
                    </a:prstGeom>
                  </pic:spPr>
                </pic:pic>
              </a:graphicData>
            </a:graphic>
          </wp:inline>
        </w:drawing>
      </w:r>
    </w:p>
    <w:p w:rsidR="008A3CDB" w:rsidRPr="00767199" w:rsidRDefault="008A3CDB" w:rsidP="000919B8">
      <w:pPr>
        <w:spacing w:line="240" w:lineRule="auto"/>
        <w:jc w:val="both"/>
        <w:rPr>
          <w:lang w:val="en-GB"/>
        </w:rPr>
      </w:pPr>
      <w:r w:rsidRPr="008A3CDB">
        <w:rPr>
          <w:rFonts w:ascii="Times New Roman" w:hAnsi="Times New Roman" w:cs="Times New Roman"/>
          <w:b/>
          <w:sz w:val="24"/>
          <w:szCs w:val="24"/>
          <w:lang w:val="en-GB"/>
        </w:rPr>
        <w:lastRenderedPageBreak/>
        <w:t>The limited affordability of EVs constitutes a persistent barrier to greater overall fleet modernisation…</w:t>
      </w:r>
    </w:p>
    <w:p w:rsidR="008A3CDB" w:rsidRPr="008A3CDB" w:rsidRDefault="008A3CDB" w:rsidP="000919B8">
      <w:pPr>
        <w:spacing w:line="240" w:lineRule="auto"/>
        <w:jc w:val="both"/>
        <w:rPr>
          <w:rFonts w:ascii="Times New Roman" w:hAnsi="Times New Roman" w:cs="Times New Roman"/>
          <w:b/>
          <w:sz w:val="24"/>
          <w:szCs w:val="24"/>
          <w:lang w:val="en-GB"/>
        </w:rPr>
      </w:pPr>
      <w:r w:rsidRPr="008A3CDB">
        <w:rPr>
          <w:rFonts w:ascii="Times New Roman" w:hAnsi="Times New Roman" w:cs="Times New Roman"/>
          <w:b/>
          <w:sz w:val="24"/>
          <w:szCs w:val="24"/>
          <w:lang w:val="en-GB"/>
        </w:rPr>
        <w:t>Low EV uptake in the corporate car segment is also holding back the European BEV market…</w:t>
      </w:r>
    </w:p>
    <w:p w:rsidR="008A3CDB" w:rsidRPr="008A3CDB" w:rsidRDefault="008A3CDB" w:rsidP="000919B8">
      <w:pPr>
        <w:spacing w:line="240" w:lineRule="auto"/>
        <w:jc w:val="both"/>
        <w:rPr>
          <w:rFonts w:ascii="Times New Roman" w:hAnsi="Times New Roman" w:cs="Times New Roman"/>
          <w:b/>
          <w:sz w:val="24"/>
          <w:szCs w:val="24"/>
          <w:lang w:val="en-GB"/>
        </w:rPr>
      </w:pPr>
      <w:r w:rsidRPr="008A3CDB">
        <w:rPr>
          <w:rFonts w:ascii="Times New Roman" w:hAnsi="Times New Roman" w:cs="Times New Roman"/>
          <w:b/>
          <w:sz w:val="24"/>
          <w:szCs w:val="24"/>
          <w:lang w:val="en-GB"/>
        </w:rPr>
        <w:t>Bottlenecks with respect to the charging infrastructure remain and risk dampening EV uptake too…</w:t>
      </w:r>
    </w:p>
    <w:p w:rsidR="008A3CDB" w:rsidRDefault="008A3CDB" w:rsidP="000919B8">
      <w:pPr>
        <w:spacing w:line="240" w:lineRule="auto"/>
        <w:jc w:val="both"/>
        <w:rPr>
          <w:rFonts w:ascii="Times New Roman" w:hAnsi="Times New Roman" w:cs="Times New Roman"/>
          <w:sz w:val="24"/>
          <w:szCs w:val="24"/>
          <w:lang w:val="en-GB"/>
        </w:rPr>
      </w:pPr>
      <w:r w:rsidRPr="008A3CDB">
        <w:rPr>
          <w:rFonts w:ascii="Times New Roman" w:hAnsi="Times New Roman" w:cs="Times New Roman"/>
          <w:b/>
          <w:sz w:val="24"/>
          <w:szCs w:val="24"/>
          <w:lang w:val="en-GB"/>
        </w:rPr>
        <w:t>In this context, if the EU is not able to rapidly adjust to this new competitive environment, the automotive sector may lose ground at an even faster pace</w:t>
      </w:r>
      <w:r w:rsidRPr="008A3CDB">
        <w:rPr>
          <w:rFonts w:ascii="Times New Roman" w:hAnsi="Times New Roman" w:cs="Times New Roman"/>
          <w:sz w:val="24"/>
          <w:szCs w:val="24"/>
          <w:lang w:val="en-GB"/>
        </w:rPr>
        <w:t>. According to some industry experts, even more than 10% of local EU production may be displaced in the following five years…</w:t>
      </w:r>
    </w:p>
    <w:p w:rsidR="008A3CDB" w:rsidRPr="008A3CDB" w:rsidRDefault="008A3CDB" w:rsidP="000919B8">
      <w:pPr>
        <w:spacing w:line="240" w:lineRule="auto"/>
        <w:jc w:val="both"/>
        <w:rPr>
          <w:rFonts w:ascii="Times New Roman" w:hAnsi="Times New Roman" w:cs="Times New Roman"/>
          <w:b/>
          <w:sz w:val="24"/>
          <w:szCs w:val="24"/>
          <w:lang w:val="en-GB"/>
        </w:rPr>
      </w:pPr>
      <w:r w:rsidRPr="008A3CDB">
        <w:rPr>
          <w:rFonts w:ascii="Times New Roman" w:hAnsi="Times New Roman" w:cs="Times New Roman"/>
          <w:b/>
          <w:sz w:val="24"/>
          <w:szCs w:val="24"/>
          <w:lang w:val="en-GB"/>
        </w:rPr>
        <w:t xml:space="preserve">Objectives and proposals </w:t>
      </w:r>
    </w:p>
    <w:p w:rsidR="008A3CDB" w:rsidRPr="008A3CDB" w:rsidRDefault="008A3CDB" w:rsidP="000919B8">
      <w:pPr>
        <w:spacing w:line="240" w:lineRule="auto"/>
        <w:jc w:val="both"/>
        <w:rPr>
          <w:rFonts w:ascii="Times New Roman" w:hAnsi="Times New Roman" w:cs="Times New Roman"/>
          <w:sz w:val="24"/>
          <w:szCs w:val="24"/>
          <w:lang w:val="en-GB"/>
        </w:rPr>
      </w:pPr>
      <w:r w:rsidRPr="008A3CDB">
        <w:rPr>
          <w:rFonts w:ascii="Times New Roman" w:hAnsi="Times New Roman" w:cs="Times New Roman"/>
          <w:sz w:val="24"/>
          <w:szCs w:val="24"/>
          <w:lang w:val="en-GB"/>
        </w:rPr>
        <w:t>To ensure that the EU remains a leader in the global automotive industry, preserving jobs, R&amp;D facilities, and manufacturing within the region, two key objectives should be pursued with different time horizons:</w:t>
      </w:r>
    </w:p>
    <w:p w:rsidR="008A3CDB" w:rsidRPr="008A3CDB" w:rsidRDefault="008A3CDB" w:rsidP="000919B8">
      <w:pPr>
        <w:spacing w:line="240" w:lineRule="auto"/>
        <w:jc w:val="both"/>
        <w:rPr>
          <w:rFonts w:ascii="Times New Roman" w:hAnsi="Times New Roman" w:cs="Times New Roman"/>
          <w:sz w:val="24"/>
          <w:szCs w:val="24"/>
          <w:lang w:val="en-GB"/>
        </w:rPr>
      </w:pPr>
      <w:r w:rsidRPr="008A3CDB">
        <w:rPr>
          <w:rFonts w:ascii="Times New Roman" w:hAnsi="Times New Roman" w:cs="Times New Roman"/>
          <w:sz w:val="24"/>
          <w:szCs w:val="24"/>
          <w:lang w:val="en-GB"/>
        </w:rPr>
        <w:t xml:space="preserve"> • In the short term, avoid the radical displacement of production away from the EU’s automotive sector or the rapid takeover of EU plants and companies by State-subsidised competitors. </w:t>
      </w:r>
    </w:p>
    <w:p w:rsidR="008A3CDB" w:rsidRDefault="008A3CDB" w:rsidP="000919B8">
      <w:pPr>
        <w:spacing w:line="240" w:lineRule="auto"/>
        <w:jc w:val="both"/>
        <w:rPr>
          <w:rFonts w:ascii="Times New Roman" w:hAnsi="Times New Roman" w:cs="Times New Roman"/>
          <w:sz w:val="24"/>
          <w:szCs w:val="24"/>
          <w:lang w:val="en-GB"/>
        </w:rPr>
      </w:pPr>
      <w:r w:rsidRPr="008A3CDB">
        <w:rPr>
          <w:rFonts w:ascii="Times New Roman" w:hAnsi="Times New Roman" w:cs="Times New Roman"/>
          <w:sz w:val="24"/>
          <w:szCs w:val="24"/>
          <w:lang w:val="en-GB"/>
        </w:rPr>
        <w:t>• In the medium term, re-establish a competitive leading position for the EU for the ‘next generation’ of vehicles and maintain the European production base with current technological advantages as long as international markets show demand</w:t>
      </w:r>
      <w:r>
        <w:rPr>
          <w:rFonts w:ascii="Times New Roman" w:hAnsi="Times New Roman" w:cs="Times New Roman"/>
          <w:sz w:val="24"/>
          <w:szCs w:val="24"/>
          <w:lang w:val="en-GB"/>
        </w:rPr>
        <w:t>…</w:t>
      </w:r>
    </w:p>
    <w:p w:rsidR="008A3CDB" w:rsidRPr="008A3CDB" w:rsidRDefault="008A3CDB" w:rsidP="000919B8">
      <w:pPr>
        <w:spacing w:line="240" w:lineRule="auto"/>
        <w:jc w:val="both"/>
        <w:rPr>
          <w:rFonts w:ascii="Times New Roman" w:hAnsi="Times New Roman" w:cs="Times New Roman"/>
          <w:b/>
          <w:sz w:val="24"/>
          <w:szCs w:val="24"/>
          <w:lang w:val="en-GB"/>
        </w:rPr>
      </w:pPr>
      <w:r w:rsidRPr="008A3CDB">
        <w:rPr>
          <w:rFonts w:ascii="Times New Roman" w:hAnsi="Times New Roman" w:cs="Times New Roman"/>
          <w:b/>
          <w:sz w:val="24"/>
          <w:szCs w:val="24"/>
          <w:lang w:val="en-GB"/>
        </w:rPr>
        <w:t xml:space="preserve">7. Defence </w:t>
      </w:r>
    </w:p>
    <w:p w:rsidR="008A3CDB" w:rsidRPr="008A3CDB" w:rsidRDefault="008A3CDB" w:rsidP="000919B8">
      <w:pPr>
        <w:spacing w:line="240" w:lineRule="auto"/>
        <w:jc w:val="both"/>
        <w:rPr>
          <w:rFonts w:ascii="Times New Roman" w:hAnsi="Times New Roman" w:cs="Times New Roman"/>
          <w:b/>
          <w:sz w:val="24"/>
          <w:szCs w:val="24"/>
          <w:lang w:val="en-GB"/>
        </w:rPr>
      </w:pPr>
      <w:r w:rsidRPr="008A3CDB">
        <w:rPr>
          <w:rFonts w:ascii="Times New Roman" w:hAnsi="Times New Roman" w:cs="Times New Roman"/>
          <w:b/>
          <w:sz w:val="24"/>
          <w:szCs w:val="24"/>
          <w:lang w:val="en-GB"/>
        </w:rPr>
        <w:t xml:space="preserve">The starting point </w:t>
      </w:r>
    </w:p>
    <w:p w:rsidR="008A3CDB" w:rsidRPr="008A3CDB" w:rsidRDefault="008A3CDB" w:rsidP="000919B8">
      <w:pPr>
        <w:spacing w:line="240" w:lineRule="auto"/>
        <w:jc w:val="both"/>
        <w:rPr>
          <w:rFonts w:ascii="Times New Roman" w:hAnsi="Times New Roman" w:cs="Times New Roman"/>
          <w:sz w:val="24"/>
          <w:szCs w:val="24"/>
          <w:lang w:val="en-GB"/>
        </w:rPr>
      </w:pPr>
      <w:r w:rsidRPr="008A3CDB">
        <w:rPr>
          <w:rFonts w:ascii="Times New Roman" w:hAnsi="Times New Roman" w:cs="Times New Roman"/>
          <w:b/>
          <w:sz w:val="24"/>
          <w:szCs w:val="24"/>
          <w:lang w:val="en-GB"/>
        </w:rPr>
        <w:t>The EU’s defence sector is critical to ensure Europe’s strategic autonomy in facing increasing external security threats, as well as driving innovation through spillovers across the entire economy.</w:t>
      </w:r>
      <w:r w:rsidRPr="008A3CDB">
        <w:rPr>
          <w:rFonts w:ascii="Times New Roman" w:hAnsi="Times New Roman" w:cs="Times New Roman"/>
          <w:sz w:val="24"/>
          <w:szCs w:val="24"/>
          <w:lang w:val="en-GB"/>
        </w:rPr>
        <w:t xml:space="preserve"> Nevertheless, the EU’s defence industrial base faces challenges in terms of capacity, know-how and technological edge. As a result, the EU is not keeping pace with its global competitors. Moving forward, new and emerging industrial segments will require massive investment and new technological capabilities, while the EU’s strategic defence priorities may continue to diverge from those of the US, calling for immediate policy action at the EU level…</w:t>
      </w:r>
    </w:p>
    <w:p w:rsidR="00AD50F6" w:rsidRDefault="008A3CDB" w:rsidP="000919B8">
      <w:pPr>
        <w:spacing w:line="240" w:lineRule="auto"/>
        <w:jc w:val="both"/>
        <w:rPr>
          <w:rFonts w:ascii="Times New Roman" w:hAnsi="Times New Roman" w:cs="Times New Roman"/>
          <w:sz w:val="24"/>
          <w:szCs w:val="24"/>
          <w:lang w:val="en-GB"/>
        </w:rPr>
      </w:pPr>
      <w:r w:rsidRPr="008A3CDB">
        <w:rPr>
          <w:rFonts w:ascii="Times New Roman" w:hAnsi="Times New Roman" w:cs="Times New Roman"/>
          <w:noProof/>
          <w:sz w:val="24"/>
          <w:szCs w:val="24"/>
          <w:lang w:eastAsia="es-ES"/>
        </w:rPr>
        <w:drawing>
          <wp:inline distT="0" distB="0" distL="0" distR="0" wp14:anchorId="748EAD3C" wp14:editId="6CBC06F2">
            <wp:extent cx="5731608" cy="2165350"/>
            <wp:effectExtent l="0" t="0" r="2540" b="635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2165313"/>
                    </a:xfrm>
                    <a:prstGeom prst="rect">
                      <a:avLst/>
                    </a:prstGeom>
                  </pic:spPr>
                </pic:pic>
              </a:graphicData>
            </a:graphic>
          </wp:inline>
        </w:drawing>
      </w:r>
    </w:p>
    <w:p w:rsidR="00767199" w:rsidRDefault="00767199" w:rsidP="000919B8">
      <w:pPr>
        <w:spacing w:line="240" w:lineRule="auto"/>
        <w:jc w:val="both"/>
        <w:rPr>
          <w:rFonts w:ascii="Times New Roman" w:hAnsi="Times New Roman" w:cs="Times New Roman"/>
          <w:sz w:val="24"/>
          <w:szCs w:val="24"/>
          <w:lang w:val="en-GB"/>
        </w:rPr>
      </w:pPr>
      <w:r w:rsidRPr="00767199">
        <w:rPr>
          <w:rFonts w:ascii="Times New Roman" w:hAnsi="Times New Roman" w:cs="Times New Roman"/>
          <w:noProof/>
          <w:sz w:val="24"/>
          <w:szCs w:val="24"/>
          <w:lang w:eastAsia="es-ES"/>
        </w:rPr>
        <w:lastRenderedPageBreak/>
        <w:drawing>
          <wp:inline distT="0" distB="0" distL="0" distR="0" wp14:anchorId="4B2FB274" wp14:editId="47C6A36D">
            <wp:extent cx="5727116" cy="2832100"/>
            <wp:effectExtent l="0" t="0" r="6985" b="635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2834273"/>
                    </a:xfrm>
                    <a:prstGeom prst="rect">
                      <a:avLst/>
                    </a:prstGeom>
                  </pic:spPr>
                </pic:pic>
              </a:graphicData>
            </a:graphic>
          </wp:inline>
        </w:drawing>
      </w:r>
    </w:p>
    <w:p w:rsidR="00767199" w:rsidRDefault="00767199" w:rsidP="000919B8">
      <w:pPr>
        <w:spacing w:line="240" w:lineRule="auto"/>
        <w:jc w:val="both"/>
        <w:rPr>
          <w:rFonts w:ascii="Times New Roman" w:hAnsi="Times New Roman" w:cs="Times New Roman"/>
          <w:sz w:val="24"/>
          <w:szCs w:val="24"/>
          <w:lang w:val="en-GB"/>
        </w:rPr>
      </w:pPr>
      <w:r w:rsidRPr="00767199">
        <w:rPr>
          <w:rFonts w:ascii="Times New Roman" w:hAnsi="Times New Roman" w:cs="Times New Roman"/>
          <w:noProof/>
          <w:sz w:val="24"/>
          <w:szCs w:val="24"/>
          <w:lang w:eastAsia="es-ES"/>
        </w:rPr>
        <w:drawing>
          <wp:inline distT="0" distB="0" distL="0" distR="0" wp14:anchorId="658956D8" wp14:editId="427CA727">
            <wp:extent cx="5734050" cy="3206750"/>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3205330"/>
                    </a:xfrm>
                    <a:prstGeom prst="rect">
                      <a:avLst/>
                    </a:prstGeom>
                  </pic:spPr>
                </pic:pic>
              </a:graphicData>
            </a:graphic>
          </wp:inline>
        </w:drawing>
      </w:r>
    </w:p>
    <w:p w:rsidR="00767199" w:rsidRPr="00767199" w:rsidRDefault="00767199" w:rsidP="000919B8">
      <w:pPr>
        <w:spacing w:line="240" w:lineRule="auto"/>
        <w:jc w:val="both"/>
        <w:rPr>
          <w:rFonts w:ascii="Times New Roman" w:hAnsi="Times New Roman" w:cs="Times New Roman"/>
          <w:b/>
          <w:sz w:val="24"/>
          <w:szCs w:val="24"/>
          <w:lang w:val="en-GB"/>
        </w:rPr>
      </w:pPr>
      <w:r w:rsidRPr="00767199">
        <w:rPr>
          <w:rFonts w:ascii="Times New Roman" w:hAnsi="Times New Roman" w:cs="Times New Roman"/>
          <w:b/>
          <w:sz w:val="24"/>
          <w:szCs w:val="24"/>
          <w:lang w:val="en-GB"/>
        </w:rPr>
        <w:t>Objectives and proposals</w:t>
      </w:r>
    </w:p>
    <w:p w:rsidR="00767199" w:rsidRPr="00767199" w:rsidRDefault="00767199" w:rsidP="000919B8">
      <w:pPr>
        <w:spacing w:line="240" w:lineRule="auto"/>
        <w:jc w:val="both"/>
        <w:rPr>
          <w:rFonts w:ascii="Times New Roman" w:hAnsi="Times New Roman" w:cs="Times New Roman"/>
          <w:sz w:val="24"/>
          <w:szCs w:val="24"/>
          <w:lang w:val="en-GB"/>
        </w:rPr>
      </w:pPr>
      <w:r w:rsidRPr="00767199">
        <w:rPr>
          <w:rFonts w:ascii="Times New Roman" w:hAnsi="Times New Roman" w:cs="Times New Roman"/>
          <w:sz w:val="24"/>
          <w:szCs w:val="24"/>
          <w:lang w:val="en-GB"/>
        </w:rPr>
        <w:t xml:space="preserve">The overarching goals of EU action should be to: </w:t>
      </w:r>
    </w:p>
    <w:p w:rsidR="00767199" w:rsidRPr="00767199" w:rsidRDefault="00767199" w:rsidP="000919B8">
      <w:pPr>
        <w:spacing w:line="240" w:lineRule="auto"/>
        <w:jc w:val="both"/>
        <w:rPr>
          <w:rFonts w:ascii="Times New Roman" w:hAnsi="Times New Roman" w:cs="Times New Roman"/>
          <w:sz w:val="24"/>
          <w:szCs w:val="24"/>
          <w:lang w:val="en-GB"/>
        </w:rPr>
      </w:pPr>
      <w:r w:rsidRPr="00767199">
        <w:rPr>
          <w:rFonts w:ascii="Times New Roman" w:hAnsi="Times New Roman" w:cs="Times New Roman"/>
          <w:sz w:val="24"/>
          <w:szCs w:val="24"/>
          <w:lang w:val="en-GB"/>
        </w:rPr>
        <w:t>• Expand and develop the EU’s defence industrial and technological base so that it can meet new European defence and security needs with the necessary scale, speed, freedom of action, a</w:t>
      </w:r>
      <w:r>
        <w:rPr>
          <w:rFonts w:ascii="Times New Roman" w:hAnsi="Times New Roman" w:cs="Times New Roman"/>
          <w:sz w:val="24"/>
          <w:szCs w:val="24"/>
          <w:lang w:val="en-GB"/>
        </w:rPr>
        <w:t>nd enhanced autonomy.</w:t>
      </w:r>
    </w:p>
    <w:p w:rsidR="00767199" w:rsidRDefault="00767199" w:rsidP="000919B8">
      <w:pPr>
        <w:spacing w:line="240" w:lineRule="auto"/>
        <w:jc w:val="both"/>
        <w:rPr>
          <w:rFonts w:ascii="Times New Roman" w:hAnsi="Times New Roman" w:cs="Times New Roman"/>
          <w:sz w:val="24"/>
          <w:szCs w:val="24"/>
          <w:lang w:val="en-GB"/>
        </w:rPr>
      </w:pPr>
      <w:r w:rsidRPr="00767199">
        <w:rPr>
          <w:rFonts w:ascii="Times New Roman" w:hAnsi="Times New Roman" w:cs="Times New Roman"/>
          <w:sz w:val="24"/>
          <w:szCs w:val="24"/>
          <w:lang w:val="en-GB"/>
        </w:rPr>
        <w:t>• Reinforce the capacities, readiness, output and efficiency of the EU’s defence industrial base to guarantee long term sustainability, technological and industrial competitiveness</w:t>
      </w:r>
      <w:r>
        <w:rPr>
          <w:rFonts w:ascii="Times New Roman" w:hAnsi="Times New Roman" w:cs="Times New Roman"/>
          <w:sz w:val="24"/>
          <w:szCs w:val="24"/>
          <w:lang w:val="en-GB"/>
        </w:rPr>
        <w:t>.</w:t>
      </w:r>
      <w:r w:rsidRPr="00767199">
        <w:rPr>
          <w:rFonts w:ascii="Times New Roman" w:hAnsi="Times New Roman" w:cs="Times New Roman"/>
          <w:sz w:val="24"/>
          <w:szCs w:val="24"/>
          <w:lang w:val="en-GB"/>
        </w:rPr>
        <w:t xml:space="preserve"> </w:t>
      </w:r>
    </w:p>
    <w:p w:rsidR="00767199" w:rsidRDefault="00767199" w:rsidP="000919B8">
      <w:pPr>
        <w:spacing w:line="240" w:lineRule="auto"/>
        <w:jc w:val="both"/>
        <w:rPr>
          <w:rFonts w:ascii="Times New Roman" w:hAnsi="Times New Roman" w:cs="Times New Roman"/>
          <w:sz w:val="24"/>
          <w:szCs w:val="24"/>
          <w:lang w:val="en-GB"/>
        </w:rPr>
      </w:pPr>
      <w:r w:rsidRPr="00767199">
        <w:rPr>
          <w:rFonts w:ascii="Times New Roman" w:hAnsi="Times New Roman" w:cs="Times New Roman"/>
          <w:sz w:val="24"/>
          <w:szCs w:val="24"/>
          <w:lang w:val="en-GB"/>
        </w:rPr>
        <w:t>• Strengthen European R&amp;D in defence to support the technological advancement of the EU’s defence industry and to maximise technological spillover with other sectors (in both directions)</w:t>
      </w:r>
      <w:r>
        <w:rPr>
          <w:rFonts w:ascii="Times New Roman" w:hAnsi="Times New Roman" w:cs="Times New Roman"/>
          <w:sz w:val="24"/>
          <w:szCs w:val="24"/>
          <w:lang w:val="en-GB"/>
        </w:rPr>
        <w:t>…</w:t>
      </w:r>
    </w:p>
    <w:p w:rsidR="00E94182" w:rsidRDefault="00E94182" w:rsidP="000919B8">
      <w:pPr>
        <w:spacing w:line="240" w:lineRule="auto"/>
        <w:jc w:val="both"/>
        <w:rPr>
          <w:rFonts w:ascii="Times New Roman" w:hAnsi="Times New Roman" w:cs="Times New Roman"/>
          <w:sz w:val="24"/>
          <w:szCs w:val="24"/>
          <w:lang w:val="en-GB"/>
        </w:rPr>
      </w:pPr>
    </w:p>
    <w:p w:rsidR="00767199" w:rsidRPr="00767199" w:rsidRDefault="00767199" w:rsidP="000919B8">
      <w:pPr>
        <w:spacing w:line="240" w:lineRule="auto"/>
        <w:jc w:val="both"/>
        <w:rPr>
          <w:rFonts w:ascii="Times New Roman" w:hAnsi="Times New Roman" w:cs="Times New Roman"/>
          <w:b/>
          <w:sz w:val="24"/>
          <w:szCs w:val="24"/>
          <w:lang w:val="en-GB"/>
        </w:rPr>
      </w:pPr>
      <w:r w:rsidRPr="00767199">
        <w:rPr>
          <w:rFonts w:ascii="Times New Roman" w:hAnsi="Times New Roman" w:cs="Times New Roman"/>
          <w:b/>
          <w:sz w:val="24"/>
          <w:szCs w:val="24"/>
          <w:lang w:val="en-GB"/>
        </w:rPr>
        <w:lastRenderedPageBreak/>
        <w:t xml:space="preserve">8. Space </w:t>
      </w:r>
    </w:p>
    <w:p w:rsidR="00767199" w:rsidRPr="00767199" w:rsidRDefault="00767199" w:rsidP="000919B8">
      <w:pPr>
        <w:spacing w:line="240" w:lineRule="auto"/>
        <w:jc w:val="both"/>
        <w:rPr>
          <w:rFonts w:ascii="Times New Roman" w:hAnsi="Times New Roman" w:cs="Times New Roman"/>
          <w:b/>
          <w:sz w:val="24"/>
          <w:szCs w:val="24"/>
          <w:lang w:val="en-GB"/>
        </w:rPr>
      </w:pPr>
      <w:r w:rsidRPr="00767199">
        <w:rPr>
          <w:rFonts w:ascii="Times New Roman" w:hAnsi="Times New Roman" w:cs="Times New Roman"/>
          <w:b/>
          <w:sz w:val="24"/>
          <w:szCs w:val="24"/>
          <w:lang w:val="en-GB"/>
        </w:rPr>
        <w:t xml:space="preserve">The starting point </w:t>
      </w:r>
    </w:p>
    <w:p w:rsidR="00767199" w:rsidRPr="00767199" w:rsidRDefault="00767199" w:rsidP="000919B8">
      <w:pPr>
        <w:spacing w:line="240" w:lineRule="auto"/>
        <w:jc w:val="both"/>
        <w:rPr>
          <w:rFonts w:ascii="Times New Roman" w:hAnsi="Times New Roman" w:cs="Times New Roman"/>
          <w:sz w:val="24"/>
          <w:szCs w:val="24"/>
          <w:lang w:val="en-GB"/>
        </w:rPr>
      </w:pPr>
      <w:r w:rsidRPr="00767199">
        <w:rPr>
          <w:rFonts w:ascii="Times New Roman" w:hAnsi="Times New Roman" w:cs="Times New Roman"/>
          <w:b/>
          <w:sz w:val="24"/>
          <w:szCs w:val="24"/>
          <w:lang w:val="en-GB"/>
        </w:rPr>
        <w:t>The global space sector stands at the forefront of technological innovation, contributing to cutting-edge advancements, the resilience an</w:t>
      </w:r>
      <w:r w:rsidR="006573BE">
        <w:rPr>
          <w:rFonts w:ascii="Times New Roman" w:hAnsi="Times New Roman" w:cs="Times New Roman"/>
          <w:b/>
          <w:sz w:val="24"/>
          <w:szCs w:val="24"/>
          <w:lang w:val="en-GB"/>
        </w:rPr>
        <w:t>d security of modern societies -</w:t>
      </w:r>
      <w:r w:rsidRPr="00767199">
        <w:rPr>
          <w:rFonts w:ascii="Times New Roman" w:hAnsi="Times New Roman" w:cs="Times New Roman"/>
          <w:b/>
          <w:sz w:val="24"/>
          <w:szCs w:val="24"/>
          <w:lang w:val="en-GB"/>
        </w:rPr>
        <w:t xml:space="preserve"> either directly or through spillovers</w:t>
      </w:r>
      <w:r w:rsidRPr="00767199">
        <w:rPr>
          <w:rFonts w:ascii="Times New Roman" w:hAnsi="Times New Roman" w:cs="Times New Roman"/>
          <w:sz w:val="24"/>
          <w:szCs w:val="24"/>
          <w:lang w:val="en-GB"/>
        </w:rPr>
        <w:t xml:space="preserve">. Satellite services, data and their applications are key enablers and form a fundamental part of modern infrastructure, for example, in the fields of: </w:t>
      </w:r>
    </w:p>
    <w:p w:rsidR="00767199" w:rsidRPr="00767199" w:rsidRDefault="00767199" w:rsidP="000919B8">
      <w:pPr>
        <w:spacing w:line="240" w:lineRule="auto"/>
        <w:jc w:val="both"/>
        <w:rPr>
          <w:rFonts w:ascii="Times New Roman" w:hAnsi="Times New Roman" w:cs="Times New Roman"/>
          <w:sz w:val="24"/>
          <w:szCs w:val="24"/>
          <w:lang w:val="en-GB"/>
        </w:rPr>
      </w:pPr>
      <w:r w:rsidRPr="00767199">
        <w:rPr>
          <w:rFonts w:ascii="Times New Roman" w:hAnsi="Times New Roman" w:cs="Times New Roman"/>
          <w:sz w:val="24"/>
          <w:szCs w:val="24"/>
          <w:lang w:val="en-GB"/>
        </w:rPr>
        <w:t xml:space="preserve">• Transport </w:t>
      </w:r>
    </w:p>
    <w:p w:rsidR="00767199" w:rsidRPr="00767199" w:rsidRDefault="00767199" w:rsidP="000919B8">
      <w:pPr>
        <w:spacing w:line="240" w:lineRule="auto"/>
        <w:jc w:val="both"/>
        <w:rPr>
          <w:rFonts w:ascii="Times New Roman" w:hAnsi="Times New Roman" w:cs="Times New Roman"/>
          <w:sz w:val="24"/>
          <w:szCs w:val="24"/>
          <w:lang w:val="en-GB"/>
        </w:rPr>
      </w:pPr>
      <w:r w:rsidRPr="00767199">
        <w:rPr>
          <w:rFonts w:ascii="Times New Roman" w:hAnsi="Times New Roman" w:cs="Times New Roman"/>
          <w:sz w:val="24"/>
          <w:szCs w:val="24"/>
          <w:lang w:val="en-GB"/>
        </w:rPr>
        <w:t>• Communication</w:t>
      </w:r>
    </w:p>
    <w:p w:rsidR="00767199" w:rsidRPr="00767199" w:rsidRDefault="00767199" w:rsidP="000919B8">
      <w:pPr>
        <w:spacing w:line="240" w:lineRule="auto"/>
        <w:jc w:val="both"/>
        <w:rPr>
          <w:rFonts w:ascii="Times New Roman" w:hAnsi="Times New Roman" w:cs="Times New Roman"/>
          <w:sz w:val="24"/>
          <w:szCs w:val="24"/>
          <w:lang w:val="en-GB"/>
        </w:rPr>
      </w:pPr>
      <w:r w:rsidRPr="00767199">
        <w:rPr>
          <w:rFonts w:ascii="Times New Roman" w:hAnsi="Times New Roman" w:cs="Times New Roman"/>
          <w:sz w:val="24"/>
          <w:szCs w:val="24"/>
          <w:lang w:val="en-GB"/>
        </w:rPr>
        <w:t xml:space="preserve">• Environment </w:t>
      </w:r>
    </w:p>
    <w:p w:rsidR="00767199" w:rsidRPr="00767199" w:rsidRDefault="00767199" w:rsidP="000919B8">
      <w:pPr>
        <w:spacing w:line="240" w:lineRule="auto"/>
        <w:jc w:val="both"/>
        <w:rPr>
          <w:rFonts w:ascii="Times New Roman" w:hAnsi="Times New Roman" w:cs="Times New Roman"/>
          <w:sz w:val="24"/>
          <w:szCs w:val="24"/>
          <w:lang w:val="en-GB"/>
        </w:rPr>
      </w:pPr>
      <w:r w:rsidRPr="00767199">
        <w:rPr>
          <w:rFonts w:ascii="Times New Roman" w:hAnsi="Times New Roman" w:cs="Times New Roman"/>
          <w:sz w:val="24"/>
          <w:szCs w:val="24"/>
          <w:lang w:val="en-GB"/>
        </w:rPr>
        <w:t>• Energy</w:t>
      </w:r>
    </w:p>
    <w:p w:rsidR="00BE0B48" w:rsidRPr="00111884" w:rsidRDefault="00767199" w:rsidP="000919B8">
      <w:pPr>
        <w:spacing w:line="240" w:lineRule="auto"/>
        <w:jc w:val="both"/>
        <w:rPr>
          <w:rFonts w:ascii="Times New Roman" w:hAnsi="Times New Roman" w:cs="Times New Roman"/>
          <w:sz w:val="24"/>
          <w:szCs w:val="24"/>
          <w:lang w:val="en-GB"/>
        </w:rPr>
      </w:pPr>
      <w:r w:rsidRPr="00111884">
        <w:rPr>
          <w:rFonts w:ascii="Times New Roman" w:hAnsi="Times New Roman" w:cs="Times New Roman"/>
          <w:sz w:val="24"/>
          <w:szCs w:val="24"/>
          <w:lang w:val="en-GB"/>
        </w:rPr>
        <w:t>• Financial markets</w:t>
      </w:r>
    </w:p>
    <w:p w:rsidR="00767199" w:rsidRDefault="00767199" w:rsidP="000919B8">
      <w:pPr>
        <w:spacing w:line="240" w:lineRule="auto"/>
        <w:jc w:val="both"/>
        <w:rPr>
          <w:rFonts w:ascii="Times New Roman" w:hAnsi="Times New Roman" w:cs="Times New Roman"/>
          <w:sz w:val="24"/>
          <w:szCs w:val="24"/>
        </w:rPr>
      </w:pPr>
      <w:r w:rsidRPr="00767199">
        <w:rPr>
          <w:rFonts w:ascii="Times New Roman" w:hAnsi="Times New Roman" w:cs="Times New Roman"/>
          <w:sz w:val="24"/>
          <w:szCs w:val="24"/>
        </w:rPr>
        <w:t>• Security and defence</w:t>
      </w:r>
    </w:p>
    <w:p w:rsidR="00767199" w:rsidRDefault="00767199" w:rsidP="000919B8">
      <w:pPr>
        <w:spacing w:line="240" w:lineRule="auto"/>
        <w:jc w:val="both"/>
        <w:rPr>
          <w:rFonts w:ascii="Times New Roman" w:hAnsi="Times New Roman" w:cs="Times New Roman"/>
          <w:sz w:val="24"/>
          <w:szCs w:val="24"/>
          <w:lang w:val="en-GB"/>
        </w:rPr>
      </w:pPr>
      <w:r w:rsidRPr="00767199">
        <w:rPr>
          <w:rFonts w:ascii="Times New Roman" w:hAnsi="Times New Roman" w:cs="Times New Roman"/>
          <w:noProof/>
          <w:sz w:val="24"/>
          <w:szCs w:val="24"/>
          <w:lang w:eastAsia="es-ES"/>
        </w:rPr>
        <w:drawing>
          <wp:inline distT="0" distB="0" distL="0" distR="0" wp14:anchorId="0628F18E" wp14:editId="303156C8">
            <wp:extent cx="5727700" cy="2819400"/>
            <wp:effectExtent l="0" t="0" r="635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2821275"/>
                    </a:xfrm>
                    <a:prstGeom prst="rect">
                      <a:avLst/>
                    </a:prstGeom>
                  </pic:spPr>
                </pic:pic>
              </a:graphicData>
            </a:graphic>
          </wp:inline>
        </w:drawing>
      </w:r>
    </w:p>
    <w:p w:rsidR="00767199" w:rsidRDefault="00767199" w:rsidP="000919B8">
      <w:pPr>
        <w:spacing w:line="240" w:lineRule="auto"/>
        <w:jc w:val="both"/>
        <w:rPr>
          <w:rFonts w:ascii="Times New Roman" w:hAnsi="Times New Roman" w:cs="Times New Roman"/>
          <w:sz w:val="24"/>
          <w:szCs w:val="24"/>
          <w:lang w:val="en-GB"/>
        </w:rPr>
      </w:pPr>
      <w:r w:rsidRPr="00767199">
        <w:rPr>
          <w:rFonts w:ascii="Times New Roman" w:hAnsi="Times New Roman" w:cs="Times New Roman"/>
          <w:noProof/>
          <w:sz w:val="24"/>
          <w:szCs w:val="24"/>
          <w:lang w:eastAsia="es-ES"/>
        </w:rPr>
        <w:drawing>
          <wp:inline distT="0" distB="0" distL="0" distR="0" wp14:anchorId="0061FAFD" wp14:editId="7072E5DC">
            <wp:extent cx="5727700" cy="2647950"/>
            <wp:effectExtent l="0" t="0" r="635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27700" cy="2647950"/>
                    </a:xfrm>
                    <a:prstGeom prst="rect">
                      <a:avLst/>
                    </a:prstGeom>
                  </pic:spPr>
                </pic:pic>
              </a:graphicData>
            </a:graphic>
          </wp:inline>
        </w:drawing>
      </w:r>
    </w:p>
    <w:p w:rsidR="00E94182" w:rsidRDefault="00E94182" w:rsidP="000919B8">
      <w:pPr>
        <w:spacing w:line="240" w:lineRule="auto"/>
        <w:jc w:val="both"/>
        <w:rPr>
          <w:rFonts w:ascii="Times New Roman" w:hAnsi="Times New Roman" w:cs="Times New Roman"/>
          <w:sz w:val="24"/>
          <w:szCs w:val="24"/>
          <w:lang w:val="en-GB"/>
        </w:rPr>
      </w:pPr>
      <w:r w:rsidRPr="00E94182">
        <w:rPr>
          <w:rFonts w:ascii="Times New Roman" w:hAnsi="Times New Roman" w:cs="Times New Roman"/>
          <w:noProof/>
          <w:sz w:val="24"/>
          <w:szCs w:val="24"/>
          <w:lang w:eastAsia="es-ES"/>
        </w:rPr>
        <w:lastRenderedPageBreak/>
        <w:drawing>
          <wp:inline distT="0" distB="0" distL="0" distR="0" wp14:anchorId="2337CAF8" wp14:editId="70709089">
            <wp:extent cx="5726277" cy="2679700"/>
            <wp:effectExtent l="0" t="0" r="8255" b="635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2682149"/>
                    </a:xfrm>
                    <a:prstGeom prst="rect">
                      <a:avLst/>
                    </a:prstGeom>
                  </pic:spPr>
                </pic:pic>
              </a:graphicData>
            </a:graphic>
          </wp:inline>
        </w:drawing>
      </w:r>
    </w:p>
    <w:p w:rsidR="00E94182" w:rsidRDefault="00E94182" w:rsidP="000919B8">
      <w:pPr>
        <w:spacing w:line="240" w:lineRule="auto"/>
        <w:jc w:val="both"/>
        <w:rPr>
          <w:rFonts w:ascii="Times New Roman" w:hAnsi="Times New Roman" w:cs="Times New Roman"/>
          <w:sz w:val="24"/>
          <w:szCs w:val="24"/>
          <w:lang w:val="en-GB"/>
        </w:rPr>
      </w:pPr>
      <w:r w:rsidRPr="00E94182">
        <w:rPr>
          <w:rFonts w:ascii="Times New Roman" w:hAnsi="Times New Roman" w:cs="Times New Roman"/>
          <w:noProof/>
          <w:sz w:val="24"/>
          <w:szCs w:val="24"/>
          <w:lang w:eastAsia="es-ES"/>
        </w:rPr>
        <w:drawing>
          <wp:inline distT="0" distB="0" distL="0" distR="0" wp14:anchorId="494CE551" wp14:editId="567A83F4">
            <wp:extent cx="5734050" cy="261620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2615041"/>
                    </a:xfrm>
                    <a:prstGeom prst="rect">
                      <a:avLst/>
                    </a:prstGeom>
                  </pic:spPr>
                </pic:pic>
              </a:graphicData>
            </a:graphic>
          </wp:inline>
        </w:drawing>
      </w:r>
    </w:p>
    <w:p w:rsidR="00E94182" w:rsidRPr="00E94182" w:rsidRDefault="00E94182" w:rsidP="000919B8">
      <w:pPr>
        <w:spacing w:line="240" w:lineRule="auto"/>
        <w:jc w:val="both"/>
        <w:rPr>
          <w:rFonts w:ascii="Times New Roman" w:hAnsi="Times New Roman" w:cs="Times New Roman"/>
          <w:b/>
          <w:sz w:val="24"/>
          <w:szCs w:val="24"/>
          <w:lang w:val="en-GB"/>
        </w:rPr>
      </w:pPr>
      <w:r w:rsidRPr="00E94182">
        <w:rPr>
          <w:rFonts w:ascii="Times New Roman" w:hAnsi="Times New Roman" w:cs="Times New Roman"/>
          <w:b/>
          <w:sz w:val="24"/>
          <w:szCs w:val="24"/>
          <w:lang w:val="en-GB"/>
        </w:rPr>
        <w:t xml:space="preserve">Objectives and proposals </w:t>
      </w:r>
    </w:p>
    <w:p w:rsidR="00E94182" w:rsidRPr="00E94182" w:rsidRDefault="00E94182" w:rsidP="000919B8">
      <w:pPr>
        <w:spacing w:line="240" w:lineRule="auto"/>
        <w:jc w:val="both"/>
        <w:rPr>
          <w:rFonts w:ascii="Times New Roman" w:hAnsi="Times New Roman" w:cs="Times New Roman"/>
          <w:sz w:val="24"/>
          <w:szCs w:val="24"/>
          <w:lang w:val="en-GB"/>
        </w:rPr>
      </w:pPr>
      <w:r w:rsidRPr="00E94182">
        <w:rPr>
          <w:rFonts w:ascii="Times New Roman" w:hAnsi="Times New Roman" w:cs="Times New Roman"/>
          <w:sz w:val="24"/>
          <w:szCs w:val="24"/>
          <w:lang w:val="en-GB"/>
        </w:rPr>
        <w:t xml:space="preserve">Overall objectives for a reinforced space industrial strategy at the EU level would include: </w:t>
      </w:r>
    </w:p>
    <w:p w:rsidR="00E94182" w:rsidRPr="00E94182" w:rsidRDefault="00E94182" w:rsidP="000919B8">
      <w:pPr>
        <w:spacing w:line="240" w:lineRule="auto"/>
        <w:jc w:val="both"/>
        <w:rPr>
          <w:rFonts w:ascii="Times New Roman" w:hAnsi="Times New Roman" w:cs="Times New Roman"/>
          <w:sz w:val="24"/>
          <w:szCs w:val="24"/>
          <w:lang w:val="en-GB"/>
        </w:rPr>
      </w:pPr>
      <w:r w:rsidRPr="00E94182">
        <w:rPr>
          <w:rFonts w:ascii="Times New Roman" w:hAnsi="Times New Roman" w:cs="Times New Roman"/>
          <w:sz w:val="24"/>
          <w:szCs w:val="24"/>
          <w:lang w:val="en-GB"/>
        </w:rPr>
        <w:t xml:space="preserve">• Guaranteeing European sovereignty in autonomous access to space, defence capabilities, and key space applications for society, such as telecommunication, Earth Observation, navigation, and security. </w:t>
      </w:r>
    </w:p>
    <w:p w:rsidR="00E94182" w:rsidRPr="00E94182" w:rsidRDefault="00E94182" w:rsidP="000919B8">
      <w:pPr>
        <w:spacing w:line="240" w:lineRule="auto"/>
        <w:jc w:val="both"/>
        <w:rPr>
          <w:rFonts w:ascii="Times New Roman" w:hAnsi="Times New Roman" w:cs="Times New Roman"/>
          <w:sz w:val="24"/>
          <w:szCs w:val="24"/>
          <w:lang w:val="en-GB"/>
        </w:rPr>
      </w:pPr>
      <w:r w:rsidRPr="00E94182">
        <w:rPr>
          <w:rFonts w:ascii="Times New Roman" w:hAnsi="Times New Roman" w:cs="Times New Roman"/>
          <w:sz w:val="24"/>
          <w:szCs w:val="24"/>
          <w:lang w:val="en-GB"/>
        </w:rPr>
        <w:t xml:space="preserve">• Maintaining or achieving world-class industrial leadership in selected areas and emerging space-based industrial segments. </w:t>
      </w:r>
    </w:p>
    <w:p w:rsidR="00E94182" w:rsidRDefault="00E94182" w:rsidP="000919B8">
      <w:pPr>
        <w:spacing w:line="240" w:lineRule="auto"/>
        <w:jc w:val="both"/>
        <w:rPr>
          <w:rFonts w:ascii="Times New Roman" w:hAnsi="Times New Roman" w:cs="Times New Roman"/>
          <w:sz w:val="24"/>
          <w:szCs w:val="24"/>
          <w:lang w:val="en-GB"/>
        </w:rPr>
      </w:pPr>
      <w:r w:rsidRPr="00E94182">
        <w:rPr>
          <w:rFonts w:ascii="Times New Roman" w:hAnsi="Times New Roman" w:cs="Times New Roman"/>
          <w:sz w:val="24"/>
          <w:szCs w:val="24"/>
          <w:lang w:val="en-GB"/>
        </w:rPr>
        <w:t>• Enabling innovation and the scaling up of successful European market participants Specific initiatives should establish effective governance of the sector, allocate and mobilise the required resources, and increase the effectiveness of the spending.</w:t>
      </w:r>
    </w:p>
    <w:p w:rsidR="00E94182" w:rsidRPr="00E94182" w:rsidRDefault="00E94182" w:rsidP="000919B8">
      <w:pPr>
        <w:spacing w:line="240" w:lineRule="auto"/>
        <w:jc w:val="both"/>
        <w:rPr>
          <w:rFonts w:ascii="Times New Roman" w:hAnsi="Times New Roman" w:cs="Times New Roman"/>
          <w:b/>
          <w:sz w:val="24"/>
          <w:szCs w:val="24"/>
          <w:lang w:val="en-GB"/>
        </w:rPr>
      </w:pPr>
      <w:r w:rsidRPr="00E94182">
        <w:rPr>
          <w:rFonts w:ascii="Times New Roman" w:hAnsi="Times New Roman" w:cs="Times New Roman"/>
          <w:b/>
          <w:sz w:val="24"/>
          <w:szCs w:val="24"/>
          <w:lang w:val="en-GB"/>
        </w:rPr>
        <w:t xml:space="preserve">9. Pharma The starting point </w:t>
      </w:r>
    </w:p>
    <w:p w:rsidR="00E94182" w:rsidRPr="00E94182" w:rsidRDefault="00E94182" w:rsidP="000919B8">
      <w:pPr>
        <w:spacing w:line="240" w:lineRule="auto"/>
        <w:jc w:val="both"/>
        <w:rPr>
          <w:rFonts w:ascii="Times New Roman" w:hAnsi="Times New Roman" w:cs="Times New Roman"/>
          <w:sz w:val="24"/>
          <w:szCs w:val="24"/>
          <w:lang w:val="en-GB"/>
        </w:rPr>
      </w:pPr>
      <w:r w:rsidRPr="00E94182">
        <w:rPr>
          <w:rFonts w:ascii="Times New Roman" w:hAnsi="Times New Roman" w:cs="Times New Roman"/>
          <w:b/>
          <w:sz w:val="24"/>
          <w:szCs w:val="24"/>
          <w:lang w:val="en-GB"/>
        </w:rPr>
        <w:t>The global pharmaceutical sector is the fourth largest market in the world measured in terms of net sales and the third largest measured by overall profit.</w:t>
      </w:r>
      <w:r w:rsidRPr="00E94182">
        <w:rPr>
          <w:rFonts w:ascii="Times New Roman" w:hAnsi="Times New Roman" w:cs="Times New Roman"/>
          <w:sz w:val="24"/>
          <w:szCs w:val="24"/>
          <w:lang w:val="en-GB"/>
        </w:rPr>
        <w:t xml:space="preserve"> The global market for medicines (EUR 1.2 trillion in 2022 at ex-factory prices) is expected to grow to USD 1.9 </w:t>
      </w:r>
      <w:r w:rsidRPr="00E94182">
        <w:rPr>
          <w:rFonts w:ascii="Times New Roman" w:hAnsi="Times New Roman" w:cs="Times New Roman"/>
          <w:sz w:val="24"/>
          <w:szCs w:val="24"/>
          <w:lang w:val="en-GB"/>
        </w:rPr>
        <w:lastRenderedPageBreak/>
        <w:t xml:space="preserve">trillion (EUR 1.76 trillion) by 2027. In the longer term, population ageing will continue to spur growth in demand. </w:t>
      </w:r>
    </w:p>
    <w:p w:rsidR="00E94182" w:rsidRPr="00E94182" w:rsidRDefault="00E94182" w:rsidP="000919B8">
      <w:pPr>
        <w:spacing w:line="240" w:lineRule="auto"/>
        <w:jc w:val="both"/>
        <w:rPr>
          <w:rFonts w:ascii="Times New Roman" w:hAnsi="Times New Roman" w:cs="Times New Roman"/>
          <w:sz w:val="24"/>
          <w:szCs w:val="24"/>
          <w:lang w:val="en-GB"/>
        </w:rPr>
      </w:pPr>
      <w:r w:rsidRPr="00E94182">
        <w:rPr>
          <w:rFonts w:ascii="Times New Roman" w:hAnsi="Times New Roman" w:cs="Times New Roman"/>
          <w:b/>
          <w:sz w:val="24"/>
          <w:szCs w:val="24"/>
          <w:lang w:val="en-GB"/>
        </w:rPr>
        <w:t>The pharmaceutical sector is a significant contributor to the EU’s economy</w:t>
      </w:r>
      <w:r w:rsidRPr="00E94182">
        <w:rPr>
          <w:rFonts w:ascii="Times New Roman" w:hAnsi="Times New Roman" w:cs="Times New Roman"/>
          <w:sz w:val="24"/>
          <w:szCs w:val="24"/>
          <w:lang w:val="en-GB"/>
        </w:rPr>
        <w:t>. It accounts for 5% of value added to the economy from all manufacturing - representing over 20% fo</w:t>
      </w:r>
      <w:r w:rsidR="006573BE">
        <w:rPr>
          <w:rFonts w:ascii="Times New Roman" w:hAnsi="Times New Roman" w:cs="Times New Roman"/>
          <w:sz w:val="24"/>
          <w:szCs w:val="24"/>
          <w:lang w:val="en-GB"/>
        </w:rPr>
        <w:t>r Belgium and Denmark in 2020</w:t>
      </w:r>
      <w:r w:rsidRPr="00E94182">
        <w:rPr>
          <w:rFonts w:ascii="Times New Roman" w:hAnsi="Times New Roman" w:cs="Times New Roman"/>
          <w:sz w:val="24"/>
          <w:szCs w:val="24"/>
          <w:lang w:val="en-GB"/>
        </w:rPr>
        <w:t xml:space="preserve">. Pharmaceuticals represent almost 11% of EU exports. </w:t>
      </w:r>
    </w:p>
    <w:p w:rsidR="00E94182" w:rsidRPr="00E94182" w:rsidRDefault="00E94182" w:rsidP="000919B8">
      <w:pPr>
        <w:spacing w:line="240" w:lineRule="auto"/>
        <w:jc w:val="both"/>
        <w:rPr>
          <w:rFonts w:ascii="Times New Roman" w:hAnsi="Times New Roman" w:cs="Times New Roman"/>
          <w:sz w:val="24"/>
          <w:szCs w:val="24"/>
          <w:lang w:val="en-GB"/>
        </w:rPr>
      </w:pPr>
      <w:r w:rsidRPr="00E94182">
        <w:rPr>
          <w:rFonts w:ascii="Times New Roman" w:hAnsi="Times New Roman" w:cs="Times New Roman"/>
          <w:b/>
          <w:sz w:val="24"/>
          <w:szCs w:val="24"/>
          <w:lang w:val="en-GB"/>
        </w:rPr>
        <w:t>Around 937,000 people are directly employed by the sector (as of Q4 2023), up from 680,000 (in Q1 2008).</w:t>
      </w:r>
      <w:r w:rsidRPr="00E94182">
        <w:rPr>
          <w:rFonts w:ascii="Times New Roman" w:hAnsi="Times New Roman" w:cs="Times New Roman"/>
          <w:sz w:val="24"/>
          <w:szCs w:val="24"/>
          <w:lang w:val="en-GB"/>
        </w:rPr>
        <w:t xml:space="preserve"> It is estimated that adding indirect employment generated by the sector would more than double its employment footprint. The sector offers highly skilled and well-remunerated jobs, with some 15% of staff involved in R&amp;D. </w:t>
      </w:r>
    </w:p>
    <w:p w:rsidR="00E94182" w:rsidRDefault="00A021C8" w:rsidP="000919B8">
      <w:pPr>
        <w:spacing w:line="240" w:lineRule="auto"/>
        <w:jc w:val="both"/>
        <w:rPr>
          <w:rFonts w:ascii="Times New Roman" w:hAnsi="Times New Roman" w:cs="Times New Roman"/>
          <w:sz w:val="24"/>
          <w:szCs w:val="24"/>
          <w:lang w:val="en-GB"/>
        </w:rPr>
      </w:pPr>
      <w:r w:rsidRPr="00E94182">
        <w:rPr>
          <w:rFonts w:ascii="Times New Roman" w:hAnsi="Times New Roman" w:cs="Times New Roman"/>
          <w:b/>
          <w:sz w:val="24"/>
          <w:szCs w:val="24"/>
          <w:lang w:val="en-GB"/>
        </w:rPr>
        <w:t>Pharmaceuticals are</w:t>
      </w:r>
      <w:r w:rsidR="00E94182" w:rsidRPr="00E94182">
        <w:rPr>
          <w:rFonts w:ascii="Times New Roman" w:hAnsi="Times New Roman" w:cs="Times New Roman"/>
          <w:b/>
          <w:sz w:val="24"/>
          <w:szCs w:val="24"/>
          <w:lang w:val="en-GB"/>
        </w:rPr>
        <w:t xml:space="preserve"> also a sector of geostrategic importance, as demonstrated by the COVID-19 pandemic</w:t>
      </w:r>
      <w:r w:rsidR="00E94182" w:rsidRPr="00E94182">
        <w:rPr>
          <w:rFonts w:ascii="Times New Roman" w:hAnsi="Times New Roman" w:cs="Times New Roman"/>
          <w:sz w:val="24"/>
          <w:szCs w:val="24"/>
          <w:lang w:val="en-GB"/>
        </w:rPr>
        <w:t>. The capacity to swiftly develop, produce and administer vaccinations was crucial in allowing the EU’s economic recovery</w:t>
      </w:r>
      <w:r w:rsidR="00185EE1">
        <w:rPr>
          <w:rFonts w:ascii="Times New Roman" w:hAnsi="Times New Roman" w:cs="Times New Roman"/>
          <w:sz w:val="24"/>
          <w:szCs w:val="24"/>
          <w:lang w:val="en-GB"/>
        </w:rPr>
        <w:t>…</w:t>
      </w:r>
    </w:p>
    <w:p w:rsidR="00185EE1" w:rsidRDefault="00185EE1" w:rsidP="000919B8">
      <w:pPr>
        <w:spacing w:line="240" w:lineRule="auto"/>
        <w:jc w:val="both"/>
        <w:rPr>
          <w:rFonts w:ascii="Times New Roman" w:hAnsi="Times New Roman" w:cs="Times New Roman"/>
          <w:sz w:val="24"/>
          <w:szCs w:val="24"/>
          <w:lang w:val="en-GB"/>
        </w:rPr>
      </w:pPr>
      <w:r w:rsidRPr="00185EE1">
        <w:rPr>
          <w:rFonts w:ascii="Times New Roman" w:hAnsi="Times New Roman" w:cs="Times New Roman"/>
          <w:noProof/>
          <w:sz w:val="24"/>
          <w:szCs w:val="24"/>
          <w:lang w:eastAsia="es-ES"/>
        </w:rPr>
        <w:drawing>
          <wp:inline distT="0" distB="0" distL="0" distR="0" wp14:anchorId="407343D0" wp14:editId="671A1A43">
            <wp:extent cx="5731510" cy="3172538"/>
            <wp:effectExtent l="0" t="0" r="2540" b="889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3172538"/>
                    </a:xfrm>
                    <a:prstGeom prst="rect">
                      <a:avLst/>
                    </a:prstGeom>
                  </pic:spPr>
                </pic:pic>
              </a:graphicData>
            </a:graphic>
          </wp:inline>
        </w:drawing>
      </w:r>
    </w:p>
    <w:p w:rsidR="00185EE1" w:rsidRDefault="00185EE1" w:rsidP="000919B8">
      <w:pPr>
        <w:spacing w:line="240" w:lineRule="auto"/>
        <w:jc w:val="both"/>
        <w:rPr>
          <w:rFonts w:ascii="Times New Roman" w:hAnsi="Times New Roman" w:cs="Times New Roman"/>
          <w:sz w:val="24"/>
          <w:szCs w:val="24"/>
          <w:lang w:val="en-GB"/>
        </w:rPr>
      </w:pPr>
      <w:r w:rsidRPr="00185EE1">
        <w:rPr>
          <w:rFonts w:ascii="Times New Roman" w:hAnsi="Times New Roman" w:cs="Times New Roman"/>
          <w:noProof/>
          <w:sz w:val="24"/>
          <w:szCs w:val="24"/>
          <w:lang w:eastAsia="es-ES"/>
        </w:rPr>
        <w:drawing>
          <wp:inline distT="0" distB="0" distL="0" distR="0" wp14:anchorId="0B7A84B7" wp14:editId="2EDEAABD">
            <wp:extent cx="5731510" cy="2565096"/>
            <wp:effectExtent l="0" t="0" r="2540" b="6985"/>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2565096"/>
                    </a:xfrm>
                    <a:prstGeom prst="rect">
                      <a:avLst/>
                    </a:prstGeom>
                  </pic:spPr>
                </pic:pic>
              </a:graphicData>
            </a:graphic>
          </wp:inline>
        </w:drawing>
      </w:r>
    </w:p>
    <w:p w:rsidR="00185EE1" w:rsidRDefault="00185EE1" w:rsidP="000919B8">
      <w:pPr>
        <w:spacing w:line="240" w:lineRule="auto"/>
        <w:jc w:val="both"/>
        <w:rPr>
          <w:rFonts w:ascii="Times New Roman" w:hAnsi="Times New Roman" w:cs="Times New Roman"/>
          <w:sz w:val="24"/>
          <w:szCs w:val="24"/>
          <w:lang w:val="en-GB"/>
        </w:rPr>
      </w:pPr>
      <w:r w:rsidRPr="00185EE1">
        <w:rPr>
          <w:rFonts w:ascii="Times New Roman" w:hAnsi="Times New Roman" w:cs="Times New Roman"/>
          <w:noProof/>
          <w:sz w:val="24"/>
          <w:szCs w:val="24"/>
          <w:lang w:eastAsia="es-ES"/>
        </w:rPr>
        <w:lastRenderedPageBreak/>
        <w:drawing>
          <wp:inline distT="0" distB="0" distL="0" distR="0" wp14:anchorId="53BA344D" wp14:editId="166D046A">
            <wp:extent cx="5725597" cy="2749550"/>
            <wp:effectExtent l="0" t="0" r="889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2752389"/>
                    </a:xfrm>
                    <a:prstGeom prst="rect">
                      <a:avLst/>
                    </a:prstGeom>
                  </pic:spPr>
                </pic:pic>
              </a:graphicData>
            </a:graphic>
          </wp:inline>
        </w:drawing>
      </w:r>
    </w:p>
    <w:p w:rsidR="00185EE1" w:rsidRDefault="00185EE1" w:rsidP="000919B8">
      <w:pPr>
        <w:spacing w:line="240" w:lineRule="auto"/>
        <w:jc w:val="both"/>
        <w:rPr>
          <w:rFonts w:ascii="Times New Roman" w:hAnsi="Times New Roman" w:cs="Times New Roman"/>
          <w:sz w:val="24"/>
          <w:szCs w:val="24"/>
          <w:lang w:val="en-GB"/>
        </w:rPr>
      </w:pPr>
      <w:r w:rsidRPr="00185EE1">
        <w:rPr>
          <w:rFonts w:ascii="Times New Roman" w:hAnsi="Times New Roman" w:cs="Times New Roman"/>
          <w:noProof/>
          <w:sz w:val="24"/>
          <w:szCs w:val="24"/>
          <w:lang w:eastAsia="es-ES"/>
        </w:rPr>
        <w:drawing>
          <wp:inline distT="0" distB="0" distL="0" distR="0" wp14:anchorId="55B57585" wp14:editId="64FAAD5E">
            <wp:extent cx="5728324" cy="2736850"/>
            <wp:effectExtent l="0" t="0" r="6350" b="635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2738372"/>
                    </a:xfrm>
                    <a:prstGeom prst="rect">
                      <a:avLst/>
                    </a:prstGeom>
                  </pic:spPr>
                </pic:pic>
              </a:graphicData>
            </a:graphic>
          </wp:inline>
        </w:drawing>
      </w:r>
    </w:p>
    <w:p w:rsidR="00185EE1" w:rsidRPr="00E94182" w:rsidRDefault="00185EE1" w:rsidP="000919B8">
      <w:pPr>
        <w:spacing w:line="240" w:lineRule="auto"/>
        <w:jc w:val="both"/>
        <w:rPr>
          <w:rFonts w:ascii="Times New Roman" w:hAnsi="Times New Roman" w:cs="Times New Roman"/>
          <w:sz w:val="24"/>
          <w:szCs w:val="24"/>
          <w:lang w:val="en-GB"/>
        </w:rPr>
      </w:pPr>
      <w:r w:rsidRPr="00185EE1">
        <w:rPr>
          <w:rFonts w:ascii="Times New Roman" w:hAnsi="Times New Roman" w:cs="Times New Roman"/>
          <w:noProof/>
          <w:sz w:val="24"/>
          <w:szCs w:val="24"/>
          <w:lang w:eastAsia="es-ES"/>
        </w:rPr>
        <w:drawing>
          <wp:inline distT="0" distB="0" distL="0" distR="0" wp14:anchorId="72B38E38" wp14:editId="2B179214">
            <wp:extent cx="5726105" cy="2736850"/>
            <wp:effectExtent l="0" t="0" r="8255" b="635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2739433"/>
                    </a:xfrm>
                    <a:prstGeom prst="rect">
                      <a:avLst/>
                    </a:prstGeom>
                  </pic:spPr>
                </pic:pic>
              </a:graphicData>
            </a:graphic>
          </wp:inline>
        </w:drawing>
      </w:r>
    </w:p>
    <w:p w:rsidR="00E94182" w:rsidRDefault="00E94182" w:rsidP="000919B8">
      <w:pPr>
        <w:spacing w:line="240" w:lineRule="auto"/>
        <w:jc w:val="both"/>
        <w:rPr>
          <w:rFonts w:ascii="Times New Roman" w:hAnsi="Times New Roman" w:cs="Times New Roman"/>
          <w:sz w:val="24"/>
          <w:szCs w:val="24"/>
          <w:lang w:val="en-GB"/>
        </w:rPr>
      </w:pPr>
    </w:p>
    <w:p w:rsidR="00185EE1" w:rsidRDefault="00185EE1" w:rsidP="000919B8">
      <w:pPr>
        <w:spacing w:line="240" w:lineRule="auto"/>
        <w:jc w:val="both"/>
        <w:rPr>
          <w:rFonts w:ascii="Times New Roman" w:hAnsi="Times New Roman" w:cs="Times New Roman"/>
          <w:sz w:val="24"/>
          <w:szCs w:val="24"/>
          <w:lang w:val="en-GB"/>
        </w:rPr>
      </w:pPr>
      <w:r w:rsidRPr="00185EE1">
        <w:rPr>
          <w:rFonts w:ascii="Times New Roman" w:hAnsi="Times New Roman" w:cs="Times New Roman"/>
          <w:noProof/>
          <w:sz w:val="24"/>
          <w:szCs w:val="24"/>
          <w:lang w:eastAsia="es-ES"/>
        </w:rPr>
        <w:lastRenderedPageBreak/>
        <w:drawing>
          <wp:inline distT="0" distB="0" distL="0" distR="0" wp14:anchorId="45AB7C97" wp14:editId="0D00F038">
            <wp:extent cx="5731510" cy="3183560"/>
            <wp:effectExtent l="0" t="0" r="254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3183560"/>
                    </a:xfrm>
                    <a:prstGeom prst="rect">
                      <a:avLst/>
                    </a:prstGeom>
                  </pic:spPr>
                </pic:pic>
              </a:graphicData>
            </a:graphic>
          </wp:inline>
        </w:drawing>
      </w:r>
    </w:p>
    <w:p w:rsidR="00185EE1" w:rsidRDefault="00185EE1" w:rsidP="000919B8">
      <w:pPr>
        <w:spacing w:line="240" w:lineRule="auto"/>
        <w:jc w:val="both"/>
        <w:rPr>
          <w:rFonts w:ascii="Times New Roman" w:hAnsi="Times New Roman" w:cs="Times New Roman"/>
          <w:sz w:val="24"/>
          <w:szCs w:val="24"/>
          <w:lang w:val="en-GB"/>
        </w:rPr>
      </w:pPr>
      <w:r w:rsidRPr="00185EE1">
        <w:rPr>
          <w:rFonts w:ascii="Times New Roman" w:hAnsi="Times New Roman" w:cs="Times New Roman"/>
          <w:noProof/>
          <w:sz w:val="24"/>
          <w:szCs w:val="24"/>
          <w:lang w:eastAsia="es-ES"/>
        </w:rPr>
        <w:drawing>
          <wp:inline distT="0" distB="0" distL="0" distR="0" wp14:anchorId="34D44858" wp14:editId="017D6B2D">
            <wp:extent cx="5731510" cy="3006593"/>
            <wp:effectExtent l="0" t="0" r="2540" b="381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3006593"/>
                    </a:xfrm>
                    <a:prstGeom prst="rect">
                      <a:avLst/>
                    </a:prstGeom>
                  </pic:spPr>
                </pic:pic>
              </a:graphicData>
            </a:graphic>
          </wp:inline>
        </w:drawing>
      </w:r>
    </w:p>
    <w:p w:rsidR="00185EE1" w:rsidRPr="00185EE1" w:rsidRDefault="00185EE1" w:rsidP="000919B8">
      <w:pPr>
        <w:spacing w:line="240" w:lineRule="auto"/>
        <w:jc w:val="both"/>
        <w:rPr>
          <w:rFonts w:ascii="Times New Roman" w:hAnsi="Times New Roman" w:cs="Times New Roman"/>
          <w:b/>
          <w:sz w:val="24"/>
          <w:szCs w:val="24"/>
          <w:lang w:val="en-GB"/>
        </w:rPr>
      </w:pPr>
      <w:r w:rsidRPr="00185EE1">
        <w:rPr>
          <w:rFonts w:ascii="Times New Roman" w:hAnsi="Times New Roman" w:cs="Times New Roman"/>
          <w:b/>
          <w:sz w:val="24"/>
          <w:szCs w:val="24"/>
          <w:lang w:val="en-GB"/>
        </w:rPr>
        <w:t xml:space="preserve">Objectives and proposals </w:t>
      </w:r>
    </w:p>
    <w:p w:rsidR="00185EE1" w:rsidRPr="00185EE1" w:rsidRDefault="00185EE1" w:rsidP="000919B8">
      <w:pPr>
        <w:spacing w:line="240" w:lineRule="auto"/>
        <w:jc w:val="both"/>
        <w:rPr>
          <w:rFonts w:ascii="Times New Roman" w:hAnsi="Times New Roman" w:cs="Times New Roman"/>
          <w:sz w:val="24"/>
          <w:szCs w:val="24"/>
          <w:lang w:val="en-GB"/>
        </w:rPr>
      </w:pPr>
      <w:r w:rsidRPr="00185EE1">
        <w:rPr>
          <w:rFonts w:ascii="Times New Roman" w:hAnsi="Times New Roman" w:cs="Times New Roman"/>
          <w:sz w:val="24"/>
          <w:szCs w:val="24"/>
          <w:lang w:val="en-GB"/>
        </w:rPr>
        <w:t xml:space="preserve">The overall objective is to maintain and expand the capacity of the EU to conduct R&amp;D. In doing so, location decisions concerning manufacturing may be positively influenced, for example in the space for on-patent pharmaceuticals. Specific focus is placed on biologicals, orphan products and advanced therapy medicinal products (ATMPs). Concerning the latter -the nascent market for ATMPs- global leadership for the EU in R&amp;D is pursued. </w:t>
      </w:r>
    </w:p>
    <w:p w:rsidR="00185EE1" w:rsidRPr="00185EE1" w:rsidRDefault="00185EE1" w:rsidP="000919B8">
      <w:pPr>
        <w:spacing w:line="240" w:lineRule="auto"/>
        <w:jc w:val="both"/>
        <w:rPr>
          <w:rFonts w:ascii="Times New Roman" w:hAnsi="Times New Roman" w:cs="Times New Roman"/>
          <w:sz w:val="24"/>
          <w:szCs w:val="24"/>
          <w:lang w:val="en-GB"/>
        </w:rPr>
      </w:pPr>
      <w:r w:rsidRPr="00185EE1">
        <w:rPr>
          <w:rFonts w:ascii="Times New Roman" w:hAnsi="Times New Roman" w:cs="Times New Roman"/>
          <w:sz w:val="24"/>
          <w:szCs w:val="24"/>
          <w:lang w:val="en-GB"/>
        </w:rPr>
        <w:t xml:space="preserve">Proposals aim to address the key root causes driving the EU’s emerging competitiveness gap for pharmaceuticals. The following actions are recommended to address this gap, also building on recent reforms and proposals. Moreover, proposals 1 and 2, as well as 4, will in particular draw novel R&amp;D activities to the EU. Proposals 3-5 will help expedite the access to markets for products. Proposals 7 and 8 directly address options for increased and more </w:t>
      </w:r>
      <w:r w:rsidRPr="00185EE1">
        <w:rPr>
          <w:rFonts w:ascii="Times New Roman" w:hAnsi="Times New Roman" w:cs="Times New Roman"/>
          <w:sz w:val="24"/>
          <w:szCs w:val="24"/>
          <w:lang w:val="en-GB"/>
        </w:rPr>
        <w:lastRenderedPageBreak/>
        <w:t xml:space="preserve">focused R&amp;D funding. Finally, proposals 6 and 9 aim at fostering business predictability in the longer run. </w:t>
      </w:r>
    </w:p>
    <w:p w:rsidR="00185EE1" w:rsidRDefault="00185EE1" w:rsidP="000919B8">
      <w:pPr>
        <w:spacing w:line="240" w:lineRule="auto"/>
        <w:jc w:val="both"/>
        <w:rPr>
          <w:rFonts w:ascii="Times New Roman" w:hAnsi="Times New Roman" w:cs="Times New Roman"/>
          <w:sz w:val="24"/>
          <w:szCs w:val="24"/>
          <w:lang w:val="en-GB"/>
        </w:rPr>
      </w:pPr>
      <w:r w:rsidRPr="00185EE1">
        <w:rPr>
          <w:rFonts w:ascii="Times New Roman" w:hAnsi="Times New Roman" w:cs="Times New Roman"/>
          <w:sz w:val="24"/>
          <w:szCs w:val="24"/>
          <w:lang w:val="en-GB"/>
        </w:rPr>
        <w:t>These proposals are complemented with proposals from various other chapters, notably the Innovation, Sustaining Investment and Governance chapters</w:t>
      </w:r>
      <w:r w:rsidR="00537B1F">
        <w:rPr>
          <w:rFonts w:ascii="Times New Roman" w:hAnsi="Times New Roman" w:cs="Times New Roman"/>
          <w:sz w:val="24"/>
          <w:szCs w:val="24"/>
          <w:lang w:val="en-GB"/>
        </w:rPr>
        <w:t>…</w:t>
      </w:r>
    </w:p>
    <w:p w:rsidR="00537B1F" w:rsidRPr="00537B1F" w:rsidRDefault="00537B1F" w:rsidP="000919B8">
      <w:pPr>
        <w:spacing w:line="240" w:lineRule="auto"/>
        <w:jc w:val="both"/>
        <w:rPr>
          <w:rFonts w:ascii="Times New Roman" w:hAnsi="Times New Roman" w:cs="Times New Roman"/>
          <w:b/>
          <w:sz w:val="24"/>
          <w:szCs w:val="24"/>
          <w:lang w:val="en-GB"/>
        </w:rPr>
      </w:pPr>
      <w:r w:rsidRPr="00537B1F">
        <w:rPr>
          <w:rFonts w:ascii="Times New Roman" w:hAnsi="Times New Roman" w:cs="Times New Roman"/>
          <w:b/>
          <w:sz w:val="24"/>
          <w:szCs w:val="24"/>
          <w:lang w:val="en-GB"/>
        </w:rPr>
        <w:t>1. Maximise the impact of the European Health Data Space (EHDS)</w:t>
      </w:r>
    </w:p>
    <w:p w:rsidR="00537B1F" w:rsidRPr="00537B1F" w:rsidRDefault="00537B1F" w:rsidP="000919B8">
      <w:pPr>
        <w:spacing w:line="240" w:lineRule="auto"/>
        <w:jc w:val="both"/>
        <w:rPr>
          <w:rFonts w:ascii="Times New Roman" w:hAnsi="Times New Roman" w:cs="Times New Roman"/>
          <w:b/>
          <w:sz w:val="24"/>
          <w:szCs w:val="24"/>
          <w:lang w:val="en-GB"/>
        </w:rPr>
      </w:pPr>
      <w:r w:rsidRPr="00537B1F">
        <w:rPr>
          <w:rFonts w:ascii="Times New Roman" w:hAnsi="Times New Roman" w:cs="Times New Roman"/>
          <w:b/>
          <w:sz w:val="24"/>
          <w:szCs w:val="24"/>
          <w:lang w:val="en-GB"/>
        </w:rPr>
        <w:t>2. Streamline the set-up and management of multi-country trials in the EU</w:t>
      </w:r>
    </w:p>
    <w:p w:rsidR="00537B1F" w:rsidRPr="00537B1F" w:rsidRDefault="00537B1F" w:rsidP="000919B8">
      <w:pPr>
        <w:spacing w:line="240" w:lineRule="auto"/>
        <w:jc w:val="both"/>
        <w:rPr>
          <w:rFonts w:ascii="Times New Roman" w:hAnsi="Times New Roman" w:cs="Times New Roman"/>
          <w:b/>
          <w:sz w:val="24"/>
          <w:szCs w:val="24"/>
          <w:lang w:val="en-GB"/>
        </w:rPr>
      </w:pPr>
      <w:r w:rsidRPr="00537B1F">
        <w:rPr>
          <w:rFonts w:ascii="Times New Roman" w:hAnsi="Times New Roman" w:cs="Times New Roman"/>
          <w:b/>
          <w:sz w:val="24"/>
          <w:szCs w:val="24"/>
          <w:lang w:val="en-GB"/>
        </w:rPr>
        <w:t>3. Expedite access to markets through coordinated action by medicines agencies, HTA authorities and public payers to issue guidance on clinical evidence required from industry and to co-operate on pricing and reimbursement as well as procurement</w:t>
      </w:r>
    </w:p>
    <w:p w:rsidR="00537B1F" w:rsidRPr="00537B1F" w:rsidRDefault="00537B1F" w:rsidP="000919B8">
      <w:pPr>
        <w:spacing w:line="240" w:lineRule="auto"/>
        <w:jc w:val="both"/>
        <w:rPr>
          <w:rFonts w:ascii="Times New Roman" w:hAnsi="Times New Roman" w:cs="Times New Roman"/>
          <w:b/>
          <w:sz w:val="24"/>
          <w:szCs w:val="24"/>
          <w:lang w:val="en-GB"/>
        </w:rPr>
      </w:pPr>
      <w:r w:rsidRPr="00537B1F">
        <w:rPr>
          <w:rFonts w:ascii="Times New Roman" w:hAnsi="Times New Roman" w:cs="Times New Roman"/>
          <w:b/>
          <w:sz w:val="24"/>
          <w:szCs w:val="24"/>
          <w:lang w:val="en-GB"/>
        </w:rPr>
        <w:t>4. Provide clear and timely guidance on the use of AI in the lifecycle of medicines</w:t>
      </w:r>
    </w:p>
    <w:p w:rsidR="00537B1F" w:rsidRPr="00537B1F" w:rsidRDefault="00537B1F" w:rsidP="000919B8">
      <w:pPr>
        <w:spacing w:line="240" w:lineRule="auto"/>
        <w:jc w:val="both"/>
        <w:rPr>
          <w:rFonts w:ascii="Times New Roman" w:hAnsi="Times New Roman" w:cs="Times New Roman"/>
          <w:b/>
          <w:sz w:val="24"/>
          <w:szCs w:val="24"/>
          <w:lang w:val="en-GB"/>
        </w:rPr>
      </w:pPr>
      <w:r w:rsidRPr="00537B1F">
        <w:rPr>
          <w:rFonts w:ascii="Times New Roman" w:hAnsi="Times New Roman" w:cs="Times New Roman"/>
          <w:b/>
          <w:sz w:val="24"/>
          <w:szCs w:val="24"/>
          <w:lang w:val="en-GB"/>
        </w:rPr>
        <w:t>5. Rapidly and fully implement the HTA regulation and ensure the required resources are allocated to ensure the delivery of joint clinical assessments as of 2025, with the aim of establishing an EU agency in the long term</w:t>
      </w:r>
    </w:p>
    <w:p w:rsidR="00537B1F" w:rsidRPr="00537B1F" w:rsidRDefault="00537B1F" w:rsidP="000919B8">
      <w:pPr>
        <w:spacing w:line="240" w:lineRule="auto"/>
        <w:jc w:val="both"/>
        <w:rPr>
          <w:rFonts w:ascii="Times New Roman" w:hAnsi="Times New Roman" w:cs="Times New Roman"/>
          <w:b/>
          <w:sz w:val="24"/>
          <w:szCs w:val="24"/>
          <w:lang w:val="en-GB"/>
        </w:rPr>
      </w:pPr>
      <w:r w:rsidRPr="00537B1F">
        <w:rPr>
          <w:rFonts w:ascii="Times New Roman" w:hAnsi="Times New Roman" w:cs="Times New Roman"/>
          <w:b/>
          <w:sz w:val="24"/>
          <w:szCs w:val="24"/>
          <w:lang w:val="en-GB"/>
        </w:rPr>
        <w:t>6. Improve business predictability through a continuous evidence-based dialogue with stakeholders to underpin EU policy-making on protection mechanisms for novel medicines</w:t>
      </w:r>
    </w:p>
    <w:p w:rsidR="00537B1F" w:rsidRPr="00537B1F" w:rsidRDefault="00537B1F" w:rsidP="000919B8">
      <w:pPr>
        <w:spacing w:line="240" w:lineRule="auto"/>
        <w:jc w:val="both"/>
        <w:rPr>
          <w:rFonts w:ascii="Times New Roman" w:hAnsi="Times New Roman" w:cs="Times New Roman"/>
          <w:b/>
          <w:sz w:val="24"/>
          <w:szCs w:val="24"/>
          <w:lang w:val="en-GB"/>
        </w:rPr>
      </w:pPr>
      <w:r w:rsidRPr="00537B1F">
        <w:rPr>
          <w:rFonts w:ascii="Times New Roman" w:hAnsi="Times New Roman" w:cs="Times New Roman"/>
          <w:b/>
          <w:sz w:val="24"/>
          <w:szCs w:val="24"/>
          <w:lang w:val="en-GB"/>
        </w:rPr>
        <w:t>7. Increase and focus public R&amp;D investment in the EU</w:t>
      </w:r>
    </w:p>
    <w:p w:rsidR="00537B1F" w:rsidRPr="00537B1F" w:rsidRDefault="00537B1F" w:rsidP="000919B8">
      <w:pPr>
        <w:spacing w:line="240" w:lineRule="auto"/>
        <w:jc w:val="both"/>
        <w:rPr>
          <w:rFonts w:ascii="Times New Roman" w:hAnsi="Times New Roman" w:cs="Times New Roman"/>
          <w:b/>
          <w:sz w:val="24"/>
          <w:szCs w:val="24"/>
          <w:lang w:val="en-GB"/>
        </w:rPr>
      </w:pPr>
      <w:r w:rsidRPr="00537B1F">
        <w:rPr>
          <w:rFonts w:ascii="Times New Roman" w:hAnsi="Times New Roman" w:cs="Times New Roman"/>
          <w:b/>
          <w:sz w:val="24"/>
          <w:szCs w:val="24"/>
          <w:lang w:val="en-GB"/>
        </w:rPr>
        <w:t>8. Mobilise private R&amp;D investment in the EU and bolster the supporting environment</w:t>
      </w:r>
    </w:p>
    <w:p w:rsidR="00537B1F" w:rsidRDefault="00537B1F" w:rsidP="000919B8">
      <w:pPr>
        <w:spacing w:line="240" w:lineRule="auto"/>
        <w:jc w:val="both"/>
        <w:rPr>
          <w:rFonts w:ascii="Times New Roman" w:hAnsi="Times New Roman" w:cs="Times New Roman"/>
          <w:b/>
          <w:sz w:val="24"/>
          <w:szCs w:val="24"/>
          <w:lang w:val="en-GB"/>
        </w:rPr>
      </w:pPr>
      <w:r w:rsidRPr="00537B1F">
        <w:rPr>
          <w:rFonts w:ascii="Times New Roman" w:hAnsi="Times New Roman" w:cs="Times New Roman"/>
          <w:b/>
          <w:sz w:val="24"/>
          <w:szCs w:val="24"/>
          <w:lang w:val="en-GB"/>
        </w:rPr>
        <w:t>9. Develop strategic international partnerships to solidify and bolster the EU’s international trade position in pharmaceuticals</w:t>
      </w:r>
    </w:p>
    <w:p w:rsidR="00537B1F" w:rsidRPr="00537B1F" w:rsidRDefault="00537B1F" w:rsidP="000919B8">
      <w:pPr>
        <w:spacing w:line="240" w:lineRule="auto"/>
        <w:jc w:val="both"/>
        <w:rPr>
          <w:rFonts w:ascii="Times New Roman" w:hAnsi="Times New Roman" w:cs="Times New Roman"/>
          <w:b/>
          <w:sz w:val="24"/>
          <w:szCs w:val="24"/>
          <w:lang w:val="en-GB"/>
        </w:rPr>
      </w:pPr>
      <w:r w:rsidRPr="00537B1F">
        <w:rPr>
          <w:rFonts w:ascii="Times New Roman" w:hAnsi="Times New Roman" w:cs="Times New Roman"/>
          <w:b/>
          <w:sz w:val="24"/>
          <w:szCs w:val="24"/>
          <w:lang w:val="en-GB"/>
        </w:rPr>
        <w:t xml:space="preserve">10. Transport </w:t>
      </w:r>
    </w:p>
    <w:p w:rsidR="00537B1F" w:rsidRPr="00537B1F" w:rsidRDefault="00537B1F" w:rsidP="000919B8">
      <w:pPr>
        <w:spacing w:line="240" w:lineRule="auto"/>
        <w:jc w:val="both"/>
        <w:rPr>
          <w:rFonts w:ascii="Times New Roman" w:hAnsi="Times New Roman" w:cs="Times New Roman"/>
          <w:sz w:val="24"/>
          <w:szCs w:val="24"/>
          <w:lang w:val="en-GB"/>
        </w:rPr>
      </w:pPr>
      <w:r w:rsidRPr="00537B1F">
        <w:rPr>
          <w:rFonts w:ascii="Times New Roman" w:hAnsi="Times New Roman" w:cs="Times New Roman"/>
          <w:b/>
          <w:sz w:val="24"/>
          <w:szCs w:val="24"/>
          <w:lang w:val="en-GB"/>
        </w:rPr>
        <w:t>The starting point Well-functioning transport networks and services and a prosperous transport industry are crucial to the competitiveness of the entire EU economy</w:t>
      </w:r>
      <w:r w:rsidRPr="00537B1F">
        <w:rPr>
          <w:rFonts w:ascii="Times New Roman" w:hAnsi="Times New Roman" w:cs="Times New Roman"/>
          <w:sz w:val="24"/>
          <w:szCs w:val="24"/>
          <w:lang w:val="en-GB"/>
        </w:rPr>
        <w:t xml:space="preserve">. Transport systems ensure access to goods, services and resources (including knowledge and innovation), in the process driving economic development, territorial and social cohesion. Historically, cities emerged around transport hubs in well-connected locations, which continue to be favoured by businesses and consumers alike. In the EU, transport is considered a ‘service of general interest’, whose role in promoting social and territorial cohesion is acknowledged in the Treaties. </w:t>
      </w:r>
    </w:p>
    <w:p w:rsidR="00537B1F" w:rsidRDefault="00537B1F" w:rsidP="000919B8">
      <w:pPr>
        <w:spacing w:line="240" w:lineRule="auto"/>
        <w:jc w:val="both"/>
        <w:rPr>
          <w:rFonts w:ascii="Times New Roman" w:hAnsi="Times New Roman" w:cs="Times New Roman"/>
          <w:sz w:val="24"/>
          <w:szCs w:val="24"/>
          <w:lang w:val="en-GB"/>
        </w:rPr>
      </w:pPr>
      <w:r w:rsidRPr="00537B1F">
        <w:rPr>
          <w:rFonts w:ascii="Times New Roman" w:hAnsi="Times New Roman" w:cs="Times New Roman"/>
          <w:b/>
          <w:sz w:val="24"/>
          <w:szCs w:val="24"/>
          <w:lang w:val="en-GB"/>
        </w:rPr>
        <w:t>Transport is also a priority sector for the EU’s transition to a net-zero economy.</w:t>
      </w:r>
      <w:r w:rsidRPr="00537B1F">
        <w:rPr>
          <w:rFonts w:ascii="Times New Roman" w:hAnsi="Times New Roman" w:cs="Times New Roman"/>
          <w:sz w:val="24"/>
          <w:szCs w:val="24"/>
          <w:lang w:val="en-GB"/>
        </w:rPr>
        <w:t xml:space="preserve"> Transport accounts for one-quarter of all greenhouse gas emissions overall depending on the mode [Figure 1] with some segments considered particularly hard to abate01. Unlike other sectors, CO2 emissions from transport are still higher than in 1990i [Figure 2], and - in the absence of mitigation measures - could further increase</w:t>
      </w:r>
      <w:r>
        <w:rPr>
          <w:rFonts w:ascii="Times New Roman" w:hAnsi="Times New Roman" w:cs="Times New Roman"/>
          <w:sz w:val="24"/>
          <w:szCs w:val="24"/>
          <w:lang w:val="en-GB"/>
        </w:rPr>
        <w:t>…</w:t>
      </w:r>
    </w:p>
    <w:p w:rsidR="00537B1F" w:rsidRDefault="004C5744" w:rsidP="000919B8">
      <w:pPr>
        <w:spacing w:line="24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lastRenderedPageBreak/>
        <w:t xml:space="preserve">         </w:t>
      </w:r>
      <w:r w:rsidR="00537B1F" w:rsidRPr="00537B1F">
        <w:rPr>
          <w:rFonts w:ascii="Times New Roman" w:hAnsi="Times New Roman" w:cs="Times New Roman"/>
          <w:b/>
          <w:noProof/>
          <w:sz w:val="24"/>
          <w:szCs w:val="24"/>
          <w:lang w:eastAsia="es-ES"/>
        </w:rPr>
        <w:drawing>
          <wp:inline distT="0" distB="0" distL="0" distR="0" wp14:anchorId="15DD9DBC" wp14:editId="76823487">
            <wp:extent cx="5365750" cy="3232150"/>
            <wp:effectExtent l="0" t="0" r="6350" b="635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369319" cy="3234300"/>
                    </a:xfrm>
                    <a:prstGeom prst="rect">
                      <a:avLst/>
                    </a:prstGeom>
                  </pic:spPr>
                </pic:pic>
              </a:graphicData>
            </a:graphic>
          </wp:inline>
        </w:drawing>
      </w:r>
    </w:p>
    <w:p w:rsidR="00537B1F" w:rsidRDefault="00537B1F" w:rsidP="000919B8">
      <w:pPr>
        <w:spacing w:line="240" w:lineRule="auto"/>
        <w:jc w:val="both"/>
        <w:rPr>
          <w:rFonts w:ascii="Times New Roman" w:hAnsi="Times New Roman" w:cs="Times New Roman"/>
          <w:b/>
          <w:sz w:val="24"/>
          <w:szCs w:val="24"/>
          <w:lang w:val="en-GB"/>
        </w:rPr>
      </w:pPr>
      <w:r w:rsidRPr="00537B1F">
        <w:rPr>
          <w:rFonts w:ascii="Times New Roman" w:hAnsi="Times New Roman" w:cs="Times New Roman"/>
          <w:b/>
          <w:noProof/>
          <w:sz w:val="24"/>
          <w:szCs w:val="24"/>
          <w:lang w:eastAsia="es-ES"/>
        </w:rPr>
        <w:drawing>
          <wp:inline distT="0" distB="0" distL="0" distR="0" wp14:anchorId="71ED4620" wp14:editId="6AFF36F4">
            <wp:extent cx="5727621" cy="2882900"/>
            <wp:effectExtent l="0" t="0" r="6985"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2884857"/>
                    </a:xfrm>
                    <a:prstGeom prst="rect">
                      <a:avLst/>
                    </a:prstGeom>
                  </pic:spPr>
                </pic:pic>
              </a:graphicData>
            </a:graphic>
          </wp:inline>
        </w:drawing>
      </w:r>
    </w:p>
    <w:p w:rsidR="00537B1F" w:rsidRDefault="00537B1F" w:rsidP="000919B8">
      <w:pPr>
        <w:spacing w:line="240" w:lineRule="auto"/>
        <w:jc w:val="both"/>
        <w:rPr>
          <w:rFonts w:ascii="Times New Roman" w:hAnsi="Times New Roman" w:cs="Times New Roman"/>
          <w:b/>
          <w:sz w:val="24"/>
          <w:szCs w:val="24"/>
          <w:lang w:val="en-GB"/>
        </w:rPr>
      </w:pPr>
      <w:r w:rsidRPr="00537B1F">
        <w:rPr>
          <w:rFonts w:ascii="Times New Roman" w:hAnsi="Times New Roman" w:cs="Times New Roman"/>
          <w:b/>
          <w:noProof/>
          <w:sz w:val="24"/>
          <w:szCs w:val="24"/>
          <w:lang w:eastAsia="es-ES"/>
        </w:rPr>
        <w:drawing>
          <wp:inline distT="0" distB="0" distL="0" distR="0" wp14:anchorId="34DEBAE4" wp14:editId="0731DF34">
            <wp:extent cx="5721350" cy="2444750"/>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21350" cy="2444750"/>
                    </a:xfrm>
                    <a:prstGeom prst="rect">
                      <a:avLst/>
                    </a:prstGeom>
                  </pic:spPr>
                </pic:pic>
              </a:graphicData>
            </a:graphic>
          </wp:inline>
        </w:drawing>
      </w:r>
    </w:p>
    <w:p w:rsidR="004C5744" w:rsidRPr="004C5744" w:rsidRDefault="004C5744" w:rsidP="000919B8">
      <w:pPr>
        <w:spacing w:line="240" w:lineRule="auto"/>
        <w:jc w:val="both"/>
        <w:rPr>
          <w:rFonts w:ascii="Times New Roman" w:hAnsi="Times New Roman" w:cs="Times New Roman"/>
          <w:b/>
          <w:sz w:val="24"/>
          <w:szCs w:val="24"/>
          <w:lang w:val="en-GB"/>
        </w:rPr>
      </w:pPr>
      <w:r w:rsidRPr="004C5744">
        <w:rPr>
          <w:rFonts w:ascii="Times New Roman" w:hAnsi="Times New Roman" w:cs="Times New Roman"/>
          <w:b/>
          <w:sz w:val="24"/>
          <w:szCs w:val="24"/>
          <w:lang w:val="en-GB"/>
        </w:rPr>
        <w:lastRenderedPageBreak/>
        <w:t>The EU’s transport industry faces multiple challenges</w:t>
      </w:r>
    </w:p>
    <w:p w:rsidR="004C5744" w:rsidRPr="004C5744" w:rsidRDefault="004C5744" w:rsidP="000919B8">
      <w:pPr>
        <w:spacing w:line="240" w:lineRule="auto"/>
        <w:jc w:val="both"/>
        <w:rPr>
          <w:rFonts w:ascii="Times New Roman" w:hAnsi="Times New Roman" w:cs="Times New Roman"/>
          <w:sz w:val="24"/>
          <w:szCs w:val="24"/>
          <w:lang w:val="en-GB"/>
        </w:rPr>
      </w:pPr>
      <w:r w:rsidRPr="004C5744">
        <w:rPr>
          <w:rFonts w:ascii="Times New Roman" w:hAnsi="Times New Roman" w:cs="Times New Roman"/>
          <w:b/>
          <w:sz w:val="24"/>
          <w:szCs w:val="24"/>
          <w:lang w:val="en-GB"/>
        </w:rPr>
        <w:t>A complex and varied industry, the EU’s transport operators nonetheless face common challenges</w:t>
      </w:r>
      <w:r w:rsidRPr="004C5744">
        <w:rPr>
          <w:rFonts w:ascii="Times New Roman" w:hAnsi="Times New Roman" w:cs="Times New Roman"/>
          <w:sz w:val="24"/>
          <w:szCs w:val="24"/>
          <w:lang w:val="en-GB"/>
        </w:rPr>
        <w:t xml:space="preserve">. Many of these challenges are not new and revolve around the need for deeper EU integration and the establishment of a holistic vision that considers all transport modes and sectors. </w:t>
      </w:r>
    </w:p>
    <w:p w:rsidR="004C5744" w:rsidRDefault="004C5744" w:rsidP="000919B8">
      <w:pPr>
        <w:spacing w:line="240" w:lineRule="auto"/>
        <w:jc w:val="both"/>
        <w:rPr>
          <w:rFonts w:ascii="Times New Roman" w:hAnsi="Times New Roman" w:cs="Times New Roman"/>
          <w:sz w:val="24"/>
          <w:szCs w:val="24"/>
          <w:lang w:val="en-GB"/>
        </w:rPr>
      </w:pPr>
      <w:r w:rsidRPr="004C5744">
        <w:rPr>
          <w:rFonts w:ascii="Times New Roman" w:hAnsi="Times New Roman" w:cs="Times New Roman"/>
          <w:b/>
          <w:sz w:val="24"/>
          <w:szCs w:val="24"/>
          <w:lang w:val="en-GB"/>
        </w:rPr>
        <w:t>Massive strategic investment is needed to complete missing links and to modernise transport infrastructure, where major gaps exist in public and private financing</w:t>
      </w:r>
      <w:r w:rsidRPr="004C5744">
        <w:rPr>
          <w:rFonts w:ascii="Times New Roman" w:hAnsi="Times New Roman" w:cs="Times New Roman"/>
          <w:sz w:val="24"/>
          <w:szCs w:val="24"/>
          <w:lang w:val="en-GB"/>
        </w:rPr>
        <w:t xml:space="preserve">. The TEN-T, which requires an estimated EUR 845 billion in investment by 2040 (of which EUR 210 billion for main cross-border links), is not accompanied by a comprehensive ex-ante plan to secure the necessary financing and investment. EU public funding is expected to cover a minor share of investment (some EUR 87 billion by 2027). Projects submitted under the dedicated EU funding programme for the 2021-2027 </w:t>
      </w:r>
      <w:r w:rsidR="00A021C8" w:rsidRPr="004C5744">
        <w:rPr>
          <w:rFonts w:ascii="Times New Roman" w:hAnsi="Times New Roman" w:cs="Times New Roman"/>
          <w:sz w:val="24"/>
          <w:szCs w:val="24"/>
          <w:lang w:val="en-GB"/>
        </w:rPr>
        <w:t>periods</w:t>
      </w:r>
      <w:r w:rsidRPr="004C5744">
        <w:rPr>
          <w:rFonts w:ascii="Times New Roman" w:hAnsi="Times New Roman" w:cs="Times New Roman"/>
          <w:sz w:val="24"/>
          <w:szCs w:val="24"/>
          <w:lang w:val="en-GB"/>
        </w:rPr>
        <w:t>, the Connecting Europe Facility, represented on average three to four times the available budget. Moreover, private financing remains hard to obtain, despite a mature pipeline of TEN-T projects. This is due to their important level of risk, high upfront costs, or lacking short-term profitability. The EU is nearly halfway through completing the major cross-border projects, with the planned road network being by far the most advanced compared to other modes. It is now crucial to assure the remaining investments within the next decade. Beyond what is planned under TEN-T, the realisation of a high-speed rail network connecting all EU capitals and major cities06 would enhance rail attractiveness and further increase investment needs…</w:t>
      </w:r>
    </w:p>
    <w:p w:rsidR="004C5744" w:rsidRDefault="004C5744" w:rsidP="000919B8">
      <w:pPr>
        <w:spacing w:line="240" w:lineRule="auto"/>
        <w:jc w:val="both"/>
        <w:rPr>
          <w:rFonts w:ascii="Times New Roman" w:hAnsi="Times New Roman" w:cs="Times New Roman"/>
          <w:b/>
          <w:sz w:val="24"/>
          <w:szCs w:val="24"/>
          <w:lang w:val="en-GB"/>
        </w:rPr>
      </w:pPr>
      <w:r w:rsidRPr="004C5744">
        <w:rPr>
          <w:rFonts w:ascii="Times New Roman" w:hAnsi="Times New Roman" w:cs="Times New Roman"/>
          <w:b/>
          <w:noProof/>
          <w:sz w:val="24"/>
          <w:szCs w:val="24"/>
          <w:lang w:eastAsia="es-ES"/>
        </w:rPr>
        <w:drawing>
          <wp:inline distT="0" distB="0" distL="0" distR="0" wp14:anchorId="6E49F1BB" wp14:editId="60436630">
            <wp:extent cx="5734050" cy="2514600"/>
            <wp:effectExtent l="0" t="0" r="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2513486"/>
                    </a:xfrm>
                    <a:prstGeom prst="rect">
                      <a:avLst/>
                    </a:prstGeom>
                  </pic:spPr>
                </pic:pic>
              </a:graphicData>
            </a:graphic>
          </wp:inline>
        </w:drawing>
      </w:r>
    </w:p>
    <w:p w:rsidR="004C5744" w:rsidRDefault="004C5744" w:rsidP="000919B8">
      <w:pPr>
        <w:spacing w:line="240" w:lineRule="auto"/>
        <w:jc w:val="both"/>
        <w:rPr>
          <w:rFonts w:ascii="Times New Roman" w:hAnsi="Times New Roman" w:cs="Times New Roman"/>
          <w:b/>
          <w:sz w:val="24"/>
          <w:szCs w:val="24"/>
          <w:lang w:val="en-GB"/>
        </w:rPr>
      </w:pPr>
      <w:r w:rsidRPr="004C5744">
        <w:rPr>
          <w:rFonts w:ascii="Times New Roman" w:hAnsi="Times New Roman" w:cs="Times New Roman"/>
          <w:b/>
          <w:noProof/>
          <w:sz w:val="24"/>
          <w:szCs w:val="24"/>
          <w:lang w:eastAsia="es-ES"/>
        </w:rPr>
        <w:drawing>
          <wp:inline distT="0" distB="0" distL="0" distR="0" wp14:anchorId="30008305" wp14:editId="1EA53D28">
            <wp:extent cx="5732164" cy="2273300"/>
            <wp:effectExtent l="0" t="0" r="1905"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2273040"/>
                    </a:xfrm>
                    <a:prstGeom prst="rect">
                      <a:avLst/>
                    </a:prstGeom>
                  </pic:spPr>
                </pic:pic>
              </a:graphicData>
            </a:graphic>
          </wp:inline>
        </w:drawing>
      </w:r>
    </w:p>
    <w:p w:rsidR="006C196A" w:rsidRPr="006C196A" w:rsidRDefault="004C5744" w:rsidP="000919B8">
      <w:pPr>
        <w:spacing w:line="240" w:lineRule="auto"/>
        <w:jc w:val="both"/>
        <w:rPr>
          <w:rFonts w:ascii="Times New Roman" w:hAnsi="Times New Roman" w:cs="Times New Roman"/>
          <w:b/>
          <w:sz w:val="24"/>
          <w:szCs w:val="24"/>
          <w:lang w:val="en-GB"/>
        </w:rPr>
      </w:pPr>
      <w:r w:rsidRPr="006C196A">
        <w:rPr>
          <w:rFonts w:ascii="Times New Roman" w:hAnsi="Times New Roman" w:cs="Times New Roman"/>
          <w:b/>
          <w:sz w:val="24"/>
          <w:szCs w:val="24"/>
          <w:lang w:val="en-GB"/>
        </w:rPr>
        <w:lastRenderedPageBreak/>
        <w:t xml:space="preserve">Objectives and proposals </w:t>
      </w:r>
    </w:p>
    <w:p w:rsidR="006C196A" w:rsidRPr="006C196A" w:rsidRDefault="004C5744" w:rsidP="000919B8">
      <w:pPr>
        <w:spacing w:line="240" w:lineRule="auto"/>
        <w:jc w:val="both"/>
        <w:rPr>
          <w:rFonts w:ascii="Times New Roman" w:hAnsi="Times New Roman" w:cs="Times New Roman"/>
          <w:sz w:val="24"/>
          <w:szCs w:val="24"/>
          <w:lang w:val="en-GB"/>
        </w:rPr>
      </w:pPr>
      <w:r w:rsidRPr="006C196A">
        <w:rPr>
          <w:rFonts w:ascii="Times New Roman" w:hAnsi="Times New Roman" w:cs="Times New Roman"/>
          <w:sz w:val="24"/>
          <w:szCs w:val="24"/>
          <w:lang w:val="en-GB"/>
        </w:rPr>
        <w:t>Tr</w:t>
      </w:r>
      <w:r w:rsidR="00A021C8">
        <w:rPr>
          <w:rFonts w:ascii="Times New Roman" w:hAnsi="Times New Roman" w:cs="Times New Roman"/>
          <w:sz w:val="24"/>
          <w:szCs w:val="24"/>
          <w:lang w:val="en-GB"/>
        </w:rPr>
        <w:t xml:space="preserve">ansport is a clear example of </w:t>
      </w:r>
      <w:r w:rsidRPr="006C196A">
        <w:rPr>
          <w:rFonts w:ascii="Times New Roman" w:hAnsi="Times New Roman" w:cs="Times New Roman"/>
          <w:sz w:val="24"/>
          <w:szCs w:val="24"/>
          <w:lang w:val="en-GB"/>
        </w:rPr>
        <w:t xml:space="preserve">European public good providing essential services to EU citizens and businesses fostering the EU’s global economic competitiveness and productivity. To retain a leading position in face of growing global competition, EU policies must: </w:t>
      </w:r>
    </w:p>
    <w:p w:rsidR="006C196A" w:rsidRPr="006C196A" w:rsidRDefault="004C5744" w:rsidP="000919B8">
      <w:pPr>
        <w:spacing w:line="240" w:lineRule="auto"/>
        <w:jc w:val="both"/>
        <w:rPr>
          <w:rFonts w:ascii="Times New Roman" w:hAnsi="Times New Roman" w:cs="Times New Roman"/>
          <w:sz w:val="24"/>
          <w:szCs w:val="24"/>
          <w:lang w:val="en-GB"/>
        </w:rPr>
      </w:pPr>
      <w:r w:rsidRPr="006C196A">
        <w:rPr>
          <w:rFonts w:ascii="Times New Roman" w:hAnsi="Times New Roman" w:cs="Times New Roman"/>
          <w:sz w:val="24"/>
          <w:szCs w:val="24"/>
          <w:lang w:val="en-GB"/>
        </w:rPr>
        <w:t>• Ensure infrastructure development and the harmonisation of rules to achieve an integrated and intermodal market across the EU</w:t>
      </w:r>
      <w:r w:rsidR="006C196A" w:rsidRPr="006C196A">
        <w:rPr>
          <w:rFonts w:ascii="Times New Roman" w:hAnsi="Times New Roman" w:cs="Times New Roman"/>
          <w:sz w:val="24"/>
          <w:szCs w:val="24"/>
          <w:lang w:val="en-GB"/>
        </w:rPr>
        <w:t>.</w:t>
      </w:r>
      <w:r w:rsidRPr="006C196A">
        <w:rPr>
          <w:rFonts w:ascii="Times New Roman" w:hAnsi="Times New Roman" w:cs="Times New Roman"/>
          <w:sz w:val="24"/>
          <w:szCs w:val="24"/>
          <w:lang w:val="en-GB"/>
        </w:rPr>
        <w:t xml:space="preserve"> </w:t>
      </w:r>
    </w:p>
    <w:p w:rsidR="006C196A" w:rsidRPr="006C196A" w:rsidRDefault="004C5744" w:rsidP="000919B8">
      <w:pPr>
        <w:spacing w:line="240" w:lineRule="auto"/>
        <w:jc w:val="both"/>
        <w:rPr>
          <w:rFonts w:ascii="Times New Roman" w:hAnsi="Times New Roman" w:cs="Times New Roman"/>
          <w:sz w:val="24"/>
          <w:szCs w:val="24"/>
          <w:lang w:val="en-GB"/>
        </w:rPr>
      </w:pPr>
      <w:r w:rsidRPr="006C196A">
        <w:rPr>
          <w:rFonts w:ascii="Times New Roman" w:hAnsi="Times New Roman" w:cs="Times New Roman"/>
          <w:sz w:val="24"/>
          <w:szCs w:val="24"/>
          <w:lang w:val="en-GB"/>
        </w:rPr>
        <w:t>• Secure the resilience of infrastructure and routes, services and the industry</w:t>
      </w:r>
      <w:r w:rsidR="006C196A" w:rsidRPr="006C196A">
        <w:rPr>
          <w:rFonts w:ascii="Times New Roman" w:hAnsi="Times New Roman" w:cs="Times New Roman"/>
          <w:sz w:val="24"/>
          <w:szCs w:val="24"/>
          <w:lang w:val="en-GB"/>
        </w:rPr>
        <w:t>.</w:t>
      </w:r>
      <w:r w:rsidRPr="006C196A">
        <w:rPr>
          <w:rFonts w:ascii="Times New Roman" w:hAnsi="Times New Roman" w:cs="Times New Roman"/>
          <w:sz w:val="24"/>
          <w:szCs w:val="24"/>
          <w:lang w:val="en-GB"/>
        </w:rPr>
        <w:t xml:space="preserve"> </w:t>
      </w:r>
    </w:p>
    <w:p w:rsidR="006C196A" w:rsidRPr="006C196A" w:rsidRDefault="004C5744" w:rsidP="000919B8">
      <w:pPr>
        <w:spacing w:line="240" w:lineRule="auto"/>
        <w:jc w:val="both"/>
        <w:rPr>
          <w:rFonts w:ascii="Times New Roman" w:hAnsi="Times New Roman" w:cs="Times New Roman"/>
          <w:sz w:val="24"/>
          <w:szCs w:val="24"/>
          <w:lang w:val="en-GB"/>
        </w:rPr>
      </w:pPr>
      <w:r w:rsidRPr="006C196A">
        <w:rPr>
          <w:rFonts w:ascii="Times New Roman" w:hAnsi="Times New Roman" w:cs="Times New Roman"/>
          <w:sz w:val="24"/>
          <w:szCs w:val="24"/>
          <w:lang w:val="en-GB"/>
        </w:rPr>
        <w:t>• Lead decarbonisation and the adoption of digital and automated solutions</w:t>
      </w:r>
      <w:r w:rsidR="006C196A" w:rsidRPr="006C196A">
        <w:rPr>
          <w:rFonts w:ascii="Times New Roman" w:hAnsi="Times New Roman" w:cs="Times New Roman"/>
          <w:sz w:val="24"/>
          <w:szCs w:val="24"/>
          <w:lang w:val="en-GB"/>
        </w:rPr>
        <w:t>.</w:t>
      </w:r>
      <w:r w:rsidRPr="006C196A">
        <w:rPr>
          <w:rFonts w:ascii="Times New Roman" w:hAnsi="Times New Roman" w:cs="Times New Roman"/>
          <w:sz w:val="24"/>
          <w:szCs w:val="24"/>
          <w:lang w:val="en-GB"/>
        </w:rPr>
        <w:t xml:space="preserve"> </w:t>
      </w:r>
    </w:p>
    <w:p w:rsidR="006C196A" w:rsidRPr="006C196A" w:rsidRDefault="004C5744" w:rsidP="000919B8">
      <w:pPr>
        <w:spacing w:line="240" w:lineRule="auto"/>
        <w:jc w:val="both"/>
        <w:rPr>
          <w:rFonts w:ascii="Times New Roman" w:hAnsi="Times New Roman" w:cs="Times New Roman"/>
          <w:sz w:val="24"/>
          <w:szCs w:val="24"/>
          <w:lang w:val="en-GB"/>
        </w:rPr>
      </w:pPr>
      <w:r w:rsidRPr="006C196A">
        <w:rPr>
          <w:rFonts w:ascii="Times New Roman" w:hAnsi="Times New Roman" w:cs="Times New Roman"/>
          <w:sz w:val="24"/>
          <w:szCs w:val="24"/>
          <w:lang w:val="en-GB"/>
        </w:rPr>
        <w:t xml:space="preserve">• Secure a leading manufacturing industry and a level playing internationally for the EU’s industrial operators The EU already has an extensive body of regulation in this sector. Implementing what is in place remains a priority. The EU should provide the right incentives for Member States and the industry to work together in the full spirit of collaboration. </w:t>
      </w:r>
    </w:p>
    <w:p w:rsidR="004C5744" w:rsidRDefault="004C5744" w:rsidP="000919B8">
      <w:pPr>
        <w:spacing w:line="240" w:lineRule="auto"/>
        <w:jc w:val="both"/>
        <w:rPr>
          <w:rFonts w:ascii="Times New Roman" w:hAnsi="Times New Roman" w:cs="Times New Roman"/>
          <w:sz w:val="24"/>
          <w:szCs w:val="24"/>
          <w:lang w:val="en-GB"/>
        </w:rPr>
      </w:pPr>
      <w:r w:rsidRPr="006C196A">
        <w:rPr>
          <w:rFonts w:ascii="Times New Roman" w:hAnsi="Times New Roman" w:cs="Times New Roman"/>
          <w:sz w:val="24"/>
          <w:szCs w:val="24"/>
          <w:lang w:val="en-GB"/>
        </w:rPr>
        <w:t>This framework needs to accompany the deployment of advanced digit</w:t>
      </w:r>
      <w:r w:rsidR="006C196A" w:rsidRPr="006C196A">
        <w:rPr>
          <w:rFonts w:ascii="Times New Roman" w:hAnsi="Times New Roman" w:cs="Times New Roman"/>
          <w:sz w:val="24"/>
          <w:szCs w:val="24"/>
          <w:lang w:val="en-GB"/>
        </w:rPr>
        <w:t>al and clean technology solu</w:t>
      </w:r>
      <w:r w:rsidRPr="006C196A">
        <w:rPr>
          <w:rFonts w:ascii="Times New Roman" w:hAnsi="Times New Roman" w:cs="Times New Roman"/>
          <w:sz w:val="24"/>
          <w:szCs w:val="24"/>
          <w:lang w:val="en-GB"/>
        </w:rPr>
        <w:t>tions with the provision of efficient, affordable and competitive transport services, and secure and resilient networks, services and industries. This should contribute to enhancing the competitiveness of the EU’s transport sector and the EU economy as a whole</w:t>
      </w:r>
      <w:r w:rsidR="006C196A" w:rsidRPr="006C196A">
        <w:rPr>
          <w:rFonts w:ascii="Times New Roman" w:hAnsi="Times New Roman" w:cs="Times New Roman"/>
          <w:sz w:val="24"/>
          <w:szCs w:val="24"/>
          <w:lang w:val="en-GB"/>
        </w:rPr>
        <w:t>…</w:t>
      </w:r>
    </w:p>
    <w:p w:rsidR="006C196A" w:rsidRPr="006C196A" w:rsidRDefault="006C196A" w:rsidP="000919B8">
      <w:pPr>
        <w:spacing w:line="240" w:lineRule="auto"/>
        <w:jc w:val="both"/>
        <w:rPr>
          <w:rFonts w:ascii="Times New Roman" w:hAnsi="Times New Roman" w:cs="Times New Roman"/>
          <w:b/>
          <w:sz w:val="24"/>
          <w:szCs w:val="24"/>
          <w:lang w:val="en-GB"/>
        </w:rPr>
      </w:pPr>
      <w:r w:rsidRPr="006C196A">
        <w:rPr>
          <w:rFonts w:ascii="Times New Roman" w:hAnsi="Times New Roman" w:cs="Times New Roman"/>
          <w:b/>
          <w:sz w:val="24"/>
          <w:szCs w:val="24"/>
          <w:lang w:val="en-GB"/>
        </w:rPr>
        <w:t xml:space="preserve">PART B - SECTION 2 </w:t>
      </w:r>
    </w:p>
    <w:p w:rsidR="006C196A" w:rsidRPr="006C196A" w:rsidRDefault="006C196A" w:rsidP="000919B8">
      <w:pPr>
        <w:spacing w:line="240" w:lineRule="auto"/>
        <w:jc w:val="both"/>
        <w:rPr>
          <w:rFonts w:ascii="Times New Roman" w:hAnsi="Times New Roman" w:cs="Times New Roman"/>
          <w:b/>
          <w:sz w:val="24"/>
          <w:szCs w:val="24"/>
          <w:lang w:val="en-GB"/>
        </w:rPr>
      </w:pPr>
      <w:r w:rsidRPr="006C196A">
        <w:rPr>
          <w:rFonts w:ascii="Times New Roman" w:hAnsi="Times New Roman" w:cs="Times New Roman"/>
          <w:b/>
          <w:sz w:val="24"/>
          <w:szCs w:val="24"/>
          <w:lang w:val="en-GB"/>
        </w:rPr>
        <w:t xml:space="preserve">1. Accelerating innovation </w:t>
      </w:r>
    </w:p>
    <w:p w:rsidR="006C196A" w:rsidRPr="006C196A" w:rsidRDefault="006C196A" w:rsidP="000919B8">
      <w:pPr>
        <w:spacing w:line="240" w:lineRule="auto"/>
        <w:jc w:val="both"/>
        <w:rPr>
          <w:rFonts w:ascii="Times New Roman" w:hAnsi="Times New Roman" w:cs="Times New Roman"/>
          <w:sz w:val="24"/>
          <w:szCs w:val="24"/>
          <w:lang w:val="en-GB"/>
        </w:rPr>
      </w:pPr>
      <w:r w:rsidRPr="006C196A">
        <w:rPr>
          <w:rFonts w:ascii="Times New Roman" w:hAnsi="Times New Roman" w:cs="Times New Roman"/>
          <w:sz w:val="24"/>
          <w:szCs w:val="24"/>
          <w:lang w:val="en-GB"/>
        </w:rPr>
        <w:t>The starting point Research and innovation (R&amp;I) are the main drivers of productivity and pe</w:t>
      </w:r>
      <w:r>
        <w:rPr>
          <w:rFonts w:ascii="Times New Roman" w:hAnsi="Times New Roman" w:cs="Times New Roman"/>
          <w:sz w:val="24"/>
          <w:szCs w:val="24"/>
          <w:lang w:val="en-GB"/>
        </w:rPr>
        <w:t>ople’s well-being</w:t>
      </w:r>
      <w:r w:rsidRPr="006C196A">
        <w:rPr>
          <w:rFonts w:ascii="Times New Roman" w:hAnsi="Times New Roman" w:cs="Times New Roman"/>
          <w:sz w:val="24"/>
          <w:szCs w:val="24"/>
          <w:lang w:val="en-GB"/>
        </w:rPr>
        <w:t>. Innovation generates positive externalities, with new technologies serving as stepping stones for further innovation. This creates cumulative positive spillovers that justify a role for government intervention to promote research and innovation. R&amp;I will be critical for financing Europe’s welfare system as the EU population ages and its labour force shrinks. The importance of R&amp;I for productivity growth will increase in the future as a result of the accelerating pace of global innovation during the past decades</w:t>
      </w:r>
      <w:r>
        <w:rPr>
          <w:rFonts w:ascii="Times New Roman" w:hAnsi="Times New Roman" w:cs="Times New Roman"/>
          <w:sz w:val="24"/>
          <w:szCs w:val="24"/>
          <w:lang w:val="en-GB"/>
        </w:rPr>
        <w:t>…</w:t>
      </w:r>
    </w:p>
    <w:p w:rsidR="006C196A" w:rsidRDefault="006C196A" w:rsidP="000919B8">
      <w:pPr>
        <w:spacing w:line="240" w:lineRule="auto"/>
        <w:jc w:val="both"/>
        <w:rPr>
          <w:rFonts w:ascii="Times New Roman" w:hAnsi="Times New Roman" w:cs="Times New Roman"/>
          <w:b/>
          <w:sz w:val="24"/>
          <w:szCs w:val="24"/>
          <w:lang w:val="en-GB"/>
        </w:rPr>
      </w:pPr>
      <w:r w:rsidRPr="006C196A">
        <w:rPr>
          <w:rFonts w:ascii="Times New Roman" w:hAnsi="Times New Roman" w:cs="Times New Roman"/>
          <w:b/>
          <w:noProof/>
          <w:sz w:val="24"/>
          <w:szCs w:val="24"/>
          <w:lang w:eastAsia="es-ES"/>
        </w:rPr>
        <w:drawing>
          <wp:inline distT="0" distB="0" distL="0" distR="0" wp14:anchorId="5041A8A3" wp14:editId="06CDBBE2">
            <wp:extent cx="5734049" cy="2876550"/>
            <wp:effectExtent l="0" t="0" r="635"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2875276"/>
                    </a:xfrm>
                    <a:prstGeom prst="rect">
                      <a:avLst/>
                    </a:prstGeom>
                  </pic:spPr>
                </pic:pic>
              </a:graphicData>
            </a:graphic>
          </wp:inline>
        </w:drawing>
      </w:r>
    </w:p>
    <w:p w:rsidR="006C196A" w:rsidRDefault="006C196A" w:rsidP="000919B8">
      <w:pPr>
        <w:spacing w:line="240" w:lineRule="auto"/>
        <w:jc w:val="both"/>
        <w:rPr>
          <w:rFonts w:ascii="Times New Roman" w:hAnsi="Times New Roman" w:cs="Times New Roman"/>
          <w:b/>
          <w:sz w:val="24"/>
          <w:szCs w:val="24"/>
          <w:lang w:val="en-GB"/>
        </w:rPr>
      </w:pPr>
      <w:r w:rsidRPr="006C196A">
        <w:rPr>
          <w:rFonts w:ascii="Times New Roman" w:hAnsi="Times New Roman" w:cs="Times New Roman"/>
          <w:b/>
          <w:noProof/>
          <w:sz w:val="24"/>
          <w:szCs w:val="24"/>
          <w:lang w:eastAsia="es-ES"/>
        </w:rPr>
        <w:lastRenderedPageBreak/>
        <w:drawing>
          <wp:inline distT="0" distB="0" distL="0" distR="0" wp14:anchorId="36179DB1" wp14:editId="5AEDFD6E">
            <wp:extent cx="5727700" cy="2825750"/>
            <wp:effectExtent l="0" t="0" r="635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2827630"/>
                    </a:xfrm>
                    <a:prstGeom prst="rect">
                      <a:avLst/>
                    </a:prstGeom>
                  </pic:spPr>
                </pic:pic>
              </a:graphicData>
            </a:graphic>
          </wp:inline>
        </w:drawing>
      </w:r>
    </w:p>
    <w:p w:rsidR="006C196A" w:rsidRDefault="006C196A" w:rsidP="000919B8">
      <w:pPr>
        <w:spacing w:line="240" w:lineRule="auto"/>
        <w:jc w:val="both"/>
        <w:rPr>
          <w:rFonts w:ascii="Times New Roman" w:hAnsi="Times New Roman" w:cs="Times New Roman"/>
          <w:b/>
          <w:sz w:val="24"/>
          <w:szCs w:val="24"/>
          <w:lang w:val="en-GB"/>
        </w:rPr>
      </w:pPr>
      <w:r w:rsidRPr="006C196A">
        <w:rPr>
          <w:rFonts w:ascii="Times New Roman" w:hAnsi="Times New Roman" w:cs="Times New Roman"/>
          <w:b/>
          <w:noProof/>
          <w:sz w:val="24"/>
          <w:szCs w:val="24"/>
          <w:lang w:eastAsia="es-ES"/>
        </w:rPr>
        <w:drawing>
          <wp:inline distT="0" distB="0" distL="0" distR="0" wp14:anchorId="4392356B" wp14:editId="3B197010">
            <wp:extent cx="5726652" cy="3492500"/>
            <wp:effectExtent l="0" t="0" r="762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3495463"/>
                    </a:xfrm>
                    <a:prstGeom prst="rect">
                      <a:avLst/>
                    </a:prstGeom>
                  </pic:spPr>
                </pic:pic>
              </a:graphicData>
            </a:graphic>
          </wp:inline>
        </w:drawing>
      </w:r>
    </w:p>
    <w:p w:rsidR="006C196A" w:rsidRDefault="006C196A" w:rsidP="000919B8">
      <w:pPr>
        <w:spacing w:line="240" w:lineRule="auto"/>
        <w:jc w:val="both"/>
        <w:rPr>
          <w:rFonts w:ascii="Times New Roman" w:hAnsi="Times New Roman" w:cs="Times New Roman"/>
          <w:b/>
          <w:sz w:val="24"/>
          <w:szCs w:val="24"/>
          <w:lang w:val="en-GB"/>
        </w:rPr>
      </w:pPr>
      <w:r w:rsidRPr="006C196A">
        <w:rPr>
          <w:rFonts w:ascii="Times New Roman" w:hAnsi="Times New Roman" w:cs="Times New Roman"/>
          <w:b/>
          <w:noProof/>
          <w:sz w:val="24"/>
          <w:szCs w:val="24"/>
          <w:lang w:eastAsia="es-ES"/>
        </w:rPr>
        <w:drawing>
          <wp:inline distT="0" distB="0" distL="0" distR="0" wp14:anchorId="6C1207ED" wp14:editId="0CA3A859">
            <wp:extent cx="5726682" cy="2184400"/>
            <wp:effectExtent l="0" t="0" r="7620" b="635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2186242"/>
                    </a:xfrm>
                    <a:prstGeom prst="rect">
                      <a:avLst/>
                    </a:prstGeom>
                  </pic:spPr>
                </pic:pic>
              </a:graphicData>
            </a:graphic>
          </wp:inline>
        </w:drawing>
      </w:r>
    </w:p>
    <w:p w:rsidR="007D6960" w:rsidRDefault="007D6960" w:rsidP="000919B8">
      <w:pPr>
        <w:spacing w:line="240" w:lineRule="auto"/>
        <w:jc w:val="both"/>
        <w:rPr>
          <w:rFonts w:ascii="Times New Roman" w:hAnsi="Times New Roman" w:cs="Times New Roman"/>
          <w:b/>
          <w:sz w:val="24"/>
          <w:szCs w:val="24"/>
          <w:lang w:val="en-GB"/>
        </w:rPr>
      </w:pPr>
      <w:r w:rsidRPr="007D6960">
        <w:rPr>
          <w:rFonts w:ascii="Times New Roman" w:hAnsi="Times New Roman" w:cs="Times New Roman"/>
          <w:b/>
          <w:noProof/>
          <w:sz w:val="24"/>
          <w:szCs w:val="24"/>
          <w:lang w:eastAsia="es-ES"/>
        </w:rPr>
        <w:lastRenderedPageBreak/>
        <w:drawing>
          <wp:inline distT="0" distB="0" distL="0" distR="0" wp14:anchorId="122E1909" wp14:editId="7B1149CA">
            <wp:extent cx="5727700" cy="3041650"/>
            <wp:effectExtent l="0" t="0" r="6350" b="635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3043673"/>
                    </a:xfrm>
                    <a:prstGeom prst="rect">
                      <a:avLst/>
                    </a:prstGeom>
                  </pic:spPr>
                </pic:pic>
              </a:graphicData>
            </a:graphic>
          </wp:inline>
        </w:drawing>
      </w:r>
    </w:p>
    <w:p w:rsidR="007D6960" w:rsidRDefault="007D6960" w:rsidP="000919B8">
      <w:pPr>
        <w:spacing w:line="240" w:lineRule="auto"/>
        <w:jc w:val="both"/>
        <w:rPr>
          <w:rFonts w:ascii="Times New Roman" w:hAnsi="Times New Roman" w:cs="Times New Roman"/>
          <w:b/>
          <w:sz w:val="24"/>
          <w:szCs w:val="24"/>
          <w:lang w:val="en-GB"/>
        </w:rPr>
      </w:pPr>
      <w:r w:rsidRPr="007D6960">
        <w:rPr>
          <w:rFonts w:ascii="Times New Roman" w:hAnsi="Times New Roman" w:cs="Times New Roman"/>
          <w:b/>
          <w:noProof/>
          <w:sz w:val="24"/>
          <w:szCs w:val="24"/>
          <w:lang w:eastAsia="es-ES"/>
        </w:rPr>
        <w:drawing>
          <wp:inline distT="0" distB="0" distL="0" distR="0" wp14:anchorId="4D17EA86" wp14:editId="1DE2DC47">
            <wp:extent cx="5734048" cy="2692400"/>
            <wp:effectExtent l="0" t="0" r="635"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2691208"/>
                    </a:xfrm>
                    <a:prstGeom prst="rect">
                      <a:avLst/>
                    </a:prstGeom>
                  </pic:spPr>
                </pic:pic>
              </a:graphicData>
            </a:graphic>
          </wp:inline>
        </w:drawing>
      </w:r>
    </w:p>
    <w:p w:rsidR="007D6960" w:rsidRDefault="007D6960" w:rsidP="000919B8">
      <w:pPr>
        <w:spacing w:line="240" w:lineRule="auto"/>
        <w:jc w:val="both"/>
        <w:rPr>
          <w:rFonts w:ascii="Times New Roman" w:hAnsi="Times New Roman" w:cs="Times New Roman"/>
          <w:b/>
          <w:sz w:val="24"/>
          <w:szCs w:val="24"/>
          <w:lang w:val="en-GB"/>
        </w:rPr>
      </w:pPr>
      <w:r w:rsidRPr="007D6960">
        <w:rPr>
          <w:rFonts w:ascii="Times New Roman" w:hAnsi="Times New Roman" w:cs="Times New Roman"/>
          <w:b/>
          <w:noProof/>
          <w:sz w:val="24"/>
          <w:szCs w:val="24"/>
          <w:lang w:eastAsia="es-ES"/>
        </w:rPr>
        <w:drawing>
          <wp:inline distT="0" distB="0" distL="0" distR="0" wp14:anchorId="36EB7806" wp14:editId="78DA3FEA">
            <wp:extent cx="5725596" cy="2705100"/>
            <wp:effectExtent l="0" t="0" r="889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2707894"/>
                    </a:xfrm>
                    <a:prstGeom prst="rect">
                      <a:avLst/>
                    </a:prstGeom>
                  </pic:spPr>
                </pic:pic>
              </a:graphicData>
            </a:graphic>
          </wp:inline>
        </w:drawing>
      </w:r>
    </w:p>
    <w:p w:rsidR="00D22328" w:rsidRDefault="00D22328" w:rsidP="000919B8">
      <w:pPr>
        <w:spacing w:line="240" w:lineRule="auto"/>
        <w:jc w:val="both"/>
        <w:rPr>
          <w:rFonts w:ascii="Times New Roman" w:hAnsi="Times New Roman" w:cs="Times New Roman"/>
          <w:b/>
          <w:sz w:val="24"/>
          <w:szCs w:val="24"/>
          <w:lang w:val="en-GB"/>
        </w:rPr>
      </w:pPr>
      <w:r w:rsidRPr="00D22328">
        <w:rPr>
          <w:rFonts w:ascii="Times New Roman" w:hAnsi="Times New Roman" w:cs="Times New Roman"/>
          <w:b/>
          <w:noProof/>
          <w:sz w:val="24"/>
          <w:szCs w:val="24"/>
          <w:lang w:eastAsia="es-ES"/>
        </w:rPr>
        <w:lastRenderedPageBreak/>
        <w:drawing>
          <wp:inline distT="0" distB="0" distL="0" distR="0" wp14:anchorId="214C6BAF" wp14:editId="24DE5AB5">
            <wp:extent cx="5734050" cy="2400300"/>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2399237"/>
                    </a:xfrm>
                    <a:prstGeom prst="rect">
                      <a:avLst/>
                    </a:prstGeom>
                  </pic:spPr>
                </pic:pic>
              </a:graphicData>
            </a:graphic>
          </wp:inline>
        </w:drawing>
      </w:r>
    </w:p>
    <w:p w:rsidR="00D22328" w:rsidRPr="00D22328" w:rsidRDefault="00D22328" w:rsidP="000919B8">
      <w:pPr>
        <w:spacing w:line="240" w:lineRule="auto"/>
        <w:jc w:val="both"/>
        <w:rPr>
          <w:rFonts w:ascii="Times New Roman" w:hAnsi="Times New Roman" w:cs="Times New Roman"/>
          <w:b/>
          <w:sz w:val="24"/>
          <w:szCs w:val="24"/>
          <w:lang w:val="en-GB"/>
        </w:rPr>
      </w:pPr>
      <w:r w:rsidRPr="00D22328">
        <w:rPr>
          <w:rFonts w:ascii="Times New Roman" w:hAnsi="Times New Roman" w:cs="Times New Roman"/>
          <w:b/>
          <w:sz w:val="24"/>
          <w:szCs w:val="24"/>
          <w:lang w:val="en-GB"/>
        </w:rPr>
        <w:t xml:space="preserve">Objectives and proposals </w:t>
      </w:r>
    </w:p>
    <w:p w:rsidR="00D22328" w:rsidRPr="00D22328" w:rsidRDefault="00D22328" w:rsidP="000919B8">
      <w:pPr>
        <w:spacing w:line="240" w:lineRule="auto"/>
        <w:jc w:val="both"/>
        <w:rPr>
          <w:rFonts w:ascii="Times New Roman" w:hAnsi="Times New Roman" w:cs="Times New Roman"/>
          <w:sz w:val="24"/>
          <w:szCs w:val="24"/>
          <w:lang w:val="en-GB"/>
        </w:rPr>
      </w:pPr>
      <w:r w:rsidRPr="00D22328">
        <w:rPr>
          <w:rFonts w:ascii="Times New Roman" w:hAnsi="Times New Roman" w:cs="Times New Roman"/>
          <w:b/>
          <w:sz w:val="24"/>
          <w:szCs w:val="24"/>
          <w:lang w:val="en-GB"/>
        </w:rPr>
        <w:t>Competitive research and innovation systems are defined by several essential characteristics</w:t>
      </w:r>
      <w:r w:rsidRPr="00D22328">
        <w:rPr>
          <w:rFonts w:ascii="Times New Roman" w:hAnsi="Times New Roman" w:cs="Times New Roman"/>
          <w:sz w:val="24"/>
          <w:szCs w:val="24"/>
          <w:lang w:val="en-GB"/>
        </w:rPr>
        <w:t>. Among them are sufficient funding for excellent research, its long-term stability, high-quality research and technology infrastructure, a sufficient talent supply, an effective valorisation strategy, openness and inclusiveness, and a strategy for implementation and alignment. This requires policy choices, based on the following principles:</w:t>
      </w:r>
    </w:p>
    <w:p w:rsidR="00D22328" w:rsidRPr="00D22328" w:rsidRDefault="00D22328" w:rsidP="000919B8">
      <w:pPr>
        <w:spacing w:line="240" w:lineRule="auto"/>
        <w:jc w:val="both"/>
        <w:rPr>
          <w:rFonts w:ascii="Times New Roman" w:hAnsi="Times New Roman" w:cs="Times New Roman"/>
          <w:b/>
          <w:sz w:val="24"/>
          <w:szCs w:val="24"/>
          <w:lang w:val="en-GB"/>
        </w:rPr>
      </w:pPr>
      <w:r w:rsidRPr="00D22328">
        <w:rPr>
          <w:rFonts w:ascii="Times New Roman" w:hAnsi="Times New Roman" w:cs="Times New Roman"/>
          <w:b/>
          <w:sz w:val="24"/>
          <w:szCs w:val="24"/>
          <w:lang w:val="en-GB"/>
        </w:rPr>
        <w:t>→ Put research and innovation at the centre of EU strategic priorities</w:t>
      </w:r>
    </w:p>
    <w:p w:rsidR="00D22328" w:rsidRPr="00111884" w:rsidRDefault="00D22328" w:rsidP="000919B8">
      <w:pPr>
        <w:spacing w:line="240" w:lineRule="auto"/>
        <w:jc w:val="both"/>
        <w:rPr>
          <w:rFonts w:ascii="Times New Roman" w:hAnsi="Times New Roman" w:cs="Times New Roman"/>
          <w:b/>
          <w:sz w:val="24"/>
          <w:szCs w:val="24"/>
          <w:lang w:val="en-GB"/>
        </w:rPr>
      </w:pPr>
      <w:r w:rsidRPr="00111884">
        <w:rPr>
          <w:rFonts w:ascii="Times New Roman" w:hAnsi="Times New Roman" w:cs="Times New Roman"/>
          <w:b/>
          <w:sz w:val="24"/>
          <w:szCs w:val="24"/>
          <w:lang w:val="en-GB"/>
        </w:rPr>
        <w:t>→ Focus on excellence</w:t>
      </w:r>
    </w:p>
    <w:p w:rsidR="00D22328" w:rsidRPr="00111884" w:rsidRDefault="00D22328" w:rsidP="000919B8">
      <w:pPr>
        <w:spacing w:line="240" w:lineRule="auto"/>
        <w:jc w:val="both"/>
        <w:rPr>
          <w:rFonts w:ascii="Times New Roman" w:hAnsi="Times New Roman" w:cs="Times New Roman"/>
          <w:b/>
          <w:sz w:val="24"/>
          <w:szCs w:val="24"/>
          <w:lang w:val="en-GB"/>
        </w:rPr>
      </w:pPr>
      <w:r w:rsidRPr="00111884">
        <w:rPr>
          <w:rFonts w:ascii="Times New Roman" w:hAnsi="Times New Roman" w:cs="Times New Roman"/>
          <w:b/>
          <w:sz w:val="24"/>
          <w:szCs w:val="24"/>
          <w:lang w:val="en-GB"/>
        </w:rPr>
        <w:t>→ Focus on providing scale</w:t>
      </w:r>
    </w:p>
    <w:p w:rsidR="00D22328" w:rsidRPr="00111884" w:rsidRDefault="00D22328" w:rsidP="000919B8">
      <w:pPr>
        <w:spacing w:line="240" w:lineRule="auto"/>
        <w:jc w:val="both"/>
        <w:rPr>
          <w:rFonts w:ascii="Times New Roman" w:hAnsi="Times New Roman" w:cs="Times New Roman"/>
          <w:b/>
          <w:sz w:val="24"/>
          <w:szCs w:val="24"/>
          <w:lang w:val="en-GB"/>
        </w:rPr>
      </w:pPr>
      <w:r w:rsidRPr="00111884">
        <w:rPr>
          <w:rFonts w:ascii="Times New Roman" w:hAnsi="Times New Roman" w:cs="Times New Roman"/>
          <w:b/>
          <w:sz w:val="24"/>
          <w:szCs w:val="24"/>
          <w:lang w:val="en-GB"/>
        </w:rPr>
        <w:t>→ Focus on added value</w:t>
      </w:r>
    </w:p>
    <w:p w:rsidR="00D22328" w:rsidRPr="00111884" w:rsidRDefault="00D22328" w:rsidP="000919B8">
      <w:pPr>
        <w:spacing w:line="240" w:lineRule="auto"/>
        <w:jc w:val="both"/>
        <w:rPr>
          <w:rFonts w:ascii="Times New Roman" w:hAnsi="Times New Roman" w:cs="Times New Roman"/>
          <w:b/>
          <w:sz w:val="24"/>
          <w:szCs w:val="24"/>
          <w:lang w:val="en-GB"/>
        </w:rPr>
      </w:pPr>
      <w:r w:rsidRPr="00111884">
        <w:rPr>
          <w:rFonts w:ascii="Times New Roman" w:hAnsi="Times New Roman" w:cs="Times New Roman"/>
          <w:b/>
          <w:sz w:val="24"/>
          <w:szCs w:val="24"/>
          <w:lang w:val="en-GB"/>
        </w:rPr>
        <w:t>→ Focus on openness</w:t>
      </w:r>
    </w:p>
    <w:p w:rsidR="00D22328" w:rsidRPr="00111884" w:rsidRDefault="00D22328" w:rsidP="000919B8">
      <w:pPr>
        <w:spacing w:line="240" w:lineRule="auto"/>
        <w:jc w:val="both"/>
        <w:rPr>
          <w:rFonts w:ascii="Times New Roman" w:hAnsi="Times New Roman" w:cs="Times New Roman"/>
          <w:b/>
          <w:sz w:val="24"/>
          <w:szCs w:val="24"/>
          <w:lang w:val="en-GB"/>
        </w:rPr>
      </w:pPr>
      <w:r w:rsidRPr="00111884">
        <w:rPr>
          <w:rFonts w:ascii="Times New Roman" w:hAnsi="Times New Roman" w:cs="Times New Roman"/>
          <w:b/>
          <w:sz w:val="24"/>
          <w:szCs w:val="24"/>
          <w:lang w:val="en-GB"/>
        </w:rPr>
        <w:t>→ Focus on inclusiveness and accessibility</w:t>
      </w:r>
    </w:p>
    <w:p w:rsidR="00D22328" w:rsidRPr="00111884" w:rsidRDefault="00D22328" w:rsidP="000919B8">
      <w:pPr>
        <w:spacing w:line="240" w:lineRule="auto"/>
        <w:jc w:val="both"/>
        <w:rPr>
          <w:rFonts w:ascii="Times New Roman" w:hAnsi="Times New Roman" w:cs="Times New Roman"/>
          <w:b/>
          <w:sz w:val="24"/>
          <w:szCs w:val="24"/>
          <w:lang w:val="en-GB"/>
        </w:rPr>
      </w:pPr>
      <w:r w:rsidRPr="00111884">
        <w:rPr>
          <w:rFonts w:ascii="Times New Roman" w:hAnsi="Times New Roman" w:cs="Times New Roman"/>
          <w:b/>
          <w:sz w:val="24"/>
          <w:szCs w:val="24"/>
          <w:lang w:val="en-GB"/>
        </w:rPr>
        <w:t>→ Focus on European values</w:t>
      </w:r>
    </w:p>
    <w:p w:rsidR="00D22328" w:rsidRPr="00B30999" w:rsidRDefault="00D22328" w:rsidP="000919B8">
      <w:pPr>
        <w:spacing w:line="240" w:lineRule="auto"/>
        <w:jc w:val="both"/>
        <w:rPr>
          <w:rFonts w:ascii="Times New Roman" w:hAnsi="Times New Roman" w:cs="Times New Roman"/>
          <w:sz w:val="24"/>
          <w:szCs w:val="24"/>
          <w:lang w:val="en-GB"/>
        </w:rPr>
      </w:pPr>
      <w:r w:rsidRPr="00B30999">
        <w:rPr>
          <w:rFonts w:ascii="Times New Roman" w:hAnsi="Times New Roman" w:cs="Times New Roman"/>
          <w:sz w:val="24"/>
          <w:szCs w:val="24"/>
          <w:lang w:val="en-GB"/>
        </w:rPr>
        <w:t>The table below provides an overview of the policy proposals, which are detailed further in the text below:</w:t>
      </w:r>
    </w:p>
    <w:p w:rsidR="00D22328" w:rsidRPr="00B30999" w:rsidRDefault="00D22328" w:rsidP="000919B8">
      <w:pPr>
        <w:spacing w:line="240" w:lineRule="auto"/>
        <w:jc w:val="both"/>
        <w:rPr>
          <w:rFonts w:ascii="Times New Roman" w:hAnsi="Times New Roman" w:cs="Times New Roman"/>
          <w:b/>
          <w:sz w:val="24"/>
          <w:szCs w:val="24"/>
          <w:lang w:val="en-GB"/>
        </w:rPr>
      </w:pPr>
      <w:r w:rsidRPr="00B30999">
        <w:rPr>
          <w:rFonts w:ascii="Times New Roman" w:hAnsi="Times New Roman" w:cs="Times New Roman"/>
          <w:b/>
          <w:sz w:val="24"/>
          <w:szCs w:val="24"/>
          <w:lang w:val="en-GB"/>
        </w:rPr>
        <w:t>1 A better financing environment for disruptive innovation, start-ups and scale-ups</w:t>
      </w:r>
    </w:p>
    <w:p w:rsidR="00D22328" w:rsidRPr="00B30999" w:rsidRDefault="00D22328" w:rsidP="000919B8">
      <w:pPr>
        <w:spacing w:line="240" w:lineRule="auto"/>
        <w:jc w:val="both"/>
        <w:rPr>
          <w:rFonts w:ascii="Times New Roman" w:hAnsi="Times New Roman" w:cs="Times New Roman"/>
          <w:b/>
          <w:sz w:val="24"/>
          <w:szCs w:val="24"/>
          <w:lang w:val="en-GB"/>
        </w:rPr>
      </w:pPr>
      <w:r w:rsidRPr="00B30999">
        <w:rPr>
          <w:rFonts w:ascii="Times New Roman" w:hAnsi="Times New Roman" w:cs="Times New Roman"/>
          <w:b/>
          <w:sz w:val="24"/>
          <w:szCs w:val="24"/>
          <w:lang w:val="en-GB"/>
        </w:rPr>
        <w:t>2 Design a simpler and more impactful tenth EU R&amp;I Framework Programme</w:t>
      </w:r>
    </w:p>
    <w:p w:rsidR="00D22328" w:rsidRPr="00B30999" w:rsidRDefault="00D22328" w:rsidP="000919B8">
      <w:pPr>
        <w:spacing w:line="240" w:lineRule="auto"/>
        <w:jc w:val="both"/>
        <w:rPr>
          <w:rFonts w:ascii="Times New Roman" w:hAnsi="Times New Roman" w:cs="Times New Roman"/>
          <w:b/>
          <w:sz w:val="24"/>
          <w:szCs w:val="24"/>
          <w:lang w:val="en-GB"/>
        </w:rPr>
      </w:pPr>
      <w:r w:rsidRPr="00B30999">
        <w:rPr>
          <w:rFonts w:ascii="Times New Roman" w:hAnsi="Times New Roman" w:cs="Times New Roman"/>
          <w:b/>
          <w:sz w:val="24"/>
          <w:szCs w:val="24"/>
          <w:lang w:val="en-GB"/>
        </w:rPr>
        <w:t>3 Promote academic excellence and world-leading institutions</w:t>
      </w:r>
    </w:p>
    <w:p w:rsidR="00D22328" w:rsidRPr="00B30999" w:rsidRDefault="00D22328" w:rsidP="000919B8">
      <w:pPr>
        <w:spacing w:line="240" w:lineRule="auto"/>
        <w:jc w:val="both"/>
        <w:rPr>
          <w:rFonts w:ascii="Times New Roman" w:hAnsi="Times New Roman" w:cs="Times New Roman"/>
          <w:b/>
          <w:sz w:val="24"/>
          <w:szCs w:val="24"/>
          <w:lang w:val="en-GB"/>
        </w:rPr>
      </w:pPr>
      <w:r w:rsidRPr="00B30999">
        <w:rPr>
          <w:rFonts w:ascii="Times New Roman" w:hAnsi="Times New Roman" w:cs="Times New Roman"/>
          <w:b/>
          <w:sz w:val="24"/>
          <w:szCs w:val="24"/>
          <w:lang w:val="en-GB"/>
        </w:rPr>
        <w:t>4 Invest in world-leading research and technology infrastructure</w:t>
      </w:r>
    </w:p>
    <w:p w:rsidR="00D22328" w:rsidRPr="00B30999" w:rsidRDefault="00D22328" w:rsidP="000919B8">
      <w:pPr>
        <w:spacing w:line="240" w:lineRule="auto"/>
        <w:jc w:val="both"/>
        <w:rPr>
          <w:rFonts w:ascii="Times New Roman" w:hAnsi="Times New Roman" w:cs="Times New Roman"/>
          <w:b/>
          <w:sz w:val="24"/>
          <w:szCs w:val="24"/>
          <w:lang w:val="en-GB"/>
        </w:rPr>
      </w:pPr>
      <w:r w:rsidRPr="00B30999">
        <w:rPr>
          <w:rFonts w:ascii="Times New Roman" w:hAnsi="Times New Roman" w:cs="Times New Roman"/>
          <w:b/>
          <w:sz w:val="24"/>
          <w:szCs w:val="24"/>
          <w:lang w:val="en-GB"/>
        </w:rPr>
        <w:t>5 More R&amp;I and strengthened coordination of policies through a Research and Innovation Union</w:t>
      </w:r>
    </w:p>
    <w:p w:rsidR="00D22328" w:rsidRPr="00B30999" w:rsidRDefault="00D22328" w:rsidP="000919B8">
      <w:pPr>
        <w:spacing w:line="240" w:lineRule="auto"/>
        <w:jc w:val="both"/>
        <w:rPr>
          <w:rFonts w:ascii="Times New Roman" w:hAnsi="Times New Roman" w:cs="Times New Roman"/>
          <w:b/>
          <w:sz w:val="24"/>
          <w:szCs w:val="24"/>
          <w:lang w:val="en-GB"/>
        </w:rPr>
      </w:pPr>
      <w:r w:rsidRPr="00B30999">
        <w:rPr>
          <w:rFonts w:ascii="Times New Roman" w:hAnsi="Times New Roman" w:cs="Times New Roman"/>
          <w:b/>
          <w:sz w:val="24"/>
          <w:szCs w:val="24"/>
          <w:lang w:val="en-GB"/>
        </w:rPr>
        <w:t>6 A more favourable and simpler regulatory ecosystem for innovative companies</w:t>
      </w:r>
    </w:p>
    <w:p w:rsidR="00D22328" w:rsidRDefault="00B30999" w:rsidP="000919B8">
      <w:pPr>
        <w:spacing w:line="240" w:lineRule="auto"/>
        <w:jc w:val="both"/>
        <w:rPr>
          <w:rFonts w:ascii="Times New Roman" w:hAnsi="Times New Roman" w:cs="Times New Roman"/>
          <w:b/>
          <w:sz w:val="24"/>
          <w:szCs w:val="24"/>
          <w:lang w:val="en-GB"/>
        </w:rPr>
      </w:pPr>
      <w:r w:rsidRPr="00B30999">
        <w:rPr>
          <w:rFonts w:ascii="Times New Roman" w:hAnsi="Times New Roman" w:cs="Times New Roman"/>
          <w:b/>
          <w:sz w:val="24"/>
          <w:szCs w:val="24"/>
          <w:lang w:val="en-GB"/>
        </w:rPr>
        <w:t xml:space="preserve">7 </w:t>
      </w:r>
      <w:r>
        <w:rPr>
          <w:rFonts w:ascii="Times New Roman" w:hAnsi="Times New Roman" w:cs="Times New Roman"/>
          <w:b/>
          <w:sz w:val="24"/>
          <w:szCs w:val="24"/>
          <w:lang w:val="en-GB"/>
        </w:rPr>
        <w:t xml:space="preserve"> </w:t>
      </w:r>
      <w:r w:rsidR="00D22328" w:rsidRPr="00B30999">
        <w:rPr>
          <w:rFonts w:ascii="Times New Roman" w:hAnsi="Times New Roman" w:cs="Times New Roman"/>
          <w:b/>
          <w:sz w:val="24"/>
          <w:szCs w:val="24"/>
          <w:lang w:val="en-GB"/>
        </w:rPr>
        <w:t>Shared prosperity as a fundamental enabler of EU innovation</w:t>
      </w:r>
    </w:p>
    <w:p w:rsidR="00475D66" w:rsidRDefault="00475D66" w:rsidP="000919B8">
      <w:pPr>
        <w:spacing w:line="240" w:lineRule="auto"/>
        <w:jc w:val="both"/>
        <w:rPr>
          <w:rFonts w:ascii="Times New Roman" w:hAnsi="Times New Roman" w:cs="Times New Roman"/>
          <w:b/>
          <w:sz w:val="24"/>
          <w:szCs w:val="24"/>
          <w:lang w:val="en-GB"/>
        </w:rPr>
      </w:pPr>
      <w:r w:rsidRPr="00475D66">
        <w:rPr>
          <w:rFonts w:ascii="Times New Roman" w:hAnsi="Times New Roman" w:cs="Times New Roman"/>
          <w:b/>
          <w:sz w:val="24"/>
          <w:szCs w:val="24"/>
          <w:lang w:val="en-GB"/>
        </w:rPr>
        <w:lastRenderedPageBreak/>
        <w:t xml:space="preserve">2. Closing the skills gap </w:t>
      </w:r>
    </w:p>
    <w:p w:rsidR="00B30999" w:rsidRDefault="00475D66" w:rsidP="000919B8">
      <w:pPr>
        <w:spacing w:line="240" w:lineRule="auto"/>
        <w:jc w:val="both"/>
        <w:rPr>
          <w:rFonts w:ascii="Times New Roman" w:hAnsi="Times New Roman" w:cs="Times New Roman"/>
          <w:sz w:val="24"/>
          <w:szCs w:val="24"/>
          <w:lang w:val="en-GB"/>
        </w:rPr>
      </w:pPr>
      <w:r w:rsidRPr="00475D66">
        <w:rPr>
          <w:rFonts w:ascii="Times New Roman" w:hAnsi="Times New Roman" w:cs="Times New Roman"/>
          <w:b/>
          <w:sz w:val="24"/>
          <w:szCs w:val="24"/>
          <w:lang w:val="en-GB"/>
        </w:rPr>
        <w:t>The starting point The competitiveness of the EU and the success of the European economic model -starting with the successful execution of the green and digital transitions- requires a labour force endowed with the right knowledge and skills</w:t>
      </w:r>
      <w:r w:rsidRPr="00475D66">
        <w:rPr>
          <w:rFonts w:ascii="Times New Roman" w:hAnsi="Times New Roman" w:cs="Times New Roman"/>
          <w:sz w:val="24"/>
          <w:szCs w:val="24"/>
          <w:lang w:val="en-GB"/>
        </w:rPr>
        <w:t>. The EU has a highly skilled labour force, but it is suffering from persistent skills short ages across different sectors, both in low-skilled and highly skilled occupations, including in the strategic sectors discussed in earlier chapters. For example, in clean technologies, companies are facing important skills shortages, limiting their ability to compete at the global level. Moving forward, the challenge may become even more severe. Demographic headwinds will lead to a declining labour force, while the reorientation of the economy caused by the green and digital transitions will change the labour market and skills requirements. Without ambitious, yet pragmatic skills policies, the EU will not be able to achieve the objectives discussed in this report in an effective and equitable way</w:t>
      </w:r>
      <w:r w:rsidR="008B441D">
        <w:rPr>
          <w:rFonts w:ascii="Times New Roman" w:hAnsi="Times New Roman" w:cs="Times New Roman"/>
          <w:sz w:val="24"/>
          <w:szCs w:val="24"/>
          <w:lang w:val="en-GB"/>
        </w:rPr>
        <w:t>…</w:t>
      </w:r>
    </w:p>
    <w:p w:rsidR="008B441D" w:rsidRDefault="008B441D" w:rsidP="000919B8">
      <w:pPr>
        <w:spacing w:line="240" w:lineRule="auto"/>
        <w:jc w:val="both"/>
        <w:rPr>
          <w:rFonts w:ascii="Times New Roman" w:hAnsi="Times New Roman" w:cs="Times New Roman"/>
          <w:b/>
          <w:sz w:val="24"/>
          <w:szCs w:val="24"/>
          <w:lang w:val="en-GB"/>
        </w:rPr>
      </w:pPr>
      <w:r w:rsidRPr="008B441D">
        <w:rPr>
          <w:rFonts w:ascii="Times New Roman" w:hAnsi="Times New Roman" w:cs="Times New Roman"/>
          <w:b/>
          <w:noProof/>
          <w:sz w:val="24"/>
          <w:szCs w:val="24"/>
          <w:lang w:eastAsia="es-ES"/>
        </w:rPr>
        <w:drawing>
          <wp:inline distT="0" distB="0" distL="0" distR="0" wp14:anchorId="7690584A" wp14:editId="70D0D86E">
            <wp:extent cx="5727700" cy="2946400"/>
            <wp:effectExtent l="0" t="0" r="6350" b="635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2948360"/>
                    </a:xfrm>
                    <a:prstGeom prst="rect">
                      <a:avLst/>
                    </a:prstGeom>
                  </pic:spPr>
                </pic:pic>
              </a:graphicData>
            </a:graphic>
          </wp:inline>
        </w:drawing>
      </w:r>
    </w:p>
    <w:p w:rsidR="008B441D" w:rsidRDefault="008B441D" w:rsidP="000919B8">
      <w:pPr>
        <w:spacing w:line="240" w:lineRule="auto"/>
        <w:jc w:val="both"/>
        <w:rPr>
          <w:rFonts w:ascii="Times New Roman" w:hAnsi="Times New Roman" w:cs="Times New Roman"/>
          <w:b/>
          <w:sz w:val="24"/>
          <w:szCs w:val="24"/>
          <w:lang w:val="en-GB"/>
        </w:rPr>
      </w:pPr>
      <w:r w:rsidRPr="008B441D">
        <w:rPr>
          <w:rFonts w:ascii="Times New Roman" w:hAnsi="Times New Roman" w:cs="Times New Roman"/>
          <w:b/>
          <w:noProof/>
          <w:sz w:val="24"/>
          <w:szCs w:val="24"/>
          <w:lang w:eastAsia="es-ES"/>
        </w:rPr>
        <w:drawing>
          <wp:inline distT="0" distB="0" distL="0" distR="0" wp14:anchorId="01D78672" wp14:editId="68C3126D">
            <wp:extent cx="5731864" cy="2959100"/>
            <wp:effectExtent l="0" t="0" r="254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2958917"/>
                    </a:xfrm>
                    <a:prstGeom prst="rect">
                      <a:avLst/>
                    </a:prstGeom>
                  </pic:spPr>
                </pic:pic>
              </a:graphicData>
            </a:graphic>
          </wp:inline>
        </w:drawing>
      </w:r>
    </w:p>
    <w:p w:rsidR="008B441D" w:rsidRDefault="008B441D" w:rsidP="000919B8">
      <w:pPr>
        <w:spacing w:line="240" w:lineRule="auto"/>
        <w:jc w:val="both"/>
        <w:rPr>
          <w:noProof/>
          <w:lang w:eastAsia="es-ES"/>
        </w:rPr>
      </w:pPr>
      <w:r w:rsidRPr="008B441D">
        <w:rPr>
          <w:rFonts w:ascii="Times New Roman" w:hAnsi="Times New Roman" w:cs="Times New Roman"/>
          <w:b/>
          <w:noProof/>
          <w:sz w:val="24"/>
          <w:szCs w:val="24"/>
          <w:lang w:eastAsia="es-ES"/>
        </w:rPr>
        <w:lastRenderedPageBreak/>
        <w:drawing>
          <wp:inline distT="0" distB="0" distL="0" distR="0" wp14:anchorId="51F84AB7" wp14:editId="326398D7">
            <wp:extent cx="5725436" cy="2990850"/>
            <wp:effectExtent l="0" t="0" r="889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2994023"/>
                    </a:xfrm>
                    <a:prstGeom prst="rect">
                      <a:avLst/>
                    </a:prstGeom>
                  </pic:spPr>
                </pic:pic>
              </a:graphicData>
            </a:graphic>
          </wp:inline>
        </w:drawing>
      </w:r>
      <w:r w:rsidRPr="008B441D">
        <w:rPr>
          <w:noProof/>
          <w:lang w:eastAsia="es-ES"/>
        </w:rPr>
        <w:t xml:space="preserve"> </w:t>
      </w:r>
      <w:r w:rsidRPr="008B441D">
        <w:rPr>
          <w:rFonts w:ascii="Times New Roman" w:hAnsi="Times New Roman" w:cs="Times New Roman"/>
          <w:b/>
          <w:noProof/>
          <w:sz w:val="24"/>
          <w:szCs w:val="24"/>
          <w:lang w:eastAsia="es-ES"/>
        </w:rPr>
        <w:drawing>
          <wp:inline distT="0" distB="0" distL="0" distR="0" wp14:anchorId="49F06425" wp14:editId="65C03552">
            <wp:extent cx="5727700" cy="2813050"/>
            <wp:effectExtent l="0" t="0" r="6350" b="635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2814921"/>
                    </a:xfrm>
                    <a:prstGeom prst="rect">
                      <a:avLst/>
                    </a:prstGeom>
                  </pic:spPr>
                </pic:pic>
              </a:graphicData>
            </a:graphic>
          </wp:inline>
        </w:drawing>
      </w:r>
    </w:p>
    <w:p w:rsidR="008B441D" w:rsidRDefault="008B441D" w:rsidP="000919B8">
      <w:pPr>
        <w:spacing w:line="240" w:lineRule="auto"/>
        <w:jc w:val="both"/>
        <w:rPr>
          <w:rFonts w:ascii="Times New Roman" w:hAnsi="Times New Roman" w:cs="Times New Roman"/>
          <w:b/>
          <w:sz w:val="24"/>
          <w:szCs w:val="24"/>
          <w:lang w:val="en-GB"/>
        </w:rPr>
      </w:pPr>
      <w:r w:rsidRPr="008B441D">
        <w:rPr>
          <w:rFonts w:ascii="Times New Roman" w:hAnsi="Times New Roman" w:cs="Times New Roman"/>
          <w:b/>
          <w:noProof/>
          <w:sz w:val="24"/>
          <w:szCs w:val="24"/>
          <w:lang w:eastAsia="es-ES"/>
        </w:rPr>
        <w:drawing>
          <wp:inline distT="0" distB="0" distL="0" distR="0" wp14:anchorId="6475495C" wp14:editId="4F3C034B">
            <wp:extent cx="5734050" cy="2673350"/>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2672166"/>
                    </a:xfrm>
                    <a:prstGeom prst="rect">
                      <a:avLst/>
                    </a:prstGeom>
                  </pic:spPr>
                </pic:pic>
              </a:graphicData>
            </a:graphic>
          </wp:inline>
        </w:drawing>
      </w:r>
    </w:p>
    <w:p w:rsidR="008B441D" w:rsidRPr="008C0961" w:rsidRDefault="008B441D"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lastRenderedPageBreak/>
        <w:t xml:space="preserve">The root causes of the gap </w:t>
      </w:r>
    </w:p>
    <w:p w:rsidR="008B441D" w:rsidRPr="008C0961" w:rsidRDefault="008B441D" w:rsidP="000919B8">
      <w:pPr>
        <w:spacing w:line="240" w:lineRule="auto"/>
        <w:jc w:val="both"/>
        <w:rPr>
          <w:rFonts w:ascii="Times New Roman" w:hAnsi="Times New Roman" w:cs="Times New Roman"/>
          <w:sz w:val="24"/>
          <w:szCs w:val="24"/>
          <w:lang w:val="en-GB"/>
        </w:rPr>
      </w:pPr>
      <w:r w:rsidRPr="008C0961">
        <w:rPr>
          <w:rFonts w:ascii="Times New Roman" w:hAnsi="Times New Roman" w:cs="Times New Roman"/>
          <w:b/>
          <w:sz w:val="24"/>
          <w:szCs w:val="24"/>
          <w:lang w:val="en-GB"/>
        </w:rPr>
        <w:t>The lack of relevant skills in Europe depends on a combination of factors related to the performance of education and training systems, as well as labour market dynamics</w:t>
      </w:r>
      <w:r w:rsidRPr="008C0961">
        <w:rPr>
          <w:rFonts w:ascii="Times New Roman" w:hAnsi="Times New Roman" w:cs="Times New Roman"/>
          <w:sz w:val="24"/>
          <w:szCs w:val="24"/>
          <w:lang w:val="en-GB"/>
        </w:rPr>
        <w:t xml:space="preserve">. Overall, the structure for developing skills is insufficiently coordinated, efficient and effective, and there are not enough incentives for employers and employees to invest time and money in skills development. The specific reasons for shortages can be grouped into five main categories: the gradually deteriorating performance of the education system, shrinking active labour population, limited adult learning, low labour mobility, and poor working conditions. </w:t>
      </w:r>
    </w:p>
    <w:p w:rsidR="008B441D" w:rsidRPr="008C0961" w:rsidRDefault="008B441D"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1. The gradually deteriorating performance of the education system</w:t>
      </w:r>
    </w:p>
    <w:p w:rsidR="008B441D" w:rsidRPr="008C0961" w:rsidRDefault="008B441D"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2. Shrinking active labour population</w:t>
      </w:r>
    </w:p>
    <w:p w:rsidR="008B441D" w:rsidRPr="008C0961" w:rsidRDefault="008B441D"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3. Limited adult learning</w:t>
      </w:r>
    </w:p>
    <w:p w:rsidR="008B441D" w:rsidRPr="008C0961" w:rsidRDefault="008B441D"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4. Low labour mobility</w:t>
      </w:r>
    </w:p>
    <w:p w:rsidR="008B441D" w:rsidRPr="008C0961" w:rsidRDefault="008B441D"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5. Poor working conditions</w:t>
      </w:r>
    </w:p>
    <w:p w:rsidR="008B441D" w:rsidRPr="008C0961" w:rsidRDefault="008B441D"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 xml:space="preserve">Objectives and proposals </w:t>
      </w:r>
    </w:p>
    <w:p w:rsidR="008B441D" w:rsidRPr="008C0961" w:rsidRDefault="008B441D" w:rsidP="000919B8">
      <w:pPr>
        <w:spacing w:line="240" w:lineRule="auto"/>
        <w:jc w:val="both"/>
        <w:rPr>
          <w:rFonts w:ascii="Times New Roman" w:hAnsi="Times New Roman" w:cs="Times New Roman"/>
          <w:sz w:val="24"/>
          <w:szCs w:val="24"/>
          <w:lang w:val="en-GB"/>
        </w:rPr>
      </w:pPr>
      <w:r w:rsidRPr="008C0961">
        <w:rPr>
          <w:rFonts w:ascii="Times New Roman" w:hAnsi="Times New Roman" w:cs="Times New Roman"/>
          <w:b/>
          <w:sz w:val="24"/>
          <w:szCs w:val="24"/>
          <w:lang w:val="en-GB"/>
        </w:rPr>
        <w:t>Europe needs to act decisively to overcome its current challenges and implement a significant rethinking of the design and implementation of skills policies</w:t>
      </w:r>
      <w:r w:rsidRPr="008C0961">
        <w:rPr>
          <w:rFonts w:ascii="Times New Roman" w:hAnsi="Times New Roman" w:cs="Times New Roman"/>
          <w:sz w:val="24"/>
          <w:szCs w:val="24"/>
          <w:lang w:val="en-GB"/>
        </w:rPr>
        <w:t>. It needs to adopt a skills-based approach whereby the emphasis shifts from the formal delivery of diplomas to preparing students with the right skills for the rapidly evolving economy and labour market. In addition to fostering initial education (which remains essential to long-term growth and productivity), it is key to accelerate the quantity and quality of adult and vocational training undertaken in Member States. This is important to close the current productivity gaps in strategic sectors, and to lay the foundations for future growth.</w:t>
      </w:r>
    </w:p>
    <w:p w:rsidR="008C0961" w:rsidRPr="008C0961" w:rsidRDefault="008C0961"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It can no longer be assumed that formal education until the first years of adulthood alone is sufficient.</w:t>
      </w:r>
    </w:p>
    <w:p w:rsidR="008C0961" w:rsidRPr="008C0961" w:rsidRDefault="008C0961"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To realise this vision, it will be necessary to act on several fronts.</w:t>
      </w:r>
    </w:p>
    <w:p w:rsidR="008C0961" w:rsidRPr="008C0961" w:rsidRDefault="008C0961"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Implementing this new vision will require a radical departure from current governance models.</w:t>
      </w:r>
    </w:p>
    <w:p w:rsidR="008C0961" w:rsidRPr="008C0961" w:rsidRDefault="008C0961"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Similarly, it will be crucial to involve social partners and companies in the design and implementation of skills policies.</w:t>
      </w:r>
    </w:p>
    <w:p w:rsidR="008C0961" w:rsidRPr="008C0961" w:rsidRDefault="008C0961"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 xml:space="preserve">Following the logic outlined above, a number of specific initiatives </w:t>
      </w:r>
      <w:r w:rsidR="00A021C8" w:rsidRPr="008C0961">
        <w:rPr>
          <w:rFonts w:ascii="Times New Roman" w:hAnsi="Times New Roman" w:cs="Times New Roman"/>
          <w:b/>
          <w:sz w:val="24"/>
          <w:szCs w:val="24"/>
          <w:lang w:val="en-GB"/>
        </w:rPr>
        <w:t>are</w:t>
      </w:r>
      <w:r w:rsidRPr="008C0961">
        <w:rPr>
          <w:rFonts w:ascii="Times New Roman" w:hAnsi="Times New Roman" w:cs="Times New Roman"/>
          <w:b/>
          <w:sz w:val="24"/>
          <w:szCs w:val="24"/>
          <w:lang w:val="en-GB"/>
        </w:rPr>
        <w:t xml:space="preserve"> proposed.</w:t>
      </w:r>
    </w:p>
    <w:p w:rsidR="008C0961" w:rsidRPr="008C0961" w:rsidRDefault="008C0961"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The ultimate vision is to lay the foundations for the creation of a ‘Union of Skills’ with a focus on relevant skills of high-quality, irrespective of where and how they were acquired.</w:t>
      </w:r>
    </w:p>
    <w:p w:rsidR="008C0961" w:rsidRPr="008C0961" w:rsidRDefault="008C0961"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Closing the skills gaps proposals time horizon</w:t>
      </w:r>
    </w:p>
    <w:p w:rsidR="008C0961" w:rsidRPr="008C0961" w:rsidRDefault="008C0961"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 xml:space="preserve">1 Collect and leverage granular data on skills needs, stocks and flows (‘skills intelligence’) to design skills policies.  </w:t>
      </w:r>
    </w:p>
    <w:p w:rsidR="008C0961" w:rsidRPr="008C0961" w:rsidRDefault="008C0961"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 xml:space="preserve">2 Revise curricula in light of changing skills needs. </w:t>
      </w:r>
    </w:p>
    <w:p w:rsidR="008C0961" w:rsidRPr="008C0961" w:rsidRDefault="008C0961"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lastRenderedPageBreak/>
        <w:t xml:space="preserve">3 Improve and harmonise skills certifications common to all EU member states, recognising and validating skills acquired through diverse learning pathways, vocational training, and work-based learning. </w:t>
      </w:r>
    </w:p>
    <w:p w:rsidR="008C0961" w:rsidRPr="008C0961" w:rsidRDefault="008C0961"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 xml:space="preserve">4 Rethink the design, funding and implementation of skills policies: i) dedicating a minimum share towards adult learning and vocational training; ii) focusing on strategic sectors and occupations; iii) including stricter requirements on the design, implementation and desired impact of the programmes; iv) systematically evaluating and comparing the effectiveness of policy initiatives in skills within and across Member States via dedicated evaluation units. </w:t>
      </w:r>
    </w:p>
    <w:p w:rsidR="008C0961" w:rsidRPr="008C0961" w:rsidRDefault="008C0961"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 xml:space="preserve">5 Focus on adult learning ensuring sufficient available funding by Member States and private organisations (including incentivising companies to allocate more resources to training, for example by offering tax benefits).  </w:t>
      </w:r>
    </w:p>
    <w:p w:rsidR="008C0961" w:rsidRPr="008C0961" w:rsidRDefault="008C0961"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 xml:space="preserve">6 Promote and reform vocational educational training (VET), in partnership with VET providers, employers, industry associations, and trade unions. </w:t>
      </w:r>
    </w:p>
    <w:p w:rsidR="008C0961" w:rsidRPr="008C0961" w:rsidRDefault="008C0961"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 xml:space="preserve">7 Attract more highly skilled workers from outside the EU launching a new Tech Skills Acquisition Fund for a new EU-level visa programme; a large number of EU scholarships for undergraduate, graduate and PhD students; student internships and graduate contracts within participating research centres and public institutions.  </w:t>
      </w:r>
    </w:p>
    <w:p w:rsidR="008C0961" w:rsidRPr="008C0961" w:rsidRDefault="008C0961"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 xml:space="preserve">8 Reduce the misallocation of future talent, implementing programmes to support talented children from disadvantaged backgrounds.  </w:t>
      </w:r>
    </w:p>
    <w:p w:rsidR="008C0961" w:rsidRPr="008C0961" w:rsidRDefault="008C0961"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 xml:space="preserve">9 </w:t>
      </w:r>
      <w:r>
        <w:rPr>
          <w:rFonts w:ascii="Times New Roman" w:hAnsi="Times New Roman" w:cs="Times New Roman"/>
          <w:b/>
          <w:sz w:val="24"/>
          <w:szCs w:val="24"/>
          <w:lang w:val="en-GB"/>
        </w:rPr>
        <w:t xml:space="preserve"> </w:t>
      </w:r>
      <w:r w:rsidRPr="008C0961">
        <w:rPr>
          <w:rFonts w:ascii="Times New Roman" w:hAnsi="Times New Roman" w:cs="Times New Roman"/>
          <w:b/>
          <w:sz w:val="24"/>
          <w:szCs w:val="24"/>
          <w:lang w:val="en-GB"/>
        </w:rPr>
        <w:t xml:space="preserve">Address skills shortages in critical value chains. </w:t>
      </w:r>
    </w:p>
    <w:p w:rsidR="008C0961" w:rsidRPr="008C0961" w:rsidRDefault="008C0961"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 xml:space="preserve">10 Promote managerial skills in SMEs by: i) creating accreditation systems and incentives to elevate the quality of managerial training; ii) facilitating the acquisition of managerial skills through the use of vouchers to hire temporary managers. </w:t>
      </w:r>
    </w:p>
    <w:p w:rsidR="008C0961" w:rsidRPr="008C0961" w:rsidRDefault="008C0961"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 xml:space="preserve">11 Improve the availability and working conditions of teachers. </w:t>
      </w:r>
    </w:p>
    <w:p w:rsidR="008C0961" w:rsidRDefault="008C0961" w:rsidP="000919B8">
      <w:pPr>
        <w:spacing w:line="240" w:lineRule="auto"/>
        <w:jc w:val="both"/>
        <w:rPr>
          <w:rFonts w:ascii="Times New Roman" w:hAnsi="Times New Roman" w:cs="Times New Roman"/>
          <w:b/>
          <w:sz w:val="24"/>
          <w:szCs w:val="24"/>
          <w:lang w:val="en-GB"/>
        </w:rPr>
      </w:pPr>
      <w:r w:rsidRPr="008C0961">
        <w:rPr>
          <w:rFonts w:ascii="Times New Roman" w:hAnsi="Times New Roman" w:cs="Times New Roman"/>
          <w:b/>
          <w:sz w:val="24"/>
          <w:szCs w:val="24"/>
          <w:lang w:val="en-GB"/>
        </w:rPr>
        <w:t>12 Increasing labour market participation.</w:t>
      </w:r>
    </w:p>
    <w:p w:rsidR="008C0961" w:rsidRPr="00111884" w:rsidRDefault="008C0961" w:rsidP="000919B8">
      <w:pPr>
        <w:spacing w:line="240" w:lineRule="auto"/>
        <w:jc w:val="both"/>
        <w:rPr>
          <w:rFonts w:ascii="Times New Roman" w:hAnsi="Times New Roman" w:cs="Times New Roman"/>
          <w:b/>
          <w:sz w:val="24"/>
          <w:szCs w:val="24"/>
          <w:lang w:val="en-GB"/>
        </w:rPr>
      </w:pPr>
      <w:r w:rsidRPr="00111884">
        <w:rPr>
          <w:rFonts w:ascii="Times New Roman" w:hAnsi="Times New Roman" w:cs="Times New Roman"/>
          <w:b/>
          <w:sz w:val="24"/>
          <w:szCs w:val="24"/>
          <w:lang w:val="en-GB"/>
        </w:rPr>
        <w:t xml:space="preserve">3. Sustaining investment </w:t>
      </w:r>
    </w:p>
    <w:p w:rsidR="008C0961" w:rsidRPr="00111884" w:rsidRDefault="008C0961" w:rsidP="000919B8">
      <w:pPr>
        <w:spacing w:line="240" w:lineRule="auto"/>
        <w:jc w:val="both"/>
        <w:rPr>
          <w:rFonts w:ascii="Times New Roman" w:hAnsi="Times New Roman" w:cs="Times New Roman"/>
          <w:b/>
          <w:sz w:val="24"/>
          <w:szCs w:val="24"/>
          <w:lang w:val="en-GB"/>
        </w:rPr>
      </w:pPr>
      <w:r w:rsidRPr="00111884">
        <w:rPr>
          <w:rFonts w:ascii="Times New Roman" w:hAnsi="Times New Roman" w:cs="Times New Roman"/>
          <w:b/>
          <w:sz w:val="24"/>
          <w:szCs w:val="24"/>
          <w:lang w:val="en-GB"/>
        </w:rPr>
        <w:t xml:space="preserve">The starting point </w:t>
      </w:r>
    </w:p>
    <w:p w:rsidR="00111884" w:rsidRDefault="008C0961" w:rsidP="000919B8">
      <w:pPr>
        <w:spacing w:line="240" w:lineRule="auto"/>
        <w:jc w:val="both"/>
        <w:rPr>
          <w:rFonts w:ascii="Times New Roman" w:hAnsi="Times New Roman" w:cs="Times New Roman"/>
          <w:sz w:val="24"/>
          <w:szCs w:val="24"/>
          <w:lang w:val="en-GB"/>
        </w:rPr>
      </w:pPr>
      <w:r w:rsidRPr="00111884">
        <w:rPr>
          <w:rFonts w:ascii="Times New Roman" w:hAnsi="Times New Roman" w:cs="Times New Roman"/>
          <w:b/>
          <w:sz w:val="24"/>
          <w:szCs w:val="24"/>
          <w:lang w:val="en-GB"/>
        </w:rPr>
        <w:t>In the EU, productive investment is low and private sector saving is high, contributing to a subst</w:t>
      </w:r>
      <w:r w:rsidR="00111884" w:rsidRPr="00111884">
        <w:rPr>
          <w:rFonts w:ascii="Times New Roman" w:hAnsi="Times New Roman" w:cs="Times New Roman"/>
          <w:b/>
          <w:sz w:val="24"/>
          <w:szCs w:val="24"/>
          <w:lang w:val="en-GB"/>
        </w:rPr>
        <w:t>antial current account surplus</w:t>
      </w:r>
      <w:r w:rsidRPr="00111884">
        <w:rPr>
          <w:rFonts w:ascii="Times New Roman" w:hAnsi="Times New Roman" w:cs="Times New Roman"/>
          <w:sz w:val="24"/>
          <w:szCs w:val="24"/>
          <w:lang w:val="en-GB"/>
        </w:rPr>
        <w:t xml:space="preserve">. Since the 2007-2008 economic and financial </w:t>
      </w:r>
      <w:r w:rsidR="00A021C8" w:rsidRPr="00111884">
        <w:rPr>
          <w:rFonts w:ascii="Times New Roman" w:hAnsi="Times New Roman" w:cs="Times New Roman"/>
          <w:sz w:val="24"/>
          <w:szCs w:val="24"/>
          <w:lang w:val="en-GB"/>
        </w:rPr>
        <w:t>crises</w:t>
      </w:r>
      <w:r w:rsidRPr="00111884">
        <w:rPr>
          <w:rFonts w:ascii="Times New Roman" w:hAnsi="Times New Roman" w:cs="Times New Roman"/>
          <w:sz w:val="24"/>
          <w:szCs w:val="24"/>
          <w:lang w:val="en-GB"/>
        </w:rPr>
        <w:t>, a sizeable and persistent gap has opened between private investm</w:t>
      </w:r>
      <w:r w:rsidR="00111884">
        <w:rPr>
          <w:rFonts w:ascii="Times New Roman" w:hAnsi="Times New Roman" w:cs="Times New Roman"/>
          <w:sz w:val="24"/>
          <w:szCs w:val="24"/>
          <w:lang w:val="en-GB"/>
        </w:rPr>
        <w:t>ent</w:t>
      </w:r>
      <w:r w:rsidRPr="00111884">
        <w:rPr>
          <w:rFonts w:ascii="Times New Roman" w:hAnsi="Times New Roman" w:cs="Times New Roman"/>
          <w:sz w:val="24"/>
          <w:szCs w:val="24"/>
          <w:lang w:val="en-GB"/>
        </w:rPr>
        <w:t xml:space="preserve"> in the EU and in the US. While private investment recovered quickly in the US after the 2007-2008 economic and financial </w:t>
      </w:r>
      <w:r w:rsidR="00A021C8" w:rsidRPr="00111884">
        <w:rPr>
          <w:rFonts w:ascii="Times New Roman" w:hAnsi="Times New Roman" w:cs="Times New Roman"/>
          <w:sz w:val="24"/>
          <w:szCs w:val="24"/>
          <w:lang w:val="en-GB"/>
        </w:rPr>
        <w:t>crises</w:t>
      </w:r>
      <w:r w:rsidRPr="00111884">
        <w:rPr>
          <w:rFonts w:ascii="Times New Roman" w:hAnsi="Times New Roman" w:cs="Times New Roman"/>
          <w:sz w:val="24"/>
          <w:szCs w:val="24"/>
          <w:lang w:val="en-GB"/>
        </w:rPr>
        <w:t xml:space="preserve"> and continued expanding, it reco</w:t>
      </w:r>
      <w:r w:rsidR="00111884">
        <w:rPr>
          <w:rFonts w:ascii="Times New Roman" w:hAnsi="Times New Roman" w:cs="Times New Roman"/>
          <w:sz w:val="24"/>
          <w:szCs w:val="24"/>
          <w:lang w:val="en-GB"/>
        </w:rPr>
        <w:t>vered only gradually in the EU</w:t>
      </w:r>
      <w:r w:rsidRPr="00111884">
        <w:rPr>
          <w:rFonts w:ascii="Times New Roman" w:hAnsi="Times New Roman" w:cs="Times New Roman"/>
          <w:sz w:val="24"/>
          <w:szCs w:val="24"/>
          <w:lang w:val="en-GB"/>
        </w:rPr>
        <w:t xml:space="preserve">. The emerging gap in private investment between the US and the EU has not been offset by higher public investment, which also dropped after the crisis and remained persistently lower as a share of GDP in the EU compared to the US thereafter. Even though overall private investment accounts for more than 80% of total investment in the EU, public investment acts as an enabler of private investment and may have contributed to the private investment gap between the EU and the US, particularly in Member States most affected by the sovereign debt crisis. The decline in aggregate investment as a share of GDP, coupled with a persistently high savings rate, explains why the EU’s current account position has shifted </w:t>
      </w:r>
      <w:r w:rsidRPr="00111884">
        <w:rPr>
          <w:rFonts w:ascii="Times New Roman" w:hAnsi="Times New Roman" w:cs="Times New Roman"/>
          <w:sz w:val="24"/>
          <w:szCs w:val="24"/>
          <w:lang w:val="en-GB"/>
        </w:rPr>
        <w:lastRenderedPageBreak/>
        <w:t xml:space="preserve">from broadly balanced to a large and persistent surplus since the 2007-2008 economic and financial </w:t>
      </w:r>
      <w:r w:rsidR="00A021C8" w:rsidRPr="00111884">
        <w:rPr>
          <w:rFonts w:ascii="Times New Roman" w:hAnsi="Times New Roman" w:cs="Times New Roman"/>
          <w:sz w:val="24"/>
          <w:szCs w:val="24"/>
          <w:lang w:val="en-GB"/>
        </w:rPr>
        <w:t>crises</w:t>
      </w:r>
      <w:r w:rsidRPr="00111884">
        <w:rPr>
          <w:rFonts w:ascii="Times New Roman" w:hAnsi="Times New Roman" w:cs="Times New Roman"/>
          <w:sz w:val="24"/>
          <w:szCs w:val="24"/>
          <w:lang w:val="en-GB"/>
        </w:rPr>
        <w:t xml:space="preserve">...    </w:t>
      </w:r>
    </w:p>
    <w:p w:rsidR="00111884" w:rsidRDefault="00111884" w:rsidP="000919B8">
      <w:pPr>
        <w:spacing w:line="240" w:lineRule="auto"/>
        <w:jc w:val="both"/>
        <w:rPr>
          <w:noProof/>
          <w:lang w:eastAsia="es-ES"/>
        </w:rPr>
      </w:pPr>
      <w:r w:rsidRPr="00111884">
        <w:rPr>
          <w:rFonts w:ascii="Times New Roman" w:hAnsi="Times New Roman" w:cs="Times New Roman"/>
          <w:noProof/>
          <w:sz w:val="24"/>
          <w:szCs w:val="24"/>
          <w:lang w:eastAsia="es-ES"/>
        </w:rPr>
        <w:drawing>
          <wp:inline distT="0" distB="0" distL="0" distR="0" wp14:anchorId="71E772DE" wp14:editId="3566CDF9">
            <wp:extent cx="5727699" cy="2622550"/>
            <wp:effectExtent l="0" t="0" r="6985" b="635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2624295"/>
                    </a:xfrm>
                    <a:prstGeom prst="rect">
                      <a:avLst/>
                    </a:prstGeom>
                  </pic:spPr>
                </pic:pic>
              </a:graphicData>
            </a:graphic>
          </wp:inline>
        </w:drawing>
      </w:r>
    </w:p>
    <w:p w:rsidR="00111884" w:rsidRPr="007A42CF" w:rsidRDefault="00111884" w:rsidP="000919B8">
      <w:pPr>
        <w:spacing w:line="240" w:lineRule="auto"/>
        <w:jc w:val="both"/>
        <w:rPr>
          <w:rFonts w:ascii="Times New Roman" w:hAnsi="Times New Roman" w:cs="Times New Roman"/>
          <w:b/>
          <w:sz w:val="24"/>
          <w:szCs w:val="24"/>
          <w:lang w:val="en-GB"/>
        </w:rPr>
      </w:pPr>
      <w:r w:rsidRPr="007A42CF">
        <w:rPr>
          <w:rFonts w:ascii="Times New Roman" w:hAnsi="Times New Roman" w:cs="Times New Roman"/>
          <w:b/>
          <w:sz w:val="24"/>
          <w:szCs w:val="24"/>
          <w:lang w:val="en-GB"/>
        </w:rPr>
        <w:t xml:space="preserve">The failure of high EU savings to flow into productive investments in Europe comes down to less efficient financial intermediation… </w:t>
      </w:r>
    </w:p>
    <w:p w:rsidR="007A42CF" w:rsidRPr="007A42CF" w:rsidRDefault="00111884" w:rsidP="000919B8">
      <w:pPr>
        <w:spacing w:line="240" w:lineRule="auto"/>
        <w:jc w:val="both"/>
        <w:rPr>
          <w:rFonts w:ascii="Times New Roman" w:hAnsi="Times New Roman" w:cs="Times New Roman"/>
          <w:sz w:val="24"/>
          <w:szCs w:val="24"/>
          <w:lang w:val="en-GB"/>
        </w:rPr>
      </w:pPr>
      <w:r w:rsidRPr="007A42CF">
        <w:rPr>
          <w:rFonts w:ascii="Times New Roman" w:hAnsi="Times New Roman" w:cs="Times New Roman"/>
          <w:b/>
          <w:sz w:val="24"/>
          <w:szCs w:val="24"/>
          <w:lang w:val="en-GB"/>
        </w:rPr>
        <w:t>Such low productive investment, together with an ageing population, has resulted in low growth in Europe</w:t>
      </w:r>
      <w:r w:rsidRPr="007A42CF">
        <w:rPr>
          <w:rFonts w:ascii="Times New Roman" w:hAnsi="Times New Roman" w:cs="Times New Roman"/>
          <w:sz w:val="24"/>
          <w:szCs w:val="24"/>
          <w:lang w:val="en-GB"/>
        </w:rPr>
        <w:t xml:space="preserve">. Moving forward, it would also hinder Europe’s environmental and digital transition, </w:t>
      </w:r>
      <w:r w:rsidR="00A021C8" w:rsidRPr="007A42CF">
        <w:rPr>
          <w:rFonts w:ascii="Times New Roman" w:hAnsi="Times New Roman" w:cs="Times New Roman"/>
          <w:sz w:val="24"/>
          <w:szCs w:val="24"/>
          <w:lang w:val="en-GB"/>
        </w:rPr>
        <w:t>it’s</w:t>
      </w:r>
      <w:r w:rsidRPr="007A42CF">
        <w:rPr>
          <w:rFonts w:ascii="Times New Roman" w:hAnsi="Times New Roman" w:cs="Times New Roman"/>
          <w:sz w:val="24"/>
          <w:szCs w:val="24"/>
          <w:lang w:val="en-GB"/>
        </w:rPr>
        <w:t xml:space="preserve"> spending on R&amp;I, and its planned increase in defence spending build-up. To meet the objectives laid out in this report, a minimum annual additional investment of EUR 750 to EUR 800 billion is needed, based on the latest Commission estimates [see Figure 2]. However, the aggregate total is likely to be an underestimate, as it does not fully capture all the objectives laid out in this report, such as achieving economic security -by ensuring sufficient manufacturing capacity in critical technologies in the EU- and boosting skills. Moreover, other priorities, such as climate adaptation and environmental protection, are likely to require significant additional investment rates since the postwar period, when strong private investment led to a renovated capital base, at a time when government investment and social spending were considerably smaller</w:t>
      </w:r>
      <w:r w:rsidR="007A42CF" w:rsidRPr="007A42CF">
        <w:rPr>
          <w:rFonts w:ascii="Times New Roman" w:hAnsi="Times New Roman" w:cs="Times New Roman"/>
          <w:sz w:val="24"/>
          <w:szCs w:val="24"/>
          <w:lang w:val="en-GB"/>
        </w:rPr>
        <w:t>…</w:t>
      </w:r>
    </w:p>
    <w:p w:rsidR="008C0961" w:rsidRPr="007A42CF" w:rsidRDefault="00111884" w:rsidP="000919B8">
      <w:pPr>
        <w:spacing w:line="240" w:lineRule="auto"/>
        <w:jc w:val="both"/>
        <w:rPr>
          <w:rFonts w:ascii="Times New Roman" w:hAnsi="Times New Roman" w:cs="Times New Roman"/>
          <w:b/>
          <w:sz w:val="24"/>
          <w:szCs w:val="24"/>
          <w:lang w:val="en-GB"/>
        </w:rPr>
      </w:pPr>
      <w:r w:rsidRPr="00111884">
        <w:rPr>
          <w:rFonts w:ascii="Times New Roman" w:hAnsi="Times New Roman" w:cs="Times New Roman"/>
          <w:noProof/>
          <w:sz w:val="24"/>
          <w:szCs w:val="24"/>
          <w:lang w:eastAsia="es-ES"/>
        </w:rPr>
        <w:drawing>
          <wp:inline distT="0" distB="0" distL="0" distR="0" wp14:anchorId="22FDCCEB" wp14:editId="21FF0791">
            <wp:extent cx="5726246" cy="2743200"/>
            <wp:effectExtent l="0" t="0" r="8255"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26246" cy="2743200"/>
                    </a:xfrm>
                    <a:prstGeom prst="rect">
                      <a:avLst/>
                    </a:prstGeom>
                  </pic:spPr>
                </pic:pic>
              </a:graphicData>
            </a:graphic>
          </wp:inline>
        </w:drawing>
      </w:r>
      <w:r w:rsidR="007A42CF" w:rsidRPr="007A42CF">
        <w:rPr>
          <w:rFonts w:ascii="Times New Roman" w:hAnsi="Times New Roman" w:cs="Times New Roman"/>
          <w:b/>
          <w:sz w:val="24"/>
          <w:szCs w:val="24"/>
          <w:lang w:val="en-GB"/>
        </w:rPr>
        <w:t>These investment needs are massive and unprecedented from a historical perspective…</w:t>
      </w:r>
    </w:p>
    <w:p w:rsidR="007A42CF" w:rsidRDefault="007A42CF" w:rsidP="000919B8">
      <w:pPr>
        <w:spacing w:line="240" w:lineRule="auto"/>
        <w:jc w:val="both"/>
        <w:rPr>
          <w:rFonts w:ascii="Times New Roman" w:hAnsi="Times New Roman" w:cs="Times New Roman"/>
          <w:sz w:val="24"/>
          <w:szCs w:val="24"/>
          <w:lang w:val="en-GB"/>
        </w:rPr>
      </w:pPr>
      <w:r w:rsidRPr="007A42CF">
        <w:rPr>
          <w:rFonts w:ascii="Times New Roman" w:hAnsi="Times New Roman" w:cs="Times New Roman"/>
          <w:noProof/>
          <w:sz w:val="24"/>
          <w:szCs w:val="24"/>
          <w:lang w:eastAsia="es-ES"/>
        </w:rPr>
        <w:lastRenderedPageBreak/>
        <w:drawing>
          <wp:inline distT="0" distB="0" distL="0" distR="0" wp14:anchorId="3B4D55E9" wp14:editId="7B72DE86">
            <wp:extent cx="5731510" cy="3156005"/>
            <wp:effectExtent l="0" t="0" r="2540" b="635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3156005"/>
                    </a:xfrm>
                    <a:prstGeom prst="rect">
                      <a:avLst/>
                    </a:prstGeom>
                  </pic:spPr>
                </pic:pic>
              </a:graphicData>
            </a:graphic>
          </wp:inline>
        </w:drawing>
      </w:r>
    </w:p>
    <w:p w:rsidR="007A42CF" w:rsidRPr="007A42CF" w:rsidRDefault="007A42CF" w:rsidP="000919B8">
      <w:pPr>
        <w:spacing w:line="240" w:lineRule="auto"/>
        <w:jc w:val="both"/>
        <w:rPr>
          <w:rFonts w:ascii="Times New Roman" w:hAnsi="Times New Roman" w:cs="Times New Roman"/>
          <w:sz w:val="24"/>
          <w:szCs w:val="24"/>
          <w:lang w:val="en-GB"/>
        </w:rPr>
      </w:pPr>
      <w:r w:rsidRPr="007A42CF">
        <w:rPr>
          <w:rFonts w:ascii="Times New Roman" w:hAnsi="Times New Roman" w:cs="Times New Roman"/>
          <w:b/>
          <w:sz w:val="24"/>
          <w:szCs w:val="24"/>
          <w:lang w:val="en-GB"/>
        </w:rPr>
        <w:t>The scale of the above investment needs raises fundamental questions for the European economy and economic policy</w:t>
      </w:r>
      <w:r w:rsidRPr="007A42CF">
        <w:rPr>
          <w:rFonts w:ascii="Times New Roman" w:hAnsi="Times New Roman" w:cs="Times New Roman"/>
          <w:sz w:val="24"/>
          <w:szCs w:val="24"/>
          <w:lang w:val="en-GB"/>
        </w:rPr>
        <w:t>. First, is such a massive increase in investment macroeconomically sustainable? Second, how can Europe unlock investment of the desired magnitude? The European Commission and the IMF Research Department, using their respective multi-country models, have simulated scenarios for investment packages in the EU and their macroeconomic implications. Four main conclusions emerge from the analysis.</w:t>
      </w:r>
    </w:p>
    <w:p w:rsidR="007A42CF" w:rsidRPr="007A42CF" w:rsidRDefault="007A42CF" w:rsidP="000919B8">
      <w:pPr>
        <w:spacing w:line="240" w:lineRule="auto"/>
        <w:jc w:val="both"/>
        <w:rPr>
          <w:rFonts w:ascii="Times New Roman" w:hAnsi="Times New Roman" w:cs="Times New Roman"/>
          <w:b/>
          <w:sz w:val="24"/>
          <w:szCs w:val="24"/>
          <w:lang w:val="en-GB"/>
        </w:rPr>
      </w:pPr>
      <w:r w:rsidRPr="007A42CF">
        <w:rPr>
          <w:rFonts w:ascii="Times New Roman" w:hAnsi="Times New Roman" w:cs="Times New Roman"/>
          <w:b/>
          <w:sz w:val="24"/>
          <w:szCs w:val="24"/>
          <w:lang w:val="en-GB"/>
        </w:rPr>
        <w:t>First, the investment drive increases European output with only limited and temporary inflationary pressure…</w:t>
      </w:r>
    </w:p>
    <w:p w:rsidR="007A42CF" w:rsidRPr="007A42CF" w:rsidRDefault="007A42CF" w:rsidP="000919B8">
      <w:pPr>
        <w:spacing w:line="240" w:lineRule="auto"/>
        <w:jc w:val="both"/>
        <w:rPr>
          <w:rFonts w:ascii="Times New Roman" w:hAnsi="Times New Roman" w:cs="Times New Roman"/>
          <w:b/>
          <w:sz w:val="24"/>
          <w:szCs w:val="24"/>
          <w:lang w:val="en-GB"/>
        </w:rPr>
      </w:pPr>
      <w:r w:rsidRPr="007A42CF">
        <w:rPr>
          <w:rFonts w:ascii="Times New Roman" w:hAnsi="Times New Roman" w:cs="Times New Roman"/>
          <w:b/>
          <w:sz w:val="24"/>
          <w:szCs w:val="24"/>
          <w:lang w:val="en-GB"/>
        </w:rPr>
        <w:t>Second, even if capital markets become more integrated, improved market financing is unlikely to unlock investment of the targeted amount…</w:t>
      </w:r>
    </w:p>
    <w:p w:rsidR="007A42CF" w:rsidRPr="007A42CF" w:rsidRDefault="007A42CF" w:rsidP="000919B8">
      <w:pPr>
        <w:spacing w:line="240" w:lineRule="auto"/>
        <w:jc w:val="both"/>
        <w:rPr>
          <w:rFonts w:ascii="Times New Roman" w:hAnsi="Times New Roman" w:cs="Times New Roman"/>
          <w:b/>
          <w:sz w:val="24"/>
          <w:szCs w:val="24"/>
          <w:lang w:val="en-GB"/>
        </w:rPr>
      </w:pPr>
      <w:r w:rsidRPr="007A42CF">
        <w:rPr>
          <w:rFonts w:ascii="Times New Roman" w:hAnsi="Times New Roman" w:cs="Times New Roman"/>
          <w:b/>
          <w:sz w:val="24"/>
          <w:szCs w:val="24"/>
          <w:lang w:val="en-GB"/>
        </w:rPr>
        <w:t>Third, fiscal interventions will have some impact on public finances…</w:t>
      </w:r>
    </w:p>
    <w:p w:rsidR="007A42CF" w:rsidRDefault="007A42CF" w:rsidP="000919B8">
      <w:pPr>
        <w:spacing w:line="240" w:lineRule="auto"/>
        <w:jc w:val="both"/>
        <w:rPr>
          <w:rFonts w:ascii="Times New Roman" w:hAnsi="Times New Roman" w:cs="Times New Roman"/>
          <w:b/>
          <w:sz w:val="24"/>
          <w:szCs w:val="24"/>
          <w:lang w:val="en-GB"/>
        </w:rPr>
      </w:pPr>
      <w:r w:rsidRPr="007A42CF">
        <w:rPr>
          <w:rFonts w:ascii="Times New Roman" w:hAnsi="Times New Roman" w:cs="Times New Roman"/>
          <w:b/>
          <w:sz w:val="24"/>
          <w:szCs w:val="24"/>
          <w:lang w:val="en-GB"/>
        </w:rPr>
        <w:t>Fourth, a sizable increase in total factor productivity, associated with the investment package and complementary reforms, would alleviate the adverse effects on public finances…</w:t>
      </w:r>
    </w:p>
    <w:p w:rsidR="007A42CF" w:rsidRPr="007A42CF" w:rsidRDefault="007A42CF" w:rsidP="000919B8">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The root causes of low investment financing in Europe</w:t>
      </w:r>
    </w:p>
    <w:p w:rsidR="007A42CF" w:rsidRPr="007A42CF" w:rsidRDefault="007A42CF" w:rsidP="000919B8">
      <w:pPr>
        <w:spacing w:line="240" w:lineRule="auto"/>
        <w:jc w:val="both"/>
        <w:rPr>
          <w:rFonts w:ascii="Times New Roman" w:hAnsi="Times New Roman" w:cs="Times New Roman"/>
          <w:b/>
          <w:sz w:val="24"/>
          <w:szCs w:val="24"/>
          <w:lang w:val="en-GB"/>
        </w:rPr>
      </w:pPr>
      <w:r w:rsidRPr="007A42CF">
        <w:rPr>
          <w:rFonts w:ascii="Times New Roman" w:hAnsi="Times New Roman" w:cs="Times New Roman"/>
          <w:b/>
          <w:sz w:val="24"/>
          <w:szCs w:val="24"/>
          <w:lang w:val="en-GB"/>
        </w:rPr>
        <w:t>→ Fragmented and undersupplied capital markets</w:t>
      </w:r>
    </w:p>
    <w:p w:rsidR="007A42CF" w:rsidRDefault="007A42CF" w:rsidP="000919B8">
      <w:pPr>
        <w:spacing w:line="240" w:lineRule="auto"/>
        <w:jc w:val="both"/>
        <w:rPr>
          <w:rFonts w:ascii="Times New Roman" w:hAnsi="Times New Roman" w:cs="Times New Roman"/>
          <w:b/>
          <w:sz w:val="24"/>
          <w:szCs w:val="24"/>
          <w:lang w:val="en-GB"/>
        </w:rPr>
      </w:pPr>
      <w:r w:rsidRPr="007A42CF">
        <w:rPr>
          <w:rFonts w:ascii="Times New Roman" w:hAnsi="Times New Roman" w:cs="Times New Roman"/>
          <w:b/>
          <w:sz w:val="24"/>
          <w:szCs w:val="24"/>
          <w:lang w:val="en-GB"/>
        </w:rPr>
        <w:t>→ Excessive reliance on banks relative to capital markets</w:t>
      </w:r>
    </w:p>
    <w:p w:rsidR="009A49C0" w:rsidRDefault="009A49C0" w:rsidP="000919B8">
      <w:pPr>
        <w:spacing w:line="240" w:lineRule="auto"/>
        <w:jc w:val="both"/>
        <w:rPr>
          <w:rFonts w:ascii="Times New Roman" w:hAnsi="Times New Roman" w:cs="Times New Roman"/>
          <w:b/>
          <w:sz w:val="24"/>
          <w:szCs w:val="24"/>
          <w:lang w:val="en-GB"/>
        </w:rPr>
      </w:pPr>
      <w:r w:rsidRPr="009A49C0">
        <w:rPr>
          <w:rFonts w:ascii="Times New Roman" w:hAnsi="Times New Roman" w:cs="Times New Roman"/>
          <w:b/>
          <w:sz w:val="24"/>
          <w:szCs w:val="24"/>
          <w:lang w:val="en-GB"/>
        </w:rPr>
        <w:t>→ Specific constraints on the EU’s banking sector</w:t>
      </w:r>
    </w:p>
    <w:p w:rsidR="009A49C0" w:rsidRPr="003D21EF" w:rsidRDefault="009A49C0" w:rsidP="000919B8">
      <w:pPr>
        <w:spacing w:line="240" w:lineRule="auto"/>
        <w:jc w:val="both"/>
        <w:rPr>
          <w:rFonts w:ascii="Times New Roman" w:hAnsi="Times New Roman" w:cs="Times New Roman"/>
          <w:b/>
          <w:sz w:val="24"/>
          <w:szCs w:val="24"/>
          <w:lang w:val="en-GB"/>
        </w:rPr>
      </w:pPr>
      <w:r w:rsidRPr="003D21EF">
        <w:rPr>
          <w:rFonts w:ascii="Times New Roman" w:hAnsi="Times New Roman" w:cs="Times New Roman"/>
          <w:b/>
          <w:sz w:val="24"/>
          <w:szCs w:val="24"/>
          <w:lang w:val="en-GB"/>
        </w:rPr>
        <w:t>→ A lack of viable projects</w:t>
      </w:r>
    </w:p>
    <w:p w:rsidR="009A49C0" w:rsidRDefault="009A49C0" w:rsidP="000919B8">
      <w:pPr>
        <w:spacing w:line="240" w:lineRule="auto"/>
        <w:jc w:val="both"/>
        <w:rPr>
          <w:rFonts w:ascii="Times New Roman" w:hAnsi="Times New Roman" w:cs="Times New Roman"/>
          <w:b/>
          <w:sz w:val="24"/>
          <w:szCs w:val="24"/>
          <w:lang w:val="en-GB"/>
        </w:rPr>
      </w:pPr>
      <w:r w:rsidRPr="009A49C0">
        <w:rPr>
          <w:rFonts w:ascii="Times New Roman" w:hAnsi="Times New Roman" w:cs="Times New Roman"/>
          <w:b/>
          <w:sz w:val="24"/>
          <w:szCs w:val="24"/>
          <w:lang w:val="en-GB"/>
        </w:rPr>
        <w:t>→ Inefficiencies in EU public financing of investment</w:t>
      </w:r>
    </w:p>
    <w:p w:rsidR="009A49C0" w:rsidRDefault="009A49C0" w:rsidP="000919B8">
      <w:pPr>
        <w:spacing w:line="240" w:lineRule="auto"/>
        <w:jc w:val="both"/>
        <w:rPr>
          <w:rFonts w:ascii="Times New Roman" w:hAnsi="Times New Roman" w:cs="Times New Roman"/>
          <w:b/>
          <w:sz w:val="24"/>
          <w:szCs w:val="24"/>
          <w:lang w:val="en-GB"/>
        </w:rPr>
      </w:pPr>
      <w:r w:rsidRPr="009A49C0">
        <w:rPr>
          <w:rFonts w:ascii="Times New Roman" w:hAnsi="Times New Roman" w:cs="Times New Roman"/>
          <w:b/>
          <w:sz w:val="24"/>
          <w:szCs w:val="24"/>
          <w:lang w:val="en-GB"/>
        </w:rPr>
        <w:t>→ The case for a common European safe asset</w:t>
      </w:r>
    </w:p>
    <w:p w:rsidR="009A49C0" w:rsidRPr="009A49C0" w:rsidRDefault="009A49C0" w:rsidP="000919B8">
      <w:pPr>
        <w:spacing w:line="240" w:lineRule="auto"/>
        <w:jc w:val="both"/>
        <w:rPr>
          <w:rFonts w:ascii="Times New Roman" w:hAnsi="Times New Roman" w:cs="Times New Roman"/>
          <w:b/>
          <w:sz w:val="24"/>
          <w:szCs w:val="24"/>
          <w:lang w:val="en-GB"/>
        </w:rPr>
      </w:pPr>
    </w:p>
    <w:p w:rsidR="008C0961" w:rsidRPr="009A49C0" w:rsidRDefault="007A42CF" w:rsidP="000919B8">
      <w:pPr>
        <w:spacing w:line="240" w:lineRule="auto"/>
        <w:jc w:val="both"/>
        <w:rPr>
          <w:rFonts w:ascii="Times New Roman" w:hAnsi="Times New Roman" w:cs="Times New Roman"/>
          <w:sz w:val="24"/>
          <w:szCs w:val="24"/>
          <w:lang w:val="en-GB"/>
        </w:rPr>
      </w:pPr>
      <w:r w:rsidRPr="007A42CF">
        <w:rPr>
          <w:rFonts w:ascii="Times New Roman" w:hAnsi="Times New Roman" w:cs="Times New Roman"/>
          <w:noProof/>
          <w:sz w:val="24"/>
          <w:szCs w:val="24"/>
          <w:lang w:eastAsia="es-ES"/>
        </w:rPr>
        <w:lastRenderedPageBreak/>
        <w:drawing>
          <wp:inline distT="0" distB="0" distL="0" distR="0" wp14:anchorId="21B8F819" wp14:editId="7670B28B">
            <wp:extent cx="5734050" cy="2603500"/>
            <wp:effectExtent l="0" t="0" r="0" b="635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2602347"/>
                    </a:xfrm>
                    <a:prstGeom prst="rect">
                      <a:avLst/>
                    </a:prstGeom>
                  </pic:spPr>
                </pic:pic>
              </a:graphicData>
            </a:graphic>
          </wp:inline>
        </w:drawing>
      </w:r>
    </w:p>
    <w:p w:rsidR="008C0961" w:rsidRPr="008C0961" w:rsidRDefault="009A49C0" w:rsidP="000919B8">
      <w:pPr>
        <w:spacing w:line="240" w:lineRule="auto"/>
        <w:jc w:val="both"/>
        <w:rPr>
          <w:rFonts w:ascii="Times New Roman" w:hAnsi="Times New Roman" w:cs="Times New Roman"/>
          <w:sz w:val="24"/>
          <w:szCs w:val="24"/>
          <w:lang w:val="en-GB"/>
        </w:rPr>
      </w:pPr>
      <w:r w:rsidRPr="009A49C0">
        <w:rPr>
          <w:rFonts w:ascii="Times New Roman" w:hAnsi="Times New Roman" w:cs="Times New Roman"/>
          <w:noProof/>
          <w:sz w:val="24"/>
          <w:szCs w:val="24"/>
          <w:lang w:eastAsia="es-ES"/>
        </w:rPr>
        <w:drawing>
          <wp:inline distT="0" distB="0" distL="0" distR="0" wp14:anchorId="7CE7DC93" wp14:editId="0E0BCB4D">
            <wp:extent cx="5731871" cy="2622550"/>
            <wp:effectExtent l="0" t="0" r="2540" b="635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2622385"/>
                    </a:xfrm>
                    <a:prstGeom prst="rect">
                      <a:avLst/>
                    </a:prstGeom>
                  </pic:spPr>
                </pic:pic>
              </a:graphicData>
            </a:graphic>
          </wp:inline>
        </w:drawing>
      </w:r>
    </w:p>
    <w:p w:rsidR="009A49C0" w:rsidRDefault="009A49C0" w:rsidP="000919B8">
      <w:pPr>
        <w:spacing w:line="240" w:lineRule="auto"/>
        <w:jc w:val="both"/>
        <w:rPr>
          <w:rFonts w:ascii="Times New Roman" w:hAnsi="Times New Roman" w:cs="Times New Roman"/>
          <w:b/>
          <w:sz w:val="24"/>
          <w:szCs w:val="24"/>
          <w:lang w:val="en-GB"/>
        </w:rPr>
      </w:pPr>
      <w:r w:rsidRPr="009A49C0">
        <w:rPr>
          <w:rFonts w:ascii="Times New Roman" w:hAnsi="Times New Roman" w:cs="Times New Roman"/>
          <w:b/>
          <w:noProof/>
          <w:sz w:val="24"/>
          <w:szCs w:val="24"/>
          <w:lang w:eastAsia="es-ES"/>
        </w:rPr>
        <w:drawing>
          <wp:inline distT="0" distB="0" distL="0" distR="0" wp14:anchorId="0FEF4EBF" wp14:editId="344EFE8E">
            <wp:extent cx="5731510" cy="3247856"/>
            <wp:effectExtent l="0" t="0" r="254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3247856"/>
                    </a:xfrm>
                    <a:prstGeom prst="rect">
                      <a:avLst/>
                    </a:prstGeom>
                  </pic:spPr>
                </pic:pic>
              </a:graphicData>
            </a:graphic>
          </wp:inline>
        </w:drawing>
      </w:r>
    </w:p>
    <w:p w:rsidR="009A49C0" w:rsidRDefault="009A49C0" w:rsidP="000919B8">
      <w:pPr>
        <w:spacing w:line="240" w:lineRule="auto"/>
        <w:jc w:val="both"/>
        <w:rPr>
          <w:rFonts w:ascii="Times New Roman" w:hAnsi="Times New Roman" w:cs="Times New Roman"/>
          <w:b/>
          <w:sz w:val="24"/>
          <w:szCs w:val="24"/>
          <w:lang w:val="en-GB"/>
        </w:rPr>
      </w:pPr>
      <w:r w:rsidRPr="009A49C0">
        <w:rPr>
          <w:rFonts w:ascii="Times New Roman" w:hAnsi="Times New Roman" w:cs="Times New Roman"/>
          <w:b/>
          <w:noProof/>
          <w:sz w:val="24"/>
          <w:szCs w:val="24"/>
          <w:lang w:eastAsia="es-ES"/>
        </w:rPr>
        <w:lastRenderedPageBreak/>
        <w:drawing>
          <wp:inline distT="0" distB="0" distL="0" distR="0" wp14:anchorId="447BFDE4" wp14:editId="75891227">
            <wp:extent cx="5731510" cy="3265001"/>
            <wp:effectExtent l="0" t="0" r="254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3265001"/>
                    </a:xfrm>
                    <a:prstGeom prst="rect">
                      <a:avLst/>
                    </a:prstGeom>
                  </pic:spPr>
                </pic:pic>
              </a:graphicData>
            </a:graphic>
          </wp:inline>
        </w:drawing>
      </w:r>
    </w:p>
    <w:p w:rsidR="009A49C0" w:rsidRPr="004A16F8" w:rsidRDefault="009A49C0" w:rsidP="000919B8">
      <w:pPr>
        <w:spacing w:line="240" w:lineRule="auto"/>
        <w:jc w:val="both"/>
        <w:rPr>
          <w:rFonts w:ascii="Times New Roman" w:hAnsi="Times New Roman" w:cs="Times New Roman"/>
          <w:b/>
          <w:sz w:val="24"/>
          <w:szCs w:val="24"/>
          <w:lang w:val="en-GB"/>
        </w:rPr>
      </w:pPr>
      <w:r w:rsidRPr="004A16F8">
        <w:rPr>
          <w:rFonts w:ascii="Times New Roman" w:hAnsi="Times New Roman" w:cs="Times New Roman"/>
          <w:b/>
          <w:sz w:val="24"/>
          <w:szCs w:val="24"/>
          <w:lang w:val="en-GB"/>
        </w:rPr>
        <w:t xml:space="preserve">Objectives and proposals </w:t>
      </w:r>
    </w:p>
    <w:p w:rsidR="009A49C0" w:rsidRPr="004A16F8" w:rsidRDefault="009A49C0" w:rsidP="000919B8">
      <w:pPr>
        <w:spacing w:line="240" w:lineRule="auto"/>
        <w:jc w:val="both"/>
        <w:rPr>
          <w:rFonts w:ascii="Times New Roman" w:hAnsi="Times New Roman" w:cs="Times New Roman"/>
          <w:sz w:val="24"/>
          <w:szCs w:val="24"/>
          <w:lang w:val="en-GB"/>
        </w:rPr>
      </w:pPr>
      <w:r w:rsidRPr="004A16F8">
        <w:rPr>
          <w:rFonts w:ascii="Times New Roman" w:hAnsi="Times New Roman" w:cs="Times New Roman"/>
          <w:sz w:val="24"/>
          <w:szCs w:val="24"/>
          <w:lang w:val="en-GB"/>
        </w:rPr>
        <w:t xml:space="preserve">Europe is faced with an unprecedented need to raise investment at both massive scale and rapid speed. In its current state, the European financial system is unlikely to succeed in meeting these investment needs owing to excessive dependence on banks, regulatory burdens on bank finance and a lack of equity and bond financing. </w:t>
      </w:r>
    </w:p>
    <w:p w:rsidR="009A49C0" w:rsidRPr="004A16F8" w:rsidRDefault="009A49C0" w:rsidP="000919B8">
      <w:pPr>
        <w:spacing w:line="240" w:lineRule="auto"/>
        <w:jc w:val="both"/>
        <w:rPr>
          <w:rFonts w:ascii="Times New Roman" w:hAnsi="Times New Roman" w:cs="Times New Roman"/>
          <w:sz w:val="24"/>
          <w:szCs w:val="24"/>
          <w:lang w:val="en-GB"/>
        </w:rPr>
      </w:pPr>
      <w:r w:rsidRPr="004A16F8">
        <w:rPr>
          <w:rFonts w:ascii="Times New Roman" w:hAnsi="Times New Roman" w:cs="Times New Roman"/>
          <w:sz w:val="24"/>
          <w:szCs w:val="24"/>
          <w:lang w:val="en-GB"/>
        </w:rPr>
        <w:t xml:space="preserve">At the same time, as currently designed, the EU budget is less effective that it could be both at financing public investment directly and at leveraging private investment through risk sharing. The key objectives for the EU are, therefore, as follows: </w:t>
      </w:r>
    </w:p>
    <w:p w:rsidR="009A49C0" w:rsidRPr="004A16F8" w:rsidRDefault="009A49C0" w:rsidP="000919B8">
      <w:pPr>
        <w:spacing w:line="240" w:lineRule="auto"/>
        <w:jc w:val="both"/>
        <w:rPr>
          <w:rFonts w:ascii="Times New Roman" w:hAnsi="Times New Roman" w:cs="Times New Roman"/>
          <w:sz w:val="24"/>
          <w:szCs w:val="24"/>
          <w:lang w:val="en-GB"/>
        </w:rPr>
      </w:pPr>
      <w:r w:rsidRPr="004A16F8">
        <w:rPr>
          <w:rFonts w:ascii="Times New Roman" w:hAnsi="Times New Roman" w:cs="Times New Roman"/>
          <w:sz w:val="24"/>
          <w:szCs w:val="24"/>
          <w:lang w:val="en-GB"/>
        </w:rPr>
        <w:t xml:space="preserve">• Reduce fragmentation of the Single Market removing barriers for innovation, company growth and large infrastructure projects in Europe - thereby, increasing demand for risk capital and for higher volumes of finance through capital markets. </w:t>
      </w:r>
    </w:p>
    <w:p w:rsidR="009A49C0" w:rsidRPr="004A16F8" w:rsidRDefault="009A49C0" w:rsidP="000919B8">
      <w:pPr>
        <w:spacing w:line="240" w:lineRule="auto"/>
        <w:jc w:val="both"/>
        <w:rPr>
          <w:rFonts w:ascii="Times New Roman" w:hAnsi="Times New Roman" w:cs="Times New Roman"/>
          <w:sz w:val="24"/>
          <w:szCs w:val="24"/>
          <w:lang w:val="en-GB"/>
        </w:rPr>
      </w:pPr>
      <w:r w:rsidRPr="004A16F8">
        <w:rPr>
          <w:rFonts w:ascii="Times New Roman" w:hAnsi="Times New Roman" w:cs="Times New Roman"/>
          <w:sz w:val="24"/>
          <w:szCs w:val="24"/>
          <w:lang w:val="en-GB"/>
        </w:rPr>
        <w:t xml:space="preserve">• Reduce dependence on bank financing in Europe by accelerating the development of the CMU, as well as increasing flows into capital markets by encouraging increased enrolment in private pension plans </w:t>
      </w:r>
    </w:p>
    <w:p w:rsidR="009A49C0" w:rsidRPr="004A16F8" w:rsidRDefault="009A49C0" w:rsidP="000919B8">
      <w:pPr>
        <w:spacing w:line="240" w:lineRule="auto"/>
        <w:jc w:val="both"/>
        <w:rPr>
          <w:rFonts w:ascii="Times New Roman" w:hAnsi="Times New Roman" w:cs="Times New Roman"/>
          <w:sz w:val="24"/>
          <w:szCs w:val="24"/>
          <w:lang w:val="en-GB"/>
        </w:rPr>
      </w:pPr>
      <w:r w:rsidRPr="004A16F8">
        <w:rPr>
          <w:rFonts w:ascii="Times New Roman" w:hAnsi="Times New Roman" w:cs="Times New Roman"/>
          <w:sz w:val="24"/>
          <w:szCs w:val="24"/>
          <w:lang w:val="en-GB"/>
        </w:rPr>
        <w:t xml:space="preserve">• Expand bank finance, overcoming excessively restrictive regulation on securitisation, and where necessary revisit prudential regulation to have a strong and competitive banking system. </w:t>
      </w:r>
    </w:p>
    <w:p w:rsidR="009A49C0" w:rsidRPr="004A16F8" w:rsidRDefault="009A49C0" w:rsidP="000919B8">
      <w:pPr>
        <w:spacing w:line="240" w:lineRule="auto"/>
        <w:jc w:val="both"/>
        <w:rPr>
          <w:rFonts w:ascii="Times New Roman" w:hAnsi="Times New Roman" w:cs="Times New Roman"/>
          <w:sz w:val="24"/>
          <w:szCs w:val="24"/>
          <w:lang w:val="en-GB"/>
        </w:rPr>
      </w:pPr>
      <w:r w:rsidRPr="004A16F8">
        <w:rPr>
          <w:rFonts w:ascii="Times New Roman" w:hAnsi="Times New Roman" w:cs="Times New Roman"/>
          <w:sz w:val="24"/>
          <w:szCs w:val="24"/>
          <w:lang w:val="en-GB"/>
        </w:rPr>
        <w:t xml:space="preserve">• Make more effective use of the EU budget by focusing funding on strategic priorities, simplifying the administrative burden, improving the leverage of the EU budget and of the overall EU financial architecture to support investment. </w:t>
      </w:r>
    </w:p>
    <w:p w:rsidR="009A49C0" w:rsidRPr="004A16F8" w:rsidRDefault="009A49C0" w:rsidP="000919B8">
      <w:pPr>
        <w:spacing w:line="240" w:lineRule="auto"/>
        <w:jc w:val="both"/>
        <w:rPr>
          <w:rFonts w:ascii="Times New Roman" w:hAnsi="Times New Roman" w:cs="Times New Roman"/>
          <w:sz w:val="24"/>
          <w:szCs w:val="24"/>
          <w:lang w:val="en-GB"/>
        </w:rPr>
      </w:pPr>
      <w:r w:rsidRPr="004A16F8">
        <w:rPr>
          <w:rFonts w:ascii="Times New Roman" w:hAnsi="Times New Roman" w:cs="Times New Roman"/>
          <w:sz w:val="24"/>
          <w:szCs w:val="24"/>
          <w:lang w:val="en-GB"/>
        </w:rPr>
        <w:t>• Introduce regular and sizable issuance by the EU of a common safe and liquid asset to enable joint investment projects among Member States and help integrate capital markets.</w:t>
      </w:r>
    </w:p>
    <w:p w:rsidR="009A49C0" w:rsidRPr="004A16F8" w:rsidRDefault="009A49C0" w:rsidP="000919B8">
      <w:pPr>
        <w:spacing w:line="240" w:lineRule="auto"/>
        <w:jc w:val="both"/>
        <w:rPr>
          <w:rFonts w:ascii="Times New Roman" w:hAnsi="Times New Roman" w:cs="Times New Roman"/>
          <w:sz w:val="24"/>
          <w:szCs w:val="24"/>
          <w:lang w:val="en-GB"/>
        </w:rPr>
      </w:pPr>
      <w:r w:rsidRPr="004A16F8">
        <w:rPr>
          <w:rFonts w:ascii="Times New Roman" w:hAnsi="Times New Roman" w:cs="Times New Roman"/>
          <w:sz w:val="24"/>
          <w:szCs w:val="24"/>
          <w:lang w:val="en-GB"/>
        </w:rPr>
        <w:t xml:space="preserve">These high-level objectives are translated into concrete policy proposals set out below. </w:t>
      </w:r>
    </w:p>
    <w:p w:rsidR="009A49C0" w:rsidRPr="004A16F8" w:rsidRDefault="009A49C0" w:rsidP="000919B8">
      <w:pPr>
        <w:spacing w:line="240" w:lineRule="auto"/>
        <w:jc w:val="both"/>
        <w:rPr>
          <w:rFonts w:ascii="Times New Roman" w:hAnsi="Times New Roman" w:cs="Times New Roman"/>
          <w:b/>
          <w:sz w:val="24"/>
          <w:szCs w:val="24"/>
          <w:lang w:val="en-GB"/>
        </w:rPr>
      </w:pPr>
      <w:r w:rsidRPr="004A16F8">
        <w:rPr>
          <w:rFonts w:ascii="Times New Roman" w:hAnsi="Times New Roman" w:cs="Times New Roman"/>
          <w:b/>
          <w:sz w:val="24"/>
          <w:szCs w:val="24"/>
          <w:lang w:val="en-GB"/>
        </w:rPr>
        <w:t>1. Reduce capital market fragmentation</w:t>
      </w:r>
    </w:p>
    <w:p w:rsidR="009A49C0" w:rsidRPr="004A16F8" w:rsidRDefault="009A49C0" w:rsidP="000919B8">
      <w:pPr>
        <w:spacing w:line="240" w:lineRule="auto"/>
        <w:jc w:val="both"/>
        <w:rPr>
          <w:rFonts w:ascii="Times New Roman" w:hAnsi="Times New Roman" w:cs="Times New Roman"/>
          <w:b/>
          <w:sz w:val="24"/>
          <w:szCs w:val="24"/>
          <w:lang w:val="en-GB"/>
        </w:rPr>
      </w:pPr>
      <w:r w:rsidRPr="004A16F8">
        <w:rPr>
          <w:rFonts w:ascii="Times New Roman" w:hAnsi="Times New Roman" w:cs="Times New Roman"/>
          <w:b/>
          <w:sz w:val="24"/>
          <w:szCs w:val="24"/>
          <w:lang w:val="en-GB"/>
        </w:rPr>
        <w:lastRenderedPageBreak/>
        <w:t>2. Increase the financing capacity of the banking sector</w:t>
      </w:r>
    </w:p>
    <w:p w:rsidR="009A49C0" w:rsidRPr="004A16F8" w:rsidRDefault="009A49C0" w:rsidP="000919B8">
      <w:pPr>
        <w:spacing w:line="240" w:lineRule="auto"/>
        <w:jc w:val="both"/>
        <w:rPr>
          <w:rFonts w:ascii="Times New Roman" w:hAnsi="Times New Roman" w:cs="Times New Roman"/>
          <w:b/>
          <w:sz w:val="24"/>
          <w:szCs w:val="24"/>
          <w:lang w:val="en-GB"/>
        </w:rPr>
      </w:pPr>
      <w:r w:rsidRPr="004A16F8">
        <w:rPr>
          <w:rFonts w:ascii="Times New Roman" w:hAnsi="Times New Roman" w:cs="Times New Roman"/>
          <w:b/>
          <w:sz w:val="24"/>
          <w:szCs w:val="24"/>
          <w:lang w:val="en-GB"/>
        </w:rPr>
        <w:t>3. Overcome fragmentation in the Single Market for goods and services removing barriers for innovation and company growth.</w:t>
      </w:r>
    </w:p>
    <w:p w:rsidR="009A49C0" w:rsidRPr="004A16F8" w:rsidRDefault="009A49C0" w:rsidP="000919B8">
      <w:pPr>
        <w:spacing w:line="240" w:lineRule="auto"/>
        <w:jc w:val="both"/>
        <w:rPr>
          <w:rFonts w:ascii="Times New Roman" w:hAnsi="Times New Roman" w:cs="Times New Roman"/>
          <w:b/>
          <w:sz w:val="24"/>
          <w:szCs w:val="24"/>
          <w:lang w:val="en-GB"/>
        </w:rPr>
      </w:pPr>
      <w:r w:rsidRPr="004A16F8">
        <w:rPr>
          <w:rFonts w:ascii="Times New Roman" w:hAnsi="Times New Roman" w:cs="Times New Roman"/>
          <w:b/>
          <w:sz w:val="24"/>
          <w:szCs w:val="24"/>
          <w:lang w:val="en-GB"/>
        </w:rPr>
        <w:t>4. Deploy the EU budget more effectively.</w:t>
      </w:r>
    </w:p>
    <w:p w:rsidR="009A49C0" w:rsidRPr="004A16F8" w:rsidRDefault="004A16F8" w:rsidP="000919B8">
      <w:pPr>
        <w:spacing w:line="240" w:lineRule="auto"/>
        <w:jc w:val="both"/>
        <w:rPr>
          <w:rFonts w:ascii="Times New Roman" w:hAnsi="Times New Roman" w:cs="Times New Roman"/>
          <w:b/>
          <w:sz w:val="24"/>
          <w:szCs w:val="24"/>
          <w:lang w:val="en-GB"/>
        </w:rPr>
      </w:pPr>
      <w:r w:rsidRPr="004A16F8">
        <w:rPr>
          <w:rFonts w:ascii="Times New Roman" w:hAnsi="Times New Roman" w:cs="Times New Roman"/>
          <w:b/>
          <w:sz w:val="24"/>
          <w:szCs w:val="24"/>
          <w:lang w:val="en-GB"/>
        </w:rPr>
        <w:t>5. Issuance of a common safe asset to finance joint investment projects</w:t>
      </w:r>
    </w:p>
    <w:p w:rsidR="004A16F8" w:rsidRPr="004A16F8" w:rsidRDefault="004A16F8" w:rsidP="000919B8">
      <w:pPr>
        <w:spacing w:line="240" w:lineRule="auto"/>
        <w:jc w:val="both"/>
        <w:rPr>
          <w:rFonts w:ascii="Times New Roman" w:hAnsi="Times New Roman" w:cs="Times New Roman"/>
          <w:b/>
          <w:sz w:val="24"/>
          <w:szCs w:val="24"/>
          <w:lang w:val="en-GB"/>
        </w:rPr>
      </w:pPr>
      <w:r w:rsidRPr="004A16F8">
        <w:rPr>
          <w:rFonts w:ascii="Times New Roman" w:hAnsi="Times New Roman" w:cs="Times New Roman"/>
          <w:b/>
          <w:sz w:val="24"/>
          <w:szCs w:val="24"/>
          <w:lang w:val="en-GB"/>
        </w:rPr>
        <w:t xml:space="preserve">4. Revamping competition </w:t>
      </w:r>
    </w:p>
    <w:p w:rsidR="00B30999" w:rsidRPr="004A16F8" w:rsidRDefault="004A16F8" w:rsidP="000919B8">
      <w:pPr>
        <w:spacing w:line="240" w:lineRule="auto"/>
        <w:jc w:val="both"/>
        <w:rPr>
          <w:rFonts w:ascii="Times New Roman" w:hAnsi="Times New Roman" w:cs="Times New Roman"/>
          <w:sz w:val="24"/>
          <w:szCs w:val="24"/>
          <w:lang w:val="en-GB"/>
        </w:rPr>
      </w:pPr>
      <w:r w:rsidRPr="004A16F8">
        <w:rPr>
          <w:rFonts w:ascii="Times New Roman" w:hAnsi="Times New Roman" w:cs="Times New Roman"/>
          <w:b/>
          <w:sz w:val="24"/>
          <w:szCs w:val="24"/>
          <w:lang w:val="en-GB"/>
        </w:rPr>
        <w:t>The framework of the Treaty reflects the belief in the importance of free and fair competition to create a level playing field for undertakings based in any Member State</w:t>
      </w:r>
      <w:r w:rsidRPr="004A16F8">
        <w:rPr>
          <w:rFonts w:ascii="Times New Roman" w:hAnsi="Times New Roman" w:cs="Times New Roman"/>
          <w:sz w:val="24"/>
          <w:szCs w:val="24"/>
          <w:lang w:val="en-GB"/>
        </w:rPr>
        <w:t>. Competition policy ensures the undistorted functioning of the internal market and effectively protects European consumers and businesses against abuses of economic power. It guards against cartels, abuses of dominant positions, and companies consolidating economic power to undermine the competitive process, and harming consumers and trading partners. At the same time, State aid rules exist to prevent countries from distorting the competitive playing field and from creating harmful subsidy wars. The new Foreign Subsidies Regulation (FSR) follows the same approach for subsidies provided by non-EU countries.</w:t>
      </w:r>
    </w:p>
    <w:p w:rsidR="004A16F8" w:rsidRPr="004A16F8" w:rsidRDefault="004A16F8" w:rsidP="000919B8">
      <w:pPr>
        <w:spacing w:line="240" w:lineRule="auto"/>
        <w:jc w:val="both"/>
        <w:rPr>
          <w:rFonts w:ascii="Times New Roman" w:hAnsi="Times New Roman" w:cs="Times New Roman"/>
          <w:sz w:val="24"/>
          <w:szCs w:val="24"/>
          <w:lang w:val="en-GB"/>
        </w:rPr>
      </w:pPr>
      <w:r w:rsidRPr="004A16F8">
        <w:rPr>
          <w:rFonts w:ascii="Times New Roman" w:hAnsi="Times New Roman" w:cs="Times New Roman"/>
          <w:b/>
          <w:sz w:val="24"/>
          <w:szCs w:val="24"/>
          <w:lang w:val="en-GB"/>
        </w:rPr>
        <w:t>These are ever valid principles, but they need to be adapted to the radically changing world we have described</w:t>
      </w:r>
      <w:r w:rsidRPr="004A16F8">
        <w:rPr>
          <w:rFonts w:ascii="Times New Roman" w:hAnsi="Times New Roman" w:cs="Times New Roman"/>
          <w:sz w:val="24"/>
          <w:szCs w:val="24"/>
          <w:lang w:val="en-GB"/>
        </w:rPr>
        <w:t>. In particular, there is a question about whether vigorous competition policy conflicts with European companies’ need for sufficient scale to compete with Chinese and American superstar companies. Likewise, the lack of innovation in Europe is sometimes blamed on competition enforcement. Although stronger competition will in theory generally both lower prices and foster innovation, there are cases where it can be harmful to innovation. Schumpeter worried that tough competition would erode the profit rents from innovation and thus disincentivise R&amp;D. While it is true that businesses support competition, typically as long as it is not in their own industry, in some cases the Commission has come under attack for not allowing mergers that would create companies of sufficient scale to invest to compete with Chinese and American superstar companies.</w:t>
      </w:r>
    </w:p>
    <w:p w:rsidR="004A16F8" w:rsidRPr="004A16F8" w:rsidRDefault="004A16F8" w:rsidP="000919B8">
      <w:pPr>
        <w:spacing w:line="240" w:lineRule="auto"/>
        <w:jc w:val="both"/>
        <w:rPr>
          <w:rFonts w:ascii="Times New Roman" w:hAnsi="Times New Roman" w:cs="Times New Roman"/>
          <w:sz w:val="24"/>
          <w:szCs w:val="24"/>
          <w:lang w:val="en-GB"/>
        </w:rPr>
      </w:pPr>
      <w:r w:rsidRPr="004A16F8">
        <w:rPr>
          <w:rFonts w:ascii="Times New Roman" w:hAnsi="Times New Roman" w:cs="Times New Roman"/>
          <w:b/>
          <w:sz w:val="24"/>
          <w:szCs w:val="24"/>
          <w:lang w:val="en-GB"/>
        </w:rPr>
        <w:t>A summary of the current empirical evidence overwhelmingly shows that stronger competition generally not only delivers lower prices, but also tends to stimulate greater productivity, investment, and innovation</w:t>
      </w:r>
      <w:r w:rsidRPr="004A16F8">
        <w:rPr>
          <w:rFonts w:ascii="Times New Roman" w:hAnsi="Times New Roman" w:cs="Times New Roman"/>
          <w:sz w:val="24"/>
          <w:szCs w:val="24"/>
          <w:lang w:val="en-GB"/>
        </w:rPr>
        <w:t>. Thus, it is a concern when many indicators show that competition appears to have declined over the last few decades around the world. Aggregate price-cost margins and profitability have risen. Industrial concentration levels are up, and company performance is increasingly divergent, with the size, productivity and wages of a few ‘superstar companies’ pulling ahead of the rest, most notably in the high-tech digital sectors, but in other sectors as well (e.g. retail, wholesale, finance, etc.).</w:t>
      </w:r>
    </w:p>
    <w:p w:rsidR="004A16F8" w:rsidRDefault="004A16F8" w:rsidP="000919B8">
      <w:pPr>
        <w:spacing w:line="240" w:lineRule="auto"/>
        <w:jc w:val="both"/>
        <w:rPr>
          <w:rFonts w:ascii="Times New Roman" w:hAnsi="Times New Roman" w:cs="Times New Roman"/>
          <w:sz w:val="24"/>
          <w:szCs w:val="24"/>
          <w:lang w:val="en-GB"/>
        </w:rPr>
      </w:pPr>
      <w:r w:rsidRPr="004A16F8">
        <w:rPr>
          <w:rFonts w:ascii="Times New Roman" w:hAnsi="Times New Roman" w:cs="Times New Roman"/>
          <w:b/>
          <w:sz w:val="24"/>
          <w:szCs w:val="24"/>
          <w:lang w:val="en-GB"/>
        </w:rPr>
        <w:t>Nevertheless, much needs to be done in light of changes to the business landscape</w:t>
      </w:r>
      <w:r w:rsidRPr="004A16F8">
        <w:rPr>
          <w:rFonts w:ascii="Times New Roman" w:hAnsi="Times New Roman" w:cs="Times New Roman"/>
          <w:sz w:val="24"/>
          <w:szCs w:val="24"/>
          <w:lang w:val="en-GB"/>
        </w:rPr>
        <w:t>. The economy has shifted towards more innovation-heavy sectors where competition is usually based on digital technologies and brands, where both scale and innovation are critical to compete rather than just low prices. Many of these markets have high fixed costs, strong d</w:t>
      </w:r>
      <w:r w:rsidR="009256CE">
        <w:rPr>
          <w:rFonts w:ascii="Times New Roman" w:hAnsi="Times New Roman" w:cs="Times New Roman"/>
          <w:sz w:val="24"/>
          <w:szCs w:val="24"/>
          <w:lang w:val="en-GB"/>
        </w:rPr>
        <w:t>ata and network effects, and a “winner-takes-all”</w:t>
      </w:r>
      <w:r w:rsidRPr="004A16F8">
        <w:rPr>
          <w:rFonts w:ascii="Times New Roman" w:hAnsi="Times New Roman" w:cs="Times New Roman"/>
          <w:sz w:val="24"/>
          <w:szCs w:val="24"/>
          <w:lang w:val="en-GB"/>
        </w:rPr>
        <w:t xml:space="preserve"> character, making it more likely for a market to become dominated by one or two companies or platforms. This has been recognised in the introduction of the Digital Markets Act (DMA)…</w:t>
      </w:r>
    </w:p>
    <w:p w:rsidR="004A16F8" w:rsidRPr="00BB13B6" w:rsidRDefault="004A16F8" w:rsidP="000919B8">
      <w:pPr>
        <w:spacing w:line="240" w:lineRule="auto"/>
        <w:jc w:val="both"/>
        <w:rPr>
          <w:rFonts w:ascii="Times New Roman" w:hAnsi="Times New Roman" w:cs="Times New Roman"/>
          <w:sz w:val="24"/>
          <w:szCs w:val="24"/>
          <w:lang w:val="en-GB"/>
        </w:rPr>
      </w:pPr>
      <w:r w:rsidRPr="00BB13B6">
        <w:rPr>
          <w:rFonts w:ascii="Times New Roman" w:hAnsi="Times New Roman" w:cs="Times New Roman"/>
          <w:b/>
          <w:sz w:val="24"/>
          <w:szCs w:val="24"/>
          <w:lang w:val="en-GB"/>
        </w:rPr>
        <w:t>Key elements of a new approach to competition policy supporting a new Industrial Deal would include the list of measures described below, which would apply to all sectors</w:t>
      </w:r>
      <w:r w:rsidRPr="00BB13B6">
        <w:rPr>
          <w:rFonts w:ascii="Times New Roman" w:hAnsi="Times New Roman" w:cs="Times New Roman"/>
          <w:sz w:val="24"/>
          <w:szCs w:val="24"/>
          <w:lang w:val="en-GB"/>
        </w:rPr>
        <w:t xml:space="preserve">. Some of the following proposals represent more radical changes to the current way </w:t>
      </w:r>
      <w:r w:rsidRPr="00BB13B6">
        <w:rPr>
          <w:rFonts w:ascii="Times New Roman" w:hAnsi="Times New Roman" w:cs="Times New Roman"/>
          <w:sz w:val="24"/>
          <w:szCs w:val="24"/>
          <w:lang w:val="en-GB"/>
        </w:rPr>
        <w:lastRenderedPageBreak/>
        <w:t>competition policy is enforced (for instance, items 1 and 3), while others involve revisions of the current approach. In all cases, the motivating situation, the task that the reform seeks to achieve, and the specific action to be undertaken are briefly specified.</w:t>
      </w:r>
    </w:p>
    <w:p w:rsidR="004A16F8" w:rsidRPr="00BB13B6" w:rsidRDefault="004A16F8" w:rsidP="000919B8">
      <w:pPr>
        <w:spacing w:line="240" w:lineRule="auto"/>
        <w:jc w:val="both"/>
        <w:rPr>
          <w:rFonts w:ascii="Times New Roman" w:hAnsi="Times New Roman" w:cs="Times New Roman"/>
          <w:b/>
          <w:sz w:val="24"/>
          <w:szCs w:val="24"/>
          <w:lang w:val="en-GB"/>
        </w:rPr>
      </w:pPr>
      <w:r w:rsidRPr="00BB13B6">
        <w:rPr>
          <w:rFonts w:ascii="Times New Roman" w:hAnsi="Times New Roman" w:cs="Times New Roman"/>
          <w:b/>
          <w:sz w:val="24"/>
          <w:szCs w:val="24"/>
          <w:lang w:val="en-GB"/>
        </w:rPr>
        <w:t>1. Emphasise the weight of innovation and future competition in DG COMP decisions, enhancing progress in areas where the development of new technologies would make a difference for consumers…</w:t>
      </w:r>
    </w:p>
    <w:p w:rsidR="004A16F8" w:rsidRPr="00BB13B6" w:rsidRDefault="004A16F8" w:rsidP="000919B8">
      <w:pPr>
        <w:spacing w:line="240" w:lineRule="auto"/>
        <w:jc w:val="both"/>
        <w:rPr>
          <w:rFonts w:ascii="Times New Roman" w:hAnsi="Times New Roman" w:cs="Times New Roman"/>
          <w:b/>
          <w:sz w:val="24"/>
          <w:szCs w:val="24"/>
          <w:lang w:val="en-GB"/>
        </w:rPr>
      </w:pPr>
      <w:r w:rsidRPr="00BB13B6">
        <w:rPr>
          <w:rFonts w:ascii="Times New Roman" w:hAnsi="Times New Roman" w:cs="Times New Roman"/>
          <w:b/>
          <w:sz w:val="24"/>
          <w:szCs w:val="24"/>
          <w:lang w:val="en-GB"/>
        </w:rPr>
        <w:t>2. Provide clear guidance and templates on novel agreements, coordination and co-deployment between competitors…</w:t>
      </w:r>
    </w:p>
    <w:p w:rsidR="004A16F8" w:rsidRPr="00BB13B6" w:rsidRDefault="004A16F8" w:rsidP="000919B8">
      <w:pPr>
        <w:spacing w:line="240" w:lineRule="auto"/>
        <w:jc w:val="both"/>
        <w:rPr>
          <w:rFonts w:ascii="Times New Roman" w:hAnsi="Times New Roman" w:cs="Times New Roman"/>
          <w:b/>
          <w:sz w:val="24"/>
          <w:szCs w:val="24"/>
          <w:lang w:val="en-GB"/>
        </w:rPr>
      </w:pPr>
      <w:r w:rsidRPr="00BB13B6">
        <w:rPr>
          <w:rFonts w:ascii="Times New Roman" w:hAnsi="Times New Roman" w:cs="Times New Roman"/>
          <w:b/>
          <w:sz w:val="24"/>
          <w:szCs w:val="24"/>
          <w:lang w:val="en-GB"/>
        </w:rPr>
        <w:t>3. Develop security and resilience criteria by expert authorities and include them in DG COMP assessments…</w:t>
      </w:r>
    </w:p>
    <w:p w:rsidR="004A16F8" w:rsidRPr="00BB13B6" w:rsidRDefault="004A16F8" w:rsidP="000919B8">
      <w:pPr>
        <w:spacing w:line="240" w:lineRule="auto"/>
        <w:jc w:val="both"/>
        <w:rPr>
          <w:rFonts w:ascii="Times New Roman" w:hAnsi="Times New Roman" w:cs="Times New Roman"/>
          <w:b/>
          <w:sz w:val="24"/>
          <w:szCs w:val="24"/>
          <w:lang w:val="en-GB"/>
        </w:rPr>
      </w:pPr>
      <w:r w:rsidRPr="00BB13B6">
        <w:rPr>
          <w:rFonts w:ascii="Times New Roman" w:hAnsi="Times New Roman" w:cs="Times New Roman"/>
          <w:b/>
          <w:sz w:val="24"/>
          <w:szCs w:val="24"/>
          <w:lang w:val="en-GB"/>
        </w:rPr>
        <w:t>4. State aid control as a competition tool for efficiency enhancing industrial policies…</w:t>
      </w:r>
    </w:p>
    <w:p w:rsidR="004A16F8" w:rsidRPr="00BB13B6" w:rsidRDefault="004A16F8" w:rsidP="000919B8">
      <w:pPr>
        <w:spacing w:line="240" w:lineRule="auto"/>
        <w:jc w:val="both"/>
        <w:rPr>
          <w:rFonts w:ascii="Times New Roman" w:hAnsi="Times New Roman" w:cs="Times New Roman"/>
          <w:b/>
          <w:sz w:val="24"/>
          <w:szCs w:val="24"/>
          <w:lang w:val="en-GB"/>
        </w:rPr>
      </w:pPr>
      <w:r w:rsidRPr="00BB13B6">
        <w:rPr>
          <w:rFonts w:ascii="Times New Roman" w:hAnsi="Times New Roman" w:cs="Times New Roman"/>
          <w:b/>
          <w:sz w:val="24"/>
          <w:szCs w:val="24"/>
          <w:lang w:val="en-GB"/>
        </w:rPr>
        <w:t>5</w:t>
      </w:r>
      <w:r w:rsidR="009256CE">
        <w:rPr>
          <w:rFonts w:ascii="Times New Roman" w:hAnsi="Times New Roman" w:cs="Times New Roman"/>
          <w:b/>
          <w:sz w:val="24"/>
          <w:szCs w:val="24"/>
          <w:lang w:val="en-GB"/>
        </w:rPr>
        <w:t>. Reform and expand the IPCEIs -</w:t>
      </w:r>
      <w:r w:rsidRPr="00BB13B6">
        <w:rPr>
          <w:rFonts w:ascii="Times New Roman" w:hAnsi="Times New Roman" w:cs="Times New Roman"/>
          <w:b/>
          <w:sz w:val="24"/>
          <w:szCs w:val="24"/>
          <w:lang w:val="en-GB"/>
        </w:rPr>
        <w:t xml:space="preserve"> Important Projects of Common European Interest…</w:t>
      </w:r>
    </w:p>
    <w:p w:rsidR="004A16F8" w:rsidRPr="00BB13B6" w:rsidRDefault="004A16F8" w:rsidP="000919B8">
      <w:pPr>
        <w:spacing w:line="240" w:lineRule="auto"/>
        <w:jc w:val="both"/>
        <w:rPr>
          <w:rFonts w:ascii="Times New Roman" w:hAnsi="Times New Roman" w:cs="Times New Roman"/>
          <w:b/>
          <w:sz w:val="24"/>
          <w:szCs w:val="24"/>
          <w:lang w:val="en-GB"/>
        </w:rPr>
      </w:pPr>
      <w:r w:rsidRPr="00BB13B6">
        <w:rPr>
          <w:rFonts w:ascii="Times New Roman" w:hAnsi="Times New Roman" w:cs="Times New Roman"/>
          <w:b/>
          <w:sz w:val="24"/>
          <w:szCs w:val="24"/>
          <w:lang w:val="en-GB"/>
        </w:rPr>
        <w:t>6. Incentivising the adoption of open access, interoperability, and adherence to EU standards through State aid and other competition tools…</w:t>
      </w:r>
    </w:p>
    <w:p w:rsidR="004A16F8" w:rsidRPr="00BB13B6" w:rsidRDefault="004A16F8" w:rsidP="000919B8">
      <w:pPr>
        <w:spacing w:line="240" w:lineRule="auto"/>
        <w:jc w:val="both"/>
        <w:rPr>
          <w:rFonts w:ascii="Times New Roman" w:hAnsi="Times New Roman" w:cs="Times New Roman"/>
          <w:b/>
          <w:sz w:val="24"/>
          <w:szCs w:val="24"/>
          <w:lang w:val="en-GB"/>
        </w:rPr>
      </w:pPr>
      <w:r w:rsidRPr="00BB13B6">
        <w:rPr>
          <w:rFonts w:ascii="Times New Roman" w:hAnsi="Times New Roman" w:cs="Times New Roman"/>
          <w:b/>
          <w:sz w:val="24"/>
          <w:szCs w:val="24"/>
          <w:lang w:val="en-GB"/>
        </w:rPr>
        <w:t>7. Apply effectively the new powers associated with the enforcement of the Digital Markets Act (DMA) and the Foreign Subsidies Regulation (FSR)…</w:t>
      </w:r>
    </w:p>
    <w:p w:rsidR="004A16F8" w:rsidRPr="00BB13B6" w:rsidRDefault="004A16F8" w:rsidP="000919B8">
      <w:pPr>
        <w:spacing w:line="240" w:lineRule="auto"/>
        <w:jc w:val="both"/>
        <w:rPr>
          <w:rFonts w:ascii="Times New Roman" w:hAnsi="Times New Roman" w:cs="Times New Roman"/>
          <w:b/>
          <w:sz w:val="24"/>
          <w:szCs w:val="24"/>
          <w:lang w:val="en-GB"/>
        </w:rPr>
      </w:pPr>
      <w:r w:rsidRPr="00BB13B6">
        <w:rPr>
          <w:rFonts w:ascii="Times New Roman" w:hAnsi="Times New Roman" w:cs="Times New Roman"/>
          <w:b/>
          <w:sz w:val="24"/>
          <w:szCs w:val="24"/>
          <w:lang w:val="en-GB"/>
        </w:rPr>
        <w:t>8. Reinforce ex-post versus ex-ante regulation and monitoring…</w:t>
      </w:r>
    </w:p>
    <w:p w:rsidR="004A16F8" w:rsidRPr="00BB13B6" w:rsidRDefault="009256CE" w:rsidP="000919B8">
      <w:pPr>
        <w:spacing w:line="24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9. Introduce a “</w:t>
      </w:r>
      <w:r w:rsidR="00BB13B6" w:rsidRPr="00BB13B6">
        <w:rPr>
          <w:rFonts w:ascii="Times New Roman" w:hAnsi="Times New Roman" w:cs="Times New Roman"/>
          <w:b/>
          <w:sz w:val="24"/>
          <w:szCs w:val="24"/>
          <w:lang w:val="en-GB"/>
        </w:rPr>
        <w:t>New Comp</w:t>
      </w:r>
      <w:r>
        <w:rPr>
          <w:rFonts w:ascii="Times New Roman" w:hAnsi="Times New Roman" w:cs="Times New Roman"/>
          <w:b/>
          <w:sz w:val="24"/>
          <w:szCs w:val="24"/>
          <w:lang w:val="en-GB"/>
        </w:rPr>
        <w:t>etition Tool”</w:t>
      </w:r>
      <w:r w:rsidR="00BB13B6" w:rsidRPr="00BB13B6">
        <w:rPr>
          <w:rFonts w:ascii="Times New Roman" w:hAnsi="Times New Roman" w:cs="Times New Roman"/>
          <w:b/>
          <w:sz w:val="24"/>
          <w:szCs w:val="24"/>
          <w:lang w:val="en-GB"/>
        </w:rPr>
        <w:t xml:space="preserve"> (NCT) in four areas…</w:t>
      </w:r>
    </w:p>
    <w:p w:rsidR="00BB13B6" w:rsidRPr="00BB13B6" w:rsidRDefault="00BB13B6" w:rsidP="000919B8">
      <w:pPr>
        <w:spacing w:line="240" w:lineRule="auto"/>
        <w:jc w:val="both"/>
        <w:rPr>
          <w:rFonts w:ascii="Times New Roman" w:hAnsi="Times New Roman" w:cs="Times New Roman"/>
          <w:b/>
          <w:sz w:val="24"/>
          <w:szCs w:val="24"/>
          <w:lang w:val="en-GB"/>
        </w:rPr>
      </w:pPr>
      <w:r w:rsidRPr="00BB13B6">
        <w:rPr>
          <w:rFonts w:ascii="Times New Roman" w:hAnsi="Times New Roman" w:cs="Times New Roman"/>
          <w:b/>
          <w:sz w:val="24"/>
          <w:szCs w:val="24"/>
          <w:lang w:val="en-GB"/>
        </w:rPr>
        <w:t>10. Accelerate the decision-making processes and increase the predictability of decisions…</w:t>
      </w:r>
    </w:p>
    <w:p w:rsidR="00BB13B6" w:rsidRPr="00BB13B6" w:rsidRDefault="00BB13B6" w:rsidP="000919B8">
      <w:pPr>
        <w:spacing w:line="240" w:lineRule="auto"/>
        <w:jc w:val="both"/>
        <w:rPr>
          <w:rFonts w:ascii="Times New Roman" w:hAnsi="Times New Roman" w:cs="Times New Roman"/>
          <w:b/>
          <w:sz w:val="24"/>
          <w:szCs w:val="24"/>
          <w:lang w:val="en-GB"/>
        </w:rPr>
      </w:pPr>
      <w:r w:rsidRPr="00BB13B6">
        <w:rPr>
          <w:rFonts w:ascii="Times New Roman" w:hAnsi="Times New Roman" w:cs="Times New Roman"/>
          <w:b/>
          <w:sz w:val="24"/>
          <w:szCs w:val="24"/>
          <w:lang w:val="en-GB"/>
        </w:rPr>
        <w:t xml:space="preserve">5. Strengthening governance </w:t>
      </w:r>
    </w:p>
    <w:p w:rsidR="00BB13B6" w:rsidRPr="0076400B" w:rsidRDefault="00BB13B6"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b/>
          <w:sz w:val="24"/>
          <w:szCs w:val="24"/>
          <w:lang w:val="en-GB"/>
        </w:rPr>
        <w:t>Reinvigorating the EU’s competitiveness calls for reflection on the institutional set-up and functioning of the European Union</w:t>
      </w:r>
      <w:r w:rsidRPr="0076400B">
        <w:rPr>
          <w:rFonts w:ascii="Times New Roman" w:hAnsi="Times New Roman" w:cs="Times New Roman"/>
          <w:sz w:val="24"/>
          <w:szCs w:val="24"/>
          <w:lang w:val="en-GB"/>
        </w:rPr>
        <w:t>. As demonstrated throughout this report, no Member State can address key competitiveness challenges alone or compete with Europe’s main global competitors. As such, the EU represents more than ever an opportunity for its Member States. At the same time, in various sectors the EU’s complex governance system can negatively affect the efficiency and effectiveness of our collective action compared to that of the US or China - global competitors that can act as one country with a single geoeconomic strategy and align all the necessary policy tools behind it. At the same time, excessive regulatory and administrative burden can hinder the ease of doing business in the EU and the competitiveness of EU companies.</w:t>
      </w:r>
    </w:p>
    <w:p w:rsidR="00BB13B6" w:rsidRPr="0076400B" w:rsidRDefault="00BB13B6"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b/>
          <w:sz w:val="24"/>
          <w:szCs w:val="24"/>
          <w:lang w:val="en-GB"/>
        </w:rPr>
        <w:t>Strengthening the EU’s unique political and institutional model would require a Treaty change, but much is already possible with targeted adjustments without the need for such a change</w:t>
      </w:r>
      <w:r w:rsidRPr="0076400B">
        <w:rPr>
          <w:rFonts w:ascii="Times New Roman" w:hAnsi="Times New Roman" w:cs="Times New Roman"/>
          <w:sz w:val="24"/>
          <w:szCs w:val="24"/>
          <w:lang w:val="en-GB"/>
        </w:rPr>
        <w:t>. Namely, a renewed European partnership should be built on three overarching pillars:</w:t>
      </w:r>
    </w:p>
    <w:p w:rsidR="00BB13B6" w:rsidRPr="0076400B" w:rsidRDefault="00BB13B6"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 </w:t>
      </w:r>
      <w:r w:rsidRPr="0076400B">
        <w:rPr>
          <w:rFonts w:ascii="Times New Roman" w:hAnsi="Times New Roman" w:cs="Times New Roman"/>
          <w:b/>
          <w:sz w:val="24"/>
          <w:szCs w:val="24"/>
          <w:lang w:val="en-GB"/>
        </w:rPr>
        <w:t>Refocusing the work of the EU</w:t>
      </w:r>
      <w:r w:rsidRPr="0076400B">
        <w:rPr>
          <w:rFonts w:ascii="Times New Roman" w:hAnsi="Times New Roman" w:cs="Times New Roman"/>
          <w:sz w:val="24"/>
          <w:szCs w:val="24"/>
          <w:lang w:val="en-GB"/>
        </w:rPr>
        <w:t>. Doing fewer things better at the EU level, prioritising policies and acts where EU action has the greatest added value, while ensuring full implementation and enforcement at all l</w:t>
      </w:r>
      <w:r w:rsidR="009256CE">
        <w:rPr>
          <w:rFonts w:ascii="Times New Roman" w:hAnsi="Times New Roman" w:cs="Times New Roman"/>
          <w:sz w:val="24"/>
          <w:szCs w:val="24"/>
          <w:lang w:val="en-GB"/>
        </w:rPr>
        <w:t>evels of government This means “more Europe”</w:t>
      </w:r>
      <w:r w:rsidRPr="0076400B">
        <w:rPr>
          <w:rFonts w:ascii="Times New Roman" w:hAnsi="Times New Roman" w:cs="Times New Roman"/>
          <w:sz w:val="24"/>
          <w:szCs w:val="24"/>
          <w:lang w:val="en-GB"/>
        </w:rPr>
        <w:t xml:space="preserve"> where it really matters, while leaving more leeway and accountability to Member States and </w:t>
      </w:r>
      <w:r w:rsidRPr="0076400B">
        <w:rPr>
          <w:rFonts w:ascii="Times New Roman" w:hAnsi="Times New Roman" w:cs="Times New Roman"/>
          <w:sz w:val="24"/>
          <w:szCs w:val="24"/>
          <w:lang w:val="en-GB"/>
        </w:rPr>
        <w:lastRenderedPageBreak/>
        <w:t>the private sector - in compliance with the subsidiarity principle This would, at the same time, provide new legitimacy to coordinated EU policy-making.</w:t>
      </w:r>
    </w:p>
    <w:p w:rsidR="00BB13B6" w:rsidRPr="0076400B" w:rsidRDefault="00BB13B6"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 </w:t>
      </w:r>
      <w:r w:rsidRPr="0076400B">
        <w:rPr>
          <w:rFonts w:ascii="Times New Roman" w:hAnsi="Times New Roman" w:cs="Times New Roman"/>
          <w:b/>
          <w:sz w:val="24"/>
          <w:szCs w:val="24"/>
          <w:lang w:val="en-GB"/>
        </w:rPr>
        <w:t>Accelerating EU action and integration.</w:t>
      </w:r>
      <w:r w:rsidRPr="0076400B">
        <w:rPr>
          <w:rFonts w:ascii="Times New Roman" w:hAnsi="Times New Roman" w:cs="Times New Roman"/>
          <w:sz w:val="24"/>
          <w:szCs w:val="24"/>
          <w:lang w:val="en-GB"/>
        </w:rPr>
        <w:t xml:space="preserve"> Moving forward faster in policy areas </w:t>
      </w:r>
      <w:r w:rsidR="009256CE">
        <w:rPr>
          <w:rFonts w:ascii="Times New Roman" w:hAnsi="Times New Roman" w:cs="Times New Roman"/>
          <w:sz w:val="24"/>
          <w:szCs w:val="24"/>
          <w:lang w:val="en-GB"/>
        </w:rPr>
        <w:t>prioritised as part of the refo</w:t>
      </w:r>
      <w:r w:rsidRPr="0076400B">
        <w:rPr>
          <w:rFonts w:ascii="Times New Roman" w:hAnsi="Times New Roman" w:cs="Times New Roman"/>
          <w:sz w:val="24"/>
          <w:szCs w:val="24"/>
          <w:lang w:val="en-GB"/>
        </w:rPr>
        <w:t>cusing exercise, thanks to enhanced cooperation or even at the cost of opting for a model of deeper integration based on ‘concentric circles.</w:t>
      </w:r>
    </w:p>
    <w:p w:rsidR="00BB13B6" w:rsidRPr="0076400B" w:rsidRDefault="00BB13B6"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 </w:t>
      </w:r>
      <w:r w:rsidRPr="0076400B">
        <w:rPr>
          <w:rFonts w:ascii="Times New Roman" w:hAnsi="Times New Roman" w:cs="Times New Roman"/>
          <w:b/>
          <w:sz w:val="24"/>
          <w:szCs w:val="24"/>
          <w:lang w:val="en-GB"/>
        </w:rPr>
        <w:t xml:space="preserve">Simplifying rules. </w:t>
      </w:r>
      <w:r w:rsidRPr="0076400B">
        <w:rPr>
          <w:rFonts w:ascii="Times New Roman" w:hAnsi="Times New Roman" w:cs="Times New Roman"/>
          <w:sz w:val="24"/>
          <w:szCs w:val="24"/>
          <w:lang w:val="en-GB"/>
        </w:rPr>
        <w:t>Increasing legal certainty and reducing regulatory and administrative burden by ensuring that there are fewer, clearer, more fit-for-purpose, future-proof and coherent rules.</w:t>
      </w:r>
    </w:p>
    <w:p w:rsidR="00BB13B6" w:rsidRPr="0076400B" w:rsidRDefault="00BB13B6"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To achieve these objectives, specific proposals are presented in this chapter. As detailed below, priority initiatives under each of the three pillars include: </w:t>
      </w:r>
    </w:p>
    <w:p w:rsidR="00BB13B6" w:rsidRPr="0076400B" w:rsidRDefault="00BB13B6"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 </w:t>
      </w:r>
      <w:r w:rsidRPr="0076400B">
        <w:rPr>
          <w:rFonts w:ascii="Times New Roman" w:hAnsi="Times New Roman" w:cs="Times New Roman"/>
          <w:b/>
          <w:sz w:val="24"/>
          <w:szCs w:val="24"/>
          <w:lang w:val="en-GB"/>
        </w:rPr>
        <w:t>Developing a new Competitiveness Coordination Framework</w:t>
      </w:r>
      <w:r w:rsidRPr="0076400B">
        <w:rPr>
          <w:rFonts w:ascii="Times New Roman" w:hAnsi="Times New Roman" w:cs="Times New Roman"/>
          <w:sz w:val="24"/>
          <w:szCs w:val="24"/>
          <w:lang w:val="en-GB"/>
        </w:rPr>
        <w:t>, which will replace various non-fiscal coordination tools of the EU This tool will translate EU-wide competitiveness objectives into national policies, promote greater coordination between Member States and ensure financing for each strategic priority through a profound change to the structure and implementation of the EU budget.</w:t>
      </w:r>
    </w:p>
    <w:p w:rsidR="00BB13B6" w:rsidRPr="0076400B" w:rsidRDefault="00BB13B6"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 </w:t>
      </w:r>
      <w:r w:rsidRPr="0076400B">
        <w:rPr>
          <w:rFonts w:ascii="Times New Roman" w:hAnsi="Times New Roman" w:cs="Times New Roman"/>
          <w:b/>
          <w:sz w:val="24"/>
          <w:szCs w:val="24"/>
          <w:lang w:val="en-GB"/>
        </w:rPr>
        <w:t>Extending or generalising qualified majority voting</w:t>
      </w:r>
      <w:r w:rsidRPr="0076400B">
        <w:rPr>
          <w:rFonts w:ascii="Times New Roman" w:hAnsi="Times New Roman" w:cs="Times New Roman"/>
          <w:sz w:val="24"/>
          <w:szCs w:val="24"/>
          <w:lang w:val="en-GB"/>
        </w:rPr>
        <w:t xml:space="preserve"> (QMV) as opposed to unanimity in the Council of the European Union, as the key principle for establishing common rules through legislation and regulation. </w:t>
      </w:r>
    </w:p>
    <w:p w:rsidR="00BB13B6" w:rsidRPr="0076400B" w:rsidRDefault="00BB13B6"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 </w:t>
      </w:r>
      <w:r w:rsidRPr="0076400B">
        <w:rPr>
          <w:rFonts w:ascii="Times New Roman" w:hAnsi="Times New Roman" w:cs="Times New Roman"/>
          <w:b/>
          <w:sz w:val="24"/>
          <w:szCs w:val="24"/>
          <w:lang w:val="en-GB"/>
        </w:rPr>
        <w:t>Streamlining the EU acquis in a systematic way</w:t>
      </w:r>
      <w:r w:rsidRPr="0076400B">
        <w:rPr>
          <w:rFonts w:ascii="Times New Roman" w:hAnsi="Times New Roman" w:cs="Times New Roman"/>
          <w:sz w:val="24"/>
          <w:szCs w:val="24"/>
          <w:lang w:val="en-GB"/>
        </w:rPr>
        <w:t xml:space="preserve"> - under a Vice-President for Simplification </w:t>
      </w:r>
      <w:r w:rsidR="009256CE">
        <w:rPr>
          <w:rFonts w:ascii="Times New Roman" w:hAnsi="Times New Roman" w:cs="Times New Roman"/>
          <w:sz w:val="24"/>
          <w:szCs w:val="24"/>
          <w:lang w:val="en-GB"/>
        </w:rPr>
        <w:t>coor</w:t>
      </w:r>
      <w:r w:rsidR="00A021C8">
        <w:rPr>
          <w:rFonts w:ascii="Times New Roman" w:hAnsi="Times New Roman" w:cs="Times New Roman"/>
          <w:sz w:val="24"/>
          <w:szCs w:val="24"/>
          <w:lang w:val="en-GB"/>
        </w:rPr>
        <w:t>dinating a new “evaluation bank</w:t>
      </w:r>
      <w:r w:rsidR="009256CE">
        <w:rPr>
          <w:rFonts w:ascii="Times New Roman" w:hAnsi="Times New Roman" w:cs="Times New Roman"/>
          <w:sz w:val="24"/>
          <w:szCs w:val="24"/>
          <w:lang w:val="en-GB"/>
        </w:rPr>
        <w:t>”</w:t>
      </w:r>
      <w:r w:rsidR="00A021C8">
        <w:rPr>
          <w:rFonts w:ascii="Times New Roman" w:hAnsi="Times New Roman" w:cs="Times New Roman"/>
          <w:sz w:val="24"/>
          <w:szCs w:val="24"/>
          <w:lang w:val="en-GB"/>
        </w:rPr>
        <w:t xml:space="preserve"> </w:t>
      </w:r>
      <w:bookmarkStart w:id="0" w:name="_GoBack"/>
      <w:bookmarkEnd w:id="0"/>
      <w:r w:rsidRPr="0076400B">
        <w:rPr>
          <w:rFonts w:ascii="Times New Roman" w:hAnsi="Times New Roman" w:cs="Times New Roman"/>
          <w:sz w:val="24"/>
          <w:szCs w:val="24"/>
          <w:lang w:val="en-GB"/>
        </w:rPr>
        <w:t>to stress-test all existing EU laws and regulations at the start of each Commission mandate This should ensure harmonious regulation across Member States, with the ultimate objective to make EU and national regulation a consistent single corpus representing a competitive strength for our Union…</w:t>
      </w:r>
    </w:p>
    <w:p w:rsidR="00BB13B6" w:rsidRPr="0076400B" w:rsidRDefault="00BB13B6"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b/>
          <w:sz w:val="24"/>
          <w:szCs w:val="24"/>
          <w:lang w:val="en-GB"/>
        </w:rPr>
        <w:t xml:space="preserve">The ‘Competitiveness Action Plans’ would be made public, and the Commission and relevant EU agencies would review progress made annually </w:t>
      </w:r>
      <w:r w:rsidRPr="0076400B">
        <w:rPr>
          <w:rFonts w:ascii="Times New Roman" w:hAnsi="Times New Roman" w:cs="Times New Roman"/>
          <w:sz w:val="24"/>
          <w:szCs w:val="24"/>
          <w:lang w:val="en-GB"/>
        </w:rPr>
        <w:t>to assess the use of the financial incentives disbursed up front, and report back to the European Parliament and the Council (as budgetary authorities). Every year, at a</w:t>
      </w:r>
      <w:r w:rsidR="009256CE">
        <w:rPr>
          <w:rFonts w:ascii="Times New Roman" w:hAnsi="Times New Roman" w:cs="Times New Roman"/>
          <w:sz w:val="24"/>
          <w:szCs w:val="24"/>
          <w:lang w:val="en-GB"/>
        </w:rPr>
        <w:t xml:space="preserve"> European Council meeting, the “EU Competitiveness Priorities”</w:t>
      </w:r>
      <w:r w:rsidRPr="0076400B">
        <w:rPr>
          <w:rFonts w:ascii="Times New Roman" w:hAnsi="Times New Roman" w:cs="Times New Roman"/>
          <w:sz w:val="24"/>
          <w:szCs w:val="24"/>
          <w:lang w:val="en-GB"/>
        </w:rPr>
        <w:t xml:space="preserve"> would be assessed against the latest political and market developments, so that the means defined for their implementation could be adjusted if needed - first and foremost, the implementation of the EU budget under its annual procedure. For the very first cycle, the Competitiveness Coordination Framework could take this report as a starting point presenting priorities as illustrated below:</w:t>
      </w:r>
    </w:p>
    <w:p w:rsidR="00BB13B6" w:rsidRPr="0076400B" w:rsidRDefault="00ED310D"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 xml:space="preserve">• EU Competitiveness Priority 1: </w:t>
      </w:r>
      <w:r w:rsidRPr="0076400B">
        <w:rPr>
          <w:rFonts w:ascii="Times New Roman" w:hAnsi="Times New Roman" w:cs="Times New Roman"/>
          <w:sz w:val="24"/>
          <w:szCs w:val="24"/>
          <w:lang w:val="en-GB"/>
        </w:rPr>
        <w:t>Accelerate innovation across the EU.</w:t>
      </w:r>
    </w:p>
    <w:p w:rsidR="00BB13B6" w:rsidRPr="0076400B" w:rsidRDefault="00ED310D"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 </w:t>
      </w:r>
      <w:r w:rsidRPr="0076400B">
        <w:rPr>
          <w:rFonts w:ascii="Times New Roman" w:hAnsi="Times New Roman" w:cs="Times New Roman"/>
          <w:b/>
          <w:sz w:val="24"/>
          <w:szCs w:val="24"/>
          <w:lang w:val="en-GB"/>
        </w:rPr>
        <w:t xml:space="preserve">EU Competitiveness Priority 2: </w:t>
      </w:r>
      <w:r w:rsidRPr="0076400B">
        <w:rPr>
          <w:rFonts w:ascii="Times New Roman" w:hAnsi="Times New Roman" w:cs="Times New Roman"/>
          <w:sz w:val="24"/>
          <w:szCs w:val="24"/>
          <w:lang w:val="en-GB"/>
        </w:rPr>
        <w:t>Ensure secure, decarbonised and affordable energy under a true Energy Union.</w:t>
      </w:r>
    </w:p>
    <w:p w:rsidR="00ED310D" w:rsidRPr="0076400B" w:rsidRDefault="00ED310D"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w:t>
      </w:r>
      <w:r w:rsidRPr="0076400B">
        <w:rPr>
          <w:rFonts w:ascii="Times New Roman" w:hAnsi="Times New Roman" w:cs="Times New Roman"/>
          <w:b/>
          <w:sz w:val="24"/>
          <w:szCs w:val="24"/>
          <w:lang w:val="en-GB"/>
        </w:rPr>
        <w:t xml:space="preserve"> EU Competitiveness Priority 3: </w:t>
      </w:r>
      <w:r w:rsidRPr="0076400B">
        <w:rPr>
          <w:rFonts w:ascii="Times New Roman" w:hAnsi="Times New Roman" w:cs="Times New Roman"/>
          <w:sz w:val="24"/>
          <w:szCs w:val="24"/>
          <w:lang w:val="en-GB"/>
        </w:rPr>
        <w:t>Equip the EU’s workforce with the skills needed by today and tomorrow’s economy.</w:t>
      </w:r>
    </w:p>
    <w:p w:rsidR="00ED310D" w:rsidRPr="0076400B" w:rsidRDefault="00ED310D"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 </w:t>
      </w:r>
      <w:r w:rsidRPr="0076400B">
        <w:rPr>
          <w:rFonts w:ascii="Times New Roman" w:hAnsi="Times New Roman" w:cs="Times New Roman"/>
          <w:b/>
          <w:sz w:val="24"/>
          <w:szCs w:val="24"/>
          <w:lang w:val="en-GB"/>
        </w:rPr>
        <w:t xml:space="preserve">EU Competitiveness Priority 4: </w:t>
      </w:r>
      <w:r w:rsidRPr="0076400B">
        <w:rPr>
          <w:rFonts w:ascii="Times New Roman" w:hAnsi="Times New Roman" w:cs="Times New Roman"/>
          <w:sz w:val="24"/>
          <w:szCs w:val="24"/>
          <w:lang w:val="en-GB"/>
        </w:rPr>
        <w:t>Boost digitalisation, as well as the development, deployment and adoption of advanced digital technologies in the EU -including AI- across key economic sectors.</w:t>
      </w:r>
    </w:p>
    <w:p w:rsidR="00ED310D" w:rsidRPr="0076400B" w:rsidRDefault="00ED310D"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b/>
          <w:sz w:val="24"/>
          <w:szCs w:val="24"/>
          <w:lang w:val="en-GB"/>
        </w:rPr>
        <w:lastRenderedPageBreak/>
        <w:t>• EU Competitiveness Priority 5:</w:t>
      </w:r>
      <w:r w:rsidRPr="0076400B">
        <w:rPr>
          <w:rFonts w:ascii="Times New Roman" w:hAnsi="Times New Roman" w:cs="Times New Roman"/>
          <w:sz w:val="24"/>
          <w:szCs w:val="24"/>
          <w:lang w:val="en-GB"/>
        </w:rPr>
        <w:t xml:space="preserve"> Increase the EU’s defence industrial capacity to meet Europe’s security needs.</w:t>
      </w:r>
    </w:p>
    <w:p w:rsidR="00ED310D" w:rsidRPr="0076400B" w:rsidRDefault="00ED310D"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 xml:space="preserve">Accelerating the work of the EU </w:t>
      </w:r>
    </w:p>
    <w:p w:rsidR="00ED310D" w:rsidRPr="0076400B" w:rsidRDefault="00ED310D"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b/>
          <w:sz w:val="24"/>
          <w:szCs w:val="24"/>
          <w:lang w:val="en-GB"/>
        </w:rPr>
        <w:t>The urgency of regaining Europe’s competitive edge should also be reflected in an accelerated legislative procedure</w:t>
      </w:r>
      <w:r w:rsidRPr="0076400B">
        <w:rPr>
          <w:rFonts w:ascii="Times New Roman" w:hAnsi="Times New Roman" w:cs="Times New Roman"/>
          <w:sz w:val="24"/>
          <w:szCs w:val="24"/>
          <w:lang w:val="en-GB"/>
        </w:rPr>
        <w:t>. The total average length of an ordinary legislative procedure was 19 months (from the Commission’s proposal to the signing of the adopted act) during the first half of t</w:t>
      </w:r>
      <w:r w:rsidR="009256CE">
        <w:rPr>
          <w:rFonts w:ascii="Times New Roman" w:hAnsi="Times New Roman" w:cs="Times New Roman"/>
          <w:sz w:val="24"/>
          <w:szCs w:val="24"/>
          <w:lang w:val="en-GB"/>
        </w:rPr>
        <w:t xml:space="preserve">he 2019-2024 parliamentary </w:t>
      </w:r>
      <w:r w:rsidR="00A021C8">
        <w:rPr>
          <w:rFonts w:ascii="Times New Roman" w:hAnsi="Times New Roman" w:cs="Times New Roman"/>
          <w:sz w:val="24"/>
          <w:szCs w:val="24"/>
          <w:lang w:val="en-GB"/>
        </w:rPr>
        <w:t>terms</w:t>
      </w:r>
      <w:r w:rsidRPr="0076400B">
        <w:rPr>
          <w:rFonts w:ascii="Times New Roman" w:hAnsi="Times New Roman" w:cs="Times New Roman"/>
          <w:sz w:val="24"/>
          <w:szCs w:val="24"/>
          <w:lang w:val="en-GB"/>
        </w:rPr>
        <w:t>. This calls for a clear acceleration of our collective work, even at the cost of opting for a model of ‘concentric circles’ as a first step to achieve broader integration among all 27 Member States. It also calls for simplification and the reduction of excessive bureaucracy, as recommended under ‘Simplifying rules’ below.</w:t>
      </w:r>
    </w:p>
    <w:p w:rsidR="00ED310D" w:rsidRPr="0076400B" w:rsidRDefault="00ED310D"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EXTENDED THE USE OF QUALIFIED MAJORITY VOTING IN THE COUNCIL OF THE EU </w:t>
      </w:r>
    </w:p>
    <w:p w:rsidR="00ED310D" w:rsidRPr="0076400B" w:rsidRDefault="00ED310D"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Council votes subject to QMV should be extended to more areas, or even generalised.</w:t>
      </w:r>
    </w:p>
    <w:p w:rsidR="00ED310D" w:rsidRPr="0076400B" w:rsidRDefault="00ED310D"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DIFFERENTIATED APPROACHES TO EU INTEGRATION </w:t>
      </w:r>
    </w:p>
    <w:p w:rsidR="00ED310D" w:rsidRPr="0076400B" w:rsidRDefault="00ED310D"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However, if action at the EU level is hindered or blocked by existing institutional procedures, a differentiated approach to integration should build on the smart use of existing instruments currently foreseen by the EU Treaties.</w:t>
      </w:r>
    </w:p>
    <w:p w:rsidR="00ED310D" w:rsidRPr="0076400B" w:rsidRDefault="00ED310D"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As a last resort and in the clear absence of the required conditions to fall back on enhanced cooperation, intergovernmental cooperation should be considered.</w:t>
      </w:r>
    </w:p>
    <w:p w:rsidR="00ED310D" w:rsidRPr="0076400B" w:rsidRDefault="00ED310D"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EXTENDED USE OF A BETTER FRAMED ARTICLE 122 </w:t>
      </w:r>
    </w:p>
    <w:p w:rsidR="00ED310D" w:rsidRPr="0076400B" w:rsidRDefault="00ED310D"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Finally, the increased successful use of Article 122 TFEU to underpin swift EU action in times of crisis suggests that the EU could extend its use and have it clarified through an Interinstitutional Pact.</w:t>
      </w:r>
    </w:p>
    <w:p w:rsidR="00ED310D" w:rsidRPr="0076400B" w:rsidRDefault="00ED310D"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 xml:space="preserve">Simplifying rules </w:t>
      </w:r>
    </w:p>
    <w:p w:rsidR="00ED310D" w:rsidRPr="0076400B" w:rsidRDefault="00ED310D"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THE STARTING POINT </w:t>
      </w:r>
    </w:p>
    <w:p w:rsidR="00ED310D" w:rsidRPr="0076400B" w:rsidRDefault="00ED310D"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Excessive regula</w:t>
      </w:r>
      <w:r w:rsidR="009256CE">
        <w:rPr>
          <w:rFonts w:ascii="Times New Roman" w:hAnsi="Times New Roman" w:cs="Times New Roman"/>
          <w:b/>
          <w:sz w:val="24"/>
          <w:szCs w:val="24"/>
          <w:lang w:val="en-GB"/>
        </w:rPr>
        <w:t>tory and administrative burden</w:t>
      </w:r>
      <w:r w:rsidRPr="0076400B">
        <w:rPr>
          <w:rFonts w:ascii="Times New Roman" w:hAnsi="Times New Roman" w:cs="Times New Roman"/>
          <w:b/>
          <w:sz w:val="24"/>
          <w:szCs w:val="24"/>
          <w:lang w:val="en-GB"/>
        </w:rPr>
        <w:t xml:space="preserve"> can hinder the competitiveness of EU companies compared to other blocs…</w:t>
      </w:r>
    </w:p>
    <w:p w:rsidR="00ED310D" w:rsidRPr="0076400B" w:rsidRDefault="00ED310D"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Quantifications of the aggregate regulatory burden in the EU, especially compared to other blocks, are hindered by differing or piecemeal approaches…</w:t>
      </w:r>
    </w:p>
    <w:p w:rsidR="00ED310D" w:rsidRPr="0076400B" w:rsidRDefault="00ED310D"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Quantitative estimates by the public sector mostly concern new policy initiatives in the form of impact assessments…</w:t>
      </w:r>
    </w:p>
    <w:p w:rsidR="00ED310D" w:rsidRPr="0076400B" w:rsidRDefault="009256CE" w:rsidP="000919B8">
      <w:pPr>
        <w:spacing w:line="24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A larger “regulatory flow”</w:t>
      </w:r>
      <w:r w:rsidR="00A03DBA" w:rsidRPr="0076400B">
        <w:rPr>
          <w:rFonts w:ascii="Times New Roman" w:hAnsi="Times New Roman" w:cs="Times New Roman"/>
          <w:b/>
          <w:sz w:val="24"/>
          <w:szCs w:val="24"/>
          <w:lang w:val="en-GB"/>
        </w:rPr>
        <w:t xml:space="preserve"> -</w:t>
      </w:r>
      <w:r w:rsidR="00ED310D" w:rsidRPr="0076400B">
        <w:rPr>
          <w:rFonts w:ascii="Times New Roman" w:hAnsi="Times New Roman" w:cs="Times New Roman"/>
          <w:b/>
          <w:sz w:val="24"/>
          <w:szCs w:val="24"/>
          <w:lang w:val="en-GB"/>
        </w:rPr>
        <w:t>defined as the number of new provisions pas</w:t>
      </w:r>
      <w:r w:rsidR="00A03DBA" w:rsidRPr="0076400B">
        <w:rPr>
          <w:rFonts w:ascii="Times New Roman" w:hAnsi="Times New Roman" w:cs="Times New Roman"/>
          <w:b/>
          <w:sz w:val="24"/>
          <w:szCs w:val="24"/>
          <w:lang w:val="en-GB"/>
        </w:rPr>
        <w:t>sed in a dedicated time period-</w:t>
      </w:r>
      <w:r w:rsidR="00ED310D" w:rsidRPr="0076400B">
        <w:rPr>
          <w:rFonts w:ascii="Times New Roman" w:hAnsi="Times New Roman" w:cs="Times New Roman"/>
          <w:b/>
          <w:sz w:val="24"/>
          <w:szCs w:val="24"/>
          <w:lang w:val="en-GB"/>
        </w:rPr>
        <w:t xml:space="preserve"> is among the factors making the EU’s regulatory environment less favourable for conducting business compared to the US</w:t>
      </w:r>
      <w:r w:rsidR="00A03DBA" w:rsidRPr="0076400B">
        <w:rPr>
          <w:rFonts w:ascii="Times New Roman" w:hAnsi="Times New Roman" w:cs="Times New Roman"/>
          <w:b/>
          <w:sz w:val="24"/>
          <w:szCs w:val="24"/>
          <w:lang w:val="en-GB"/>
        </w:rPr>
        <w:t>…</w:t>
      </w:r>
    </w:p>
    <w:p w:rsidR="00A03DBA" w:rsidRPr="0076400B" w:rsidRDefault="00A03DBA"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 xml:space="preserve">Three examples from EU law -the sustainability reporting and due diligence framework, the General Data Protection Regulation (GDPR), and the EU’s waste and </w:t>
      </w:r>
      <w:r w:rsidRPr="0076400B">
        <w:rPr>
          <w:rFonts w:ascii="Times New Roman" w:hAnsi="Times New Roman" w:cs="Times New Roman"/>
          <w:b/>
          <w:sz w:val="24"/>
          <w:szCs w:val="24"/>
          <w:lang w:val="en-GB"/>
        </w:rPr>
        <w:lastRenderedPageBreak/>
        <w:t xml:space="preserve">packaging waste legislation - are analysed to high light the following top three regulatory difficulties encountered by companies: </w:t>
      </w:r>
    </w:p>
    <w:p w:rsidR="00A03DBA" w:rsidRPr="0076400B" w:rsidRDefault="00A03DBA"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 Complying with the accumulation of EU legislation and its frequent changes over time, translating into regulatory overlap and inconsistencies </w:t>
      </w:r>
    </w:p>
    <w:p w:rsidR="00A03DBA" w:rsidRPr="0076400B" w:rsidRDefault="00A03DBA"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The extra burden added by national transposition and enforcement, including Member States ‘gold-plating’ EU legislation, as well as diverging implementing requirements and standa</w:t>
      </w:r>
      <w:r w:rsidR="009256CE">
        <w:rPr>
          <w:rFonts w:ascii="Times New Roman" w:hAnsi="Times New Roman" w:cs="Times New Roman"/>
          <w:sz w:val="24"/>
          <w:szCs w:val="24"/>
          <w:lang w:val="en-GB"/>
        </w:rPr>
        <w:t>rds in different Member States.</w:t>
      </w:r>
      <w:r w:rsidRPr="0076400B">
        <w:rPr>
          <w:rFonts w:ascii="Times New Roman" w:hAnsi="Times New Roman" w:cs="Times New Roman"/>
          <w:sz w:val="24"/>
          <w:szCs w:val="24"/>
          <w:lang w:val="en-GB"/>
        </w:rPr>
        <w:t xml:space="preserve"> </w:t>
      </w:r>
    </w:p>
    <w:p w:rsidR="00A03DBA" w:rsidRPr="0076400B" w:rsidRDefault="00A03DBA"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The proportionally higher regulatory burden faced by SMEs and small mid-caps compared to larger companies The EU’s sustainability reporting and due diligence framework is a major source of regulatory burden, magnified by a lack of guidance to facilitate the application of complex rules and to clarify the interaction between various pieces of legislation.</w:t>
      </w:r>
    </w:p>
    <w:p w:rsidR="00A03DBA" w:rsidRPr="0076400B" w:rsidRDefault="00A03DBA"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‘Gold-plating’ by Member States of the GDPR and a lack of consistency in its enforcement adds to EU companies’ administrative burden…</w:t>
      </w:r>
    </w:p>
    <w:p w:rsidR="00A03DBA" w:rsidRPr="0076400B" w:rsidRDefault="00A03DBA"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The waste and packaging waste legislation28 has been repeatedly identified as a major source of regulatory cost for SMEs due to overlapping horizontal and sectoral requirements…</w:t>
      </w:r>
    </w:p>
    <w:p w:rsidR="00A03DBA" w:rsidRPr="0076400B" w:rsidRDefault="00A03DBA"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All three examples also point to the need to better consider the size of companies affected by regulation, using appropriate mitigation measures in line with the proportionality principle…</w:t>
      </w:r>
    </w:p>
    <w:p w:rsidR="00A03DBA" w:rsidRPr="0076400B" w:rsidRDefault="00A03DBA"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Systematic quantitative evidence of the cumulative burden of EU legislation on SMEs and small mid-caps is key to designing appropriate remedies and mitigation measures…</w:t>
      </w:r>
    </w:p>
    <w:p w:rsidR="00A03DBA" w:rsidRPr="0076400B" w:rsidRDefault="00A03DBA"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 xml:space="preserve">OBJECTIVES </w:t>
      </w:r>
    </w:p>
    <w:p w:rsidR="00A03DBA" w:rsidRPr="0076400B" w:rsidRDefault="00A03DBA"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 Simplify the existing EU acquis and filter new proposals. </w:t>
      </w:r>
    </w:p>
    <w:p w:rsidR="00A03DBA" w:rsidRPr="0076400B" w:rsidRDefault="00A03DBA"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 Better enforce Single Market legislation. </w:t>
      </w:r>
    </w:p>
    <w:p w:rsidR="00A03DBA" w:rsidRPr="0076400B" w:rsidRDefault="00A03DBA"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 Apply a proportionate regime for SMEs and small mid-caps in the existing and future legislation. </w:t>
      </w:r>
    </w:p>
    <w:p w:rsidR="00A03DBA" w:rsidRPr="0076400B" w:rsidRDefault="00A03DBA"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 Promote innovation. To achieve these objectives, three overarching principles guide the proposals below: </w:t>
      </w:r>
    </w:p>
    <w:p w:rsidR="00A03DBA" w:rsidRPr="0076400B" w:rsidRDefault="00A03DBA"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 Identify in advance the rationale and objectives of EU law and strike the right balance between the principle of precaution and the principle of innovation For instance, it should be identified when minimum or full harmonisation should be pursued. </w:t>
      </w:r>
    </w:p>
    <w:p w:rsidR="00A03DBA" w:rsidRPr="0076400B" w:rsidRDefault="00A03DBA" w:rsidP="000919B8">
      <w:pPr>
        <w:spacing w:line="240" w:lineRule="auto"/>
        <w:jc w:val="both"/>
        <w:rPr>
          <w:rFonts w:ascii="Times New Roman" w:hAnsi="Times New Roman" w:cs="Times New Roman"/>
          <w:sz w:val="24"/>
          <w:szCs w:val="24"/>
          <w:lang w:val="en-GB"/>
        </w:rPr>
      </w:pPr>
      <w:r w:rsidRPr="0076400B">
        <w:rPr>
          <w:rFonts w:ascii="Times New Roman" w:hAnsi="Times New Roman" w:cs="Times New Roman"/>
          <w:sz w:val="24"/>
          <w:szCs w:val="24"/>
          <w:lang w:val="en-GB"/>
        </w:rPr>
        <w:t xml:space="preserve">• Choose the best legislative instrument (regulation, directive, decision, recommendation, delegated act or implementing act) meeting the identified rationale, while reducing the costs of regulatory compliance, transposition and reporting as far as possible. </w:t>
      </w:r>
    </w:p>
    <w:p w:rsidR="00A03DBA" w:rsidRPr="0076400B" w:rsidRDefault="00A03DBA"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sz w:val="24"/>
          <w:szCs w:val="24"/>
          <w:lang w:val="en-GB"/>
        </w:rPr>
        <w:t xml:space="preserve">• Manage the EU acquis effectively by ensuring the availability of all information needed to pass effective legislation This includes early systematic, and cost-efficient stakeholder consultation on legislation to enhance its quality Withdraw obsolete legislation, identify and </w:t>
      </w:r>
      <w:r w:rsidRPr="0076400B">
        <w:rPr>
          <w:rFonts w:ascii="Times New Roman" w:hAnsi="Times New Roman" w:cs="Times New Roman"/>
          <w:sz w:val="24"/>
          <w:szCs w:val="24"/>
          <w:lang w:val="en-GB"/>
        </w:rPr>
        <w:lastRenderedPageBreak/>
        <w:t xml:space="preserve">address overlaps and contradictions, and focus on improving implementation and enforcement in Member States. </w:t>
      </w:r>
      <w:r w:rsidRPr="0076400B">
        <w:rPr>
          <w:rFonts w:ascii="Times New Roman" w:hAnsi="Times New Roman" w:cs="Times New Roman"/>
          <w:b/>
          <w:sz w:val="24"/>
          <w:szCs w:val="24"/>
          <w:lang w:val="en-GB"/>
        </w:rPr>
        <w:t xml:space="preserve"> </w:t>
      </w:r>
    </w:p>
    <w:p w:rsidR="00A03DBA" w:rsidRPr="0076400B" w:rsidRDefault="00A03DBA"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 xml:space="preserve">PROPOSALS </w:t>
      </w:r>
    </w:p>
    <w:p w:rsidR="00A03DBA" w:rsidRPr="0076400B" w:rsidRDefault="00A03DBA"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1. Streamline the EU acquis under a new Vice-President for Simplification.</w:t>
      </w:r>
    </w:p>
    <w:p w:rsidR="00A03DBA" w:rsidRPr="0076400B" w:rsidRDefault="00A03DBA"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2. Use a single, clear methodology to quantify the cost of new legislation for EU institutions and Member States. This methodology should be adopted by the Commission when making a proposal, by co-legislators when amending legislation, as well as by Member States when transposing it.</w:t>
      </w:r>
    </w:p>
    <w:p w:rsidR="00A03DBA" w:rsidRPr="0076400B" w:rsidRDefault="00A03DBA"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3. Minimise the cost of Member State transposition and enhance enforcement of Single Market legislation.</w:t>
      </w:r>
    </w:p>
    <w:p w:rsidR="00A03DBA" w:rsidRPr="0076400B" w:rsidRDefault="0076400B"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4. Uphold proportionality for SMEs and small mid-caps in EU law, including by extending mitigation measures to small mid-caps.</w:t>
      </w:r>
    </w:p>
    <w:p w:rsidR="0076400B" w:rsidRPr="0076400B" w:rsidRDefault="0076400B" w:rsidP="000919B8">
      <w:pPr>
        <w:spacing w:line="240" w:lineRule="auto"/>
        <w:jc w:val="both"/>
        <w:rPr>
          <w:rFonts w:ascii="Times New Roman" w:hAnsi="Times New Roman" w:cs="Times New Roman"/>
          <w:b/>
          <w:sz w:val="24"/>
          <w:szCs w:val="24"/>
          <w:lang w:val="en-GB"/>
        </w:rPr>
      </w:pPr>
      <w:r w:rsidRPr="0076400B">
        <w:rPr>
          <w:rFonts w:ascii="Times New Roman" w:hAnsi="Times New Roman" w:cs="Times New Roman"/>
          <w:b/>
          <w:sz w:val="24"/>
          <w:szCs w:val="24"/>
          <w:lang w:val="en-GB"/>
        </w:rPr>
        <w:t>5. Review the Commission’s system of Expert Groups.</w:t>
      </w:r>
    </w:p>
    <w:p w:rsidR="00A03DBA" w:rsidRPr="0076400B" w:rsidRDefault="009256CE" w:rsidP="000919B8">
      <w:pPr>
        <w:spacing w:line="24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6. Create “EU innovation hubs”</w:t>
      </w:r>
      <w:r w:rsidR="0076400B" w:rsidRPr="0076400B">
        <w:rPr>
          <w:rFonts w:ascii="Times New Roman" w:hAnsi="Times New Roman" w:cs="Times New Roman"/>
          <w:b/>
          <w:sz w:val="24"/>
          <w:szCs w:val="24"/>
          <w:lang w:val="en-GB"/>
        </w:rPr>
        <w:t xml:space="preserve"> to support Member States’ efforts to define sandboxes and promote their use across countries, by offering centralised information to EU businesses.</w:t>
      </w:r>
    </w:p>
    <w:p w:rsidR="0076400B" w:rsidRPr="0076400B" w:rsidRDefault="0076400B" w:rsidP="000919B8">
      <w:pPr>
        <w:spacing w:line="240" w:lineRule="auto"/>
        <w:jc w:val="both"/>
        <w:rPr>
          <w:b/>
          <w:lang w:val="en-GB"/>
        </w:rPr>
      </w:pPr>
    </w:p>
    <w:p w:rsidR="00ED310D" w:rsidRPr="00ED310D" w:rsidRDefault="00ED310D" w:rsidP="000919B8">
      <w:pPr>
        <w:spacing w:line="240" w:lineRule="auto"/>
        <w:jc w:val="both"/>
        <w:rPr>
          <w:b/>
          <w:lang w:val="en-GB"/>
        </w:rPr>
      </w:pPr>
    </w:p>
    <w:p w:rsidR="00BB13B6" w:rsidRDefault="00BB13B6" w:rsidP="000919B8">
      <w:pPr>
        <w:spacing w:line="240" w:lineRule="auto"/>
        <w:jc w:val="both"/>
        <w:rPr>
          <w:lang w:val="en-GB"/>
        </w:rPr>
      </w:pPr>
    </w:p>
    <w:p w:rsidR="00BB13B6" w:rsidRPr="00BB13B6" w:rsidRDefault="00BB13B6" w:rsidP="000919B8">
      <w:pPr>
        <w:spacing w:line="240" w:lineRule="auto"/>
        <w:jc w:val="both"/>
        <w:rPr>
          <w:lang w:val="en-GB"/>
        </w:rPr>
      </w:pPr>
    </w:p>
    <w:p w:rsidR="00BB13B6" w:rsidRPr="00BB13B6" w:rsidRDefault="00BB13B6" w:rsidP="000919B8">
      <w:pPr>
        <w:spacing w:line="240" w:lineRule="auto"/>
        <w:jc w:val="both"/>
        <w:rPr>
          <w:rFonts w:ascii="Times New Roman" w:hAnsi="Times New Roman" w:cs="Times New Roman"/>
          <w:sz w:val="24"/>
          <w:szCs w:val="24"/>
          <w:lang w:val="en-GB"/>
        </w:rPr>
      </w:pPr>
    </w:p>
    <w:p w:rsidR="00D22328" w:rsidRPr="00D22328" w:rsidRDefault="00D22328" w:rsidP="000919B8">
      <w:pPr>
        <w:spacing w:line="240" w:lineRule="auto"/>
        <w:jc w:val="both"/>
        <w:rPr>
          <w:rFonts w:ascii="Times New Roman" w:hAnsi="Times New Roman" w:cs="Times New Roman"/>
          <w:b/>
          <w:sz w:val="24"/>
          <w:szCs w:val="24"/>
          <w:lang w:val="en-GB"/>
        </w:rPr>
      </w:pPr>
    </w:p>
    <w:p w:rsidR="00D22328" w:rsidRPr="006C196A" w:rsidRDefault="00D22328" w:rsidP="000919B8">
      <w:pPr>
        <w:spacing w:line="240" w:lineRule="auto"/>
        <w:jc w:val="both"/>
        <w:rPr>
          <w:rFonts w:ascii="Times New Roman" w:hAnsi="Times New Roman" w:cs="Times New Roman"/>
          <w:b/>
          <w:sz w:val="24"/>
          <w:szCs w:val="24"/>
          <w:lang w:val="en-GB"/>
        </w:rPr>
      </w:pPr>
    </w:p>
    <w:sectPr w:rsidR="00D22328" w:rsidRPr="006C196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Open Sans">
    <w:panose1 w:val="020B0606030504020204"/>
    <w:charset w:val="00"/>
    <w:family w:val="swiss"/>
    <w:pitch w:val="variable"/>
    <w:sig w:usb0="E00002EF" w:usb1="4000205B" w:usb2="00000028"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2625E"/>
    <w:multiLevelType w:val="multilevel"/>
    <w:tmpl w:val="0082B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0122A6"/>
    <w:multiLevelType w:val="multilevel"/>
    <w:tmpl w:val="DB6A2F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E2146D3"/>
    <w:multiLevelType w:val="multilevel"/>
    <w:tmpl w:val="7EF618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241013D"/>
    <w:multiLevelType w:val="multilevel"/>
    <w:tmpl w:val="7390C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AA73CDD"/>
    <w:multiLevelType w:val="multilevel"/>
    <w:tmpl w:val="315856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3B3D4F58"/>
    <w:multiLevelType w:val="multilevel"/>
    <w:tmpl w:val="64D49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27A6C47"/>
    <w:multiLevelType w:val="hybridMultilevel"/>
    <w:tmpl w:val="84F2A130"/>
    <w:lvl w:ilvl="0" w:tplc="09D0C4AC">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2"/>
  </w:num>
  <w:num w:numId="4">
    <w:abstractNumId w:val="0"/>
  </w:num>
  <w:num w:numId="5">
    <w:abstractNumId w:val="5"/>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4C1A"/>
    <w:rsid w:val="000026DA"/>
    <w:rsid w:val="00004CDE"/>
    <w:rsid w:val="00004D12"/>
    <w:rsid w:val="00005DB1"/>
    <w:rsid w:val="00006A68"/>
    <w:rsid w:val="00014ADF"/>
    <w:rsid w:val="000426D4"/>
    <w:rsid w:val="00042BDD"/>
    <w:rsid w:val="0004713C"/>
    <w:rsid w:val="00054CF7"/>
    <w:rsid w:val="00060685"/>
    <w:rsid w:val="000868B6"/>
    <w:rsid w:val="000914C4"/>
    <w:rsid w:val="000919B8"/>
    <w:rsid w:val="000B74A6"/>
    <w:rsid w:val="000C10B2"/>
    <w:rsid w:val="000C4762"/>
    <w:rsid w:val="000E47DF"/>
    <w:rsid w:val="00103829"/>
    <w:rsid w:val="00106EBC"/>
    <w:rsid w:val="0010783F"/>
    <w:rsid w:val="00111884"/>
    <w:rsid w:val="00112C7C"/>
    <w:rsid w:val="00116243"/>
    <w:rsid w:val="00117D31"/>
    <w:rsid w:val="00147AA4"/>
    <w:rsid w:val="00160047"/>
    <w:rsid w:val="00161BA6"/>
    <w:rsid w:val="00161F8B"/>
    <w:rsid w:val="001709B1"/>
    <w:rsid w:val="0018554B"/>
    <w:rsid w:val="00185EE1"/>
    <w:rsid w:val="00187077"/>
    <w:rsid w:val="0019357F"/>
    <w:rsid w:val="001B2A4D"/>
    <w:rsid w:val="001B40A3"/>
    <w:rsid w:val="001C13E9"/>
    <w:rsid w:val="001C3D2A"/>
    <w:rsid w:val="001D6CC0"/>
    <w:rsid w:val="001E1A1C"/>
    <w:rsid w:val="001E36A5"/>
    <w:rsid w:val="001E75D1"/>
    <w:rsid w:val="001F247E"/>
    <w:rsid w:val="00201CA7"/>
    <w:rsid w:val="002106E9"/>
    <w:rsid w:val="00216ACD"/>
    <w:rsid w:val="002322EF"/>
    <w:rsid w:val="002514B1"/>
    <w:rsid w:val="00273908"/>
    <w:rsid w:val="0028258A"/>
    <w:rsid w:val="0028369F"/>
    <w:rsid w:val="0029474B"/>
    <w:rsid w:val="002B2199"/>
    <w:rsid w:val="002D0151"/>
    <w:rsid w:val="002E09FD"/>
    <w:rsid w:val="002E664D"/>
    <w:rsid w:val="002F51C0"/>
    <w:rsid w:val="00301A6D"/>
    <w:rsid w:val="003269B8"/>
    <w:rsid w:val="00326C93"/>
    <w:rsid w:val="003443FB"/>
    <w:rsid w:val="003565D1"/>
    <w:rsid w:val="003743A6"/>
    <w:rsid w:val="0038171B"/>
    <w:rsid w:val="00390496"/>
    <w:rsid w:val="003A6B69"/>
    <w:rsid w:val="003B3291"/>
    <w:rsid w:val="003B4338"/>
    <w:rsid w:val="003D21EF"/>
    <w:rsid w:val="003D796B"/>
    <w:rsid w:val="003E2B63"/>
    <w:rsid w:val="003E3A1D"/>
    <w:rsid w:val="003F20F2"/>
    <w:rsid w:val="003F4219"/>
    <w:rsid w:val="003F7ADF"/>
    <w:rsid w:val="00402267"/>
    <w:rsid w:val="00416BA9"/>
    <w:rsid w:val="00452AFD"/>
    <w:rsid w:val="00461815"/>
    <w:rsid w:val="0046365D"/>
    <w:rsid w:val="00472116"/>
    <w:rsid w:val="00475D66"/>
    <w:rsid w:val="0047660D"/>
    <w:rsid w:val="004805A8"/>
    <w:rsid w:val="00480B12"/>
    <w:rsid w:val="00482E1B"/>
    <w:rsid w:val="0048331A"/>
    <w:rsid w:val="00487723"/>
    <w:rsid w:val="004A010F"/>
    <w:rsid w:val="004A16A6"/>
    <w:rsid w:val="004A16F8"/>
    <w:rsid w:val="004C5744"/>
    <w:rsid w:val="004C7251"/>
    <w:rsid w:val="004E3B41"/>
    <w:rsid w:val="00505B1F"/>
    <w:rsid w:val="0050717C"/>
    <w:rsid w:val="00510512"/>
    <w:rsid w:val="00536692"/>
    <w:rsid w:val="00537B1F"/>
    <w:rsid w:val="005706C2"/>
    <w:rsid w:val="005746C2"/>
    <w:rsid w:val="00582E6D"/>
    <w:rsid w:val="005837CE"/>
    <w:rsid w:val="00597AB8"/>
    <w:rsid w:val="005B2C18"/>
    <w:rsid w:val="005D76BF"/>
    <w:rsid w:val="005F3266"/>
    <w:rsid w:val="005F3AAA"/>
    <w:rsid w:val="005F71D7"/>
    <w:rsid w:val="006047AE"/>
    <w:rsid w:val="006100FD"/>
    <w:rsid w:val="0062258E"/>
    <w:rsid w:val="0063372F"/>
    <w:rsid w:val="0063398C"/>
    <w:rsid w:val="006348BB"/>
    <w:rsid w:val="006368E2"/>
    <w:rsid w:val="00644820"/>
    <w:rsid w:val="00650F3F"/>
    <w:rsid w:val="006549C5"/>
    <w:rsid w:val="006573BE"/>
    <w:rsid w:val="00675804"/>
    <w:rsid w:val="006832F6"/>
    <w:rsid w:val="006C089A"/>
    <w:rsid w:val="006C0ACF"/>
    <w:rsid w:val="006C196A"/>
    <w:rsid w:val="006D0844"/>
    <w:rsid w:val="006F2D46"/>
    <w:rsid w:val="007005EE"/>
    <w:rsid w:val="0071554F"/>
    <w:rsid w:val="0072405B"/>
    <w:rsid w:val="00724B1D"/>
    <w:rsid w:val="00734564"/>
    <w:rsid w:val="00735509"/>
    <w:rsid w:val="0076400B"/>
    <w:rsid w:val="00767199"/>
    <w:rsid w:val="007734C0"/>
    <w:rsid w:val="007832BF"/>
    <w:rsid w:val="007943E5"/>
    <w:rsid w:val="0079599F"/>
    <w:rsid w:val="007A42CF"/>
    <w:rsid w:val="007B6052"/>
    <w:rsid w:val="007B7A52"/>
    <w:rsid w:val="007C1429"/>
    <w:rsid w:val="007D0EF0"/>
    <w:rsid w:val="007D6960"/>
    <w:rsid w:val="007E19DD"/>
    <w:rsid w:val="007E31C6"/>
    <w:rsid w:val="007E7D36"/>
    <w:rsid w:val="007F6E5D"/>
    <w:rsid w:val="0083233C"/>
    <w:rsid w:val="008404D4"/>
    <w:rsid w:val="008406D3"/>
    <w:rsid w:val="00841912"/>
    <w:rsid w:val="00860008"/>
    <w:rsid w:val="0086294C"/>
    <w:rsid w:val="00863FD8"/>
    <w:rsid w:val="00864F0C"/>
    <w:rsid w:val="00865E16"/>
    <w:rsid w:val="00871D1F"/>
    <w:rsid w:val="00883C7C"/>
    <w:rsid w:val="008865A5"/>
    <w:rsid w:val="00887923"/>
    <w:rsid w:val="008A2F62"/>
    <w:rsid w:val="008A3CDB"/>
    <w:rsid w:val="008B441D"/>
    <w:rsid w:val="008B74F7"/>
    <w:rsid w:val="008C0961"/>
    <w:rsid w:val="008D11E1"/>
    <w:rsid w:val="008D606E"/>
    <w:rsid w:val="00900C8D"/>
    <w:rsid w:val="00914171"/>
    <w:rsid w:val="00924B79"/>
    <w:rsid w:val="009256CE"/>
    <w:rsid w:val="00925B37"/>
    <w:rsid w:val="009360CF"/>
    <w:rsid w:val="00953566"/>
    <w:rsid w:val="00961D50"/>
    <w:rsid w:val="00963EFB"/>
    <w:rsid w:val="0096420E"/>
    <w:rsid w:val="00964C1A"/>
    <w:rsid w:val="00967033"/>
    <w:rsid w:val="00970BFB"/>
    <w:rsid w:val="00992EA8"/>
    <w:rsid w:val="00994E0E"/>
    <w:rsid w:val="009A00AD"/>
    <w:rsid w:val="009A49C0"/>
    <w:rsid w:val="009B6E23"/>
    <w:rsid w:val="009C6679"/>
    <w:rsid w:val="00A01FC2"/>
    <w:rsid w:val="00A021C8"/>
    <w:rsid w:val="00A03936"/>
    <w:rsid w:val="00A03DBA"/>
    <w:rsid w:val="00A066F2"/>
    <w:rsid w:val="00A20E67"/>
    <w:rsid w:val="00A333DF"/>
    <w:rsid w:val="00A55D09"/>
    <w:rsid w:val="00A57647"/>
    <w:rsid w:val="00A72C2A"/>
    <w:rsid w:val="00A7372B"/>
    <w:rsid w:val="00A856D8"/>
    <w:rsid w:val="00A946CD"/>
    <w:rsid w:val="00A97FDC"/>
    <w:rsid w:val="00AA57F4"/>
    <w:rsid w:val="00AA65E4"/>
    <w:rsid w:val="00AD4CB4"/>
    <w:rsid w:val="00AD50F6"/>
    <w:rsid w:val="00AE26F6"/>
    <w:rsid w:val="00AE6CFC"/>
    <w:rsid w:val="00AF63CE"/>
    <w:rsid w:val="00AF76C6"/>
    <w:rsid w:val="00B30999"/>
    <w:rsid w:val="00B3262A"/>
    <w:rsid w:val="00B409C1"/>
    <w:rsid w:val="00B606A1"/>
    <w:rsid w:val="00B616E7"/>
    <w:rsid w:val="00B61D0D"/>
    <w:rsid w:val="00B624B3"/>
    <w:rsid w:val="00B65AE7"/>
    <w:rsid w:val="00B7262A"/>
    <w:rsid w:val="00B76155"/>
    <w:rsid w:val="00B77B35"/>
    <w:rsid w:val="00B84DCE"/>
    <w:rsid w:val="00BB13B6"/>
    <w:rsid w:val="00BB4B85"/>
    <w:rsid w:val="00BC4F3B"/>
    <w:rsid w:val="00BD4DE8"/>
    <w:rsid w:val="00BD7D1C"/>
    <w:rsid w:val="00BE0B48"/>
    <w:rsid w:val="00BF40BB"/>
    <w:rsid w:val="00BF6191"/>
    <w:rsid w:val="00C20247"/>
    <w:rsid w:val="00C4010A"/>
    <w:rsid w:val="00C51F01"/>
    <w:rsid w:val="00C73C84"/>
    <w:rsid w:val="00C74822"/>
    <w:rsid w:val="00C836FF"/>
    <w:rsid w:val="00C94683"/>
    <w:rsid w:val="00C956E3"/>
    <w:rsid w:val="00CA5846"/>
    <w:rsid w:val="00CB2F54"/>
    <w:rsid w:val="00CB7691"/>
    <w:rsid w:val="00CF5989"/>
    <w:rsid w:val="00D0629F"/>
    <w:rsid w:val="00D22328"/>
    <w:rsid w:val="00D363B3"/>
    <w:rsid w:val="00D647E8"/>
    <w:rsid w:val="00D703A4"/>
    <w:rsid w:val="00D714F4"/>
    <w:rsid w:val="00D83D7B"/>
    <w:rsid w:val="00D85D60"/>
    <w:rsid w:val="00DA731D"/>
    <w:rsid w:val="00DA78DC"/>
    <w:rsid w:val="00DE3862"/>
    <w:rsid w:val="00DF362F"/>
    <w:rsid w:val="00DF4323"/>
    <w:rsid w:val="00E01225"/>
    <w:rsid w:val="00E01BC0"/>
    <w:rsid w:val="00E10456"/>
    <w:rsid w:val="00E130DC"/>
    <w:rsid w:val="00E22D8F"/>
    <w:rsid w:val="00E4562C"/>
    <w:rsid w:val="00E50DF5"/>
    <w:rsid w:val="00E65EBB"/>
    <w:rsid w:val="00E94182"/>
    <w:rsid w:val="00E94A22"/>
    <w:rsid w:val="00E96D9D"/>
    <w:rsid w:val="00EA2DD2"/>
    <w:rsid w:val="00EB7886"/>
    <w:rsid w:val="00ED310D"/>
    <w:rsid w:val="00EE4797"/>
    <w:rsid w:val="00F00F0E"/>
    <w:rsid w:val="00F03D23"/>
    <w:rsid w:val="00F0687B"/>
    <w:rsid w:val="00F07AA4"/>
    <w:rsid w:val="00F21A46"/>
    <w:rsid w:val="00F6466C"/>
    <w:rsid w:val="00F67787"/>
    <w:rsid w:val="00F744D5"/>
    <w:rsid w:val="00FA367A"/>
    <w:rsid w:val="00FB2019"/>
    <w:rsid w:val="00FB6456"/>
    <w:rsid w:val="00FE4D5D"/>
    <w:rsid w:val="00FE7EF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2">
    <w:name w:val="heading 2"/>
    <w:basedOn w:val="Normal"/>
    <w:link w:val="Ttulo2Car"/>
    <w:uiPriority w:val="9"/>
    <w:qFormat/>
    <w:rsid w:val="007F6E5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63398C"/>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8865A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865A5"/>
    <w:rPr>
      <w:rFonts w:ascii="Tahoma" w:hAnsi="Tahoma" w:cs="Tahoma"/>
      <w:sz w:val="16"/>
      <w:szCs w:val="16"/>
    </w:rPr>
  </w:style>
  <w:style w:type="paragraph" w:styleId="NormalWeb">
    <w:name w:val="Normal (Web)"/>
    <w:basedOn w:val="Normal"/>
    <w:uiPriority w:val="99"/>
    <w:unhideWhenUsed/>
    <w:rsid w:val="008865A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7F6E5D"/>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1F247E"/>
    <w:rPr>
      <w:b/>
      <w:bCs/>
    </w:rPr>
  </w:style>
  <w:style w:type="character" w:customStyle="1" w:styleId="Ttulo3Car">
    <w:name w:val="Título 3 Car"/>
    <w:basedOn w:val="Fuentedeprrafopredeter"/>
    <w:link w:val="Ttulo3"/>
    <w:uiPriority w:val="9"/>
    <w:rsid w:val="0063398C"/>
    <w:rPr>
      <w:rFonts w:asciiTheme="majorHAnsi" w:eastAsiaTheme="majorEastAsia" w:hAnsiTheme="majorHAnsi" w:cstheme="majorBidi"/>
      <w:b/>
      <w:bCs/>
      <w:color w:val="4F81BD" w:themeColor="accent1"/>
    </w:rPr>
  </w:style>
  <w:style w:type="character" w:styleId="Hipervnculo">
    <w:name w:val="Hyperlink"/>
    <w:basedOn w:val="Fuentedeprrafopredeter"/>
    <w:uiPriority w:val="99"/>
    <w:unhideWhenUsed/>
    <w:rsid w:val="0063398C"/>
    <w:rPr>
      <w:color w:val="0000FF" w:themeColor="hyperlink"/>
      <w:u w:val="single"/>
    </w:rPr>
  </w:style>
  <w:style w:type="character" w:styleId="nfasis">
    <w:name w:val="Emphasis"/>
    <w:basedOn w:val="Fuentedeprrafopredeter"/>
    <w:uiPriority w:val="20"/>
    <w:qFormat/>
    <w:rsid w:val="0063398C"/>
    <w:rPr>
      <w:i/>
      <w:iCs/>
    </w:rPr>
  </w:style>
  <w:style w:type="paragraph" w:customStyle="1" w:styleId="executivesummaryheadingcoverpageprelims">
    <w:name w:val="executivesummaryheadingcoverpageprelims"/>
    <w:basedOn w:val="Normal"/>
    <w:rsid w:val="006339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highlightsbodycoverpageprelims">
    <w:name w:val="highlightsbodycoverpageprelims"/>
    <w:basedOn w:val="Normal"/>
    <w:rsid w:val="006339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odyfulloutbody">
    <w:name w:val="bodyfulloutbody"/>
    <w:basedOn w:val="Normal"/>
    <w:rsid w:val="006339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odybody">
    <w:name w:val="bodybody"/>
    <w:basedOn w:val="Normal"/>
    <w:rsid w:val="006339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ullet1levelfirstlists">
    <w:name w:val="bullet1levelfirstlists"/>
    <w:basedOn w:val="Normal"/>
    <w:rsid w:val="006339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ullet1levelcontinuedlists">
    <w:name w:val="bullet1levelcontinuedlists"/>
    <w:basedOn w:val="Normal"/>
    <w:rsid w:val="006339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ullet1levellastlists">
    <w:name w:val="bullet1levellastlists"/>
    <w:basedOn w:val="Normal"/>
    <w:rsid w:val="006339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referencesbody">
    <w:name w:val="referencesbody"/>
    <w:basedOn w:val="Normal"/>
    <w:rsid w:val="006339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63398C"/>
    <w:pPr>
      <w:ind w:left="720"/>
      <w:contextualSpacing/>
    </w:pPr>
  </w:style>
  <w:style w:type="paragraph" w:customStyle="1" w:styleId="author-names">
    <w:name w:val="author-names"/>
    <w:basedOn w:val="Normal"/>
    <w:rsid w:val="00D85D6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names-item">
    <w:name w:val="author-names-item"/>
    <w:basedOn w:val="Fuentedeprrafopredeter"/>
    <w:rsid w:val="00D85D6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2">
    <w:name w:val="heading 2"/>
    <w:basedOn w:val="Normal"/>
    <w:link w:val="Ttulo2Car"/>
    <w:uiPriority w:val="9"/>
    <w:qFormat/>
    <w:rsid w:val="007F6E5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unhideWhenUsed/>
    <w:qFormat/>
    <w:rsid w:val="0063398C"/>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8865A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865A5"/>
    <w:rPr>
      <w:rFonts w:ascii="Tahoma" w:hAnsi="Tahoma" w:cs="Tahoma"/>
      <w:sz w:val="16"/>
      <w:szCs w:val="16"/>
    </w:rPr>
  </w:style>
  <w:style w:type="paragraph" w:styleId="NormalWeb">
    <w:name w:val="Normal (Web)"/>
    <w:basedOn w:val="Normal"/>
    <w:uiPriority w:val="99"/>
    <w:unhideWhenUsed/>
    <w:rsid w:val="008865A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7F6E5D"/>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1F247E"/>
    <w:rPr>
      <w:b/>
      <w:bCs/>
    </w:rPr>
  </w:style>
  <w:style w:type="character" w:customStyle="1" w:styleId="Ttulo3Car">
    <w:name w:val="Título 3 Car"/>
    <w:basedOn w:val="Fuentedeprrafopredeter"/>
    <w:link w:val="Ttulo3"/>
    <w:uiPriority w:val="9"/>
    <w:rsid w:val="0063398C"/>
    <w:rPr>
      <w:rFonts w:asciiTheme="majorHAnsi" w:eastAsiaTheme="majorEastAsia" w:hAnsiTheme="majorHAnsi" w:cstheme="majorBidi"/>
      <w:b/>
      <w:bCs/>
      <w:color w:val="4F81BD" w:themeColor="accent1"/>
    </w:rPr>
  </w:style>
  <w:style w:type="character" w:styleId="Hipervnculo">
    <w:name w:val="Hyperlink"/>
    <w:basedOn w:val="Fuentedeprrafopredeter"/>
    <w:uiPriority w:val="99"/>
    <w:unhideWhenUsed/>
    <w:rsid w:val="0063398C"/>
    <w:rPr>
      <w:color w:val="0000FF" w:themeColor="hyperlink"/>
      <w:u w:val="single"/>
    </w:rPr>
  </w:style>
  <w:style w:type="character" w:styleId="nfasis">
    <w:name w:val="Emphasis"/>
    <w:basedOn w:val="Fuentedeprrafopredeter"/>
    <w:uiPriority w:val="20"/>
    <w:qFormat/>
    <w:rsid w:val="0063398C"/>
    <w:rPr>
      <w:i/>
      <w:iCs/>
    </w:rPr>
  </w:style>
  <w:style w:type="paragraph" w:customStyle="1" w:styleId="executivesummaryheadingcoverpageprelims">
    <w:name w:val="executivesummaryheadingcoverpageprelims"/>
    <w:basedOn w:val="Normal"/>
    <w:rsid w:val="006339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highlightsbodycoverpageprelims">
    <w:name w:val="highlightsbodycoverpageprelims"/>
    <w:basedOn w:val="Normal"/>
    <w:rsid w:val="006339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odyfulloutbody">
    <w:name w:val="bodyfulloutbody"/>
    <w:basedOn w:val="Normal"/>
    <w:rsid w:val="006339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odybody">
    <w:name w:val="bodybody"/>
    <w:basedOn w:val="Normal"/>
    <w:rsid w:val="006339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ullet1levelfirstlists">
    <w:name w:val="bullet1levelfirstlists"/>
    <w:basedOn w:val="Normal"/>
    <w:rsid w:val="006339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ullet1levelcontinuedlists">
    <w:name w:val="bullet1levelcontinuedlists"/>
    <w:basedOn w:val="Normal"/>
    <w:rsid w:val="006339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ullet1levellastlists">
    <w:name w:val="bullet1levellastlists"/>
    <w:basedOn w:val="Normal"/>
    <w:rsid w:val="006339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referencesbody">
    <w:name w:val="referencesbody"/>
    <w:basedOn w:val="Normal"/>
    <w:rsid w:val="0063398C"/>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Prrafodelista">
    <w:name w:val="List Paragraph"/>
    <w:basedOn w:val="Normal"/>
    <w:uiPriority w:val="34"/>
    <w:qFormat/>
    <w:rsid w:val="0063398C"/>
    <w:pPr>
      <w:ind w:left="720"/>
      <w:contextualSpacing/>
    </w:pPr>
  </w:style>
  <w:style w:type="paragraph" w:customStyle="1" w:styleId="author-names">
    <w:name w:val="author-names"/>
    <w:basedOn w:val="Normal"/>
    <w:rsid w:val="00D85D6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names-item">
    <w:name w:val="author-names-item"/>
    <w:basedOn w:val="Fuentedeprrafopredeter"/>
    <w:rsid w:val="00D85D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9.png"/><Relationship Id="rId21" Type="http://schemas.openxmlformats.org/officeDocument/2006/relationships/image" Target="media/image7.png"/><Relationship Id="rId42" Type="http://schemas.openxmlformats.org/officeDocument/2006/relationships/image" Target="media/image14.png"/><Relationship Id="rId63" Type="http://schemas.openxmlformats.org/officeDocument/2006/relationships/image" Target="media/image35.png"/><Relationship Id="rId84" Type="http://schemas.openxmlformats.org/officeDocument/2006/relationships/image" Target="media/image56.png"/><Relationship Id="rId138" Type="http://schemas.openxmlformats.org/officeDocument/2006/relationships/image" Target="media/image110.png"/><Relationship Id="rId107" Type="http://schemas.openxmlformats.org/officeDocument/2006/relationships/image" Target="media/image79.png"/><Relationship Id="rId11" Type="http://schemas.openxmlformats.org/officeDocument/2006/relationships/hyperlink" Target="https://ec.europa.eu/info/index_es" TargetMode="External"/><Relationship Id="rId32" Type="http://schemas.openxmlformats.org/officeDocument/2006/relationships/hyperlink" Target="https://www.estrategiasdeinversion.com/cotizaciones/indices/nasdaq-omx/tesla" TargetMode="External"/><Relationship Id="rId53" Type="http://schemas.openxmlformats.org/officeDocument/2006/relationships/image" Target="media/image25.png"/><Relationship Id="rId74" Type="http://schemas.openxmlformats.org/officeDocument/2006/relationships/image" Target="media/image46.png"/><Relationship Id="rId128" Type="http://schemas.openxmlformats.org/officeDocument/2006/relationships/image" Target="media/image100.png"/><Relationship Id="rId149" Type="http://schemas.openxmlformats.org/officeDocument/2006/relationships/image" Target="media/image121.png"/><Relationship Id="rId5" Type="http://schemas.openxmlformats.org/officeDocument/2006/relationships/settings" Target="settings.xml"/><Relationship Id="rId95" Type="http://schemas.openxmlformats.org/officeDocument/2006/relationships/image" Target="media/image67.png"/><Relationship Id="rId22" Type="http://schemas.openxmlformats.org/officeDocument/2006/relationships/image" Target="media/image8.png"/><Relationship Id="rId27" Type="http://schemas.openxmlformats.org/officeDocument/2006/relationships/hyperlink" Target="https://www.vozpopuli.com/redaccion/estrategiasdeinversioncom" TargetMode="External"/><Relationship Id="rId43" Type="http://schemas.openxmlformats.org/officeDocument/2006/relationships/image" Target="media/image15.png"/><Relationship Id="rId48" Type="http://schemas.openxmlformats.org/officeDocument/2006/relationships/image" Target="media/image20.png"/><Relationship Id="rId64" Type="http://schemas.openxmlformats.org/officeDocument/2006/relationships/image" Target="media/image36.png"/><Relationship Id="rId69" Type="http://schemas.openxmlformats.org/officeDocument/2006/relationships/image" Target="media/image41.png"/><Relationship Id="rId113" Type="http://schemas.openxmlformats.org/officeDocument/2006/relationships/image" Target="media/image85.png"/><Relationship Id="rId118" Type="http://schemas.openxmlformats.org/officeDocument/2006/relationships/image" Target="media/image90.png"/><Relationship Id="rId134" Type="http://schemas.openxmlformats.org/officeDocument/2006/relationships/image" Target="media/image106.png"/><Relationship Id="rId139" Type="http://schemas.openxmlformats.org/officeDocument/2006/relationships/image" Target="media/image111.png"/><Relationship Id="rId80" Type="http://schemas.openxmlformats.org/officeDocument/2006/relationships/image" Target="media/image52.png"/><Relationship Id="rId85" Type="http://schemas.openxmlformats.org/officeDocument/2006/relationships/image" Target="media/image57.png"/><Relationship Id="rId150" Type="http://schemas.openxmlformats.org/officeDocument/2006/relationships/image" Target="media/image122.png"/><Relationship Id="rId12" Type="http://schemas.openxmlformats.org/officeDocument/2006/relationships/hyperlink" Target="https://agriculture.ec.europa.eu/common-agricultural-policy/cap-overview/main-initiatives-strategic-dialogue-future-eu-agriculture_es" TargetMode="External"/><Relationship Id="rId17" Type="http://schemas.openxmlformats.org/officeDocument/2006/relationships/hyperlink" Target="https://eur-lex.europa.eu/legal-content/EN/ALL/?uri=comnat:COM_2024_0450_FIN" TargetMode="External"/><Relationship Id="rId33" Type="http://schemas.openxmlformats.org/officeDocument/2006/relationships/hyperlink" Target="https://www.estrategiasdeinversion.com/cotizaciones/indices/volkswagen-i" TargetMode="External"/><Relationship Id="rId38" Type="http://schemas.openxmlformats.org/officeDocument/2006/relationships/image" Target="media/image13.png"/><Relationship Id="rId59" Type="http://schemas.openxmlformats.org/officeDocument/2006/relationships/image" Target="media/image31.png"/><Relationship Id="rId103" Type="http://schemas.openxmlformats.org/officeDocument/2006/relationships/image" Target="media/image75.png"/><Relationship Id="rId108" Type="http://schemas.openxmlformats.org/officeDocument/2006/relationships/image" Target="media/image80.png"/><Relationship Id="rId124" Type="http://schemas.openxmlformats.org/officeDocument/2006/relationships/image" Target="media/image96.png"/><Relationship Id="rId129" Type="http://schemas.openxmlformats.org/officeDocument/2006/relationships/image" Target="media/image101.png"/><Relationship Id="rId54" Type="http://schemas.openxmlformats.org/officeDocument/2006/relationships/image" Target="media/image26.png"/><Relationship Id="rId70" Type="http://schemas.openxmlformats.org/officeDocument/2006/relationships/image" Target="media/image42.png"/><Relationship Id="rId75" Type="http://schemas.openxmlformats.org/officeDocument/2006/relationships/image" Target="media/image47.png"/><Relationship Id="rId91" Type="http://schemas.openxmlformats.org/officeDocument/2006/relationships/image" Target="media/image63.png"/><Relationship Id="rId96" Type="http://schemas.openxmlformats.org/officeDocument/2006/relationships/image" Target="media/image68.png"/><Relationship Id="rId140" Type="http://schemas.openxmlformats.org/officeDocument/2006/relationships/image" Target="media/image112.png"/><Relationship Id="rId145" Type="http://schemas.openxmlformats.org/officeDocument/2006/relationships/image" Target="media/image117.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s://www.vozpopuli.com/redaccion/estrategiasdeinversioncom" TargetMode="External"/><Relationship Id="rId28" Type="http://schemas.openxmlformats.org/officeDocument/2006/relationships/image" Target="media/image10.png"/><Relationship Id="rId49" Type="http://schemas.openxmlformats.org/officeDocument/2006/relationships/image" Target="media/image21.png"/><Relationship Id="rId114" Type="http://schemas.openxmlformats.org/officeDocument/2006/relationships/image" Target="media/image86.png"/><Relationship Id="rId119" Type="http://schemas.openxmlformats.org/officeDocument/2006/relationships/image" Target="media/image91.png"/><Relationship Id="rId44" Type="http://schemas.openxmlformats.org/officeDocument/2006/relationships/image" Target="media/image16.png"/><Relationship Id="rId60" Type="http://schemas.openxmlformats.org/officeDocument/2006/relationships/image" Target="media/image32.png"/><Relationship Id="rId65" Type="http://schemas.openxmlformats.org/officeDocument/2006/relationships/image" Target="media/image37.png"/><Relationship Id="rId81" Type="http://schemas.openxmlformats.org/officeDocument/2006/relationships/image" Target="media/image53.png"/><Relationship Id="rId86" Type="http://schemas.openxmlformats.org/officeDocument/2006/relationships/image" Target="media/image58.png"/><Relationship Id="rId130" Type="http://schemas.openxmlformats.org/officeDocument/2006/relationships/image" Target="media/image102.png"/><Relationship Id="rId135" Type="http://schemas.openxmlformats.org/officeDocument/2006/relationships/image" Target="media/image107.png"/><Relationship Id="rId151" Type="http://schemas.openxmlformats.org/officeDocument/2006/relationships/image" Target="media/image123.png"/><Relationship Id="rId13" Type="http://schemas.openxmlformats.org/officeDocument/2006/relationships/hyperlink" Target="https://ec.europa.eu/commission/presscorner/detail/es/ip_24_417" TargetMode="External"/><Relationship Id="rId18" Type="http://schemas.openxmlformats.org/officeDocument/2006/relationships/image" Target="media/image4.jpeg"/><Relationship Id="rId39" Type="http://schemas.openxmlformats.org/officeDocument/2006/relationships/hyperlink" Target="https://www.estrategiasdeinversion.com/cotizaciones/indices/euronext-paris/stellantis-br" TargetMode="External"/><Relationship Id="rId109" Type="http://schemas.openxmlformats.org/officeDocument/2006/relationships/image" Target="media/image81.png"/><Relationship Id="rId34" Type="http://schemas.openxmlformats.org/officeDocument/2006/relationships/hyperlink" Target="https://www.estrategiasdeinversion.com/cotizaciones/indices/euronext-paris/stellantis-br" TargetMode="External"/><Relationship Id="rId50" Type="http://schemas.openxmlformats.org/officeDocument/2006/relationships/image" Target="media/image22.png"/><Relationship Id="rId55" Type="http://schemas.openxmlformats.org/officeDocument/2006/relationships/image" Target="media/image27.png"/><Relationship Id="rId76" Type="http://schemas.openxmlformats.org/officeDocument/2006/relationships/image" Target="media/image48.png"/><Relationship Id="rId97" Type="http://schemas.openxmlformats.org/officeDocument/2006/relationships/image" Target="media/image69.png"/><Relationship Id="rId104" Type="http://schemas.openxmlformats.org/officeDocument/2006/relationships/image" Target="media/image76.png"/><Relationship Id="rId120" Type="http://schemas.openxmlformats.org/officeDocument/2006/relationships/image" Target="media/image92.png"/><Relationship Id="rId125" Type="http://schemas.openxmlformats.org/officeDocument/2006/relationships/image" Target="media/image97.png"/><Relationship Id="rId141" Type="http://schemas.openxmlformats.org/officeDocument/2006/relationships/image" Target="media/image113.png"/><Relationship Id="rId146" Type="http://schemas.openxmlformats.org/officeDocument/2006/relationships/image" Target="media/image118.png"/><Relationship Id="rId7" Type="http://schemas.openxmlformats.org/officeDocument/2006/relationships/image" Target="media/image1.jpeg"/><Relationship Id="rId71" Type="http://schemas.openxmlformats.org/officeDocument/2006/relationships/image" Target="media/image43.png"/><Relationship Id="rId92"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9.png"/><Relationship Id="rId40" Type="http://schemas.openxmlformats.org/officeDocument/2006/relationships/hyperlink" Target="https://www.estrategiasdeinversion.com/cotizaciones/indices/euronext-paris/renault" TargetMode="External"/><Relationship Id="rId45" Type="http://schemas.openxmlformats.org/officeDocument/2006/relationships/image" Target="media/image17.png"/><Relationship Id="rId66" Type="http://schemas.openxmlformats.org/officeDocument/2006/relationships/image" Target="media/image38.png"/><Relationship Id="rId87" Type="http://schemas.openxmlformats.org/officeDocument/2006/relationships/image" Target="media/image59.png"/><Relationship Id="rId110" Type="http://schemas.openxmlformats.org/officeDocument/2006/relationships/image" Target="media/image82.png"/><Relationship Id="rId115" Type="http://schemas.openxmlformats.org/officeDocument/2006/relationships/image" Target="media/image87.png"/><Relationship Id="rId131" Type="http://schemas.openxmlformats.org/officeDocument/2006/relationships/image" Target="media/image103.png"/><Relationship Id="rId136" Type="http://schemas.openxmlformats.org/officeDocument/2006/relationships/image" Target="media/image108.png"/><Relationship Id="rId61" Type="http://schemas.openxmlformats.org/officeDocument/2006/relationships/image" Target="media/image33.png"/><Relationship Id="rId82" Type="http://schemas.openxmlformats.org/officeDocument/2006/relationships/image" Target="media/image54.png"/><Relationship Id="rId152" Type="http://schemas.openxmlformats.org/officeDocument/2006/relationships/fontTable" Target="fontTable.xml"/><Relationship Id="rId19" Type="http://schemas.openxmlformats.org/officeDocument/2006/relationships/image" Target="media/image5.jpeg"/><Relationship Id="rId14" Type="http://schemas.openxmlformats.org/officeDocument/2006/relationships/hyperlink" Target="https://www.mapa.gob.es/es/pac/pac-2023-2027/" TargetMode="External"/><Relationship Id="rId30" Type="http://schemas.openxmlformats.org/officeDocument/2006/relationships/hyperlink" Target="https://www.estrategiasdeinversion.com/cotizaciones/indices/nasdaq-omx/tesla" TargetMode="External"/><Relationship Id="rId35" Type="http://schemas.openxmlformats.org/officeDocument/2006/relationships/hyperlink" Target="https://www.estrategiasdeinversion.com/cotizaciones/indices/euronext-paris/renault" TargetMode="External"/><Relationship Id="rId56" Type="http://schemas.openxmlformats.org/officeDocument/2006/relationships/image" Target="media/image28.png"/><Relationship Id="rId77" Type="http://schemas.openxmlformats.org/officeDocument/2006/relationships/image" Target="media/image49.png"/><Relationship Id="rId100" Type="http://schemas.openxmlformats.org/officeDocument/2006/relationships/image" Target="media/image72.png"/><Relationship Id="rId105" Type="http://schemas.openxmlformats.org/officeDocument/2006/relationships/image" Target="media/image77.png"/><Relationship Id="rId126" Type="http://schemas.openxmlformats.org/officeDocument/2006/relationships/image" Target="media/image98.png"/><Relationship Id="rId147" Type="http://schemas.openxmlformats.org/officeDocument/2006/relationships/image" Target="media/image119.png"/><Relationship Id="rId8" Type="http://schemas.openxmlformats.org/officeDocument/2006/relationships/hyperlink" Target="https://www.elconfidencial.com/mundo/2024-07-18/von-der-leyen-es-reelegida-presidenta-de-la-comision-europea_3927143/" TargetMode="External"/><Relationship Id="rId51" Type="http://schemas.openxmlformats.org/officeDocument/2006/relationships/image" Target="media/image23.png"/><Relationship Id="rId72" Type="http://schemas.openxmlformats.org/officeDocument/2006/relationships/image" Target="media/image44.png"/><Relationship Id="rId93" Type="http://schemas.openxmlformats.org/officeDocument/2006/relationships/image" Target="media/image65.png"/><Relationship Id="rId98" Type="http://schemas.openxmlformats.org/officeDocument/2006/relationships/image" Target="media/image70.png"/><Relationship Id="rId121" Type="http://schemas.openxmlformats.org/officeDocument/2006/relationships/image" Target="media/image93.png"/><Relationship Id="rId142" Type="http://schemas.openxmlformats.org/officeDocument/2006/relationships/image" Target="media/image114.png"/><Relationship Id="rId3" Type="http://schemas.openxmlformats.org/officeDocument/2006/relationships/styles" Target="styles.xml"/><Relationship Id="rId25" Type="http://schemas.openxmlformats.org/officeDocument/2006/relationships/hyperlink" Target="https://www.boe.es/diario_boe/txt.php?id=BOE-A-2021-8447" TargetMode="External"/><Relationship Id="rId46" Type="http://schemas.openxmlformats.org/officeDocument/2006/relationships/image" Target="media/image18.png"/><Relationship Id="rId67" Type="http://schemas.openxmlformats.org/officeDocument/2006/relationships/image" Target="media/image39.png"/><Relationship Id="rId116" Type="http://schemas.openxmlformats.org/officeDocument/2006/relationships/image" Target="media/image88.png"/><Relationship Id="rId137" Type="http://schemas.openxmlformats.org/officeDocument/2006/relationships/image" Target="media/image109.png"/><Relationship Id="rId20" Type="http://schemas.openxmlformats.org/officeDocument/2006/relationships/image" Target="media/image6.jpeg"/><Relationship Id="rId41" Type="http://schemas.openxmlformats.org/officeDocument/2006/relationships/hyperlink" Target="https://www.estrategiasdeinversion.com/cotizaciones/indices/volkswagen-i" TargetMode="External"/><Relationship Id="rId62" Type="http://schemas.openxmlformats.org/officeDocument/2006/relationships/image" Target="media/image34.png"/><Relationship Id="rId83" Type="http://schemas.openxmlformats.org/officeDocument/2006/relationships/image" Target="media/image55.png"/><Relationship Id="rId88" Type="http://schemas.openxmlformats.org/officeDocument/2006/relationships/image" Target="media/image60.png"/><Relationship Id="rId111" Type="http://schemas.openxmlformats.org/officeDocument/2006/relationships/image" Target="media/image83.png"/><Relationship Id="rId132" Type="http://schemas.openxmlformats.org/officeDocument/2006/relationships/image" Target="media/image104.png"/><Relationship Id="rId153" Type="http://schemas.openxmlformats.org/officeDocument/2006/relationships/theme" Target="theme/theme1.xml"/><Relationship Id="rId15" Type="http://schemas.openxmlformats.org/officeDocument/2006/relationships/hyperlink" Target="https://www.redpac.es/enfoque-leader/red-pac" TargetMode="External"/><Relationship Id="rId36" Type="http://schemas.openxmlformats.org/officeDocument/2006/relationships/hyperlink" Target="https://www.estrategiasdeinversion.com/cotizaciones/indices/otros-mercados/volvo" TargetMode="External"/><Relationship Id="rId57" Type="http://schemas.openxmlformats.org/officeDocument/2006/relationships/image" Target="media/image29.png"/><Relationship Id="rId106" Type="http://schemas.openxmlformats.org/officeDocument/2006/relationships/image" Target="media/image78.png"/><Relationship Id="rId127" Type="http://schemas.openxmlformats.org/officeDocument/2006/relationships/image" Target="media/image99.png"/><Relationship Id="rId10" Type="http://schemas.openxmlformats.org/officeDocument/2006/relationships/image" Target="media/image3.jpeg"/><Relationship Id="rId31" Type="http://schemas.openxmlformats.org/officeDocument/2006/relationships/image" Target="media/image12.png"/><Relationship Id="rId52" Type="http://schemas.openxmlformats.org/officeDocument/2006/relationships/image" Target="media/image24.png"/><Relationship Id="rId73" Type="http://schemas.openxmlformats.org/officeDocument/2006/relationships/image" Target="media/image45.png"/><Relationship Id="rId78" Type="http://schemas.openxmlformats.org/officeDocument/2006/relationships/image" Target="media/image50.png"/><Relationship Id="rId94" Type="http://schemas.openxmlformats.org/officeDocument/2006/relationships/image" Target="media/image66.png"/><Relationship Id="rId99" Type="http://schemas.openxmlformats.org/officeDocument/2006/relationships/image" Target="media/image71.png"/><Relationship Id="rId101" Type="http://schemas.openxmlformats.org/officeDocument/2006/relationships/image" Target="media/image73.png"/><Relationship Id="rId122" Type="http://schemas.openxmlformats.org/officeDocument/2006/relationships/image" Target="media/image94.png"/><Relationship Id="rId143" Type="http://schemas.openxmlformats.org/officeDocument/2006/relationships/image" Target="media/image115.png"/><Relationship Id="rId148" Type="http://schemas.openxmlformats.org/officeDocument/2006/relationships/image" Target="media/image120.png"/><Relationship Id="rId4" Type="http://schemas.microsoft.com/office/2007/relationships/stylesWithEffects" Target="stylesWithEffects.xml"/><Relationship Id="rId9" Type="http://schemas.openxmlformats.org/officeDocument/2006/relationships/image" Target="media/image2.png"/><Relationship Id="rId26" Type="http://schemas.openxmlformats.org/officeDocument/2006/relationships/hyperlink" Target="https://www.elconfidencial.com/economia/2024-02-21/espana-sustituye-francia-principal-importador-gas-ruso_3834527/" TargetMode="External"/><Relationship Id="rId47" Type="http://schemas.openxmlformats.org/officeDocument/2006/relationships/image" Target="media/image19.png"/><Relationship Id="rId68" Type="http://schemas.openxmlformats.org/officeDocument/2006/relationships/image" Target="media/image40.png"/><Relationship Id="rId89" Type="http://schemas.openxmlformats.org/officeDocument/2006/relationships/image" Target="media/image61.png"/><Relationship Id="rId112" Type="http://schemas.openxmlformats.org/officeDocument/2006/relationships/image" Target="media/image84.png"/><Relationship Id="rId133" Type="http://schemas.openxmlformats.org/officeDocument/2006/relationships/image" Target="media/image105.png"/><Relationship Id="rId16" Type="http://schemas.openxmlformats.org/officeDocument/2006/relationships/hyperlink" Target="https://elard.eu/" TargetMode="External"/><Relationship Id="rId37" Type="http://schemas.openxmlformats.org/officeDocument/2006/relationships/hyperlink" Target="https://www.estrategiasdeinversion.com/cotizaciones/indices/bmw" TargetMode="External"/><Relationship Id="rId58" Type="http://schemas.openxmlformats.org/officeDocument/2006/relationships/image" Target="media/image30.png"/><Relationship Id="rId79" Type="http://schemas.openxmlformats.org/officeDocument/2006/relationships/image" Target="media/image51.png"/><Relationship Id="rId102" Type="http://schemas.openxmlformats.org/officeDocument/2006/relationships/image" Target="media/image74.png"/><Relationship Id="rId123" Type="http://schemas.openxmlformats.org/officeDocument/2006/relationships/image" Target="media/image95.png"/><Relationship Id="rId144" Type="http://schemas.openxmlformats.org/officeDocument/2006/relationships/image" Target="media/image116.png"/><Relationship Id="rId90" Type="http://schemas.openxmlformats.org/officeDocument/2006/relationships/image" Target="media/image6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88C9C4-70CA-4639-972D-269D52F8B5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214</Pages>
  <Words>84960</Words>
  <Characters>467280</Characters>
  <Application>Microsoft Office Word</Application>
  <DocSecurity>0</DocSecurity>
  <Lines>3894</Lines>
  <Paragraphs>1102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551138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2024-10-11T09:25:00Z</dcterms:created>
  <dcterms:modified xsi:type="dcterms:W3CDTF">2024-10-11T09:25:00Z</dcterms:modified>
</cp:coreProperties>
</file>