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E3D39" w:rsidRDefault="007E3D39" w:rsidP="007E3D39">
      <w:pPr>
        <w:spacing w:line="240" w:lineRule="auto"/>
        <w:jc w:val="both"/>
        <w:rPr>
          <w:rFonts w:ascii="Times New Roman" w:hAnsi="Times New Roman" w:cs="Times New Roman"/>
          <w:b/>
          <w:sz w:val="24"/>
          <w:szCs w:val="24"/>
        </w:rPr>
      </w:pPr>
      <w:r>
        <w:rPr>
          <w:rFonts w:ascii="Times New Roman" w:hAnsi="Times New Roman" w:cs="Times New Roman"/>
          <w:b/>
          <w:sz w:val="24"/>
          <w:szCs w:val="24"/>
        </w:rPr>
        <w:t>Paper -  Los “implantes” de deuda pública, y las “partes interesadas” (Mentiras inquietantes, y sospechosos habituales: “si todos saben que acabará mal”… ¿por qué se callan?)</w:t>
      </w:r>
    </w:p>
    <w:p w:rsidR="007E3D39" w:rsidRDefault="007E3D39" w:rsidP="007E3D39">
      <w:pPr>
        <w:spacing w:line="240" w:lineRule="auto"/>
        <w:jc w:val="both"/>
        <w:rPr>
          <w:rFonts w:ascii="Times New Roman" w:hAnsi="Times New Roman" w:cs="Times New Roman"/>
          <w:b/>
          <w:sz w:val="24"/>
          <w:szCs w:val="24"/>
        </w:rPr>
      </w:pPr>
      <w:r>
        <w:rPr>
          <w:noProof/>
          <w:lang w:eastAsia="es-ES"/>
        </w:rPr>
        <w:drawing>
          <wp:inline distT="0" distB="0" distL="0" distR="0" wp14:anchorId="528D7094" wp14:editId="1724C7DE">
            <wp:extent cx="5734050" cy="2876550"/>
            <wp:effectExtent l="0" t="0" r="0" b="0"/>
            <wp:docPr id="29" name="Imagen 29" descr="https://www.imf.org/-/media/Images/IMF/Blog/Migrated-es/BLOG-532x291-Global-Debt-Orla-iStock-by-Getty-images-iStock-804229144.ash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imf.org/-/media/Images/IMF/Blog/Migrated-es/BLOG-532x291-Global-Debt-Orla-iStock-by-Getty-images-iStock-804229144.ashx"/>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34050" cy="2876550"/>
                    </a:xfrm>
                    <a:prstGeom prst="rect">
                      <a:avLst/>
                    </a:prstGeom>
                    <a:noFill/>
                    <a:ln>
                      <a:noFill/>
                    </a:ln>
                  </pic:spPr>
                </pic:pic>
              </a:graphicData>
            </a:graphic>
          </wp:inline>
        </w:drawing>
      </w:r>
    </w:p>
    <w:p w:rsidR="007E3D39" w:rsidRDefault="007E3D39" w:rsidP="007E3D39">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Introducción: </w:t>
      </w:r>
      <w:r w:rsidRPr="00254FD8">
        <w:rPr>
          <w:rFonts w:ascii="Times New Roman" w:hAnsi="Times New Roman" w:cs="Times New Roman"/>
          <w:b/>
          <w:sz w:val="24"/>
          <w:szCs w:val="24"/>
        </w:rPr>
        <w:t>Los países ricos caen en una trampa de deuda</w:t>
      </w:r>
    </w:p>
    <w:p w:rsidR="007E3D39" w:rsidRDefault="007E3D39" w:rsidP="007E3D39">
      <w:pPr>
        <w:spacing w:line="240" w:lineRule="auto"/>
        <w:jc w:val="both"/>
        <w:rPr>
          <w:rFonts w:ascii="Times New Roman" w:hAnsi="Times New Roman" w:cs="Times New Roman"/>
          <w:sz w:val="24"/>
          <w:szCs w:val="24"/>
        </w:rPr>
      </w:pPr>
      <w:r w:rsidRPr="00E23612">
        <w:rPr>
          <w:rFonts w:ascii="Times New Roman" w:hAnsi="Times New Roman" w:cs="Times New Roman"/>
          <w:b/>
          <w:noProof/>
          <w:sz w:val="24"/>
          <w:szCs w:val="24"/>
          <w:lang w:eastAsia="es-ES"/>
        </w:rPr>
        <w:drawing>
          <wp:inline distT="0" distB="0" distL="0" distR="0" wp14:anchorId="79144AEA" wp14:editId="1A8AE6D9">
            <wp:extent cx="5728007" cy="3289300"/>
            <wp:effectExtent l="0" t="0" r="6350" b="635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stretch>
                      <a:fillRect/>
                    </a:stretch>
                  </pic:blipFill>
                  <pic:spPr>
                    <a:xfrm>
                      <a:off x="0" y="0"/>
                      <a:ext cx="5731510" cy="3291312"/>
                    </a:xfrm>
                    <a:prstGeom prst="rect">
                      <a:avLst/>
                    </a:prstGeom>
                  </pic:spPr>
                </pic:pic>
              </a:graphicData>
            </a:graphic>
          </wp:inline>
        </w:drawing>
      </w:r>
      <w:r w:rsidRPr="00E23612">
        <w:rPr>
          <w:rFonts w:ascii="Times New Roman" w:hAnsi="Times New Roman" w:cs="Times New Roman"/>
          <w:sz w:val="24"/>
          <w:szCs w:val="24"/>
        </w:rPr>
        <w:t>La cumbre del G-7 celebrada en Hiroshima</w:t>
      </w:r>
      <w:r>
        <w:rPr>
          <w:rFonts w:ascii="Times New Roman" w:hAnsi="Times New Roman" w:cs="Times New Roman"/>
          <w:sz w:val="24"/>
          <w:szCs w:val="24"/>
        </w:rPr>
        <w:t xml:space="preserve"> - Japón - 19/5/23</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 xml:space="preserve">El septiembre 2023, el FMI publicó su Global Debt Monitor, que puso de manifiesto que la deuda mundial en 2022 se ha reducido en 10 puntos porcentuales sobre el PIB mundial, pasando del 248,1% al 238,1%. Esto representa un nivel de endeudamiento mundial de 235 billones (millón de millones) de dólares. En los dos últimos años, 2021 y 2022, la deuda mundial se ha reducido en 20 puntos porcentuales, lo que supone un 66% de la gran ola de deuda que se produjo durante la pandemia. La deuda privada supone un 146% del PIB mundial y, prácticamente, está ya en niveles previos a la pandemia. Sin embargo, la deuda </w:t>
      </w:r>
      <w:r w:rsidRPr="007E3D39">
        <w:rPr>
          <w:rFonts w:ascii="Times New Roman" w:hAnsi="Times New Roman" w:cs="Times New Roman"/>
          <w:sz w:val="24"/>
          <w:szCs w:val="24"/>
        </w:rPr>
        <w:lastRenderedPageBreak/>
        <w:t>pública está en un 92,4% del PIB mundial tras dos años de reducción, pero todavía está por encima de su nivel en el año 2019, el 84,9%. Son las economías más desarrolladas las más endeudadas, dado que los acreedores confían más en sus instituciones y en el cumplimiento de los compromisos asumidos. Un nivel elevado de deuda incrementa la vulnerabilidad de los países, empresas y familias en tiempos de crisis, dado que un mismo nivel de deuda no se interpreta de la misma manera cuando hay crecimiento económico que cuando hay recesión. Un nivel elevado de deuda requiere de crecimiento económico para que esta sea sostenible.</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 xml:space="preserve">Mil millones por aquí, mil millones por allá”, dijo el senador por Illinois Everett Dirksen sobre el déficit presupuestario de EEUU a mediados de los sesenta, “y muy pronto estarás hablando de mucho dinero”. El senador tendría que hacer algunas recalibraciones rápidas si se enfrentara a las finanzas públicas estadounidenses de hoy. El mes pasado, la Oficina Presupuestaria del Congreso informó de que el déficit del Presupuesto federal para el año fiscal que finalizó el 30 de septiembre había alcanzado los 1,7 billones de dólares. Es decir, cerca del 7% del PIB. Poco después, el FMI pronosticó que el déficit se mantendrá al mismo nivel durante al menos los próximos cinco años… (Cinco Días - </w:t>
      </w:r>
      <w:r w:rsidRPr="007E3D39">
        <w:rPr>
          <w:rFonts w:ascii="Times New Roman" w:hAnsi="Times New Roman" w:cs="Times New Roman"/>
          <w:b/>
          <w:sz w:val="24"/>
          <w:szCs w:val="24"/>
        </w:rPr>
        <w:t>6/11/23</w:t>
      </w:r>
      <w:r w:rsidRPr="007E3D39">
        <w:rPr>
          <w:rFonts w:ascii="Times New Roman" w:hAnsi="Times New Roman" w:cs="Times New Roman"/>
          <w:sz w:val="24"/>
          <w:szCs w:val="24"/>
        </w:rPr>
        <w:t>)</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 xml:space="preserve">- Los mercados recibieron un impulso inesperado de Washington. ¿Marcará un punto de inflexión? (The Wall Street Journal - </w:t>
      </w:r>
      <w:r w:rsidRPr="007E3D39">
        <w:rPr>
          <w:rFonts w:ascii="Times New Roman" w:hAnsi="Times New Roman" w:cs="Times New Roman"/>
          <w:b/>
          <w:sz w:val="24"/>
          <w:szCs w:val="24"/>
        </w:rPr>
        <w:t>5/11/23</w:t>
      </w:r>
      <w:r w:rsidRPr="007E3D39">
        <w:rPr>
          <w:rFonts w:ascii="Times New Roman" w:hAnsi="Times New Roman" w:cs="Times New Roman"/>
          <w:sz w:val="24"/>
          <w:szCs w:val="24"/>
        </w:rPr>
        <w:t>)</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“Un sorprendente plan de endeudamiento del Departamento del Tesoro ayudó a reducir los rendimientos de los bonos y reactivar las acciones</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El Departamento del Tesoro dio a los inversores una feliz sorpresa la semana pasada. Ahora la pregunta es hasta dónde pueden llegar con él.</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Tanto las acciones como los bonos experimentaron repuntes la semana pasada, recibiendo un impulso cuando el Tesoro aumentó el tamaño de las subastas de deuda a largo plazo en una cantidad menor de lo que muchos habían esperado”…</w:t>
      </w:r>
    </w:p>
    <w:p w:rsidR="007E3D39" w:rsidRPr="007E3D39" w:rsidRDefault="007E3D39" w:rsidP="007E3D39">
      <w:pPr>
        <w:spacing w:line="240" w:lineRule="auto"/>
        <w:jc w:val="both"/>
        <w:rPr>
          <w:rFonts w:ascii="Times New Roman" w:hAnsi="Times New Roman" w:cs="Times New Roman"/>
          <w:spacing w:val="-1"/>
          <w:sz w:val="24"/>
          <w:szCs w:val="24"/>
          <w:shd w:val="clear" w:color="auto" w:fill="FFFFFF"/>
        </w:rPr>
      </w:pPr>
      <w:r w:rsidRPr="007E3D39">
        <w:rPr>
          <w:rFonts w:ascii="Times New Roman" w:hAnsi="Times New Roman" w:cs="Times New Roman"/>
          <w:spacing w:val="-1"/>
          <w:sz w:val="24"/>
          <w:szCs w:val="24"/>
          <w:shd w:val="clear" w:color="auto" w:fill="FFFFFF"/>
        </w:rPr>
        <w:t>La cruda verdad es esta. La UE y la mayoría de sus gobiernos miembros han permitido que el endeudamiento y el gasto se salgan de control. Todos los países importantes de la UE, con excepción de Alemania, han dejado que su ratio deuda/PIB crezca rápidamente en los últimos diez años: </w:t>
      </w:r>
      <w:r w:rsidRPr="007E3D39">
        <w:rPr>
          <w:rFonts w:ascii="Times New Roman" w:hAnsi="Times New Roman" w:cs="Times New Roman"/>
          <w:bCs/>
          <w:spacing w:val="-1"/>
          <w:sz w:val="24"/>
          <w:szCs w:val="24"/>
          <w:shd w:val="clear" w:color="auto" w:fill="FFFFFF"/>
        </w:rPr>
        <w:t>Italia ha llegado ahora al 140% y Francia al 120%</w:t>
      </w:r>
      <w:r w:rsidRPr="007E3D39">
        <w:rPr>
          <w:rFonts w:ascii="Times New Roman" w:hAnsi="Times New Roman" w:cs="Times New Roman"/>
          <w:spacing w:val="-1"/>
          <w:sz w:val="24"/>
          <w:szCs w:val="24"/>
          <w:shd w:val="clear" w:color="auto" w:fill="FFFFFF"/>
        </w:rPr>
        <w:t>. Incluso la propia UE ha pedido prestado cientos de miles de millones, sin un plan claro sobre cómo va a devolverlos. El verdadero problema es que el Estado gasta demasiado y que el crecimiento es demasiado lento para generar los ingresos fiscales adicionales necesarios para pagarlo todo. Un impuesto a los multimillonarios es un objetivo fácil. Pero no solucionará el problema central y, al golpear duramente a la inversión, sólo terminará empeorándolo.</w:t>
      </w:r>
    </w:p>
    <w:p w:rsidR="007E3D39" w:rsidRPr="007E3D39" w:rsidRDefault="007E3D39" w:rsidP="007E3D39">
      <w:pPr>
        <w:spacing w:line="240" w:lineRule="auto"/>
        <w:jc w:val="both"/>
        <w:rPr>
          <w:rFonts w:ascii="Times New Roman" w:hAnsi="Times New Roman" w:cs="Times New Roman"/>
          <w:sz w:val="24"/>
          <w:szCs w:val="24"/>
          <w:shd w:val="clear" w:color="auto" w:fill="FFFFFF"/>
        </w:rPr>
      </w:pPr>
      <w:r w:rsidRPr="007E3D39">
        <w:rPr>
          <w:rFonts w:ascii="Times New Roman" w:hAnsi="Times New Roman" w:cs="Times New Roman"/>
          <w:sz w:val="24"/>
          <w:szCs w:val="24"/>
          <w:shd w:val="clear" w:color="auto" w:fill="FFFFFF"/>
        </w:rPr>
        <w:t>Todos los gobiernos, grandes empresas, y entidades financieras, de los países avanzados se han acostumbrado a “vivir por encima de sus posibilidades”, y están a punto de ver cortada su tarjeta de crédito. Que la mentira y el circo continúen es un acto de negación. El acto de un adicto perdido que no quiere curarse. Es por eso que los hechiceros (políticos, empresarios y banqueros) hacen sus trucos de magia, para abducir al ahorrista (proveedor de la tarjeta) y seguir prolongando el expolio.</w:t>
      </w:r>
    </w:p>
    <w:p w:rsidR="007E3D39" w:rsidRPr="007E3D39" w:rsidRDefault="007E3D39" w:rsidP="007E3D39">
      <w:pPr>
        <w:spacing w:line="240" w:lineRule="auto"/>
        <w:jc w:val="both"/>
        <w:rPr>
          <w:rFonts w:ascii="Times New Roman" w:hAnsi="Times New Roman" w:cs="Times New Roman"/>
          <w:sz w:val="24"/>
          <w:szCs w:val="24"/>
          <w:shd w:val="clear" w:color="auto" w:fill="FFFFFF"/>
        </w:rPr>
      </w:pPr>
      <w:r w:rsidRPr="007E3D39">
        <w:rPr>
          <w:rFonts w:ascii="Times New Roman" w:hAnsi="Times New Roman" w:cs="Times New Roman"/>
          <w:sz w:val="24"/>
          <w:szCs w:val="24"/>
          <w:shd w:val="clear" w:color="auto" w:fill="FFFFFF"/>
        </w:rPr>
        <w:t xml:space="preserve">Da mucha pereza cambiar, que siga entonces el baile de máscaras. Hay que pensar que el ilusionista encontrará el milagro, el atajo, el algoritmo, el blockchain, la criptomoneda, el token, la disrupción, el gran reseteo, la nube, el metaverso… para evitar que la realidad arruine la ensoñación (seguir viviendo por encima de las posibilidades, prolongar la extracción de rentas, continuar empujando la soga). Y en esto, los “lobos de Wall Street”, y </w:t>
      </w:r>
      <w:r w:rsidRPr="007E3D39">
        <w:rPr>
          <w:rFonts w:ascii="Times New Roman" w:hAnsi="Times New Roman" w:cs="Times New Roman"/>
          <w:sz w:val="24"/>
          <w:szCs w:val="24"/>
          <w:shd w:val="clear" w:color="auto" w:fill="FFFFFF"/>
        </w:rPr>
        <w:lastRenderedPageBreak/>
        <w:t xml:space="preserve">los “alquimistas de Silicon Valley”, no están solos, los acompañan en el intento (borrado de cabeza), los grandes bonetes, vacas sagradas, académicos prestigiosos, gurús mediáticos, analistas de postín… algunos nobelados, y muchos noveleros, miembros de la Ivy League. </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shd w:val="clear" w:color="auto" w:fill="FFFFFF"/>
        </w:rPr>
        <w:t xml:space="preserve">Aunque vivimos en una época tumultuosa, y esta agitación se manifiesta en la complejidad de prever y estimar los acontecimientos. Aunque los analistas de coyuntura se enfrentan al desafío del análisis, utilizando herramientas que, aunque variadas en sofisticación, requieren cierta estabilidad en las relaciones económicas para extraer las señales pertinentes. Aunque cuando esta estabilidad falta, los errores cometidos por los analistas se magnifican, dejándonos prácticamente a merced de la espera, confiando en que las aguas vuelvan a su cauce… </w:t>
      </w:r>
      <w:r w:rsidRPr="007E3D39">
        <w:rPr>
          <w:rFonts w:ascii="Times New Roman" w:hAnsi="Times New Roman" w:cs="Times New Roman"/>
          <w:sz w:val="24"/>
          <w:szCs w:val="24"/>
        </w:rPr>
        <w:t>a veces resulta sorprendente (¿sospechosa?) la coincidencia entre los comentarios y pronósticos de los “global players”, y los comentarios y pronósticos de los “grandes bonetes”. ¿Hay comunicación por la doctrina o son estómagos agradecidos? ¿Quién invita y quién paga? ¿Qué les resulta más rentable: ser “socio del silencio”, o “Hamelin de la manada”? ¿Quiénes son los encargados de “hacer posible” esa “misión imposible”?</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Son los “justificadores habituales”, que facilitan la tarea de esos falsos “creadores de mercado”. Son los “cooperadores necesarios” de un mundo de “estafadores”, para que puedan seguir saqueando el único sitio de donde salen los dineros: del contribuyente (trabajador, pequeño empresario, pensionista, ahorrista).</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Doctos sumisos, expertos ovinos, analistas esclavos, en su intento (servil) de preservar la manipulación, han dado un salto (¿mortal?) que alcanza hasta la inteligencia, que no por nada se denomina “inteligencia artificial” para diferenciarla de la otra más común y que a los magos de las finanzas, y las nuevas tecnologías, les resulta una antigualla.</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Es en las universidades de la Ivy League (donde se forman -y deforman- las élites de USA y UK) donde está instalado el gran laboratorio de los engendros posmodernos del capitalismo woke y la cultura de la cancelación. Catedráticos “liberticidas”, que hacen de la injusticia de clase su dogma. Alumnos, abducidos por las redes sociales, y exultantes por el fentanilo, que aceptan que las reglas de la economía las dicten los fulleros de Wall Street y Silicon Valley.</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Y para que estos acreditados apandadores  (los titiriteros de Wall Street y los alquimistas de  Silicon Valley) sigan jugando al blackjack en la economía de casino, los políticos (conniventes, prevaricadores, corruptos) tienen la osadía de recurrir al presupuesto del estado (gasto público, déficit, deuda soberana), para pagar la fiesta. Todos, los unos, y los otros, tienen el descaro propio de quien se cree, por encima del bien y del mal en su condición de clase superior (casta), iluminados, amos del universo, todo para nosotros, nada para los demás (el vil principio de la mano “visible”).</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Una coexistencia compartida en el delito. Roban los políticos, robemos todos. Un mejunje moral que fue impregnando de arriba abajo el completo cuerpo de la economía y que ha terminado, por inhabilitar a las instituciones (públicas) y a las empresas (privadas) como guías de conducta y progreso. De aquellos polvos, estos lodos.</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La expansión monetaria sin respaldo, la deuda soberana insostenible, son fórmulas de corrupción rotundas, redondas, estruendosas. Una élite empresarial y política, incluso intelectual, reducida  a un vertedero moral de la economía real. En el silencio (cómplice) de las “partes interesadas” resuena la cara inevitable de una decadencia imparable, el gesto de unos que han bajado los brazos y se han resignado, el síntoma de una enfermedad que solo espera la puntilla mortal de China (que para más inri, fue subida a los altares, por la élite).</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lastRenderedPageBreak/>
        <w:t>Pueden llamarla como quieran (nueva economía, gran reseteo, disrupción, algoritmos, robotización, inteligencia artificial…), pero al final, los historiadores la categorizarán como una “economía destructiva”, marcada por la corrupción, y amparada por una ideología que supuró arrogancia, cuando no soberbia. Una economía que en el pecado llevaba la penitencia.</w:t>
      </w:r>
    </w:p>
    <w:p w:rsidR="007E3D39" w:rsidRPr="00111026" w:rsidRDefault="007E3D39" w:rsidP="007E3D39">
      <w:pPr>
        <w:spacing w:line="240" w:lineRule="auto"/>
        <w:jc w:val="both"/>
        <w:rPr>
          <w:rFonts w:ascii="Times New Roman" w:hAnsi="Times New Roman" w:cs="Times New Roman"/>
          <w:sz w:val="24"/>
          <w:szCs w:val="24"/>
        </w:rPr>
      </w:pPr>
      <w:r w:rsidRPr="00111026">
        <w:rPr>
          <w:rFonts w:ascii="Times New Roman" w:hAnsi="Times New Roman" w:cs="Times New Roman"/>
          <w:sz w:val="24"/>
          <w:szCs w:val="24"/>
        </w:rPr>
        <w:t>No practican la autocrítica, desoyen los consejos y desprecian los reproches. Viven en su estólida burbuja y no atienden más razones que las propias. Siempre tienen un culpable a mano para endosarle los fracasos… ¡Vaya tropa!</w:t>
      </w:r>
    </w:p>
    <w:p w:rsidR="007E3D39" w:rsidRPr="00111026" w:rsidRDefault="007E3D39" w:rsidP="007E3D39">
      <w:pPr>
        <w:spacing w:line="240" w:lineRule="auto"/>
        <w:jc w:val="both"/>
        <w:rPr>
          <w:rFonts w:ascii="Times New Roman" w:hAnsi="Times New Roman" w:cs="Times New Roman"/>
          <w:sz w:val="24"/>
          <w:szCs w:val="24"/>
        </w:rPr>
      </w:pPr>
      <w:r w:rsidRPr="00111026">
        <w:rPr>
          <w:rFonts w:ascii="Times New Roman" w:hAnsi="Times New Roman" w:cs="Times New Roman"/>
          <w:sz w:val="24"/>
          <w:szCs w:val="24"/>
        </w:rPr>
        <w:t xml:space="preserve">“No se podía saber”: la crisis de las hipotecas subprime, la pandemia, la ruptura de la cadena de abastecimientos, la escases de materias primas, el fracaso de la globalización, la guerra de Ucrania, el chantaje energético de Rusia, la inflación planetaria… </w:t>
      </w:r>
    </w:p>
    <w:p w:rsidR="007E3D39" w:rsidRPr="00111026" w:rsidRDefault="007E3D39" w:rsidP="007E3D39">
      <w:pPr>
        <w:spacing w:line="240" w:lineRule="auto"/>
        <w:jc w:val="both"/>
        <w:rPr>
          <w:rFonts w:ascii="Times New Roman" w:hAnsi="Times New Roman" w:cs="Times New Roman"/>
          <w:sz w:val="24"/>
          <w:szCs w:val="24"/>
        </w:rPr>
      </w:pPr>
      <w:r w:rsidRPr="00111026">
        <w:rPr>
          <w:rFonts w:ascii="Times New Roman" w:hAnsi="Times New Roman" w:cs="Times New Roman"/>
          <w:sz w:val="24"/>
          <w:szCs w:val="24"/>
        </w:rPr>
        <w:t>Los bancos centrales no podían escapar de la trampa (que ellos mismos crearon), no podían huir de la cueva (en la que moraban con los sospechosos habituales). Hasta que emergió el monstruo inflacionario y destrozó el tinglado. Ahí acabó todo. ¿Será así?</w:t>
      </w:r>
    </w:p>
    <w:p w:rsidR="007E3D39" w:rsidRPr="00111026" w:rsidRDefault="007E3D39" w:rsidP="007E3D39">
      <w:pPr>
        <w:spacing w:line="240" w:lineRule="auto"/>
        <w:jc w:val="both"/>
        <w:rPr>
          <w:rFonts w:ascii="Times New Roman" w:hAnsi="Times New Roman" w:cs="Times New Roman"/>
          <w:sz w:val="24"/>
          <w:szCs w:val="24"/>
        </w:rPr>
      </w:pPr>
      <w:r w:rsidRPr="00111026">
        <w:rPr>
          <w:rFonts w:ascii="Times New Roman" w:hAnsi="Times New Roman" w:cs="Times New Roman"/>
          <w:sz w:val="24"/>
          <w:szCs w:val="24"/>
        </w:rPr>
        <w:t>Los gobernadores de los BC necesitan dar un puñetazo en la mesa, mostrar su enjundia de líderes de la ortodoxia, su firmeza monetaria, su rectitud ética y hasta su valentía personal. ¿Posible? SI ¿Probable? NO.</w:t>
      </w:r>
    </w:p>
    <w:p w:rsidR="007E3D39" w:rsidRPr="00111026" w:rsidRDefault="007E3D39" w:rsidP="007E3D39">
      <w:pPr>
        <w:spacing w:line="240" w:lineRule="auto"/>
        <w:jc w:val="both"/>
        <w:rPr>
          <w:rFonts w:ascii="Times New Roman" w:hAnsi="Times New Roman" w:cs="Times New Roman"/>
          <w:sz w:val="24"/>
          <w:szCs w:val="24"/>
        </w:rPr>
      </w:pPr>
      <w:r w:rsidRPr="00111026">
        <w:rPr>
          <w:rFonts w:ascii="Times New Roman" w:hAnsi="Times New Roman" w:cs="Times New Roman"/>
          <w:sz w:val="24"/>
          <w:szCs w:val="24"/>
        </w:rPr>
        <w:t>Ahora tienen una oportunidad de oro (el horror a la inflación) para darle la vuelta al decorado, para aferrarse al estandarte de la independencia, de la defensa del rigor monetario. ¿Sabrán aprovecharla? Bala de plata. ¿Los dejarán actuar libremente? NO.</w:t>
      </w:r>
    </w:p>
    <w:p w:rsidR="007E3D39" w:rsidRPr="007E3D39" w:rsidRDefault="007E3D39" w:rsidP="007E3D39">
      <w:pPr>
        <w:spacing w:line="240" w:lineRule="auto"/>
        <w:jc w:val="both"/>
        <w:rPr>
          <w:rFonts w:ascii="Times New Roman" w:hAnsi="Times New Roman" w:cs="Times New Roman"/>
          <w:b/>
          <w:sz w:val="24"/>
          <w:szCs w:val="24"/>
        </w:rPr>
      </w:pPr>
      <w:r w:rsidRPr="007E3D39">
        <w:rPr>
          <w:rFonts w:ascii="Times New Roman" w:hAnsi="Times New Roman" w:cs="Times New Roman"/>
          <w:b/>
          <w:sz w:val="24"/>
          <w:szCs w:val="24"/>
        </w:rPr>
        <w:t>¿Qué esperar de la política monetaria y fiscal, en los países avanzados?</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Cuando el mundo salía de la pandemia del coronavirus, algunos economistas llegaron a fantasear con repetir los felices 20. El ahorro embalsado, las políticas monetarias y fiscales expansivas y la voluntad de los agentes por recuperar el tiempo perdido prometían la entrada en unos años luminosos. La realidad, sin embargo, está siendo mucho más sombría. Guerras, conflictos comerciales, desglobalización, competencia fiscal, extremismos... la economía internacional navega hacia un nuevo mundo en el que la incertidumbre ya no es un cisne negro, sino la rutina.</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Se trata de un escenario inédito en las últimas décadas en las que el mundo se había acostumbrado a alianzas internacionales para la globalización, una inflación controlada y tipos de interés en mínimos históricos. Por si fuera poco, el ciclo económico que viven los países está siendo “bastante asincrónico”, con Estados Unidos, Europa y los emergentes en situaciones bien diferenciadas.</w:t>
      </w:r>
    </w:p>
    <w:p w:rsidR="007E3D39" w:rsidRPr="00C83B33" w:rsidRDefault="007E3D39" w:rsidP="007E3D39">
      <w:pPr>
        <w:pStyle w:val="NormalWeb"/>
        <w:jc w:val="both"/>
        <w:rPr>
          <w:shd w:val="clear" w:color="auto" w:fill="FFFFFF"/>
        </w:rPr>
      </w:pPr>
      <w:r w:rsidRPr="00C83B33">
        <w:rPr>
          <w:shd w:val="clear" w:color="auto" w:fill="FFFFFF"/>
        </w:rPr>
        <w:t>Una combinación de factores propios de diferentes crisis donde “el todo es aún más peligroso que la suma de las partes”. Así define el historiador británico Adam Tooze el término “policrisis”, para ilustrar la gravedad de la situación a la que se enfrentan las economías, de los países avanzados.</w:t>
      </w:r>
    </w:p>
    <w:p w:rsidR="007E3D39" w:rsidRDefault="007E3D39" w:rsidP="007E3D39">
      <w:pPr>
        <w:pStyle w:val="NormalWeb"/>
        <w:jc w:val="both"/>
        <w:rPr>
          <w:shd w:val="clear" w:color="auto" w:fill="FFFFFF"/>
        </w:rPr>
      </w:pPr>
      <w:r>
        <w:rPr>
          <w:shd w:val="clear" w:color="auto" w:fill="FFFFFF"/>
        </w:rPr>
        <w:t>El término “policrisis”</w:t>
      </w:r>
      <w:r w:rsidRPr="00C83B33">
        <w:rPr>
          <w:shd w:val="clear" w:color="auto" w:fill="FFFFFF"/>
        </w:rPr>
        <w:t xml:space="preserve"> ideado por el profesor de la Universidad de Columbia hace referencia al cóctel de elevada inflación, altos tipos de interés, problemas de suministro energético y alimentario, y persistencia de la guerra en Ucrania. También acontecen problemas como los desafíos de la economía china y su competición geoestratégica con Estados Unidos, el cambio climático, los desastres naturales, o los coletazos económicos de la pandemia.</w:t>
      </w:r>
    </w:p>
    <w:p w:rsidR="007E3D39" w:rsidRPr="00C83B33" w:rsidRDefault="007E3D39" w:rsidP="007E3D39">
      <w:pPr>
        <w:pStyle w:val="NormalWeb"/>
        <w:jc w:val="both"/>
      </w:pPr>
      <w:r w:rsidRPr="00C83B33">
        <w:rPr>
          <w:shd w:val="clear" w:color="auto" w:fill="FFFFFF"/>
        </w:rPr>
        <w:lastRenderedPageBreak/>
        <w:t xml:space="preserve">En la década de 1970, el ratio de deuda privada y pública sobre el PIB estaba en torno a un 100% y ahora en las economías avanzadas está en 420% y subiendo. Ese ratio era alto, pero el costo de servir esa deuda fue bajo hasta hace poco, gracias a las tasas de interés cero o negativas y las políticas expansivas. Incluso los hogares y las empresas y corporaciones zombis, incluso los gobiernos zombis, han podido sobrevivir porque los </w:t>
      </w:r>
      <w:r>
        <w:rPr>
          <w:shd w:val="clear" w:color="auto" w:fill="FFFFFF"/>
        </w:rPr>
        <w:t xml:space="preserve">tipos de interés eran muy bajos, decía el </w:t>
      </w:r>
      <w:r w:rsidRPr="00C83B33">
        <w:rPr>
          <w:shd w:val="clear" w:color="auto" w:fill="FFFFFF"/>
        </w:rPr>
        <w:t>economista Nouriel Roubini</w:t>
      </w:r>
      <w:r>
        <w:rPr>
          <w:shd w:val="clear" w:color="auto" w:fill="FFFFFF"/>
        </w:rPr>
        <w:t xml:space="preserve"> (BBCMundo </w:t>
      </w:r>
      <w:r>
        <w:t xml:space="preserve">- </w:t>
      </w:r>
      <w:r>
        <w:rPr>
          <w:b/>
        </w:rPr>
        <w:t>27/10/22</w:t>
      </w:r>
      <w:r>
        <w:t>)</w:t>
      </w:r>
    </w:p>
    <w:p w:rsidR="007E3D39" w:rsidRDefault="007E3D39" w:rsidP="007E3D39">
      <w:pPr>
        <w:pStyle w:val="NormalWeb"/>
        <w:jc w:val="both"/>
        <w:rPr>
          <w:shd w:val="clear" w:color="auto" w:fill="FFFFFF"/>
        </w:rPr>
      </w:pPr>
      <w:r w:rsidRPr="00C83B33">
        <w:rPr>
          <w:shd w:val="clear" w:color="auto" w:fill="FFFFFF"/>
        </w:rPr>
        <w:t>Ahora están altos y subiendo porque tenemos que combatir la inflación, y fíjese en lo que está pasando con la deuda hipotecaria en Reino Unido, o con la deuda de los consumidores, o de las empresas que están ahora al borde de la crisis. Los estímulos fiscales casi han llevado a una crisi</w:t>
      </w:r>
      <w:r>
        <w:rPr>
          <w:shd w:val="clear" w:color="auto" w:fill="FFFFFF"/>
        </w:rPr>
        <w:t>s fiscal en las últimas semanas, señalaba el “doctor catástrofe”.</w:t>
      </w:r>
    </w:p>
    <w:p w:rsidR="007E3D39" w:rsidRPr="00C83B33" w:rsidRDefault="007E3D39" w:rsidP="007E3D39">
      <w:pPr>
        <w:pStyle w:val="NormalWeb"/>
        <w:jc w:val="both"/>
      </w:pPr>
      <w:r w:rsidRPr="00701853">
        <w:t>Si vamos a tener una deuda que no es sostenible solo nos quedan algunas opciones. O caemos en la bancarrota y en la suspensión de pagos; o, como yo espero, los gobiernos van a utilizar episodios inesperados de inflación para reducir el valor real de la deuda nominal. Creo que los bancos centrales van a claudicar y no actuar, porque cuando los gobiernos no pueden reducir la deuda del gobierno ni los impuestos porque hay un gran déficit y guerras contra el cambio climático o contra pandemias o contra otros países, pedimos demasiado prestado y acabamos inflando la ola, como</w:t>
      </w:r>
      <w:r>
        <w:t xml:space="preserve"> sucedió en la década de los 70, concluía Roubini.</w:t>
      </w:r>
    </w:p>
    <w:p w:rsidR="007E3D39" w:rsidRPr="007E3D39" w:rsidRDefault="007E3D39" w:rsidP="007E3D39">
      <w:pPr>
        <w:spacing w:line="240" w:lineRule="auto"/>
        <w:jc w:val="both"/>
        <w:rPr>
          <w:rFonts w:ascii="Times New Roman" w:hAnsi="Times New Roman" w:cs="Times New Roman"/>
          <w:b/>
          <w:sz w:val="24"/>
          <w:szCs w:val="24"/>
        </w:rPr>
      </w:pPr>
      <w:r w:rsidRPr="007E3D39">
        <w:rPr>
          <w:rFonts w:ascii="Times New Roman" w:hAnsi="Times New Roman" w:cs="Times New Roman"/>
          <w:b/>
          <w:sz w:val="24"/>
          <w:szCs w:val="24"/>
        </w:rPr>
        <w:t>Este mundo de incertidumbres es, sencillamente, el futuro</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La política fiscal ha actuado en contra de la monetaria durante el último año y medio. Los gobiernos han puesto en marcha sus presupuestos para minimizar el malestar social por la inflación. Muchas de estas medidas “han sido populistas”, lamenta Ángel de la Fuente, director de Fedea, y han provocado que “nos hayamos quedado sin margen fiscal para la próxima crisis”. Ya no es extraño ver países con una deuda pública superior al 100% de su PIB. De hecho, se está convirtiendo en la normalidad. Esta vez no se puede contar con que la política fiscal pueda contribuir a la aceleración de la economía. De hecho, es probable que tenga un impacto negativo una vez se reactiven las reglas fiscales.</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Estados Unidos está resistiendo mejor a este escenario geopolítico por su autonomía estratégica (no tiene grandes dependencias energéticas de Europa y Oriente Próximo): su economía es más dinámica y está en pleno empleo. Una de las grandes preocupaciones que genera el país (según los expertos) es su delicada posición fiscal, pero se compensa con su posición de moneda de reserva.</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Europa, por el contrario, navega este mundo de incertidumbres a la deriva, azotada por el oleaje. Con una política cortoplacista que no se encarga de afrontar los retos de largo plazo, tiene muy poca relevancia en el mundo. Europa combina una posición fiscal límite, con muchos países sin margen de endeudamiento, con costes financieros crecientes y productividad estancada. La demanda interna se debilita continuamente, Y todo ello con regulación creciente que pone en dificultades la inversión empresarial. En un estado de “encefalograma plano”, cabe preguntarse: ¿esta situación puede ayudar a crecer, y a crear empleo?</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Hay unanimidad entre los observadores: hace falta que la UE promueva la inversión privada y haga inversión pública. Solo así será posible crecer y repartir el crecimiento económico entre toda la sociedad. La inversión se convierte así en un pilar firme para enfrentar el mundo de oleaje e incertidumbre.</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lastRenderedPageBreak/>
        <w:t xml:space="preserve">“Sin un mercado de capitales integrado y profundo y una unión bancaria completa, Europa tiene muy pocas posibilidades para competir con Estados Unidos y China. Una vez más, la falta de ambición a la hora de afrontar los grandes problemas estructurales vuelve a convertir a la UE en su peor enemigo. En este aspecto, como en los demás, sin liderazgo y determinación, Europa está condenada a seguir caminando hacia la irrelevancia internacional en un momento en el que pocos actores están dispuestos a dar estabilidad al escenario global”... (Conclusiones del Observatorio Económico El Confidencial y Mapfre Economics - </w:t>
      </w:r>
      <w:r w:rsidRPr="007E3D39">
        <w:rPr>
          <w:rFonts w:ascii="Times New Roman" w:hAnsi="Times New Roman" w:cs="Times New Roman"/>
          <w:b/>
          <w:sz w:val="24"/>
          <w:szCs w:val="24"/>
        </w:rPr>
        <w:t>13/11/23</w:t>
      </w:r>
      <w:r w:rsidRPr="007E3D39">
        <w:rPr>
          <w:rFonts w:ascii="Times New Roman" w:hAnsi="Times New Roman" w:cs="Times New Roman"/>
          <w:sz w:val="24"/>
          <w:szCs w:val="24"/>
        </w:rPr>
        <w:t>)</w:t>
      </w:r>
    </w:p>
    <w:p w:rsidR="007E3D39" w:rsidRPr="007E3D39" w:rsidRDefault="007E3D39" w:rsidP="007E3D39">
      <w:pPr>
        <w:pStyle w:val="NormalWeb"/>
        <w:jc w:val="both"/>
      </w:pPr>
      <w:r w:rsidRPr="007E3D39">
        <w:t>Tanto los países democráticos como los autoritarios están evitando afrontar el futuro, hundiendo la cabeza en la arena como los avestruces. Los líderes no toman decisiones difíciles porque quieren ser reelegidos. También los autoritarios necesitan apoyo. Ni los actores públicos ni los privados quieren asumir los sacrificios inmediatos que requiere el futuro. Por eso hay una parálisis política.</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b/>
          <w:sz w:val="24"/>
          <w:szCs w:val="24"/>
        </w:rPr>
        <w:t xml:space="preserve">“No puedo gastarme el dinero en alcohol y mujeres y luego pedir ayuda”. Esto no lo cantó Sabina, esto lo dijo el presidente del Eurogrupo, el holandés Jeroen Dijsselbloem, al medio alemán Frankfurter Allgemeine Zeitung en marzo de 2017. “Como socialdemócrata, considero la solidaridad extremadamente importante, pero quien la exige también tiene obligaciones. Este principio se aplica a nivel personal, local, nacional e incluso a nivel europeo”. </w:t>
      </w:r>
      <w:r w:rsidRPr="007E3D39">
        <w:rPr>
          <w:rFonts w:ascii="Times New Roman" w:hAnsi="Times New Roman" w:cs="Times New Roman"/>
          <w:sz w:val="24"/>
          <w:szCs w:val="24"/>
        </w:rPr>
        <w:t>(Esto dijo Dijsselbloem, refiriéndose a los miembros del Club Med -Portugal, España, Italia, Grecia -eternos manirrotos, adictos al gasto público, que pretenden vivir por encima de sus posibilidades- cansado de sus pedidos de rescate).</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La pregunta del millón en los mercados: ¿bajará la inflación con la subida de tipos? Esta obstinación en no reconocer la evidencia (excesos monetarios), por lo difícil que resultaba afrontarla (dejar de dopar a los mercados)… Lo demás es cuestión de esperar que la demanda real (no especulativa) se adecue a la oferta efectiva (no influenciada por chantajes y manipulaciones).</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Como es lógico, cuesta abajo y sin obstáculos, el lío se hace cada vez mayor.</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Por razones históricas, y con alguna excepción -en rigor, una excepción (Paul Volcker)- las convicciones morales (de la Fed, BCE, BoE…) ceden siempre ante el complejo por lo que digan los gobernantes al mando, las partes interesadas y los gurús mediáticos. ¿Cabe mayor necedad? Sí, tal vez, haber otorgado a Bernanke el Premio Nobel al QE.</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 xml:space="preserve">En resumen: ¿Me fío del cambio de paradigma? No. ¿Creo que los gobernadores de los principales bancos centrales se mantendrán firme? Lo dudo. ¿Creo que les conviene actuar con rigor, porque se juegan su liderazgo? Sí, sin ninguna duda. ¿Creo que cerrarán este episodio de torpezas y claudicaciones? Me gustaría creerlo. Preferiría verlo. </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Porque esto no va a ser un paseo triunfal. Porque los BC estarán ante unos enemigos, de la ortodoxia monetaria, formidables, superdotados para la especulación personal y el mal general, unos tipos sin ningún tipo de escrúpulos morales, acostumbrados a emplear las armas financieras de destrucción masiva a su antojo (en beneficio propio).</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b/>
          <w:spacing w:val="-1"/>
          <w:sz w:val="24"/>
          <w:szCs w:val="24"/>
          <w:shd w:val="clear" w:color="auto" w:fill="FFFFFF"/>
        </w:rPr>
        <w:t>A confesión de parte, relevo de prueba</w:t>
      </w:r>
      <w:r w:rsidRPr="007E3D39">
        <w:rPr>
          <w:rFonts w:ascii="Times New Roman" w:hAnsi="Times New Roman" w:cs="Times New Roman"/>
          <w:spacing w:val="-1"/>
          <w:sz w:val="24"/>
          <w:szCs w:val="24"/>
          <w:shd w:val="clear" w:color="auto" w:fill="FFFFFF"/>
        </w:rPr>
        <w:t>:</w:t>
      </w:r>
      <w:r w:rsidRPr="007E3D39">
        <w:rPr>
          <w:rFonts w:ascii="Times New Roman" w:hAnsi="Times New Roman" w:cs="Times New Roman"/>
          <w:sz w:val="24"/>
          <w:szCs w:val="24"/>
        </w:rPr>
        <w:t xml:space="preserve"> </w:t>
      </w:r>
      <w:r w:rsidRPr="007E3D39">
        <w:rPr>
          <w:rFonts w:ascii="Times New Roman" w:hAnsi="Times New Roman" w:cs="Times New Roman"/>
          <w:spacing w:val="-1"/>
          <w:sz w:val="24"/>
          <w:szCs w:val="24"/>
          <w:shd w:val="clear" w:color="auto" w:fill="FFFFFF"/>
        </w:rPr>
        <w:t xml:space="preserve">“El futuro nos trae un ajuste cuantitativo. Hemos estado gastando dinero como “locos” en todo el mundo” Jamie Dimon, director ejecutivo de JPMorgan - El Economista - </w:t>
      </w:r>
      <w:r w:rsidRPr="007E3D39">
        <w:rPr>
          <w:rFonts w:ascii="Times New Roman" w:hAnsi="Times New Roman" w:cs="Times New Roman"/>
          <w:b/>
          <w:spacing w:val="-1"/>
          <w:sz w:val="24"/>
          <w:szCs w:val="24"/>
          <w:shd w:val="clear" w:color="auto" w:fill="FFFFFF"/>
        </w:rPr>
        <w:t>4/11/23</w:t>
      </w:r>
      <w:r w:rsidRPr="007E3D39">
        <w:rPr>
          <w:rFonts w:ascii="Times New Roman" w:hAnsi="Times New Roman" w:cs="Times New Roman"/>
          <w:spacing w:val="-1"/>
          <w:sz w:val="24"/>
          <w:szCs w:val="24"/>
          <w:shd w:val="clear" w:color="auto" w:fill="FFFFFF"/>
        </w:rPr>
        <w:t xml:space="preserve">) </w:t>
      </w:r>
    </w:p>
    <w:p w:rsidR="007E3D39" w:rsidRDefault="007E3D39" w:rsidP="007E3D39">
      <w:pPr>
        <w:spacing w:line="240" w:lineRule="auto"/>
        <w:jc w:val="both"/>
        <w:rPr>
          <w:rFonts w:ascii="Times New Roman" w:hAnsi="Times New Roman" w:cs="Times New Roman"/>
          <w:color w:val="FF0000"/>
          <w:spacing w:val="-1"/>
          <w:sz w:val="24"/>
          <w:szCs w:val="24"/>
          <w:shd w:val="clear" w:color="auto" w:fill="FFFFFF"/>
        </w:rPr>
      </w:pPr>
    </w:p>
    <w:p w:rsidR="007E3D39" w:rsidRPr="00B70646" w:rsidRDefault="007E3D39" w:rsidP="007E3D39">
      <w:pPr>
        <w:spacing w:line="240" w:lineRule="auto"/>
        <w:jc w:val="both"/>
        <w:rPr>
          <w:rFonts w:ascii="Times New Roman" w:hAnsi="Times New Roman" w:cs="Times New Roman"/>
          <w:b/>
          <w:sz w:val="24"/>
          <w:szCs w:val="24"/>
        </w:rPr>
      </w:pPr>
      <w:r w:rsidRPr="00B70646">
        <w:rPr>
          <w:rFonts w:ascii="Times New Roman" w:hAnsi="Times New Roman" w:cs="Times New Roman"/>
          <w:b/>
          <w:sz w:val="24"/>
          <w:szCs w:val="24"/>
        </w:rPr>
        <w:lastRenderedPageBreak/>
        <w:t>- Déficits astronómicos, y deuda insostenible (insolvencias nacionales)</w:t>
      </w:r>
    </w:p>
    <w:p w:rsidR="007E3D39" w:rsidRDefault="007E3D39" w:rsidP="007E3D39">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5DC6E5C7" wp14:editId="3269E00E">
            <wp:extent cx="5734050" cy="4159250"/>
            <wp:effectExtent l="0" t="0" r="0" b="0"/>
            <wp:docPr id="34" name="Imagen 34" descr="https://images.wsj.net/im-881311/?width=1278&amp;siz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ages.wsj.net/im-881311/?width=1278&amp;size=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731510" cy="4157408"/>
                    </a:xfrm>
                    <a:prstGeom prst="rect">
                      <a:avLst/>
                    </a:prstGeom>
                    <a:noFill/>
                    <a:ln>
                      <a:noFill/>
                    </a:ln>
                  </pic:spPr>
                </pic:pic>
              </a:graphicData>
            </a:graphic>
          </wp:inline>
        </w:drawing>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El problema de las cuentas públicas no es de ingresos, sino de unos gastos exponenciales, que se han tratado de sostener con mayor deuda y unos ingresos coyunturales derivados de la inflación. Una vez que los ingresos coyunturales se disipan, queda el enorme gasto estructural generado por la administración del estado, que impulsa el desequilibrio presupuestario.</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 xml:space="preserve">El incremento desorbitado de la deuda, para financiar el déficit público, es un desincentivo brutal para controlar el gasto. </w:t>
      </w:r>
    </w:p>
    <w:p w:rsidR="007E3D39" w:rsidRPr="00126F95"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Los bancos centrales están</w:t>
      </w:r>
      <w:r w:rsidRPr="00126F95">
        <w:rPr>
          <w:rFonts w:ascii="Times New Roman" w:hAnsi="Times New Roman" w:cs="Times New Roman"/>
          <w:sz w:val="24"/>
          <w:szCs w:val="24"/>
        </w:rPr>
        <w:t xml:space="preserve"> ante unos enemigos, de la ortodoxia monetaria, formidables, superdotados para la especulación personal y el mal general, unos tipos sin ningún tipo de escrúpulos morales, acostumbrados a emplear las armas financieras de destrucción masiva a su antojo (en beneficio propio).</w:t>
      </w:r>
    </w:p>
    <w:p w:rsidR="007E3D39" w:rsidRPr="00126F95"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E</w:t>
      </w:r>
      <w:r w:rsidRPr="00126F95">
        <w:rPr>
          <w:rFonts w:ascii="Times New Roman" w:hAnsi="Times New Roman" w:cs="Times New Roman"/>
          <w:sz w:val="24"/>
          <w:szCs w:val="24"/>
        </w:rPr>
        <w:t>sta no es</w:t>
      </w:r>
      <w:r>
        <w:rPr>
          <w:rFonts w:ascii="Times New Roman" w:hAnsi="Times New Roman" w:cs="Times New Roman"/>
          <w:sz w:val="24"/>
          <w:szCs w:val="24"/>
        </w:rPr>
        <w:t xml:space="preserve"> guerra para diletantes. P</w:t>
      </w:r>
      <w:r w:rsidRPr="00126F95">
        <w:rPr>
          <w:rFonts w:ascii="Times New Roman" w:hAnsi="Times New Roman" w:cs="Times New Roman"/>
          <w:sz w:val="24"/>
          <w:szCs w:val="24"/>
        </w:rPr>
        <w:t>or encima de todo, es urgente abordar de una vez por todas cuestiones que deberían estar en el ADN de un banco central liberal y riguroso, cosa que Alan Greenspan, Ben Bernanke, si me apuran, Mario Draghi, y sin duda Christine Lagarde, se encargaron de enterrar hace tiempo. ¡Qué fluya el dinero, ya veremos después como los recogemos! De esos polvos… estos lodos.</w:t>
      </w:r>
    </w:p>
    <w:p w:rsidR="007E3D39" w:rsidRP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Ha costado, pero finalmente la inflación ha pasado a formar parte del vocabulario de los funcionarios y analistas. </w:t>
      </w:r>
      <w:r w:rsidRPr="007E3D39">
        <w:rPr>
          <w:rFonts w:ascii="Times New Roman" w:hAnsi="Times New Roman" w:cs="Times New Roman"/>
          <w:sz w:val="24"/>
          <w:szCs w:val="24"/>
        </w:rPr>
        <w:t>Lo que no han querido hacer es reconocer que, sin el aumento del dinero en circulación, provocado conscientemente por los Bancos Centrales, la subida de precios podría haber sido transitoria y no habría afectado tanto a toda la economía.</w:t>
      </w:r>
    </w:p>
    <w:p w:rsidR="007E3D39" w:rsidRPr="006450C0" w:rsidRDefault="007E3D39" w:rsidP="007E3D39">
      <w:pPr>
        <w:pStyle w:val="NormalWeb"/>
        <w:jc w:val="both"/>
      </w:pPr>
      <w:r w:rsidRPr="006450C0">
        <w:lastRenderedPageBreak/>
        <w:t>Los principales bancos centrales (Fed, BCE, BoE, BOJ...) que hicieron funcionar el “metaverso” mo</w:t>
      </w:r>
      <w:r>
        <w:t>netario, no saben cómo detener la fábrica de dinero (falso) y sus daños colaterales (externalidades negativas)</w:t>
      </w:r>
      <w:r w:rsidRPr="006450C0">
        <w:t>.</w:t>
      </w:r>
    </w:p>
    <w:p w:rsidR="007E3D39" w:rsidRDefault="007E3D39" w:rsidP="007E3D39">
      <w:pPr>
        <w:pStyle w:val="NormalWeb"/>
        <w:jc w:val="both"/>
      </w:pPr>
      <w:r>
        <w:t>¿Y ahora qué harán?... ¿seguir incrementado el déficit público? ¿continuar aumentando la deuda soberana? ¿confiar en la connivencia del BCE? ¿prolongar la carrera loca hacia el abismo? ¿tirarse por el barranco? ¿renunciar, y convocar elecciones? ¿declararse dictadores políticos, militares e intelectuales (Pontifex Maximus)? ¿Incendiar Roma?</w:t>
      </w:r>
    </w:p>
    <w:p w:rsidR="007E3D39" w:rsidRDefault="007E3D39" w:rsidP="007E3D39">
      <w:pPr>
        <w:pStyle w:val="NormalWeb"/>
        <w:jc w:val="both"/>
      </w:pPr>
      <w:r>
        <w:t>¿Cómo reaccionará la ciudadanía (si aún le queda alguna capacidad crítica, después de haber sido abducidos, anestesiados, intoxicados, drogados, desinformados, espiados, controlados, manipulados, traficados por las redes sociales, las plataformas, la realidad virtual, el metaverso, y otras armas de “analfabetización” masiva) ante esta situación terminal?</w:t>
      </w:r>
    </w:p>
    <w:p w:rsidR="007E3D39" w:rsidRDefault="007E3D39" w:rsidP="007E3D39">
      <w:pPr>
        <w:pStyle w:val="NormalWeb"/>
        <w:jc w:val="both"/>
      </w:pPr>
      <w:r>
        <w:t xml:space="preserve">El hundimiento se precipita y los partidarios del progreso están a dos telediarios de quedarse huérfanos y sin claro relevo. La Comisión Europea, con unos dirigentes, faltos de recursos hasta  para seguir mintiendo, llevan a pensar que la sepultura, sin bendiciones ni responsos, sería lo mejor para la Unión Europea. </w:t>
      </w:r>
    </w:p>
    <w:p w:rsidR="007E3D39" w:rsidRDefault="007E3D39" w:rsidP="007E3D39">
      <w:pPr>
        <w:pStyle w:val="NormalWeb"/>
        <w:jc w:val="both"/>
      </w:pPr>
      <w:r>
        <w:t xml:space="preserve">Quizás esta vez haya suerte… pensarán en los Estados Unidos, el Reino Unido, o China, donde solo interesa Europa como “mercado” (cliente). Quizás esta vez  se convenzan que nos necesitan más ellos a nosotros, que nosotros a ellos… y ahora mucho más, pensarán en los Estados Unidos, el Reino Unido, o China, donde consideran a Europa como un museo vacío. </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La tesis central de la política monetaria tradicional afirma que si se aumenta la cantidad de dinero en circulación en manos de los residentes y se mantiene un funcionamiento normal de las instituciones monetarias (si la velocidad de circulación del dinero no varía) ese aumento provocará un aumento de precios, aunque parte de ese impulso monetario podría convertirse en crecimiento en determinadas condiciones. Es decir, si no hay crecimiento económico, el aumento de la Oferta Monetaria se traducirá en inflación.</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La nueva política monetaria tergiversa esa cadena de reacciones. Parte del supuesto de que la economía no puede crecer por los cambios estructurales en Occidente, que provocan un ahorro excesivo, que no se gasta en bienes y servicios. Y que ese cambio nos conduce a la deflación y a la depresión. Para superarlo sólo existe un camino, aumentar como sea la Oferta Monetaria, que no provocará inflación sino crecimiento. Esa sería la nueva responsabilidad de los Bancos Centrales.</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 xml:space="preserve">“La FED, el Banco Central Europeo y el Banco de Inglaterra adoptan la nueva política monetaria en fechas diferentes y con distintos ritmos. La FED es la precursora de esta nueva política, que sostenía que el mundo occidental había sufrido cambios estructurales, que nos arrastraban a la deflación y al estancamiento. Y que sólo se podría superar esa situación reduciendo los tipos de interés de mercado para acercarlos a un tipo “natural” de interés, que era el que inicialmente se había reducido. Era necesario, incluso, llegar a tipos de interés negativos. Para lograrlo había que aumentar la Oferta Monetaria, es decir, el dinero en circulación en manos de los residentes del país que se tratara. Y si las entidades de crédito no podían hacerlo por sus limitaciones de solvencia o por temor a las pérdidas lo tenía que hacer el propio Banco Central. Con políticas monetarias “no convencionales”, sostenía Alberto Recarte, en su artículo: La crisis de la expansión cuantitativa de Mario Draghi (I) (Vozpópuli - </w:t>
      </w:r>
      <w:r w:rsidRPr="007E3D39">
        <w:rPr>
          <w:rFonts w:ascii="Times New Roman" w:hAnsi="Times New Roman" w:cs="Times New Roman"/>
          <w:b/>
          <w:sz w:val="24"/>
          <w:szCs w:val="24"/>
        </w:rPr>
        <w:t>5/11/22</w:t>
      </w:r>
      <w:r w:rsidRPr="007E3D39">
        <w:rPr>
          <w:rFonts w:ascii="Times New Roman" w:hAnsi="Times New Roman" w:cs="Times New Roman"/>
          <w:sz w:val="24"/>
          <w:szCs w:val="24"/>
        </w:rPr>
        <w:t>).</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lastRenderedPageBreak/>
        <w:t>Durante la Gran Crisis Financiera, que comienza en 2008 y termina, con grandes diferencias entre países, en 2014, el presidente de la FED, Bernanke consigue imponer su tesis del descenso estructural del tipo de interés natural, lo que conllevaba que el problema de fondo fuera el exceso de ahorro y la deflación.</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La política monetaria tradicional había dejado de funcionar, según Bernanke y sus seguidores. Los Bancos Centrales tenía que actuar para reducir los tipos de interés, y aumentar la Oferta Monetaria con medidas no convencionales: tipos de interés negativos, comprando activos, es decir, deuda, del Sector Público, e incluso del privado, e implementando operaciones financieras a largo plazo para asegurar que los precios subirían, al menos, hasta el 2% anual.</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Los Bancos Centrales debían dejar de ser neutrales, en el sentido de Friedman, cuidadosos, defensores de su independencia ante todos los gobiernos y de exigir presupuestos públicos equilibrados. Los Bancos Centrales tenían que ser intervencionistas, tenían que luchar contra la deflación por medios no convencionales y tenían que impulsar el crecimiento económico. Una tarea que nunca antes habían asumido, por más que entre las obligaciones de la FED esté el de reducir el desempleo y controlar la inflación.</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Obviamente, una consecuencia de esta política, dispuesta a financiar las necesidades del Sector Público comprando su deuda se iba a traducir en un aumento del gasto público, que dejaba de tener freno por el coste nulo de la deuda, y por la seguridad de que el Banco Central la adquiriría. De hecho, los Bancos Centrales, no sólo la FED, han dejado de criticar los desequilibrios presupuestarios y han perdido, por el camino, la autoridad para poder exigir su limitación cuando fuera imprescindible. Como en este momento.</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 xml:space="preserve">“No cabe duda de que Mario Draghi transformó, para peor, la financiación de la economía europea. Y Lagarde no ha puesto en duda los fundamentos de esa nueva política monetaria”, señalaba Alberto Recarte, en su siguiente artículo: La crisis de la expansión cuantitativa de Mario Draghi (II) Vozpópuli - </w:t>
      </w:r>
      <w:r w:rsidRPr="007E3D39">
        <w:rPr>
          <w:rFonts w:ascii="Times New Roman" w:hAnsi="Times New Roman" w:cs="Times New Roman"/>
          <w:b/>
          <w:sz w:val="24"/>
          <w:szCs w:val="24"/>
        </w:rPr>
        <w:t>6/11/22</w:t>
      </w:r>
      <w:r w:rsidRPr="007E3D39">
        <w:rPr>
          <w:rFonts w:ascii="Times New Roman" w:hAnsi="Times New Roman" w:cs="Times New Roman"/>
          <w:sz w:val="24"/>
          <w:szCs w:val="24"/>
        </w:rPr>
        <w:t>).</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En 2015 comienza, inesperadamente, la nueva política monetaria. Mario Draghi, presidente del BCE, declara que “es el momento de la expansión cuantitativa”, es decir, el de incrementar sin miedo la Oferta Monetaria, de reducir a cero los tipos de interés y de monetizar, al cero por cien, la deuda pública de los países miembros. Con el mantra de que el tipo de interés natural se había reducido y de que la inflación no sería ningún problema como se ponía de manifiesto en índices de precios a la baja en gran parte del mundo, porque el problema era la deflación.</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No cabe duda de que Mario Draghi había transformado la financiación de la economía europea. Para peor. Innecesariamente. Y a Draghi le ha sucedido una política, Lagarde, que no ha puesto en duda, ni ella ni los representantes de los países miembros en el Consejo del BCE, los fundamentos de esa nueva política monetaria, que en el mejor de los casos quería conseguir que los precios crecieran al 2% anual.</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t>La forma de hacer frente a la pandemia, económica y monetariamente, ya había sido ensayada en el periodo 2016-2019. El Sector Pública se endeudaba, la deuda la compraba el BCE y los ingresos estatales se transferían a familias y empresas, que los gastaban o los ahorraban depositándolos en sus bancos. Y los bancos o los esterilizaban en el BCE o los utilizaban, mínimamente, para dar créditos porque podían utilizar los préstamos del BCE con ese objetivo. Los particulares, familias y empresas, aumentan sustancialmente su ahorro ante la imposibilidad de gastar lo necesario, y lo deseado, dada la parálisis económica mundial.</w:t>
      </w:r>
    </w:p>
    <w:p w:rsidR="007E3D39" w:rsidRPr="007E3D39" w:rsidRDefault="007E3D39" w:rsidP="007E3D39">
      <w:pPr>
        <w:spacing w:line="240" w:lineRule="auto"/>
        <w:jc w:val="both"/>
        <w:rPr>
          <w:rFonts w:ascii="Times New Roman" w:hAnsi="Times New Roman" w:cs="Times New Roman"/>
          <w:sz w:val="24"/>
          <w:szCs w:val="24"/>
        </w:rPr>
      </w:pPr>
      <w:r w:rsidRPr="007E3D39">
        <w:rPr>
          <w:rFonts w:ascii="Times New Roman" w:hAnsi="Times New Roman" w:cs="Times New Roman"/>
          <w:sz w:val="24"/>
          <w:szCs w:val="24"/>
        </w:rPr>
        <w:lastRenderedPageBreak/>
        <w:t>La pandemia, y la postpandemia, desde finales de 2019 hasta septiembre de 2022, han supuesto un aumento del balance consolidado del Eurosistema de 4.135.685 millones de euros. Mientras la expansión cuantitativa de Draghi sumó entre 2014 y 2019, 2.363.187 millones. En lo que respecta a compra de activos, públicos y privados, la pandemia y la postpandemia han sumado 2.262.420 millones entre finales de 2019 y septiembre de 2022. Mientras la expansión cuantitativa de Draghi, entre finales de 2014 y 2019, supuso un aumento de ese tipo de activos en el balance de 2.256.837 millones. Unas cifras casi idénticas, que reflejan que la política de monetizar deuda pública, sin pagar siquiera los intereses, estaba institucionalizada por los equipos directivos del BCE.</w:t>
      </w:r>
    </w:p>
    <w:p w:rsidR="007E3D39" w:rsidRDefault="007E3D39" w:rsidP="007E3D39">
      <w:pPr>
        <w:spacing w:line="240" w:lineRule="auto"/>
        <w:jc w:val="both"/>
        <w:rPr>
          <w:rFonts w:ascii="Times New Roman" w:hAnsi="Times New Roman" w:cs="Times New Roman"/>
          <w:sz w:val="24"/>
          <w:szCs w:val="24"/>
        </w:rPr>
      </w:pPr>
      <w:r w:rsidRPr="002164AD">
        <w:rPr>
          <w:rFonts w:ascii="Times New Roman" w:hAnsi="Times New Roman" w:cs="Times New Roman"/>
          <w:sz w:val="24"/>
          <w:szCs w:val="24"/>
        </w:rPr>
        <w:t>El impulso al populismo político. La política de gasto público financiada sin problemas por los Bancos Centrales ha reafirmado el convencimiento de los progresistas de todos los partidos de que había que incrementar el gasto social. Ellos parecían tener razón. Por su parte, los conservadores se han encontrado con que no tenían argumentos para defender la moderación en el gasto público y los equilibrios presupuestarios. Esa política la habían dejado de defender incluso los Bancos Centrales. Por eso, todos los partidos son ahora populistas en el gasto público.</w:t>
      </w:r>
    </w:p>
    <w:p w:rsidR="007E3D39" w:rsidRDefault="007E3D39" w:rsidP="007E3D39">
      <w:pPr>
        <w:pStyle w:val="selectionshareable"/>
        <w:shd w:val="clear" w:color="auto" w:fill="FFFFFF"/>
        <w:jc w:val="both"/>
        <w:textAlignment w:val="baseline"/>
        <w:rPr>
          <w:shd w:val="clear" w:color="auto" w:fill="FFFFFF"/>
        </w:rPr>
      </w:pPr>
      <w:r>
        <w:rPr>
          <w:shd w:val="clear" w:color="auto" w:fill="FFFFFF"/>
        </w:rPr>
        <w:t>Para “tranquilizar a los mercados” (sic), los bancos centrales (de los países avanzados, y de los demás, en la medida de sus “temeridades”), antes (2008) y después (2020-2021) han fabricado dos cosas: billetes a mansalva y una bomba que ellos mismos deberán desactivar con grandes posibilidades de ser alcanzados por las esquirlas. Ninguno de nosotros (vivamos en el lado bueno, o en el lado malo, de las vías del tren) estará a salvo de ellas. La pregunta del momento es entonces qué harán realmente los bancos centrales “el día después”, cuánto pesará en su decisión la  pesadísima e inmovilizante armadura de plomo que los protege, y cuánto podrán maniobrar sin “irritar” a los “amos del universo” (principales beneficiarios del relajamiento monetario), y “fastidiar” al poder político (cómplices necesarios, de la gran estafa inflacionaria).</w:t>
      </w:r>
    </w:p>
    <w:p w:rsidR="007E3D39" w:rsidRDefault="007E3D39" w:rsidP="007E3D39">
      <w:pPr>
        <w:pStyle w:val="selectionshareable"/>
        <w:shd w:val="clear" w:color="auto" w:fill="FFFFFF"/>
        <w:jc w:val="both"/>
        <w:textAlignment w:val="baseline"/>
        <w:rPr>
          <w:shd w:val="clear" w:color="auto" w:fill="FFFFFF"/>
        </w:rPr>
      </w:pPr>
      <w:r>
        <w:rPr>
          <w:shd w:val="clear" w:color="auto" w:fill="FFFFFF"/>
        </w:rPr>
        <w:t>Analizando sus actuaciones anteriores (desde el año 2008 en adelante), es más que probable, que lo hagan con el concurso, de esos mecanismos medianamente sinceros de la mala fe. Si no fuera tan infantil creeríamos que esta gente se ha vuelto idiota. Meros “burócratas megalómanos”, asentados en una anodina posmodernidad. Resultan tan previsibles como los matasuegras en las fiestas: algo inventado para alegrar pero que da grima.</w:t>
      </w:r>
    </w:p>
    <w:p w:rsidR="007E3D39" w:rsidRDefault="007E3D39" w:rsidP="007E3D39">
      <w:pPr>
        <w:pStyle w:val="selectionshareable"/>
        <w:shd w:val="clear" w:color="auto" w:fill="FFFFFF"/>
        <w:jc w:val="both"/>
        <w:textAlignment w:val="baseline"/>
        <w:rPr>
          <w:shd w:val="clear" w:color="auto" w:fill="FFFFFF"/>
        </w:rPr>
      </w:pPr>
      <w:r>
        <w:rPr>
          <w:shd w:val="clear" w:color="auto" w:fill="FFFFFF"/>
        </w:rPr>
        <w:t>Después de lo vivido y padecido por los ciudadanos europeos, desde el año 2008 en adelante (aunque este proceso de “involución permanente” se inicia en 1980, con Reagan y Thatcher, a los mandos), los cautivos contribuyentes, tienen derecho a preguntar:</w:t>
      </w:r>
    </w:p>
    <w:p w:rsidR="007E3D39" w:rsidRDefault="007E3D39" w:rsidP="007E3D39">
      <w:pPr>
        <w:pStyle w:val="NormalWeb"/>
        <w:jc w:val="both"/>
      </w:pPr>
      <w:r>
        <w:t>¿Para qué sirvió el proceso de devaluación interna?</w:t>
      </w:r>
    </w:p>
    <w:p w:rsidR="007E3D39" w:rsidRDefault="007E3D39" w:rsidP="007E3D39">
      <w:pPr>
        <w:pStyle w:val="NormalWeb"/>
        <w:jc w:val="both"/>
      </w:pPr>
      <w:r>
        <w:t>¿Para qué sirvió la agresiva represión financiera y el castigo al ahorro?</w:t>
      </w:r>
    </w:p>
    <w:p w:rsidR="007E3D39" w:rsidRDefault="007E3D39" w:rsidP="007E3D39">
      <w:pPr>
        <w:pStyle w:val="NormalWeb"/>
        <w:jc w:val="both"/>
      </w:pPr>
      <w:r>
        <w:t>¿Para qué sirvió laminar el estado de bienestar?</w:t>
      </w:r>
    </w:p>
    <w:p w:rsidR="007E3D39" w:rsidRDefault="007E3D39" w:rsidP="007E3D39">
      <w:pPr>
        <w:pStyle w:val="NormalWeb"/>
        <w:jc w:val="both"/>
      </w:pPr>
      <w:r>
        <w:t>¿Para qué sirvió el empobrecimiento de la clase trabajadora?</w:t>
      </w:r>
    </w:p>
    <w:p w:rsidR="007E3D39" w:rsidRDefault="007E3D39" w:rsidP="007E3D39">
      <w:pPr>
        <w:pStyle w:val="NormalWeb"/>
        <w:jc w:val="both"/>
      </w:pPr>
      <w:r>
        <w:t>¿Para qué sirvió la ingente cantidad de recursos públicos que se lanzaron al mercado?</w:t>
      </w:r>
    </w:p>
    <w:p w:rsidR="007E3D39" w:rsidRDefault="007E3D39" w:rsidP="007E3D39">
      <w:pPr>
        <w:pStyle w:val="NormalWeb"/>
        <w:jc w:val="both"/>
      </w:pPr>
      <w:r>
        <w:t>¿Para qué sirvió el gas de la risa (relajamiento monetario del BCE)?</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El histórico engorde del balance de los bancos centrales propició que 2020 fuera el año en el que más dinero se creó en cinco décadas. Según datos del FMI, la suma de las deudas de los hogares, de las empresas no financieras y de los Gobiernos a nivel mundial alcanzó los 28 billones de dólares, hasta dejar el total en 226 billones, o lo que era lo mismo, el 256% del PIB mundial. Pero hasta en esto hay clases. En concreto, según el FMI, el 90% del aumento de deuda de 2020 se produjo en las economías avanzadas y China. Aquellos que pudieron recurrir a sus bancos centrales.</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Los bancos centrales de los países avanzados son los “socios del silencio” del establishment, se nota de inmediato que todos conocen una verdad indecible y que deben cerrarse sobre ella a cualquier precio para que no salga a la luz. Y cuando actúan, a remolque de los acontecimientos, todo es poco, siempre, y todo es demasiado tarde.</w:t>
      </w:r>
    </w:p>
    <w:p w:rsidR="007E3D39" w:rsidRDefault="007E3D39" w:rsidP="007E3D39">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La omertá de esta banda solo se quiebra cuando el eslabón más débil de la cadena confiesa en un susurro: “No puedo pagar mi deuda”.  ¡The game is over!…</w:t>
      </w:r>
    </w:p>
    <w:p w:rsidR="007E3D39" w:rsidRDefault="007E3D39" w:rsidP="007E3D39">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Esta modelo de negocios (economía de casino) se llevó a cabo, en realidad, con racionalidad pura o en todo caso con “ebriedad financiera” y siguiendo la inspiración de los grandes “hacedores de mercado”, y luego se tiende sobre ello un conveniente manto de silencio: el vulgo no está preparado para comprender. A quien llega y comienza a interrogar sobre lo ocultado, sobre la gangrena muda que se intenta escamotear pero que devora los nervios de los “global players”, hay que hacerle la vida imposible y echarlo del mapa.  </w:t>
      </w:r>
    </w:p>
    <w:p w:rsidR="007E3D39" w:rsidRDefault="007E3D39" w:rsidP="007E3D39">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Otro punto ciego, otro pecado impronunciable que hierve y se pudre en la oscuridad, y corroe el alma de los “global players”, es la evidencia de que las fórmulas que alguna vez construyeron su identidad ya no funcionan, que repetirlas ciegamente es por lo tanto un signo de necedad e impotencia y que sería necesario lo más delicado: hacer una autocrítica profunda, admitir los errores y modificar los procedimientos. </w:t>
      </w:r>
    </w:p>
    <w:p w:rsidR="007E3D39" w:rsidRDefault="007E3D39" w:rsidP="007E3D39">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Si algo probó la crisis del año 2008 (financiera) y definitivamente la crisis del año 2020 (sanitaria) fue que ya no hay gobierno posible sin disciplina fiscal y con destrucción de la moneda; que deslocalizar la industria o empobrecer la clase media, son políticas suicidas.</w:t>
      </w:r>
    </w:p>
    <w:p w:rsidR="007E3D39" w:rsidRDefault="007E3D39" w:rsidP="007E3D39">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Un desastre tapa el anterior. Las pifias se suceden sin enmienda. No hay culpables porque no hay culpas. Nada es grave o definitivo, por lo que los errores se convierten en anécdotas, las pifias se diluyen en la nimiedad. No hay culpas ni culpables. Todo es una maldita broma…</w:t>
      </w:r>
    </w:p>
    <w:p w:rsidR="007E3D39" w:rsidRDefault="007E3D39" w:rsidP="007E3D39">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La cleptocracia de los líderes políticos, la avaricia de los grandes empresarios, y la venalidad de los dirigentes sindicales -con la “cooperación necesaria” de los bancos centrales- y los fallos de un sistema económico globalista, especulativo y cortoplacista  (la “ideología” que los trajo a ellos mismos hasta esta hecatombe) deben negarse como se niega una infidelidad o un crimen; deben cerrarse sobre esos temas a cualquier precio para que la verdad no salga a la luz. Y patrullar esta planicie desértica en que se ha transformado la economía de los países avanzados (ahora, en vías de subdesarrollo), y agredir a cualquiera que haga preguntas inconvenientes o lance críticas certeras. </w:t>
      </w:r>
    </w:p>
    <w:p w:rsidR="007E3D39" w:rsidRDefault="007E3D39" w:rsidP="007E3D39">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La verdad es la verdad, dígala Agamenón o su porquero: este modelo económico está muerto, y aunque cuando alguien baja del tren y lo señala, es atacado con furia por ignorante, antiguo, analógico, o retrógrado… pero la procesión va por dentro, y todos saben que las cosas fueron mal hechas y que tarde o temprano deberán asumirlo y cambiar para seguir sobreviviendo. </w:t>
      </w:r>
    </w:p>
    <w:p w:rsidR="007E3D39" w:rsidRDefault="007E3D39" w:rsidP="007E3D39">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A menos que estén esperando que la naturaleza cumpla su cometido y los alivie de tomar una decisión que complicaría aún más esa excrecencia que ha ido tomando cuerpo ante el pasmo </w:t>
      </w:r>
      <w:r>
        <w:rPr>
          <w:rFonts w:ascii="Times New Roman" w:hAnsi="Times New Roman" w:cs="Times New Roman"/>
          <w:sz w:val="24"/>
          <w:szCs w:val="24"/>
        </w:rPr>
        <w:lastRenderedPageBreak/>
        <w:t>general y la complicidad de los enterados (llamados, las “partes interesadas”, aunque me gusta más decir, los “extractores de renta”, y de todo lo que no sabemos pero intuimos).</w:t>
      </w:r>
    </w:p>
    <w:p w:rsidR="007E3D39" w:rsidRDefault="007E3D39" w:rsidP="007E3D39">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 xml:space="preserve">Y al final, las autoridades monetarias, qué son: ¿Banqueros o magos? </w:t>
      </w:r>
    </w:p>
    <w:p w:rsidR="007E3D39" w:rsidRDefault="007E3D39" w:rsidP="007E3D39">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Canción triste de Jackson Hole: sin miedo, y sin esperanza, me animo a decir que no son ni lo uno (banqueros), ni lo otro (magos), sino unos copistas del eco de un ruido ensordecedor que no significa absolutamente nada. Salvo lo mucho que mandan los necios (amos del universo).</w:t>
      </w:r>
    </w:p>
    <w:p w:rsidR="007E3D39" w:rsidRDefault="007E3D39" w:rsidP="007E3D39">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Por la vida económica de los países avanzados hemos visto desfilar en las últimas décadas a personajes singulares, políticos convertidos en fábricas de vergüenza ajena, empresarios travestidos de dioses que nos han escandalizado, académicos o comunicadores a los que hubiéramos arrojado por la alcantarilla… pero creo que los que más daño hacen a la confianza de los ciudadanos (que ya es decir), son los “guardianes del dinero” (por la suerte que les trae), y aquí los presidentes y gobernadores de los bancos centrales han asumido el triste papel de unos bufones cazarecompensas (¿agradadores? ¿animales de compañía?) de la economía de casino, pegados a la componenda, reacios al libre mercado.</w:t>
      </w:r>
    </w:p>
    <w:p w:rsidR="007E3D39" w:rsidRDefault="007E3D39" w:rsidP="007E3D39">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Siempre en el filo de la navaja. Siempre salvando bolas de set y partido. Siempre listos para ayudar a los grandes bancos (dizque sistémicos) y al gobierno de turno (que maneja el boletín oficial, y los designa en el cargo). Un canto fúnebre a la libre competencia.</w:t>
      </w:r>
    </w:p>
    <w:p w:rsidR="007E3D39" w:rsidRDefault="007E3D39" w:rsidP="007E3D39">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¡Silencio, se rueda!, en el BCE, o en la Fed, o en el BoE -tanto monta, monta tanto-: “Pájaros volando” o si prefieren: “Canción triste de Jackson Hole”)… Unas fábricas de basura (monetaria) al por mayor, cuyas consecuencias para la salud moral de la sociedad eran de prever. Dispuestos envilecer la moneda para continuar dopando a los mercados. Bomberos pirómanos. Socorristas de especuladores y corruptos (“que serán unos hijos de puta, pero que son nuestros hijos de puta”). Sin mecanismo alguno de control monetario. Sin vergüenza.</w:t>
      </w:r>
    </w:p>
    <w:p w:rsidR="007E3D39" w:rsidRDefault="007E3D39" w:rsidP="007E3D39">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Pero, ni siquiera la retórica más encendida de los tragasables académicos, gurús mediáticos, o analistas serviles, puede seguir ocultando el fracaso de la economía de casino (especulación financiera, entretenimiento, y manguerazos de liquidez). “Barra libre” y que siga la fiesta…</w:t>
      </w:r>
    </w:p>
    <w:p w:rsidR="007E3D39" w:rsidRDefault="007E3D39" w:rsidP="007E3D39">
      <w:pPr>
        <w:shd w:val="clear" w:color="auto" w:fill="FFFFFF"/>
        <w:spacing w:line="240" w:lineRule="auto"/>
        <w:jc w:val="both"/>
        <w:textAlignment w:val="baseline"/>
        <w:rPr>
          <w:rFonts w:ascii="Times New Roman" w:hAnsi="Times New Roman" w:cs="Times New Roman"/>
          <w:sz w:val="24"/>
          <w:szCs w:val="24"/>
        </w:rPr>
      </w:pPr>
      <w:r>
        <w:rPr>
          <w:rFonts w:ascii="Times New Roman" w:hAnsi="Times New Roman" w:cs="Times New Roman"/>
          <w:sz w:val="24"/>
          <w:szCs w:val="24"/>
        </w:rPr>
        <w:t>El arte de lo terrible, lo inquietante y lo grotesco, llega a su fin: la “tierra prometida” era China, el “líder supremo” Xi Jinping, y el “nuevo testamento” la Agenda 2030 de Davos.</w:t>
      </w:r>
    </w:p>
    <w:p w:rsidR="007E3D39" w:rsidRDefault="007E3D39" w:rsidP="007E3D39">
      <w:pPr>
        <w:pStyle w:val="NormalWeb"/>
        <w:jc w:val="both"/>
        <w:rPr>
          <w:b/>
        </w:rPr>
      </w:pPr>
      <w:r>
        <w:rPr>
          <w:b/>
        </w:rPr>
        <w:t xml:space="preserve">Nota: </w:t>
      </w:r>
      <w:r w:rsidRPr="00097245">
        <w:rPr>
          <w:b/>
        </w:rPr>
        <w:t>Cuando en 1989 cayó e</w:t>
      </w:r>
      <w:r>
        <w:rPr>
          <w:b/>
        </w:rPr>
        <w:t>l Muro de Berlín, muchos analistas pensaron</w:t>
      </w:r>
      <w:r w:rsidRPr="00097245">
        <w:rPr>
          <w:b/>
        </w:rPr>
        <w:t xml:space="preserve"> que América iba a gobernar el planeta</w:t>
      </w:r>
      <w:r>
        <w:rPr>
          <w:b/>
        </w:rPr>
        <w:t xml:space="preserve"> (recordar, por ejemplo, el “fin de la historia” de Fukuyama)</w:t>
      </w:r>
      <w:r w:rsidRPr="00097245">
        <w:rPr>
          <w:b/>
        </w:rPr>
        <w:t>. Pero no ha sido así. Los patrones de productividad económica y de generación de riqueza en el mundo han cambiado de manera drástica, se han desplazad</w:t>
      </w:r>
      <w:r>
        <w:rPr>
          <w:b/>
        </w:rPr>
        <w:t xml:space="preserve">o hacia otros lugares. China ha sido el principal beneficiario de la globalización económica, porque las empresas multinacionales optaron por trasladar su producción a la “fábrica del mundo”, para mejorar su competitividad, y ampliar sus beneficios. E históricamente, </w:t>
      </w:r>
      <w:r w:rsidRPr="00097245">
        <w:rPr>
          <w:b/>
        </w:rPr>
        <w:t>el poder va donde está el dinero. Eso está rehaciendo el patrón del dominio político, diplomático e imperial en todo el mundo.</w:t>
      </w:r>
    </w:p>
    <w:p w:rsidR="007E3D39" w:rsidRDefault="007E3D39" w:rsidP="007E3D39">
      <w:pPr>
        <w:pStyle w:val="NormalWeb"/>
        <w:jc w:val="both"/>
        <w:rPr>
          <w:b/>
        </w:rPr>
      </w:pPr>
      <w:r>
        <w:rPr>
          <w:b/>
        </w:rPr>
        <w:t>Espero (y deseo) que los árboles de sus mentiras no oculten el bosque de su traición, que es ni más ni menos que la capitulación de Occidente ante el Comunismo Chino, para poder seguir con su exclusiva y particular forma de captura indebida de las rentas.</w:t>
      </w:r>
    </w:p>
    <w:p w:rsidR="007E3D39" w:rsidRDefault="007E3D39" w:rsidP="007E3D39">
      <w:pPr>
        <w:pStyle w:val="NormalWeb"/>
        <w:jc w:val="both"/>
      </w:pPr>
    </w:p>
    <w:p w:rsidR="007E3D39" w:rsidRPr="0077470F" w:rsidRDefault="007E3D39" w:rsidP="007E3D39">
      <w:pPr>
        <w:pStyle w:val="NormalWeb"/>
        <w:jc w:val="both"/>
      </w:pPr>
      <w:r>
        <w:rPr>
          <w:b/>
        </w:rPr>
        <w:lastRenderedPageBreak/>
        <w:t xml:space="preserve">- </w:t>
      </w:r>
      <w:r w:rsidRPr="00B70646">
        <w:rPr>
          <w:b/>
        </w:rPr>
        <w:t>La tormenta perfecta que los lobos de Wall Street siguen ignorando (y aprovechando)</w:t>
      </w:r>
    </w:p>
    <w:p w:rsidR="007E3D39" w:rsidRPr="002E788C" w:rsidRDefault="007E3D39" w:rsidP="007E3D39">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22C54DFB" wp14:editId="064D684F">
            <wp:extent cx="5734050" cy="3346450"/>
            <wp:effectExtent l="0" t="0" r="0" b="6350"/>
            <wp:docPr id="101" name="Imagen 101" descr="https://phantom-expansion.unidadeditorial.es/f69649fa7f6f98d474de9689df562f2b/resize/828/f/jpg/assets/multimedia/imagenes/2023/11/03/169905205926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phantom-expansion.unidadeditorial.es/f69649fa7f6f98d474de9689df562f2b/resize/828/f/jpg/assets/multimedia/imagenes/2023/11/03/16990520592601.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31510" cy="3344968"/>
                    </a:xfrm>
                    <a:prstGeom prst="rect">
                      <a:avLst/>
                    </a:prstGeom>
                    <a:noFill/>
                    <a:ln>
                      <a:noFill/>
                    </a:ln>
                  </pic:spPr>
                </pic:pic>
              </a:graphicData>
            </a:graphic>
          </wp:inline>
        </w:drawing>
      </w:r>
    </w:p>
    <w:p w:rsidR="007E3D39" w:rsidRDefault="007E3D39" w:rsidP="007E3D39">
      <w:pPr>
        <w:pStyle w:val="NormalWeb"/>
        <w:spacing w:before="0" w:beforeAutospacing="0" w:after="0" w:afterAutospacing="0"/>
        <w:jc w:val="both"/>
      </w:pPr>
      <w:r w:rsidRPr="0077470F">
        <w:t>En un Paper anterior:</w:t>
      </w:r>
      <w:r>
        <w:rPr>
          <w:b/>
        </w:rPr>
        <w:t xml:space="preserve"> “La grave enfermedad de la deuda (¿epidemia, plaga, adicción, o ficción?) - ¿Qué se puede hacer cuando a los bancos centrales se les acaba la mecha?”</w:t>
      </w:r>
      <w:r w:rsidRPr="0077470F">
        <w:t xml:space="preserve">, publicado el </w:t>
      </w:r>
      <w:r w:rsidRPr="0077470F">
        <w:rPr>
          <w:b/>
        </w:rPr>
        <w:t>15/1/23</w:t>
      </w:r>
      <w:r>
        <w:t>, decía:</w:t>
      </w:r>
    </w:p>
    <w:p w:rsidR="007E3D39" w:rsidRPr="0077470F" w:rsidRDefault="007E3D39" w:rsidP="007E3D39">
      <w:pPr>
        <w:pStyle w:val="NormalWeb"/>
        <w:spacing w:before="0" w:beforeAutospacing="0" w:after="0" w:afterAutospacing="0"/>
        <w:jc w:val="both"/>
      </w:pPr>
    </w:p>
    <w:p w:rsidR="007E3D39" w:rsidRDefault="007E3D39" w:rsidP="007E3D39">
      <w:pPr>
        <w:spacing w:line="240" w:lineRule="auto"/>
        <w:jc w:val="both"/>
        <w:rPr>
          <w:rFonts w:ascii="Times New Roman" w:hAnsi="Times New Roman" w:cs="Times New Roman"/>
          <w:b/>
          <w:sz w:val="24"/>
          <w:szCs w:val="24"/>
        </w:rPr>
      </w:pPr>
      <w:r>
        <w:rPr>
          <w:rFonts w:ascii="Times New Roman" w:hAnsi="Times New Roman" w:cs="Times New Roman"/>
          <w:b/>
          <w:sz w:val="24"/>
          <w:szCs w:val="24"/>
        </w:rPr>
        <w:t>El irresistible encanto de las mentiras</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¿Qué diferencia hay entre ser contemporizador, acomodaticio, cómplice, connivente, profesional de la quietud, servidor lealísimo de la inmovilidad, paralítico fingido, ciego voluntario, amnésico de conveniencia, o simple simulador… y estar enfermo, afectado por la idiotez, o ser un incapaz manifiesto?</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¿En cuál categoría (dentro de esta lista de calificativos, que pueden ampliar) colocarían ustedes a Alan Greenspan (el Maestro: “Que fluya el dinero, ya veremos más adelante cómo lo recogemos”), a Ben Bernanke (el Nobel de economía: “El helicóptero del dinero deber ser una herramienta a tener en cuenta”), a Mario Draghi (Súper Mario: “Haré lo que sea necesario para salvar el euro... Y créanme, será suficiente”, o a C</w:t>
      </w:r>
      <w:r w:rsidR="00E92717">
        <w:rPr>
          <w:rFonts w:ascii="Times New Roman" w:hAnsi="Times New Roman" w:cs="Times New Roman"/>
          <w:sz w:val="24"/>
          <w:szCs w:val="24"/>
        </w:rPr>
        <w:t>h</w:t>
      </w:r>
      <w:r>
        <w:rPr>
          <w:rFonts w:ascii="Times New Roman" w:hAnsi="Times New Roman" w:cs="Times New Roman"/>
          <w:sz w:val="24"/>
          <w:szCs w:val="24"/>
        </w:rPr>
        <w:t xml:space="preserve">ristine Lagard (abogada y política francesa, ex directora de FMI: “La inflación es transitoria”)… por ejemplo?   </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Reitero las preguntas (sin respuesta, aún): ¿Tienen acaso taponada la capacidad de pensar? </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¿No saben discernir entre cuáles hechos son verdad y cuáles son mentira?</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Esta suposición tampoco se tiene en pie. Entonces, lamentablemente, debemos concluir que son los cómplices de la estafa, negándose a certificar la muerte del dinero barato, e intentando prolongar la falacia (utopía) de la teoría monetaria moderna (que ni era una teoría, ni era monetaria, ni era moderna). </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Desde aquel 15 de septiembre de 2008 cuando se declaró la quiebra de Lehman Brothers hasta ahora han pasado algo más de 14 años. ¿Cómo se gestó? (Resumen) Todo el problema se generó por un entorno de tipos de interés artificialmente bajos que alimentaron la compra </w:t>
      </w:r>
      <w:r>
        <w:rPr>
          <w:rFonts w:ascii="Times New Roman" w:hAnsi="Times New Roman" w:cs="Times New Roman"/>
          <w:sz w:val="24"/>
          <w:szCs w:val="24"/>
        </w:rPr>
        <w:lastRenderedPageBreak/>
        <w:t xml:space="preserve">de vivienda con la constitución de hipotecas. Unas hipotecas que se agrupaban en conjunto y se convertían en un producto financiero considerado de máxima solvencia, la famosa triple A. Estos paquetes se compraban y vendían en los mercados y se utilizaban de colateral, a su vez, para otras operaciones, inundando el mercado y multiplicando los beneficios de las entidades financieras. (Fuente: ¿Se está preparando un nuevo Lehman Brothers? “Esta vez no caerán los bancos, caerán los estados” - Luis Fernando Quintero - Liberta Digital - </w:t>
      </w:r>
      <w:r w:rsidRPr="007F3852">
        <w:rPr>
          <w:rFonts w:ascii="Times New Roman" w:hAnsi="Times New Roman" w:cs="Times New Roman"/>
          <w:b/>
          <w:sz w:val="24"/>
          <w:szCs w:val="24"/>
        </w:rPr>
        <w:t>10/11/22</w:t>
      </w:r>
      <w:r>
        <w:rPr>
          <w:rFonts w:ascii="Times New Roman" w:hAnsi="Times New Roman" w:cs="Times New Roman"/>
          <w:sz w:val="24"/>
          <w:szCs w:val="24"/>
        </w:rPr>
        <w:t>)</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Se descubrió que la mayor parte de esos paquetes estaban sostenidos por un subyacente (valor final que sostiene el producto) que eran hipotecas que se estaban impagando de forma mayoritaria. Es decir que eran productos construidos sobre un valor que se había esfumado. Si se impagaban las hipotecas, toda la cadena de valor que había recorrido ese producto se había quebrado. Cuando se descubrió con la caída de Lehman Brothers, la incertidumbre inundó los mercados, nadie se fiaba de nadie y la solvencia de todo el sistema financiero (hasta arriba de estos productos) estaba en entredicho.</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De aquella crisis se salió inundando de liquidez los mercados. Los bancos centrales, a un lado y otro del atlántico, se dedicaron a imprimir billetes a un ritmo nunca visto hasta el momento. Compraban deuda de los estados y emitían más dinero. Dólares y euros sin freno. Ben Bernanke creo los QE (expansión cuantitativa), lanzado billetes desde el helicóptero de la Fed. “Haremos todo lo que sea necesario” dijo Mario Draghi siendo presidente del BCE en 2012 ante la tensión que estaban sufriendo las primas de riesgo de los países periféricos en Europa y que mantuvieron a países como España al borde del default.</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Y lo hicieron. Es decir, que para salir de una crisis provocada, en última instancia, por unos tipos de interés artificialmente bajos, decidieron, no bajarlos, sino hundirlos hasta dejarlos en terreno negativo.</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Esto supuso un incentivo enorme para los estados que dispararon su endeudamiento y su gasto público con excusa de la crisis. Así, desde entonces, por ejemplo España ha pasado de sostener una deuda del 60% del PIB en 2008 hasta el 120% del PIB de deuda que tenemos ahora.</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Es más, si uno observa la evolución del endeudamiento de los países europeos desde 2008 hasta ahora es, sin excepción, una curva ascendente muy pronunciada.</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¿Y cómo ha favorecido el regulador este flujo de financiación ilimitada a los estados? Muy sencillo, cambiando las reglas del juego para que la deuda soberana de los países europeos sea considerada “risk free” o “Triple A”. Es más, es el único producto financiero que goza de dispensas de provisionamiento.</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El BCE ofrecía financiación prácticamente gratuita siempre y cuando se le ofreciera como colateral deuda soberana de países europeos. No valía ningún otro producto: sólo la deuda soberana.</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Es un mecanismo similar al que funciona con las hipotecas, que son créditos que cuentan con la garantía de la vivienda. Pues en este caso, el BCE para prestar dinero gratis pedía como “colateral” o garantía esa deuda soberana.</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Así es como se libera la llave del grifo de la liquidez infinita. El regulador le dijo a los bancos que si acudían al BCE a obtener financiación, podrían obtenerla gratuita siempre que ofrecieran como colateral la deuda soberana. Y si empleaban esa liquidez para operar, no tendrían la necesidad de provisionar. </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Básicamente lo que le dijo el regulador a los bancos es que, mientras para operar emplearan fondos propios (los recursos de sus depositantes), tendrían que aplicar un porcentaje equivalente en provisiones… Pero si seguían las indicaciones del BCE, compraban deuda soberana de los países miembros de la UE, el BCE le ofrecería una financiación que podrían emplear para operar sin necesidad de provisionar absolutamente nada.</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Ante esta situación, parece ya más lógico que los bancos hayan comprado toda la deuda pública que hayan podido incluso a tipos negativos. No sólo no impactaban sobre resultados, sino que además gozaban de una materia prima (liquidez) enorme para desarrollar su negocio y además, casi gratis.</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Por su parte, cientos de miles de productos financieros en los balances de los fondos de pensiones de todo el mundo han estado llenos de una deuda pública que no ofrecía rentabilidad, lo que ha empujado a sus gestores a ofrecer esa renta fija como garantía para contratar otros productos que lleven algo de rentabilidad a sus partícipes. Y como los fondos de pensiones, miles de productos financieros.</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Como en los 2000 las hipotecas eran consideradas activos triple A, libres de riesgo porque “como todo el mundo sabe las hipotecas se pagan”, ahora el activo libre de riesgo triple A o “risk free”, como se le conoce en el mundillo, es la deuda pública. Y esto es así porque “como todo el mundo sabe, los estados no quiebran”… ¿O sí?</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Teniendo en cuenta que el volumen de los mercados de deuda pública son mucho mayores a los de acciones, y que el mercado es muy eficiente en la creación de productos que emplean subyacentes o colaterales considerados libres de riesgo unido a una década de dinero gratis, el resultado es una tormenta perfecta que ha comenzado a agitar las aguas con la inflación y la subida de tipos de interés. Y esto, a su vez, tensiona las economías, en este caso, del viejo continente (también de los EEUU).</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A cierre de 2021 la deuda pública europea en manos de los bancos europeos era de 3,18 billones de euros. Dos veces el PIB español.</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Si en 2008 estalló la crisis financiera porque se descubrió que las hipotecas que sostenían todos esos paquetes que se compraron y se vendieron en todo el mundo estaban impagadas, ¿qué podría suceder si hay dudas de que algún estado pueda hacer default? Y los estados quiebran. España, en concreto, lo ha hecho 13 veces en su historia. Esto podría provocar una reacción en cadena, al descubrir el mercado que esa deuda que sostiene todo el edificio sobre el que se han construido cientos de miles de productos financieros, ese “subyacente”, esa “hipoteca” puede impagarse.</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Quizá el ejemplo más cercano en el tiempo y que supuso una luz de alarma fue lo sucedido en Reino Unido con Liz Trust y su plan de rebaja de impuestos sin tocar el gasto público. Se invirtió la curva de tipos y, de repente, los subyacentes sobre una deuda soberana que no se iba a impagar, comenzó a pensarse que podría impagarse. Los fondos de pensiones, se hundieron en bolsa y Trust tuvo que dar marcha atrás y dimitir.</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¿Se está fraguando un nuevo Lehman Brothers?</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Una confesión de una fuente financiera presente en un cónclave con miembros del BCE: “Le preguntamos cómo iba a terminar todo esto. Ahora no van a quebrar los bancos como en 2008, van a quebrar los estados, dijo”. Esto es lo único que separa la tragedia de la impostura.</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Puede que no sea posible una política monetaria de puertas abiertas, pero sí es posible una política monetaria sincera y rigurosa, que no acabe en este debate patético e inmoral en el que solo parece importar como seguir “empujando la soga” (dopando los mercados, y sosteniendo déficit y deuda pública, desmesurados), mientras una inflación alta licua sus pasivos.</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Uno de los instrumentos utilizados para evitar esa connivencia es la independencia de los Bancos Centrales, formados aparentemente por tecnócratas que eviten el manoseo de los políticos, y actúen en nombre del bien común. El problema es que los miembros de dichos Bancos Centrales están estrechamente vinculados al sistema financiero, y han sido copartícipes de las distintas burbujas financieras generadas en las dos últimas décadas y del rescate bancario a costa de la ciudadanía.</w:t>
      </w:r>
    </w:p>
    <w:p w:rsidR="007E3D39" w:rsidRDefault="007E3D39" w:rsidP="007E3D39">
      <w:pPr>
        <w:pStyle w:val="yiv5244443261msonormal"/>
        <w:shd w:val="clear" w:color="auto" w:fill="FFFFFF"/>
        <w:jc w:val="both"/>
        <w:rPr>
          <w:color w:val="000000"/>
        </w:rPr>
      </w:pPr>
      <w:r>
        <w:rPr>
          <w:color w:val="000000"/>
        </w:rPr>
        <w:t xml:space="preserve">¿Cómo definir la solvencia moral de un alto funcionario del Banco Central? </w:t>
      </w:r>
    </w:p>
    <w:p w:rsidR="007E3D39" w:rsidRPr="0077470F" w:rsidRDefault="007E3D39" w:rsidP="007E3D39">
      <w:pPr>
        <w:pStyle w:val="yiv5244443261msonormal"/>
        <w:shd w:val="clear" w:color="auto" w:fill="FFFFFF"/>
        <w:jc w:val="both"/>
      </w:pPr>
      <w:r>
        <w:rPr>
          <w:color w:val="000000"/>
        </w:rPr>
        <w:t>En este asunto pueden servir los </w:t>
      </w:r>
      <w:hyperlink r:id="rId10" w:tgtFrame="_blank" w:history="1">
        <w:r w:rsidRPr="0077470F">
          <w:rPr>
            <w:rStyle w:val="Hipervnculo"/>
            <w:rFonts w:eastAsiaTheme="majorEastAsia"/>
            <w:color w:val="auto"/>
          </w:rPr>
          <w:t>Principios Nolan</w:t>
        </w:r>
      </w:hyperlink>
      <w:r w:rsidRPr="0077470F">
        <w:t> o  “</w:t>
      </w:r>
      <w:r w:rsidRPr="0077470F">
        <w:rPr>
          <w:iCs/>
        </w:rPr>
        <w:t>Standards in Public Life”</w:t>
      </w:r>
      <w:r w:rsidRPr="0077470F">
        <w:t>, redactados en 1994 en el Reino Unido por la comisión presidida por Lord Michael Nolan, bajo el patrocinio del entonces Primer Ministro John Major, con el objeto de fijar normas indeclinables de conducta de los funcionarios.</w:t>
      </w:r>
    </w:p>
    <w:p w:rsidR="007E3D39" w:rsidRPr="0077470F" w:rsidRDefault="007E3D39" w:rsidP="007E3D39">
      <w:pPr>
        <w:pStyle w:val="yiv5244443261msonormal"/>
        <w:shd w:val="clear" w:color="auto" w:fill="FFFFFF"/>
        <w:jc w:val="both"/>
      </w:pPr>
      <w:r w:rsidRPr="0077470F">
        <w:t xml:space="preserve">Tales principios han sido adoptados por numerosos países como norma obligatoria de conducta en la gestión pública y podrían servir para el caso en cuestión. </w:t>
      </w:r>
      <w:hyperlink r:id="rId11" w:tgtFrame="_blank" w:history="1">
        <w:r w:rsidRPr="0077470F">
          <w:rPr>
            <w:rStyle w:val="Hipervnculo"/>
            <w:rFonts w:eastAsiaTheme="majorEastAsia"/>
            <w:color w:val="auto"/>
          </w:rPr>
          <w:t>Son los siguientes</w:t>
        </w:r>
      </w:hyperlink>
      <w:r w:rsidRPr="0077470F">
        <w:t>:</w:t>
      </w:r>
    </w:p>
    <w:p w:rsidR="007E3D39" w:rsidRDefault="007E3D39" w:rsidP="007E3D39">
      <w:pPr>
        <w:pStyle w:val="yiv5244443261msonormal"/>
        <w:shd w:val="clear" w:color="auto" w:fill="FFFFFF"/>
        <w:jc w:val="both"/>
        <w:rPr>
          <w:color w:val="000000"/>
        </w:rPr>
      </w:pPr>
      <w:r>
        <w:rPr>
          <w:b/>
          <w:bCs/>
          <w:color w:val="000000"/>
        </w:rPr>
        <w:t>1. Altruismo: </w:t>
      </w:r>
      <w:r>
        <w:rPr>
          <w:color w:val="000000"/>
        </w:rPr>
        <w:t>quienes ostentan un cargo público (los funcionarios) deben actuar solamente en términos del interés público.</w:t>
      </w:r>
    </w:p>
    <w:p w:rsidR="007E3D39" w:rsidRDefault="007E3D39" w:rsidP="007E3D39">
      <w:pPr>
        <w:pStyle w:val="yiv5244443261msonormal"/>
        <w:shd w:val="clear" w:color="auto" w:fill="FFFFFF"/>
        <w:jc w:val="both"/>
        <w:rPr>
          <w:color w:val="000000"/>
        </w:rPr>
      </w:pPr>
      <w:r>
        <w:rPr>
          <w:b/>
          <w:bCs/>
          <w:color w:val="000000"/>
        </w:rPr>
        <w:t>2. Integridad:</w:t>
      </w:r>
      <w:r>
        <w:rPr>
          <w:color w:val="000000"/>
        </w:rPr>
        <w:t> los funcionarios no deben ponerse al servicio de personas u organizaciones que tratan inapropiadamente de influenciarlos en sus funciones. No deben actuar o tomar decisiones que induzcan a beneficios financieros o materiales para ellos, sus familias o sus amigos.</w:t>
      </w:r>
    </w:p>
    <w:p w:rsidR="007E3D39" w:rsidRDefault="007E3D39" w:rsidP="007E3D39">
      <w:pPr>
        <w:pStyle w:val="yiv5244443261msonormal"/>
        <w:shd w:val="clear" w:color="auto" w:fill="FFFFFF"/>
        <w:jc w:val="both"/>
        <w:rPr>
          <w:color w:val="000000"/>
        </w:rPr>
      </w:pPr>
      <w:r>
        <w:rPr>
          <w:b/>
          <w:bCs/>
          <w:color w:val="000000"/>
        </w:rPr>
        <w:t>3. Objetividad: </w:t>
      </w:r>
      <w:r>
        <w:rPr>
          <w:color w:val="000000"/>
        </w:rPr>
        <w:t>los funcionarios deben tomar decisiones imparciales, basadas en el principio de méritos, usando la mejor evidencia y sin discriminación o sesgo.</w:t>
      </w:r>
    </w:p>
    <w:p w:rsidR="007E3D39" w:rsidRDefault="007E3D39" w:rsidP="007E3D39">
      <w:pPr>
        <w:pStyle w:val="yiv5244443261msonormal"/>
        <w:shd w:val="clear" w:color="auto" w:fill="FFFFFF"/>
        <w:jc w:val="both"/>
        <w:rPr>
          <w:color w:val="000000"/>
        </w:rPr>
      </w:pPr>
      <w:r>
        <w:rPr>
          <w:b/>
          <w:bCs/>
          <w:color w:val="000000"/>
        </w:rPr>
        <w:t>4. Responsabilidad: </w:t>
      </w:r>
      <w:r>
        <w:rPr>
          <w:color w:val="000000"/>
        </w:rPr>
        <w:t>El funcionario es responsable por las decisiones y actos que afecten a la sociedad y debe someterse a cualquier tipo de escrutinio que se considere necesario.</w:t>
      </w:r>
    </w:p>
    <w:p w:rsidR="007E3D39" w:rsidRDefault="007E3D39" w:rsidP="007E3D39">
      <w:pPr>
        <w:pStyle w:val="yiv5244443261msonormal"/>
        <w:shd w:val="clear" w:color="auto" w:fill="FFFFFF"/>
        <w:jc w:val="both"/>
        <w:rPr>
          <w:color w:val="000000"/>
        </w:rPr>
      </w:pPr>
      <w:r>
        <w:rPr>
          <w:b/>
          <w:bCs/>
          <w:color w:val="000000"/>
        </w:rPr>
        <w:t>5. Transparencia: </w:t>
      </w:r>
      <w:r>
        <w:rPr>
          <w:color w:val="000000"/>
        </w:rPr>
        <w:t>El funcionario debe tomar decisiones de manera abierta y transparente. La información no debe ser escondida del público, salvo que haya razones legales para hacerlo.</w:t>
      </w:r>
    </w:p>
    <w:p w:rsidR="007E3D39" w:rsidRDefault="007E3D39" w:rsidP="007E3D39">
      <w:pPr>
        <w:pStyle w:val="yiv5244443261msonormal"/>
        <w:shd w:val="clear" w:color="auto" w:fill="FFFFFF"/>
        <w:jc w:val="both"/>
        <w:rPr>
          <w:color w:val="000000"/>
        </w:rPr>
      </w:pPr>
      <w:r>
        <w:rPr>
          <w:b/>
          <w:bCs/>
          <w:color w:val="000000"/>
        </w:rPr>
        <w:t>6. Honestidad: </w:t>
      </w:r>
      <w:r>
        <w:rPr>
          <w:color w:val="000000"/>
        </w:rPr>
        <w:t>El funcionario tiene el deber de declarar cualquier interés privado que pueda guardar relación con sus actividades públicas y adoptar cuantas medidas sean necesarias para resolver cualquier conflicto, para salvaguardar el interés público.</w:t>
      </w:r>
    </w:p>
    <w:p w:rsidR="007E3D39" w:rsidRDefault="007E3D39" w:rsidP="007E3D39">
      <w:pPr>
        <w:pStyle w:val="yiv5244443261msonormal"/>
        <w:shd w:val="clear" w:color="auto" w:fill="FFFFFF"/>
        <w:jc w:val="both"/>
        <w:rPr>
          <w:color w:val="000000"/>
        </w:rPr>
      </w:pPr>
      <w:r>
        <w:rPr>
          <w:b/>
          <w:bCs/>
          <w:color w:val="000000"/>
        </w:rPr>
        <w:t>7. Liderazgo: </w:t>
      </w:r>
      <w:r>
        <w:rPr>
          <w:color w:val="000000"/>
        </w:rPr>
        <w:t>El funcionario deberá promover y respetar estos principios como modelo en la toma de decisiones. Debe promover y apoyar estos principios y contrarrestar una conducta inapropiada donde quiera que ocurra.</w:t>
      </w:r>
    </w:p>
    <w:p w:rsidR="007E3D39" w:rsidRDefault="007E3D39" w:rsidP="007E3D39">
      <w:pPr>
        <w:pStyle w:val="yiv5244443261msonormal"/>
        <w:shd w:val="clear" w:color="auto" w:fill="FFFFFF"/>
        <w:jc w:val="both"/>
        <w:rPr>
          <w:color w:val="000000"/>
        </w:rPr>
      </w:pPr>
      <w:r>
        <w:rPr>
          <w:color w:val="000000"/>
        </w:rPr>
        <w:t xml:space="preserve">Son principios sensatos, aunque a juzgar por la historia reciente, nada fáciles de ejecutar. </w:t>
      </w:r>
    </w:p>
    <w:p w:rsidR="007E3D39" w:rsidRDefault="007E3D39" w:rsidP="007E3D39">
      <w:pPr>
        <w:pStyle w:val="yiv5244443261msonormal"/>
        <w:shd w:val="clear" w:color="auto" w:fill="FFFFFF"/>
        <w:jc w:val="both"/>
        <w:rPr>
          <w:b/>
          <w:color w:val="000000"/>
        </w:rPr>
      </w:pPr>
    </w:p>
    <w:p w:rsidR="007E3D39" w:rsidRDefault="007E3D39" w:rsidP="007E3D39">
      <w:pPr>
        <w:pStyle w:val="yiv5244443261msonormal"/>
        <w:shd w:val="clear" w:color="auto" w:fill="FFFFFF"/>
        <w:jc w:val="both"/>
        <w:rPr>
          <w:b/>
          <w:color w:val="000000"/>
        </w:rPr>
      </w:pPr>
      <w:r>
        <w:rPr>
          <w:b/>
          <w:color w:val="000000"/>
        </w:rPr>
        <w:lastRenderedPageBreak/>
        <w:t>Esperando a Godot (réquiem por la independencia de los Bancos Centrales)</w:t>
      </w:r>
    </w:p>
    <w:p w:rsidR="007E3D39" w:rsidRDefault="007E3D39" w:rsidP="007E3D39">
      <w:pPr>
        <w:pStyle w:val="Ttulo2"/>
        <w:shd w:val="clear" w:color="auto" w:fill="FFFFFF"/>
        <w:jc w:val="both"/>
        <w:rPr>
          <w:bCs w:val="0"/>
          <w:sz w:val="24"/>
          <w:szCs w:val="24"/>
        </w:rPr>
      </w:pPr>
      <w:r>
        <w:rPr>
          <w:bCs w:val="0"/>
          <w:sz w:val="24"/>
          <w:szCs w:val="24"/>
        </w:rPr>
        <w:t xml:space="preserve">¿Cuándo purgarán las estrategias imprudentes, o incluso fraudulentas, de gobiernos y empresas, al calor del crédito laxo? </w:t>
      </w:r>
    </w:p>
    <w:p w:rsidR="007E3D39" w:rsidRDefault="007E3D39" w:rsidP="007E3D39">
      <w:pPr>
        <w:pStyle w:val="Ttulo2"/>
        <w:shd w:val="clear" w:color="auto" w:fill="FFFFFF"/>
        <w:jc w:val="both"/>
        <w:rPr>
          <w:bCs w:val="0"/>
          <w:sz w:val="24"/>
          <w:szCs w:val="24"/>
        </w:rPr>
      </w:pPr>
      <w:r>
        <w:rPr>
          <w:bCs w:val="0"/>
          <w:sz w:val="24"/>
          <w:szCs w:val="24"/>
        </w:rPr>
        <w:t xml:space="preserve">¿Cuándo dejarán de emitir moneda sin respaldo? </w:t>
      </w:r>
    </w:p>
    <w:p w:rsidR="007E3D39" w:rsidRDefault="007E3D39" w:rsidP="007E3D39">
      <w:pPr>
        <w:pStyle w:val="Ttulo2"/>
        <w:shd w:val="clear" w:color="auto" w:fill="FFFFFF"/>
        <w:jc w:val="both"/>
        <w:rPr>
          <w:bCs w:val="0"/>
          <w:sz w:val="24"/>
          <w:szCs w:val="24"/>
        </w:rPr>
      </w:pPr>
      <w:r>
        <w:rPr>
          <w:bCs w:val="0"/>
          <w:sz w:val="24"/>
          <w:szCs w:val="24"/>
        </w:rPr>
        <w:t>¿Cuándo dejarán de financiar a políticos derrochólicos y/o a bancos descapitalizados?</w:t>
      </w:r>
    </w:p>
    <w:p w:rsidR="007E3D39" w:rsidRDefault="007E3D39" w:rsidP="007E3D39">
      <w:pPr>
        <w:pStyle w:val="Ttulo2"/>
        <w:shd w:val="clear" w:color="auto" w:fill="FFFFFF"/>
        <w:jc w:val="both"/>
        <w:rPr>
          <w:bCs w:val="0"/>
          <w:sz w:val="24"/>
          <w:szCs w:val="24"/>
        </w:rPr>
      </w:pPr>
      <w:r>
        <w:rPr>
          <w:bCs w:val="0"/>
          <w:sz w:val="24"/>
          <w:szCs w:val="24"/>
        </w:rPr>
        <w:t xml:space="preserve">¿Cuándo dejaran de ser tan “procíclicos”? </w:t>
      </w:r>
    </w:p>
    <w:p w:rsidR="007E3D39" w:rsidRDefault="007E3D39" w:rsidP="007E3D39">
      <w:pPr>
        <w:pStyle w:val="Ttulo2"/>
        <w:shd w:val="clear" w:color="auto" w:fill="FFFFFF"/>
        <w:jc w:val="both"/>
        <w:rPr>
          <w:bCs w:val="0"/>
          <w:sz w:val="24"/>
          <w:szCs w:val="24"/>
        </w:rPr>
      </w:pPr>
      <w:r>
        <w:rPr>
          <w:bCs w:val="0"/>
          <w:sz w:val="24"/>
          <w:szCs w:val="24"/>
        </w:rPr>
        <w:t xml:space="preserve">¿Cuándo dejaran de comportarse según el “consenso” del mercado? </w:t>
      </w:r>
    </w:p>
    <w:p w:rsidR="007E3D39" w:rsidRDefault="007E3D39" w:rsidP="007E3D39">
      <w:pPr>
        <w:pStyle w:val="Ttulo2"/>
        <w:shd w:val="clear" w:color="auto" w:fill="FFFFFF"/>
        <w:jc w:val="both"/>
        <w:rPr>
          <w:bCs w:val="0"/>
          <w:sz w:val="24"/>
          <w:szCs w:val="24"/>
        </w:rPr>
      </w:pPr>
      <w:r>
        <w:rPr>
          <w:bCs w:val="0"/>
          <w:sz w:val="24"/>
          <w:szCs w:val="24"/>
        </w:rPr>
        <w:t xml:space="preserve">¿Cuándo abandonarán el “despacho del pánico”? </w:t>
      </w:r>
    </w:p>
    <w:p w:rsidR="007E3D39" w:rsidRDefault="007E3D39" w:rsidP="007E3D39">
      <w:pPr>
        <w:pStyle w:val="Ttulo2"/>
        <w:shd w:val="clear" w:color="auto" w:fill="FFFFFF"/>
        <w:jc w:val="both"/>
        <w:rPr>
          <w:bCs w:val="0"/>
          <w:sz w:val="24"/>
          <w:szCs w:val="24"/>
        </w:rPr>
      </w:pPr>
      <w:r>
        <w:rPr>
          <w:bCs w:val="0"/>
          <w:sz w:val="24"/>
          <w:szCs w:val="24"/>
        </w:rPr>
        <w:t xml:space="preserve">¿Cuándo empezarán a “levantar la cabeza”? </w:t>
      </w:r>
    </w:p>
    <w:p w:rsidR="007E3D39" w:rsidRDefault="007E3D39" w:rsidP="007E3D39">
      <w:pPr>
        <w:pStyle w:val="Ttulo2"/>
        <w:shd w:val="clear" w:color="auto" w:fill="FFFFFF"/>
        <w:jc w:val="both"/>
        <w:rPr>
          <w:bCs w:val="0"/>
          <w:sz w:val="24"/>
          <w:szCs w:val="24"/>
        </w:rPr>
      </w:pPr>
      <w:r>
        <w:rPr>
          <w:bCs w:val="0"/>
          <w:sz w:val="24"/>
          <w:szCs w:val="24"/>
        </w:rPr>
        <w:t>¿Cuándo volverán a “hacerse respetar” (mejor, “temer”)?</w:t>
      </w:r>
    </w:p>
    <w:p w:rsidR="007E3D39" w:rsidRDefault="007E3D39" w:rsidP="007E3D39">
      <w:pPr>
        <w:pStyle w:val="yiv5244443261msonormal"/>
        <w:shd w:val="clear" w:color="auto" w:fill="FFFFFF"/>
        <w:jc w:val="both"/>
        <w:rPr>
          <w:b/>
          <w:color w:val="000000"/>
        </w:rPr>
      </w:pPr>
      <w:r>
        <w:rPr>
          <w:b/>
          <w:color w:val="000000"/>
        </w:rPr>
        <w:t>¿Será mucho pedir (e inútil esperar) que los BCs recuperen su independencia?</w:t>
      </w:r>
    </w:p>
    <w:p w:rsidR="007E3D39" w:rsidRDefault="007E3D39" w:rsidP="007E3D39">
      <w:pPr>
        <w:pStyle w:val="yiv5244443261msonormal"/>
        <w:shd w:val="clear" w:color="auto" w:fill="FFFFFF"/>
        <w:jc w:val="both"/>
        <w:rPr>
          <w:b/>
          <w:color w:val="000000"/>
        </w:rPr>
      </w:pPr>
      <w:r>
        <w:rPr>
          <w:b/>
          <w:color w:val="000000"/>
        </w:rPr>
        <w:t>¿Será mucho pedir (e inútil esperar) que los BCs protejan la moneda?</w:t>
      </w:r>
    </w:p>
    <w:p w:rsidR="007E3D39" w:rsidRDefault="007E3D39" w:rsidP="007E3D39">
      <w:pPr>
        <w:pStyle w:val="yiv5244443261msonormal"/>
        <w:shd w:val="clear" w:color="auto" w:fill="FFFFFF"/>
        <w:jc w:val="both"/>
        <w:rPr>
          <w:b/>
          <w:color w:val="000000"/>
        </w:rPr>
      </w:pPr>
      <w:r>
        <w:rPr>
          <w:b/>
          <w:color w:val="000000"/>
        </w:rPr>
        <w:t>¿Será mucho pedir (e inútil esperar) que los BCs no estimulen la especulación?</w:t>
      </w:r>
    </w:p>
    <w:p w:rsidR="007E3D39" w:rsidRDefault="007E3D39" w:rsidP="007E3D39">
      <w:pPr>
        <w:pStyle w:val="yiv5244443261msonormal"/>
        <w:shd w:val="clear" w:color="auto" w:fill="FFFFFF"/>
        <w:jc w:val="both"/>
        <w:rPr>
          <w:b/>
          <w:color w:val="000000"/>
        </w:rPr>
      </w:pPr>
      <w:r>
        <w:rPr>
          <w:b/>
          <w:color w:val="000000"/>
        </w:rPr>
        <w:t>¿Será mucho pedir (e inútil esperar) que los BCs no dopen los mercados?</w:t>
      </w:r>
    </w:p>
    <w:p w:rsidR="007E3D39" w:rsidRDefault="007E3D39" w:rsidP="007E3D39">
      <w:pPr>
        <w:pStyle w:val="yiv5244443261msonormal"/>
        <w:shd w:val="clear" w:color="auto" w:fill="FFFFFF"/>
        <w:jc w:val="both"/>
        <w:rPr>
          <w:b/>
          <w:color w:val="000000"/>
        </w:rPr>
      </w:pPr>
      <w:r>
        <w:rPr>
          <w:b/>
          <w:color w:val="000000"/>
        </w:rPr>
        <w:t>¿Será mucho pedir (e inútil esperar) que los BCs controlen a los bancos?</w:t>
      </w:r>
    </w:p>
    <w:p w:rsidR="007E3D39" w:rsidRDefault="007E3D39" w:rsidP="007E3D39">
      <w:pPr>
        <w:pStyle w:val="yiv5244443261msonormal"/>
        <w:shd w:val="clear" w:color="auto" w:fill="FFFFFF"/>
        <w:jc w:val="both"/>
        <w:rPr>
          <w:b/>
          <w:color w:val="000000"/>
        </w:rPr>
      </w:pPr>
      <w:r>
        <w:rPr>
          <w:b/>
          <w:color w:val="000000"/>
        </w:rPr>
        <w:t>¿Será mucho pedir (e inútil esperar) que los BC no adquieran deuda pública?</w:t>
      </w:r>
    </w:p>
    <w:p w:rsidR="007E3D39" w:rsidRDefault="007E3D39" w:rsidP="007E3D39">
      <w:pPr>
        <w:pStyle w:val="yiv5244443261msonormal"/>
        <w:shd w:val="clear" w:color="auto" w:fill="FFFFFF"/>
        <w:jc w:val="both"/>
        <w:rPr>
          <w:b/>
          <w:color w:val="000000"/>
        </w:rPr>
      </w:pPr>
      <w:r>
        <w:rPr>
          <w:b/>
          <w:color w:val="000000"/>
        </w:rPr>
        <w:t>¿Será mucho pedir (e inútil esperar) que los BCs no desalienten el ahorro privado?</w:t>
      </w:r>
    </w:p>
    <w:p w:rsidR="007E3D39" w:rsidRDefault="007E3D39" w:rsidP="007E3D39">
      <w:pPr>
        <w:pStyle w:val="yiv5244443261msonormal"/>
        <w:shd w:val="clear" w:color="auto" w:fill="FFFFFF"/>
        <w:jc w:val="both"/>
        <w:rPr>
          <w:b/>
          <w:color w:val="000000"/>
        </w:rPr>
      </w:pPr>
      <w:r>
        <w:rPr>
          <w:b/>
          <w:color w:val="000000"/>
        </w:rPr>
        <w:t>¿Será mucho pedir (e inútil esperar) que los BCs combatan la inflación?</w:t>
      </w:r>
    </w:p>
    <w:p w:rsidR="007E3D39" w:rsidRDefault="007E3D39" w:rsidP="007E3D39">
      <w:pPr>
        <w:pStyle w:val="yiv5244443261msonormal"/>
        <w:shd w:val="clear" w:color="auto" w:fill="FFFFFF"/>
        <w:jc w:val="both"/>
        <w:rPr>
          <w:b/>
          <w:color w:val="000000"/>
        </w:rPr>
      </w:pPr>
      <w:r>
        <w:rPr>
          <w:b/>
          <w:color w:val="000000"/>
        </w:rPr>
        <w:t>¿Será mucho pedir (e inútil esperar) que los BCs no apoyen la represión financiera?</w:t>
      </w:r>
    </w:p>
    <w:p w:rsidR="007E3D39" w:rsidRDefault="007E3D39" w:rsidP="007E3D39">
      <w:pPr>
        <w:pStyle w:val="yiv5244443261msonormal"/>
        <w:shd w:val="clear" w:color="auto" w:fill="FFFFFF"/>
        <w:jc w:val="both"/>
        <w:rPr>
          <w:b/>
          <w:color w:val="000000"/>
        </w:rPr>
      </w:pPr>
      <w:r>
        <w:rPr>
          <w:b/>
          <w:color w:val="000000"/>
        </w:rPr>
        <w:t>¿Será mucho pedir (e inútil esperar) que los BCs no socialicen las pérdidas bancarias?</w:t>
      </w:r>
    </w:p>
    <w:p w:rsidR="007E3D39" w:rsidRDefault="007E3D39" w:rsidP="007E3D39">
      <w:pPr>
        <w:pStyle w:val="yiv5244443261msonormal"/>
        <w:shd w:val="clear" w:color="auto" w:fill="FFFFFF"/>
        <w:jc w:val="both"/>
        <w:rPr>
          <w:b/>
          <w:color w:val="000000"/>
        </w:rPr>
      </w:pPr>
      <w:r>
        <w:rPr>
          <w:b/>
          <w:color w:val="000000"/>
        </w:rPr>
        <w:t>¿Será mucho pedir (e inútil esperar) que los BCs no moneticen la deuda pública?</w:t>
      </w:r>
    </w:p>
    <w:p w:rsidR="007E3D39" w:rsidRDefault="007E3D39" w:rsidP="007E3D39">
      <w:pPr>
        <w:pStyle w:val="yiv5244443261msonormal"/>
        <w:shd w:val="clear" w:color="auto" w:fill="FFFFFF"/>
        <w:jc w:val="both"/>
        <w:rPr>
          <w:b/>
          <w:color w:val="000000"/>
        </w:rPr>
      </w:pPr>
      <w:r>
        <w:rPr>
          <w:b/>
          <w:color w:val="000000"/>
        </w:rPr>
        <w:t>¿Será mucho pedir (e inútil esperar) que al frente de los BCs haya hombres prudentes, honestos, y justos (que no se nieguen a contemplar la evidencia, que no se conformen con ser los vencedores de todas las derrotas)… que no solo se dediquen a hablar pausadamente sin perder el aplomo, sino que cuando presenten las sumas y las restas no exhiban su desnudez?</w:t>
      </w:r>
    </w:p>
    <w:p w:rsidR="007E3D39" w:rsidRDefault="007E3D39" w:rsidP="007E3D39">
      <w:pPr>
        <w:pStyle w:val="yiv5244443261msonormal"/>
        <w:shd w:val="clear" w:color="auto" w:fill="FFFFFF"/>
        <w:jc w:val="both"/>
        <w:rPr>
          <w:b/>
          <w:color w:val="000000"/>
        </w:rPr>
      </w:pPr>
      <w:r>
        <w:rPr>
          <w:b/>
          <w:color w:val="000000"/>
        </w:rPr>
        <w:t>¿Será mucho pedir (e inútil esperar) que los BCs entiendan que la sociedad espera de ellos, que produzcan historia, y no, que consuman historia?</w:t>
      </w:r>
    </w:p>
    <w:p w:rsidR="007E3D39" w:rsidRDefault="007E3D39" w:rsidP="007E3D39">
      <w:pPr>
        <w:spacing w:line="240" w:lineRule="auto"/>
        <w:jc w:val="both"/>
        <w:rPr>
          <w:rFonts w:ascii="Times New Roman" w:hAnsi="Times New Roman" w:cs="Times New Roman"/>
          <w:b/>
          <w:sz w:val="24"/>
          <w:szCs w:val="24"/>
        </w:rPr>
      </w:pPr>
      <w:r>
        <w:rPr>
          <w:rFonts w:ascii="Times New Roman" w:hAnsi="Times New Roman" w:cs="Times New Roman"/>
          <w:b/>
          <w:sz w:val="24"/>
          <w:szCs w:val="24"/>
        </w:rPr>
        <w:lastRenderedPageBreak/>
        <w:t>- Un recorrido por la “maldita” h</w:t>
      </w:r>
      <w:r w:rsidRPr="00D42878">
        <w:rPr>
          <w:rFonts w:ascii="Times New Roman" w:hAnsi="Times New Roman" w:cs="Times New Roman"/>
          <w:b/>
          <w:sz w:val="24"/>
          <w:szCs w:val="24"/>
        </w:rPr>
        <w:t>emeroteca</w:t>
      </w:r>
      <w:r>
        <w:rPr>
          <w:rFonts w:ascii="Times New Roman" w:hAnsi="Times New Roman" w:cs="Times New Roman"/>
          <w:b/>
          <w:sz w:val="24"/>
          <w:szCs w:val="24"/>
        </w:rPr>
        <w:t xml:space="preserve"> sobre la deuda pública, durante el año 2023</w:t>
      </w:r>
    </w:p>
    <w:p w:rsidR="007E3D39" w:rsidRDefault="007E3D39" w:rsidP="007E3D39">
      <w:pPr>
        <w:spacing w:line="240" w:lineRule="auto"/>
        <w:jc w:val="both"/>
        <w:rPr>
          <w:rFonts w:ascii="Times New Roman" w:hAnsi="Times New Roman" w:cs="Times New Roman"/>
          <w:b/>
          <w:sz w:val="24"/>
          <w:szCs w:val="24"/>
        </w:rPr>
      </w:pPr>
      <w:r w:rsidRPr="0025253F">
        <w:rPr>
          <w:rFonts w:ascii="Times New Roman" w:hAnsi="Times New Roman" w:cs="Times New Roman"/>
          <w:noProof/>
          <w:sz w:val="24"/>
          <w:szCs w:val="24"/>
          <w:lang w:eastAsia="es-ES"/>
        </w:rPr>
        <w:drawing>
          <wp:inline distT="0" distB="0" distL="0" distR="0" wp14:anchorId="539B9477" wp14:editId="129B77F1">
            <wp:extent cx="5731510" cy="3916648"/>
            <wp:effectExtent l="0" t="0" r="2540" b="8255"/>
            <wp:docPr id="93" name="Imagen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5731510" cy="3916648"/>
                    </a:xfrm>
                    <a:prstGeom prst="rect">
                      <a:avLst/>
                    </a:prstGeom>
                  </pic:spPr>
                </pic:pic>
              </a:graphicData>
            </a:graphic>
          </wp:inline>
        </w:drawing>
      </w:r>
    </w:p>
    <w:p w:rsidR="007E3D39" w:rsidRPr="00CA7078"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A7078">
        <w:rPr>
          <w:rFonts w:ascii="Times New Roman" w:hAnsi="Times New Roman" w:cs="Times New Roman"/>
          <w:sz w:val="24"/>
          <w:szCs w:val="24"/>
        </w:rPr>
        <w:t>La mayor parte de los economistas no solo fue incapaz de predecir la crisis, sino que, al decir de algunos, la facilitaron. Después de todo, son los orgullosos apóstoles de la globalización y el cambio tecnológico quienes enriquecieron a una pequeña elite financiera y gerencial, redistribuyeron el ingreso y la riqueza del trabajo al capital, destruyeron millones de puestos de trabajo y dejaron vacías las comunidades y las vidas de sus residentes. Resulta peor aún que frente a las muertes por desesperación, algunos economistas culpen a las víctimas y a quienes procuran ayudarlas...</w:t>
      </w:r>
    </w:p>
    <w:p w:rsidR="007E3D39" w:rsidRDefault="007E3D39" w:rsidP="007E3D39">
      <w:pPr>
        <w:spacing w:line="240" w:lineRule="auto"/>
        <w:jc w:val="both"/>
        <w:rPr>
          <w:rFonts w:ascii="Times New Roman" w:hAnsi="Times New Roman" w:cs="Times New Roman"/>
          <w:sz w:val="24"/>
          <w:szCs w:val="24"/>
        </w:rPr>
      </w:pPr>
      <w:r w:rsidRPr="00CA7078">
        <w:rPr>
          <w:rFonts w:ascii="Times New Roman" w:hAnsi="Times New Roman" w:cs="Times New Roman"/>
          <w:sz w:val="24"/>
          <w:szCs w:val="24"/>
        </w:rPr>
        <w:t>También desde la izquierda se dicen tonterías. Si la derecha es incapaz de ver las fallas de los mercados, la izquierda puede albergar una ceguera similar frente a los defectos del gobierno que le impiden actuar de manera confiable para solucionarlas. El gobierno se entiende como un órgano representativo, elegido por ciudadanos completamente informados, cuyo trabajo es corregir las imperfecciones de los mercados, ya sea la tendencia al monopolio, la explotación de los trabajadores o la excesiva desigualdad en los ingresos. En la práctica, sin embargo, el gobierno estadounidense no funciona así. Al igual que otros, a menudo empeora las cosas y puede estar en deuda con los beneficiarios del sistema en vez de con todos los ciudadanos</w:t>
      </w:r>
      <w:r>
        <w:rPr>
          <w:rFonts w:ascii="Times New Roman" w:hAnsi="Times New Roman" w:cs="Times New Roman"/>
          <w:sz w:val="24"/>
          <w:szCs w:val="24"/>
        </w:rPr>
        <w:t>”</w:t>
      </w:r>
      <w:r w:rsidRPr="00CA7078">
        <w:rPr>
          <w:rFonts w:ascii="Times New Roman" w:hAnsi="Times New Roman" w:cs="Times New Roman"/>
          <w:sz w:val="24"/>
          <w:szCs w:val="24"/>
        </w:rPr>
        <w:t xml:space="preserve">… </w:t>
      </w:r>
      <w:r w:rsidRPr="00AC1F03">
        <w:rPr>
          <w:rFonts w:ascii="Times New Roman" w:hAnsi="Times New Roman" w:cs="Times New Roman"/>
          <w:sz w:val="24"/>
          <w:szCs w:val="24"/>
        </w:rPr>
        <w:t>(</w:t>
      </w:r>
      <w:r w:rsidRPr="00527860">
        <w:rPr>
          <w:rFonts w:ascii="Times New Roman" w:hAnsi="Times New Roman" w:cs="Times New Roman"/>
          <w:sz w:val="24"/>
          <w:szCs w:val="24"/>
        </w:rPr>
        <w:t>Angus Deaton</w:t>
      </w:r>
      <w:r>
        <w:rPr>
          <w:rFonts w:ascii="Times New Roman" w:hAnsi="Times New Roman" w:cs="Times New Roman"/>
          <w:sz w:val="24"/>
          <w:szCs w:val="24"/>
        </w:rPr>
        <w:t xml:space="preserve"> - </w:t>
      </w:r>
      <w:r w:rsidRPr="00527860">
        <w:rPr>
          <w:rFonts w:ascii="Times New Roman" w:hAnsi="Times New Roman" w:cs="Times New Roman"/>
          <w:sz w:val="24"/>
          <w:szCs w:val="24"/>
          <w:u w:val="single"/>
        </w:rPr>
        <w:t>Los fracasos de los economistas</w:t>
      </w:r>
      <w:r>
        <w:rPr>
          <w:rFonts w:ascii="Times New Roman" w:hAnsi="Times New Roman" w:cs="Times New Roman"/>
          <w:sz w:val="24"/>
          <w:szCs w:val="24"/>
        </w:rPr>
        <w:t xml:space="preserve"> - Project Syndicate - El Economista - </w:t>
      </w:r>
      <w:r w:rsidRPr="00527860">
        <w:rPr>
          <w:rFonts w:ascii="Times New Roman" w:hAnsi="Times New Roman" w:cs="Times New Roman"/>
          <w:b/>
          <w:sz w:val="24"/>
          <w:szCs w:val="24"/>
        </w:rPr>
        <w:t>31/12/22</w:t>
      </w:r>
      <w:r>
        <w:rPr>
          <w:rFonts w:ascii="Times New Roman" w:hAnsi="Times New Roman" w:cs="Times New Roman"/>
          <w:sz w:val="24"/>
          <w:szCs w:val="24"/>
        </w:rPr>
        <w:t>)</w:t>
      </w:r>
    </w:p>
    <w:p w:rsidR="007E3D39" w:rsidRPr="00F94B75"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94B75">
        <w:rPr>
          <w:rFonts w:ascii="Times New Roman" w:hAnsi="Times New Roman" w:cs="Times New Roman"/>
          <w:sz w:val="24"/>
          <w:szCs w:val="24"/>
          <w:u w:val="single"/>
        </w:rPr>
        <w:t>El FMI avisa de que 2023 será más difícil que 2022 y que un tercio de los países entrarán en recesión</w:t>
      </w:r>
      <w:r>
        <w:rPr>
          <w:rFonts w:ascii="Times New Roman" w:hAnsi="Times New Roman" w:cs="Times New Roman"/>
          <w:sz w:val="24"/>
          <w:szCs w:val="24"/>
        </w:rPr>
        <w:t xml:space="preserve"> (Cinco Días - </w:t>
      </w:r>
      <w:r w:rsidRPr="00F94B75">
        <w:rPr>
          <w:rFonts w:ascii="Times New Roman" w:hAnsi="Times New Roman" w:cs="Times New Roman"/>
          <w:b/>
          <w:sz w:val="24"/>
          <w:szCs w:val="24"/>
        </w:rPr>
        <w:t>2/1/23</w:t>
      </w:r>
      <w:r>
        <w:rPr>
          <w:rFonts w:ascii="Times New Roman" w:hAnsi="Times New Roman" w:cs="Times New Roman"/>
          <w:sz w:val="24"/>
          <w:szCs w:val="24"/>
        </w:rPr>
        <w:t>)</w:t>
      </w:r>
    </w:p>
    <w:p w:rsidR="007E3D39" w:rsidRPr="00873420" w:rsidRDefault="007E3D39" w:rsidP="007E3D39">
      <w:pPr>
        <w:spacing w:line="240" w:lineRule="auto"/>
        <w:jc w:val="both"/>
        <w:rPr>
          <w:rFonts w:ascii="Times New Roman" w:hAnsi="Times New Roman" w:cs="Times New Roman"/>
          <w:color w:val="FF0000"/>
          <w:sz w:val="24"/>
          <w:szCs w:val="24"/>
        </w:rPr>
      </w:pPr>
      <w:r w:rsidRPr="00873420">
        <w:rPr>
          <w:rFonts w:ascii="Times New Roman" w:hAnsi="Times New Roman" w:cs="Times New Roman"/>
          <w:color w:val="FF0000"/>
          <w:sz w:val="24"/>
          <w:szCs w:val="24"/>
        </w:rPr>
        <w:t>La mitad de las economías europeas registrará dos trimestres seguidos de caídas</w:t>
      </w:r>
    </w:p>
    <w:p w:rsidR="007E3D39" w:rsidRPr="00F94B75" w:rsidRDefault="007E3D39" w:rsidP="007E3D39">
      <w:pPr>
        <w:spacing w:line="240" w:lineRule="auto"/>
        <w:jc w:val="both"/>
        <w:rPr>
          <w:rFonts w:ascii="Times New Roman" w:hAnsi="Times New Roman" w:cs="Times New Roman"/>
          <w:sz w:val="24"/>
          <w:szCs w:val="24"/>
        </w:rPr>
      </w:pPr>
      <w:r w:rsidRPr="00F94B75">
        <w:rPr>
          <w:rFonts w:ascii="Times New Roman" w:hAnsi="Times New Roman" w:cs="Times New Roman"/>
          <w:sz w:val="24"/>
          <w:szCs w:val="24"/>
        </w:rPr>
        <w:t xml:space="preserve">La mayor parte de la economía mundial </w:t>
      </w:r>
      <w:r>
        <w:rPr>
          <w:rFonts w:ascii="Times New Roman" w:hAnsi="Times New Roman" w:cs="Times New Roman"/>
          <w:sz w:val="24"/>
          <w:szCs w:val="24"/>
        </w:rPr>
        <w:t>se enfrentará en 2023 a un año “más difícil”</w:t>
      </w:r>
      <w:r w:rsidRPr="00F94B75">
        <w:rPr>
          <w:rFonts w:ascii="Times New Roman" w:hAnsi="Times New Roman" w:cs="Times New Roman"/>
          <w:sz w:val="24"/>
          <w:szCs w:val="24"/>
        </w:rPr>
        <w:t xml:space="preserve"> de lo que fue 2022 debido a la desaceleración simultanea de Estados Unidos, la Unión Europea </w:t>
      </w:r>
      <w:r w:rsidRPr="00F94B75">
        <w:rPr>
          <w:rFonts w:ascii="Times New Roman" w:hAnsi="Times New Roman" w:cs="Times New Roman"/>
          <w:sz w:val="24"/>
          <w:szCs w:val="24"/>
        </w:rPr>
        <w:lastRenderedPageBreak/>
        <w:t>(UE) y de China, las tres mayores economías mundiales, según ha advertido la directora gerente del Fondo Monetario Internacional (FMI), Kristalina Georgieva, señalando que un tercio de la econo</w:t>
      </w:r>
      <w:r>
        <w:rPr>
          <w:rFonts w:ascii="Times New Roman" w:hAnsi="Times New Roman" w:cs="Times New Roman"/>
          <w:sz w:val="24"/>
          <w:szCs w:val="24"/>
        </w:rPr>
        <w:t>mía mundial estará en recesión.</w:t>
      </w:r>
    </w:p>
    <w:p w:rsidR="007E3D39" w:rsidRPr="00873420" w:rsidRDefault="007E3D39" w:rsidP="007E3D3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873420">
        <w:rPr>
          <w:rFonts w:ascii="Times New Roman" w:hAnsi="Times New Roman" w:cs="Times New Roman"/>
          <w:color w:val="FF0000"/>
          <w:sz w:val="24"/>
          <w:szCs w:val="24"/>
          <w:u w:val="single"/>
        </w:rPr>
        <w:t>Para la mayor parte de la economía mundial, este será un año difícil, más difícil que el año que dejamos atrás. ¿Por qué? Porque</w:t>
      </w:r>
      <w:r>
        <w:rPr>
          <w:rFonts w:ascii="Times New Roman" w:hAnsi="Times New Roman" w:cs="Times New Roman"/>
          <w:color w:val="FF0000"/>
          <w:sz w:val="24"/>
          <w:szCs w:val="24"/>
          <w:u w:val="single"/>
        </w:rPr>
        <w:t xml:space="preserve"> las tres grandes economías, EE</w:t>
      </w:r>
      <w:r w:rsidRPr="00873420">
        <w:rPr>
          <w:rFonts w:ascii="Times New Roman" w:hAnsi="Times New Roman" w:cs="Times New Roman"/>
          <w:color w:val="FF0000"/>
          <w:sz w:val="24"/>
          <w:szCs w:val="24"/>
          <w:u w:val="single"/>
        </w:rPr>
        <w:t>UU, la UE y China, se está</w:t>
      </w:r>
      <w:r>
        <w:rPr>
          <w:rFonts w:ascii="Times New Roman" w:hAnsi="Times New Roman" w:cs="Times New Roman"/>
          <w:color w:val="FF0000"/>
          <w:sz w:val="24"/>
          <w:szCs w:val="24"/>
          <w:u w:val="single"/>
        </w:rPr>
        <w:t>n desacelerando simultáneamente”</w:t>
      </w:r>
      <w:r w:rsidRPr="00873420">
        <w:rPr>
          <w:rFonts w:ascii="Times New Roman" w:hAnsi="Times New Roman" w:cs="Times New Roman"/>
          <w:color w:val="FF0000"/>
          <w:sz w:val="24"/>
          <w:szCs w:val="24"/>
          <w:u w:val="single"/>
        </w:rPr>
        <w:t>, ha indicado la economista búlgara en una entrevista con la cadena CBS, recogida por Europa Press.</w:t>
      </w:r>
    </w:p>
    <w:p w:rsidR="007E3D39" w:rsidRPr="00F94B75" w:rsidRDefault="007E3D39" w:rsidP="007E3D39">
      <w:pPr>
        <w:spacing w:line="240" w:lineRule="auto"/>
        <w:jc w:val="both"/>
        <w:rPr>
          <w:rFonts w:ascii="Times New Roman" w:hAnsi="Times New Roman" w:cs="Times New Roman"/>
          <w:sz w:val="24"/>
          <w:szCs w:val="24"/>
        </w:rPr>
      </w:pPr>
      <w:r w:rsidRPr="00F94B75">
        <w:rPr>
          <w:rFonts w:ascii="Times New Roman" w:hAnsi="Times New Roman" w:cs="Times New Roman"/>
          <w:sz w:val="24"/>
          <w:szCs w:val="24"/>
        </w:rPr>
        <w:t>Según la directora del FMI, Estados Unidos es más resistente y puede ev</w:t>
      </w:r>
      <w:r>
        <w:rPr>
          <w:rFonts w:ascii="Times New Roman" w:hAnsi="Times New Roman" w:cs="Times New Roman"/>
          <w:sz w:val="24"/>
          <w:szCs w:val="24"/>
        </w:rPr>
        <w:t>itar la recesión, mientras que “</w:t>
      </w:r>
      <w:r w:rsidRPr="00F94B75">
        <w:rPr>
          <w:rFonts w:ascii="Times New Roman" w:hAnsi="Times New Roman" w:cs="Times New Roman"/>
          <w:sz w:val="24"/>
          <w:szCs w:val="24"/>
        </w:rPr>
        <w:t>la mitad de la Unión Europea es</w:t>
      </w:r>
      <w:r>
        <w:rPr>
          <w:rFonts w:ascii="Times New Roman" w:hAnsi="Times New Roman" w:cs="Times New Roman"/>
          <w:sz w:val="24"/>
          <w:szCs w:val="24"/>
        </w:rPr>
        <w:t>tará en recesión el próximo año”</w:t>
      </w:r>
      <w:r w:rsidRPr="00F94B75">
        <w:rPr>
          <w:rFonts w:ascii="Times New Roman" w:hAnsi="Times New Roman" w:cs="Times New Roman"/>
          <w:sz w:val="24"/>
          <w:szCs w:val="24"/>
        </w:rPr>
        <w:t xml:space="preserve"> y China se va a desacelerar aún</w:t>
      </w:r>
      <w:r>
        <w:rPr>
          <w:rFonts w:ascii="Times New Roman" w:hAnsi="Times New Roman" w:cs="Times New Roman"/>
          <w:sz w:val="24"/>
          <w:szCs w:val="24"/>
        </w:rPr>
        <w:t xml:space="preserve"> más. “</w:t>
      </w:r>
      <w:r w:rsidRPr="00F94B75">
        <w:rPr>
          <w:rFonts w:ascii="Times New Roman" w:hAnsi="Times New Roman" w:cs="Times New Roman"/>
          <w:sz w:val="24"/>
          <w:szCs w:val="24"/>
        </w:rPr>
        <w:t>Espero que Estados Unidos no caiga en recesión</w:t>
      </w:r>
      <w:r>
        <w:rPr>
          <w:rFonts w:ascii="Times New Roman" w:hAnsi="Times New Roman" w:cs="Times New Roman"/>
          <w:sz w:val="24"/>
          <w:szCs w:val="24"/>
        </w:rPr>
        <w:t xml:space="preserve"> a pesar de todos estos riesgos”</w:t>
      </w:r>
      <w:r w:rsidRPr="00F94B75">
        <w:rPr>
          <w:rFonts w:ascii="Times New Roman" w:hAnsi="Times New Roman" w:cs="Times New Roman"/>
          <w:sz w:val="24"/>
          <w:szCs w:val="24"/>
        </w:rPr>
        <w:t xml:space="preserve">, ha destacado Georgieva, apuntando que, </w:t>
      </w:r>
      <w:r>
        <w:rPr>
          <w:rFonts w:ascii="Times New Roman" w:hAnsi="Times New Roman" w:cs="Times New Roman"/>
          <w:sz w:val="24"/>
          <w:szCs w:val="24"/>
        </w:rPr>
        <w:t>sin embargo, el FMI espera que “</w:t>
      </w:r>
      <w:r w:rsidRPr="00F94B75">
        <w:rPr>
          <w:rFonts w:ascii="Times New Roman" w:hAnsi="Times New Roman" w:cs="Times New Roman"/>
          <w:sz w:val="24"/>
          <w:szCs w:val="24"/>
        </w:rPr>
        <w:t>un tercio de la ec</w:t>
      </w:r>
      <w:r>
        <w:rPr>
          <w:rFonts w:ascii="Times New Roman" w:hAnsi="Times New Roman" w:cs="Times New Roman"/>
          <w:sz w:val="24"/>
          <w:szCs w:val="24"/>
        </w:rPr>
        <w:t>onomía mundial esté en recesión”</w:t>
      </w:r>
      <w:r w:rsidRPr="00F94B75">
        <w:rPr>
          <w:rFonts w:ascii="Times New Roman" w:hAnsi="Times New Roman" w:cs="Times New Roman"/>
          <w:sz w:val="24"/>
          <w:szCs w:val="24"/>
        </w:rPr>
        <w:t xml:space="preserve"> y que, incluso en países que eviten la contracc</w:t>
      </w:r>
      <w:r>
        <w:rPr>
          <w:rFonts w:ascii="Times New Roman" w:hAnsi="Times New Roman" w:cs="Times New Roman"/>
          <w:sz w:val="24"/>
          <w:szCs w:val="24"/>
        </w:rPr>
        <w:t>ión, “</w:t>
      </w:r>
      <w:r w:rsidRPr="00F94B75">
        <w:rPr>
          <w:rFonts w:ascii="Times New Roman" w:hAnsi="Times New Roman" w:cs="Times New Roman"/>
          <w:sz w:val="24"/>
          <w:szCs w:val="24"/>
        </w:rPr>
        <w:t>se sentirá como una recesión para ci</w:t>
      </w:r>
      <w:r>
        <w:rPr>
          <w:rFonts w:ascii="Times New Roman" w:hAnsi="Times New Roman" w:cs="Times New Roman"/>
          <w:sz w:val="24"/>
          <w:szCs w:val="24"/>
        </w:rPr>
        <w:t>entos de millones de personas”…</w:t>
      </w:r>
    </w:p>
    <w:p w:rsidR="007E3D39" w:rsidRPr="00873420" w:rsidRDefault="007E3D39" w:rsidP="007E3D39">
      <w:pPr>
        <w:spacing w:line="240" w:lineRule="auto"/>
        <w:jc w:val="both"/>
        <w:rPr>
          <w:rFonts w:ascii="Times New Roman" w:hAnsi="Times New Roman" w:cs="Times New Roman"/>
          <w:color w:val="FF0000"/>
          <w:sz w:val="24"/>
          <w:szCs w:val="24"/>
          <w:u w:val="single"/>
        </w:rPr>
      </w:pPr>
      <w:r w:rsidRPr="00873420">
        <w:rPr>
          <w:rFonts w:ascii="Times New Roman" w:hAnsi="Times New Roman" w:cs="Times New Roman"/>
          <w:color w:val="FF0000"/>
          <w:sz w:val="24"/>
          <w:szCs w:val="24"/>
          <w:u w:val="single"/>
        </w:rPr>
        <w:t>En cuanto a la inflación, el FMI preveía en octubre que los precios repuntasen en 2022 una media del 8,8% a nivel global, para caer al 6,5% de media a lo largo de 2023. En las economías avanzadas, estos aumentos serían del 7,2% y el 4,4%, respectivamente, mientas que en la Eurozona ascenderían al 8,3% y al 5,7%</w:t>
      </w:r>
      <w:r w:rsidRPr="00611F4D">
        <w:rPr>
          <w:rFonts w:ascii="Times New Roman" w:hAnsi="Times New Roman" w:cs="Times New Roman"/>
          <w:color w:val="FF0000"/>
          <w:sz w:val="24"/>
          <w:szCs w:val="24"/>
        </w:rPr>
        <w:t>...</w:t>
      </w:r>
    </w:p>
    <w:p w:rsidR="007E3D39" w:rsidRPr="00DA06CA"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A06CA">
        <w:rPr>
          <w:rFonts w:ascii="Times New Roman" w:hAnsi="Times New Roman" w:cs="Times New Roman"/>
          <w:sz w:val="24"/>
          <w:szCs w:val="24"/>
          <w:u w:val="single"/>
        </w:rPr>
        <w:t>El FMI afirma que se puede subir salarios sin alimentar la inflación</w:t>
      </w:r>
      <w:r>
        <w:rPr>
          <w:rFonts w:ascii="Times New Roman" w:hAnsi="Times New Roman" w:cs="Times New Roman"/>
          <w:sz w:val="24"/>
          <w:szCs w:val="24"/>
        </w:rPr>
        <w:t xml:space="preserve"> (Cinco Días - </w:t>
      </w:r>
      <w:r w:rsidRPr="00DA06CA">
        <w:rPr>
          <w:rFonts w:ascii="Times New Roman" w:hAnsi="Times New Roman" w:cs="Times New Roman"/>
          <w:b/>
          <w:sz w:val="24"/>
          <w:szCs w:val="24"/>
        </w:rPr>
        <w:t>5/1/23</w:t>
      </w:r>
      <w:r>
        <w:rPr>
          <w:rFonts w:ascii="Times New Roman" w:hAnsi="Times New Roman" w:cs="Times New Roman"/>
          <w:sz w:val="24"/>
          <w:szCs w:val="24"/>
        </w:rPr>
        <w:t>)</w:t>
      </w:r>
    </w:p>
    <w:p w:rsidR="007E3D39" w:rsidRPr="00DA06CA"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DA06CA">
        <w:rPr>
          <w:rFonts w:ascii="Times New Roman" w:hAnsi="Times New Roman" w:cs="Times New Roman"/>
          <w:sz w:val="24"/>
          <w:szCs w:val="24"/>
        </w:rPr>
        <w:t>Pepe García</w:t>
      </w:r>
      <w:r>
        <w:rPr>
          <w:rFonts w:ascii="Times New Roman" w:hAnsi="Times New Roman" w:cs="Times New Roman"/>
          <w:sz w:val="24"/>
          <w:szCs w:val="24"/>
        </w:rPr>
        <w:t>)</w:t>
      </w:r>
    </w:p>
    <w:p w:rsidR="007E3D39" w:rsidRPr="003C0841" w:rsidRDefault="007E3D39" w:rsidP="007E3D39">
      <w:pPr>
        <w:spacing w:line="240" w:lineRule="auto"/>
        <w:jc w:val="both"/>
        <w:rPr>
          <w:rFonts w:ascii="Times New Roman" w:hAnsi="Times New Roman" w:cs="Times New Roman"/>
          <w:color w:val="FF0000"/>
          <w:sz w:val="24"/>
          <w:szCs w:val="24"/>
          <w:u w:val="single"/>
        </w:rPr>
      </w:pPr>
      <w:r w:rsidRPr="003C0841">
        <w:rPr>
          <w:rFonts w:ascii="Times New Roman" w:hAnsi="Times New Roman" w:cs="Times New Roman"/>
          <w:color w:val="FF0000"/>
          <w:sz w:val="24"/>
          <w:szCs w:val="24"/>
          <w:u w:val="single"/>
        </w:rPr>
        <w:t>La teoría económica clásica indica que subir salarios en tiempos de inflación es como echar gasolina a un fuego. No obstante, un grupo de economistas del FMI indica en un reciente informe que el incremento de salarios puede ser totalmente neutro.</w:t>
      </w:r>
      <w:r w:rsidRPr="00DA06CA">
        <w:rPr>
          <w:rFonts w:ascii="Times New Roman" w:hAnsi="Times New Roman" w:cs="Times New Roman"/>
          <w:sz w:val="24"/>
          <w:szCs w:val="24"/>
        </w:rPr>
        <w:t xml:space="preserve"> En la publicación se analizan los periodos históricos en los que se observaron posibles espirales de precio-salario. </w:t>
      </w:r>
      <w:r w:rsidRPr="003C0841">
        <w:rPr>
          <w:rFonts w:ascii="Times New Roman" w:hAnsi="Times New Roman" w:cs="Times New Roman"/>
          <w:color w:val="FF0000"/>
          <w:sz w:val="24"/>
          <w:szCs w:val="24"/>
          <w:u w:val="single"/>
        </w:rPr>
        <w:t xml:space="preserve">La institución que dirige Kristalina Georgieva concluyó que el aumento </w:t>
      </w:r>
      <w:r>
        <w:rPr>
          <w:rFonts w:ascii="Times New Roman" w:hAnsi="Times New Roman" w:cs="Times New Roman"/>
          <w:color w:val="FF0000"/>
          <w:sz w:val="24"/>
          <w:szCs w:val="24"/>
          <w:u w:val="single"/>
        </w:rPr>
        <w:t>moderado de salarios nominales (</w:t>
      </w:r>
      <w:r w:rsidRPr="003C0841">
        <w:rPr>
          <w:rFonts w:ascii="Times New Roman" w:hAnsi="Times New Roman" w:cs="Times New Roman"/>
          <w:color w:val="FF0000"/>
          <w:sz w:val="24"/>
          <w:szCs w:val="24"/>
          <w:u w:val="single"/>
        </w:rPr>
        <w:t>p</w:t>
      </w:r>
      <w:r>
        <w:rPr>
          <w:rFonts w:ascii="Times New Roman" w:hAnsi="Times New Roman" w:cs="Times New Roman"/>
          <w:color w:val="FF0000"/>
          <w:sz w:val="24"/>
          <w:szCs w:val="24"/>
          <w:u w:val="single"/>
        </w:rPr>
        <w:t>or debajo de los niveles de IPC) “</w:t>
      </w:r>
      <w:r w:rsidRPr="003C0841">
        <w:rPr>
          <w:rFonts w:ascii="Times New Roman" w:hAnsi="Times New Roman" w:cs="Times New Roman"/>
          <w:color w:val="FF0000"/>
          <w:sz w:val="24"/>
          <w:szCs w:val="24"/>
          <w:u w:val="single"/>
        </w:rPr>
        <w:t>no necesariamente debe ser visto como un síntom</w:t>
      </w:r>
      <w:r>
        <w:rPr>
          <w:rFonts w:ascii="Times New Roman" w:hAnsi="Times New Roman" w:cs="Times New Roman"/>
          <w:color w:val="FF0000"/>
          <w:sz w:val="24"/>
          <w:szCs w:val="24"/>
          <w:u w:val="single"/>
        </w:rPr>
        <w:t>a de una espiral precio-salario”</w:t>
      </w:r>
      <w:r w:rsidRPr="003C0841">
        <w:rPr>
          <w:rFonts w:ascii="Times New Roman" w:hAnsi="Times New Roman" w:cs="Times New Roman"/>
          <w:color w:val="FF0000"/>
          <w:sz w:val="24"/>
          <w:szCs w:val="24"/>
          <w:u w:val="single"/>
        </w:rPr>
        <w:t>.</w:t>
      </w:r>
    </w:p>
    <w:p w:rsidR="007E3D39" w:rsidRDefault="007E3D39" w:rsidP="007E3D39">
      <w:pPr>
        <w:spacing w:line="240" w:lineRule="auto"/>
        <w:jc w:val="both"/>
        <w:rPr>
          <w:rFonts w:ascii="Times New Roman" w:hAnsi="Times New Roman" w:cs="Times New Roman"/>
          <w:sz w:val="24"/>
          <w:szCs w:val="24"/>
        </w:rPr>
      </w:pPr>
      <w:r w:rsidRPr="003C0841">
        <w:rPr>
          <w:rFonts w:ascii="Times New Roman" w:hAnsi="Times New Roman" w:cs="Times New Roman"/>
          <w:sz w:val="24"/>
          <w:szCs w:val="24"/>
          <w:u w:val="single"/>
        </w:rPr>
        <w:t>De los 79 periodos históricos analizados por la institución, entre los que se encuentran los periodos inflacionarios de España en el año 89 y 2000, así como el que sufrió Alemania tras la caída del muro de Berlín; tan solo en una minoría de ellos el aumento de precios y salarios revierten el uno sobre el otro. De hecho, existen periodos en los que la inflación tiende a la baja desde valores elevados mientras los salarios suben en términos nominales, es decir en la cuantía que se percibe</w:t>
      </w:r>
      <w:r w:rsidRPr="00611F4D">
        <w:rPr>
          <w:rFonts w:ascii="Times New Roman" w:hAnsi="Times New Roman" w:cs="Times New Roman"/>
          <w:sz w:val="24"/>
          <w:szCs w:val="24"/>
        </w:rPr>
        <w:t>…</w:t>
      </w:r>
    </w:p>
    <w:p w:rsidR="007E3D39" w:rsidRPr="003C0841" w:rsidRDefault="007E3D39" w:rsidP="007E3D39">
      <w:pPr>
        <w:spacing w:line="240" w:lineRule="auto"/>
        <w:jc w:val="both"/>
        <w:rPr>
          <w:rFonts w:ascii="Times New Roman" w:hAnsi="Times New Roman" w:cs="Times New Roman"/>
          <w:color w:val="FF0000"/>
          <w:sz w:val="24"/>
          <w:szCs w:val="24"/>
          <w:u w:val="single"/>
        </w:rPr>
      </w:pPr>
      <w:r w:rsidRPr="003C0841">
        <w:rPr>
          <w:rFonts w:ascii="Times New Roman" w:hAnsi="Times New Roman" w:cs="Times New Roman"/>
          <w:b/>
          <w:color w:val="FF0000"/>
          <w:sz w:val="24"/>
          <w:szCs w:val="24"/>
          <w:u w:val="single"/>
        </w:rPr>
        <w:t>El FMI indica en La espiral precio salario: ¿cuál es la evidencia histórica?</w:t>
      </w:r>
      <w:r w:rsidRPr="00DA06CA">
        <w:rPr>
          <w:rFonts w:ascii="Times New Roman" w:hAnsi="Times New Roman" w:cs="Times New Roman"/>
          <w:sz w:val="24"/>
          <w:szCs w:val="24"/>
        </w:rPr>
        <w:t xml:space="preserve"> </w:t>
      </w:r>
      <w:r w:rsidRPr="003C0841">
        <w:rPr>
          <w:rFonts w:ascii="Times New Roman" w:hAnsi="Times New Roman" w:cs="Times New Roman"/>
          <w:color w:val="FF0000"/>
          <w:sz w:val="24"/>
          <w:szCs w:val="24"/>
          <w:u w:val="single"/>
        </w:rPr>
        <w:t>que, en un contexto de shock de demanda negativo, como el que experimenta la economía desde la pandemia por la subi</w:t>
      </w:r>
      <w:r>
        <w:rPr>
          <w:rFonts w:ascii="Times New Roman" w:hAnsi="Times New Roman" w:cs="Times New Roman"/>
          <w:color w:val="FF0000"/>
          <w:sz w:val="24"/>
          <w:szCs w:val="24"/>
          <w:u w:val="single"/>
        </w:rPr>
        <w:t>da de los precios energéticos, “no hay evidencia de relación”</w:t>
      </w:r>
      <w:r w:rsidRPr="003C0841">
        <w:rPr>
          <w:rFonts w:ascii="Times New Roman" w:hAnsi="Times New Roman" w:cs="Times New Roman"/>
          <w:color w:val="FF0000"/>
          <w:sz w:val="24"/>
          <w:szCs w:val="24"/>
          <w:u w:val="single"/>
        </w:rPr>
        <w:t xml:space="preserve"> entre salarios y precios.</w:t>
      </w:r>
    </w:p>
    <w:p w:rsidR="007E3D39" w:rsidRPr="003C0841" w:rsidRDefault="007E3D39" w:rsidP="007E3D39">
      <w:pPr>
        <w:spacing w:line="240" w:lineRule="auto"/>
        <w:jc w:val="both"/>
        <w:rPr>
          <w:rFonts w:ascii="Times New Roman" w:hAnsi="Times New Roman" w:cs="Times New Roman"/>
          <w:color w:val="FF0000"/>
          <w:sz w:val="24"/>
          <w:szCs w:val="24"/>
          <w:u w:val="single"/>
        </w:rPr>
      </w:pPr>
      <w:r w:rsidRPr="003C0841">
        <w:rPr>
          <w:rFonts w:ascii="Times New Roman" w:hAnsi="Times New Roman" w:cs="Times New Roman"/>
          <w:color w:val="FF0000"/>
          <w:sz w:val="24"/>
          <w:szCs w:val="24"/>
          <w:u w:val="single"/>
        </w:rPr>
        <w:t>La reducción del salario nominal no aplana la curva de la inflación. Según el análisis histórico del FMI, reducir o congelar el dinero que perciben los trabajadores hace que tarden más en recuperar su salario real, es decir, su poder adquisitivo. Por el contrario, en momentos de crecimientos de salarios y precios en los que sí hay subidas de mensualidades en términos nominales, la inflación termina bajando de manera similar a cuando no los hay, pero el poder adquisitivo de los trabajadores se recupera antes.</w:t>
      </w:r>
    </w:p>
    <w:p w:rsidR="007E3D39" w:rsidRPr="00611F4D" w:rsidRDefault="007E3D39" w:rsidP="007E3D39">
      <w:pPr>
        <w:spacing w:line="240" w:lineRule="auto"/>
        <w:jc w:val="both"/>
        <w:rPr>
          <w:rFonts w:ascii="Times New Roman" w:hAnsi="Times New Roman" w:cs="Times New Roman"/>
          <w:sz w:val="24"/>
          <w:szCs w:val="24"/>
        </w:rPr>
      </w:pPr>
    </w:p>
    <w:p w:rsidR="007E3D39" w:rsidRPr="00DA06CA" w:rsidRDefault="007E3D39" w:rsidP="007E3D39">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62F06BE3" wp14:editId="3C67C89E">
            <wp:extent cx="5731510" cy="3863896"/>
            <wp:effectExtent l="0" t="0" r="2540" b="3810"/>
            <wp:docPr id="117" name="Imagen 117" descr="FMI inflac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MI inflacio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31510" cy="3863896"/>
                    </a:xfrm>
                    <a:prstGeom prst="rect">
                      <a:avLst/>
                    </a:prstGeom>
                    <a:noFill/>
                    <a:ln>
                      <a:noFill/>
                    </a:ln>
                  </pic:spPr>
                </pic:pic>
              </a:graphicData>
            </a:graphic>
          </wp:inline>
        </w:drawing>
      </w:r>
    </w:p>
    <w:p w:rsidR="007E3D39" w:rsidRPr="00D85CDD" w:rsidRDefault="007E3D39" w:rsidP="007E3D3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D85CDD">
        <w:rPr>
          <w:rFonts w:ascii="Times New Roman" w:hAnsi="Times New Roman" w:cs="Times New Roman"/>
          <w:sz w:val="24"/>
          <w:szCs w:val="24"/>
          <w:u w:val="single"/>
          <w:shd w:val="clear" w:color="auto" w:fill="FFFFFF"/>
        </w:rPr>
        <w:t>Roubini alerta de una inflación más persistente y una futura crisis de deuda</w:t>
      </w:r>
      <w:r>
        <w:rPr>
          <w:rFonts w:ascii="Times New Roman" w:hAnsi="Times New Roman" w:cs="Times New Roman"/>
          <w:sz w:val="24"/>
          <w:szCs w:val="24"/>
          <w:shd w:val="clear" w:color="auto" w:fill="FFFFFF"/>
        </w:rPr>
        <w:t xml:space="preserve"> (Expansión - </w:t>
      </w:r>
      <w:r w:rsidRPr="00D85CDD">
        <w:rPr>
          <w:rFonts w:ascii="Times New Roman" w:hAnsi="Times New Roman" w:cs="Times New Roman"/>
          <w:b/>
          <w:sz w:val="24"/>
          <w:szCs w:val="24"/>
          <w:shd w:val="clear" w:color="auto" w:fill="FFFFFF"/>
        </w:rPr>
        <w:t>15/1/23</w:t>
      </w:r>
      <w:r>
        <w:rPr>
          <w:rFonts w:ascii="Times New Roman" w:hAnsi="Times New Roman" w:cs="Times New Roman"/>
          <w:sz w:val="24"/>
          <w:szCs w:val="24"/>
          <w:shd w:val="clear" w:color="auto" w:fill="FFFFFF"/>
        </w:rPr>
        <w:t>)</w:t>
      </w:r>
    </w:p>
    <w:p w:rsidR="007E3D39" w:rsidRPr="000323D4" w:rsidRDefault="007E3D39" w:rsidP="007E3D39">
      <w:pPr>
        <w:spacing w:line="240" w:lineRule="auto"/>
        <w:jc w:val="both"/>
        <w:rPr>
          <w:rFonts w:ascii="Times New Roman" w:hAnsi="Times New Roman" w:cs="Times New Roman"/>
          <w:sz w:val="24"/>
          <w:szCs w:val="24"/>
          <w:u w:val="single"/>
          <w:shd w:val="clear" w:color="auto" w:fill="FFFFFF"/>
        </w:rPr>
      </w:pPr>
      <w:r w:rsidRPr="000323D4">
        <w:rPr>
          <w:rFonts w:ascii="Times New Roman" w:hAnsi="Times New Roman" w:cs="Times New Roman"/>
          <w:sz w:val="24"/>
          <w:szCs w:val="24"/>
          <w:u w:val="single"/>
          <w:shd w:val="clear" w:color="auto" w:fill="FFFFFF"/>
        </w:rPr>
        <w:t>El economista Nouriel Roubini, famoso por sus agoreras predicciones en 2006 sobre la crisis financiera que se avecinaba, alerta ahora de que el actual episodio de estanflación será más profundo de lo que se prevé y que el elevado nivel de deuda pública y pri</w:t>
      </w:r>
      <w:r>
        <w:rPr>
          <w:rFonts w:ascii="Times New Roman" w:hAnsi="Times New Roman" w:cs="Times New Roman"/>
          <w:sz w:val="24"/>
          <w:szCs w:val="24"/>
          <w:u w:val="single"/>
          <w:shd w:val="clear" w:color="auto" w:fill="FFFFFF"/>
        </w:rPr>
        <w:t>vada puede terminar provocando “la madre de todas las crisis”</w:t>
      </w:r>
      <w:r w:rsidRPr="000323D4">
        <w:rPr>
          <w:rFonts w:ascii="Times New Roman" w:hAnsi="Times New Roman" w:cs="Times New Roman"/>
          <w:sz w:val="24"/>
          <w:szCs w:val="24"/>
          <w:u w:val="single"/>
          <w:shd w:val="clear" w:color="auto" w:fill="FFFFFF"/>
        </w:rPr>
        <w:t>.</w:t>
      </w:r>
    </w:p>
    <w:p w:rsidR="007E3D39" w:rsidRPr="000323D4" w:rsidRDefault="007E3D39" w:rsidP="007E3D39">
      <w:pPr>
        <w:spacing w:line="240" w:lineRule="auto"/>
        <w:jc w:val="both"/>
        <w:rPr>
          <w:rFonts w:ascii="Times New Roman" w:hAnsi="Times New Roman" w:cs="Times New Roman"/>
          <w:color w:val="FF0000"/>
          <w:sz w:val="24"/>
          <w:szCs w:val="24"/>
          <w:u w:val="single"/>
          <w:shd w:val="clear" w:color="auto" w:fill="FFFFFF"/>
        </w:rPr>
      </w:pPr>
      <w:r w:rsidRPr="000323D4">
        <w:rPr>
          <w:rFonts w:ascii="Times New Roman" w:hAnsi="Times New Roman" w:cs="Times New Roman"/>
          <w:color w:val="FF0000"/>
          <w:sz w:val="24"/>
          <w:szCs w:val="24"/>
          <w:u w:val="single"/>
          <w:shd w:val="clear" w:color="auto" w:fill="FFFFFF"/>
        </w:rPr>
        <w:t>La estanflación (estancamiento más inflación) y una eventual crisis de deuda son dos de los grandes peligros económicos que Roubini identifi</w:t>
      </w:r>
      <w:r>
        <w:rPr>
          <w:rFonts w:ascii="Times New Roman" w:hAnsi="Times New Roman" w:cs="Times New Roman"/>
          <w:color w:val="FF0000"/>
          <w:sz w:val="24"/>
          <w:szCs w:val="24"/>
          <w:u w:val="single"/>
          <w:shd w:val="clear" w:color="auto" w:fill="FFFFFF"/>
        </w:rPr>
        <w:t>ca en su último libro, “Megamenazas”</w:t>
      </w:r>
      <w:r w:rsidRPr="000323D4">
        <w:rPr>
          <w:rFonts w:ascii="Times New Roman" w:hAnsi="Times New Roman" w:cs="Times New Roman"/>
          <w:color w:val="FF0000"/>
          <w:sz w:val="24"/>
          <w:szCs w:val="24"/>
          <w:u w:val="single"/>
          <w:shd w:val="clear" w:color="auto" w:fill="FFFFFF"/>
        </w:rPr>
        <w:t xml:space="preserve"> (Deusto), aunque dice que la elevada inflación es la más clara amenaza a corto plazo.</w:t>
      </w:r>
    </w:p>
    <w:p w:rsidR="007E3D39" w:rsidRPr="000323D4" w:rsidRDefault="007E3D39" w:rsidP="007E3D39">
      <w:pPr>
        <w:spacing w:line="240" w:lineRule="auto"/>
        <w:jc w:val="both"/>
        <w:rPr>
          <w:rFonts w:ascii="Times New Roman" w:hAnsi="Times New Roman" w:cs="Times New Roman"/>
          <w:color w:val="FF0000"/>
          <w:sz w:val="24"/>
          <w:szCs w:val="24"/>
          <w:u w:val="single"/>
          <w:shd w:val="clear" w:color="auto" w:fill="FFFFFF"/>
        </w:rPr>
      </w:pPr>
      <w:r w:rsidRPr="000323D4">
        <w:rPr>
          <w:rFonts w:ascii="Times New Roman" w:hAnsi="Times New Roman" w:cs="Times New Roman"/>
          <w:color w:val="FF0000"/>
          <w:sz w:val="24"/>
          <w:szCs w:val="24"/>
          <w:u w:val="single"/>
          <w:shd w:val="clear" w:color="auto" w:fill="FFFFFF"/>
        </w:rPr>
        <w:t>Le suma en el horizonte inmediato los riesgos geopolíticos derivados de la invasión de Ucra</w:t>
      </w:r>
      <w:r>
        <w:rPr>
          <w:rFonts w:ascii="Times New Roman" w:hAnsi="Times New Roman" w:cs="Times New Roman"/>
          <w:color w:val="FF0000"/>
          <w:sz w:val="24"/>
          <w:szCs w:val="24"/>
          <w:u w:val="single"/>
          <w:shd w:val="clear" w:color="auto" w:fill="FFFFFF"/>
        </w:rPr>
        <w:t>nia y el efecto de la política “</w:t>
      </w:r>
      <w:r w:rsidRPr="000323D4">
        <w:rPr>
          <w:rFonts w:ascii="Times New Roman" w:hAnsi="Times New Roman" w:cs="Times New Roman"/>
          <w:color w:val="FF0000"/>
          <w:sz w:val="24"/>
          <w:szCs w:val="24"/>
          <w:u w:val="single"/>
          <w:shd w:val="clear" w:color="auto" w:fill="FFFFFF"/>
        </w:rPr>
        <w:t>Covid cero</w:t>
      </w:r>
      <w:r>
        <w:rPr>
          <w:rFonts w:ascii="Times New Roman" w:hAnsi="Times New Roman" w:cs="Times New Roman"/>
          <w:color w:val="FF0000"/>
          <w:sz w:val="24"/>
          <w:szCs w:val="24"/>
          <w:u w:val="single"/>
          <w:shd w:val="clear" w:color="auto" w:fill="FFFFFF"/>
        </w:rPr>
        <w:t>”</w:t>
      </w:r>
      <w:r w:rsidRPr="000323D4">
        <w:rPr>
          <w:rFonts w:ascii="Times New Roman" w:hAnsi="Times New Roman" w:cs="Times New Roman"/>
          <w:color w:val="FF0000"/>
          <w:sz w:val="24"/>
          <w:szCs w:val="24"/>
          <w:u w:val="single"/>
          <w:shd w:val="clear" w:color="auto" w:fill="FFFFFF"/>
        </w:rPr>
        <w:t xml:space="preserve"> de China sobre los suministros a nivel global.</w:t>
      </w:r>
    </w:p>
    <w:p w:rsidR="007E3D39" w:rsidRPr="000323D4" w:rsidRDefault="007E3D39" w:rsidP="007E3D39">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color w:val="FF0000"/>
          <w:sz w:val="24"/>
          <w:szCs w:val="24"/>
          <w:u w:val="single"/>
          <w:shd w:val="clear" w:color="auto" w:fill="FFFFFF"/>
        </w:rPr>
        <w:t>En total enumera un decena de “mega amenazas”</w:t>
      </w:r>
      <w:r w:rsidRPr="000323D4">
        <w:rPr>
          <w:rFonts w:ascii="Times New Roman" w:hAnsi="Times New Roman" w:cs="Times New Roman"/>
          <w:color w:val="FF0000"/>
          <w:sz w:val="24"/>
          <w:szCs w:val="24"/>
          <w:u w:val="single"/>
          <w:shd w:val="clear" w:color="auto" w:fill="FFFFFF"/>
        </w:rPr>
        <w:t xml:space="preserve"> que superpuestas son potencialmente devastadoras y que incluyen la "guerra fría" entre China y Estados Unidos, la expansión de la ola populista, la emergencia climática, la normalización de las pandemias globales, el colapso demográfico, la desglobalización económica, la automatización del empleo y el aumento de las desigualdades.</w:t>
      </w:r>
    </w:p>
    <w:p w:rsidR="007E3D39" w:rsidRPr="000323D4" w:rsidRDefault="007E3D39" w:rsidP="007E3D39">
      <w:pPr>
        <w:spacing w:line="240" w:lineRule="auto"/>
        <w:jc w:val="both"/>
        <w:rPr>
          <w:rFonts w:ascii="Times New Roman" w:hAnsi="Times New Roman" w:cs="Times New Roman"/>
          <w:sz w:val="24"/>
          <w:szCs w:val="24"/>
          <w:u w:val="single"/>
          <w:shd w:val="clear" w:color="auto" w:fill="FFFFFF"/>
        </w:rPr>
      </w:pPr>
      <w:r w:rsidRPr="000323D4">
        <w:rPr>
          <w:rFonts w:ascii="Times New Roman" w:hAnsi="Times New Roman" w:cs="Times New Roman"/>
          <w:sz w:val="24"/>
          <w:szCs w:val="24"/>
          <w:u w:val="single"/>
          <w:shd w:val="clear" w:color="auto" w:fill="FFFFFF"/>
        </w:rPr>
        <w:t>Roubini, que esta semana ha presentado su libro en la Fundación Rafael del Pino, explica que el aumento de la inflación en los dos últim</w:t>
      </w:r>
      <w:r>
        <w:rPr>
          <w:rFonts w:ascii="Times New Roman" w:hAnsi="Times New Roman" w:cs="Times New Roman"/>
          <w:sz w:val="24"/>
          <w:szCs w:val="24"/>
          <w:u w:val="single"/>
          <w:shd w:val="clear" w:color="auto" w:fill="FFFFFF"/>
        </w:rPr>
        <w:t>os años es consecuencia de las “</w:t>
      </w:r>
      <w:r w:rsidRPr="000323D4">
        <w:rPr>
          <w:rFonts w:ascii="Times New Roman" w:hAnsi="Times New Roman" w:cs="Times New Roman"/>
          <w:sz w:val="24"/>
          <w:szCs w:val="24"/>
          <w:u w:val="single"/>
          <w:shd w:val="clear" w:color="auto" w:fill="FFFFFF"/>
        </w:rPr>
        <w:t>malas políticas mantenidas durante demasiado ti</w:t>
      </w:r>
      <w:r>
        <w:rPr>
          <w:rFonts w:ascii="Times New Roman" w:hAnsi="Times New Roman" w:cs="Times New Roman"/>
          <w:sz w:val="24"/>
          <w:szCs w:val="24"/>
          <w:u w:val="single"/>
          <w:shd w:val="clear" w:color="auto" w:fill="FFFFFF"/>
        </w:rPr>
        <w:t>empo”</w:t>
      </w:r>
      <w:r w:rsidRPr="000323D4">
        <w:rPr>
          <w:rFonts w:ascii="Times New Roman" w:hAnsi="Times New Roman" w:cs="Times New Roman"/>
          <w:sz w:val="24"/>
          <w:szCs w:val="24"/>
          <w:u w:val="single"/>
          <w:shd w:val="clear" w:color="auto" w:fill="FFFFFF"/>
        </w:rPr>
        <w:t xml:space="preserve"> para combatir los efectos de la Covid-19, con una excesiva relajación de la política fiscal y monetaria que ha dado demasiadas facilidades financieras.</w:t>
      </w:r>
    </w:p>
    <w:p w:rsidR="007E3D39" w:rsidRPr="000323D4" w:rsidRDefault="007E3D39" w:rsidP="007E3D39">
      <w:pPr>
        <w:spacing w:line="240" w:lineRule="auto"/>
        <w:jc w:val="both"/>
        <w:rPr>
          <w:rFonts w:ascii="Times New Roman" w:hAnsi="Times New Roman" w:cs="Times New Roman"/>
          <w:sz w:val="24"/>
          <w:szCs w:val="24"/>
          <w:u w:val="single"/>
          <w:shd w:val="clear" w:color="auto" w:fill="FFFFFF"/>
        </w:rPr>
      </w:pPr>
      <w:r>
        <w:rPr>
          <w:rFonts w:ascii="Times New Roman" w:hAnsi="Times New Roman" w:cs="Times New Roman"/>
          <w:sz w:val="24"/>
          <w:szCs w:val="24"/>
          <w:u w:val="single"/>
          <w:shd w:val="clear" w:color="auto" w:fill="FFFFFF"/>
        </w:rPr>
        <w:t>“</w:t>
      </w:r>
      <w:r w:rsidRPr="000323D4">
        <w:rPr>
          <w:rFonts w:ascii="Times New Roman" w:hAnsi="Times New Roman" w:cs="Times New Roman"/>
          <w:sz w:val="24"/>
          <w:szCs w:val="24"/>
          <w:u w:val="single"/>
          <w:shd w:val="clear" w:color="auto" w:fill="FFFFFF"/>
        </w:rPr>
        <w:t>En Europa ha tenido más que ver la mala suerte por la dependencia de la energía rusa, aunque también las políticas expansionis</w:t>
      </w:r>
      <w:r>
        <w:rPr>
          <w:rFonts w:ascii="Times New Roman" w:hAnsi="Times New Roman" w:cs="Times New Roman"/>
          <w:sz w:val="24"/>
          <w:szCs w:val="24"/>
          <w:u w:val="single"/>
          <w:shd w:val="clear" w:color="auto" w:fill="FFFFFF"/>
        </w:rPr>
        <w:t>tas han sido parte del problema”</w:t>
      </w:r>
      <w:r w:rsidRPr="000323D4">
        <w:rPr>
          <w:rFonts w:ascii="Times New Roman" w:hAnsi="Times New Roman" w:cs="Times New Roman"/>
          <w:sz w:val="24"/>
          <w:szCs w:val="24"/>
          <w:u w:val="single"/>
          <w:shd w:val="clear" w:color="auto" w:fill="FFFFFF"/>
        </w:rPr>
        <w:t xml:space="preserve">, señala el autor a la </w:t>
      </w:r>
      <w:r w:rsidRPr="000323D4">
        <w:rPr>
          <w:rFonts w:ascii="Times New Roman" w:hAnsi="Times New Roman" w:cs="Times New Roman"/>
          <w:sz w:val="24"/>
          <w:szCs w:val="24"/>
          <w:u w:val="single"/>
          <w:shd w:val="clear" w:color="auto" w:fill="FFFFFF"/>
        </w:rPr>
        <w:lastRenderedPageBreak/>
        <w:t>agencia Efe, convencido de que el consenso en torno a l</w:t>
      </w:r>
      <w:r>
        <w:rPr>
          <w:rFonts w:ascii="Times New Roman" w:hAnsi="Times New Roman" w:cs="Times New Roman"/>
          <w:sz w:val="24"/>
          <w:szCs w:val="24"/>
          <w:u w:val="single"/>
          <w:shd w:val="clear" w:color="auto" w:fill="FFFFFF"/>
        </w:rPr>
        <w:t>a inflación como algo temporal “es erróneo”</w:t>
      </w:r>
      <w:r w:rsidRPr="000323D4">
        <w:rPr>
          <w:rFonts w:ascii="Times New Roman" w:hAnsi="Times New Roman" w:cs="Times New Roman"/>
          <w:sz w:val="24"/>
          <w:szCs w:val="24"/>
          <w:u w:val="single"/>
          <w:shd w:val="clear" w:color="auto" w:fill="FFFFFF"/>
        </w:rPr>
        <w:t>.</w:t>
      </w:r>
    </w:p>
    <w:p w:rsidR="007E3D39" w:rsidRPr="000323D4" w:rsidRDefault="007E3D39" w:rsidP="007E3D39">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color w:val="FF0000"/>
          <w:sz w:val="24"/>
          <w:szCs w:val="24"/>
          <w:u w:val="single"/>
          <w:shd w:val="clear" w:color="auto" w:fill="FFFFFF"/>
        </w:rPr>
        <w:t>“</w:t>
      </w:r>
      <w:r w:rsidRPr="000323D4">
        <w:rPr>
          <w:rFonts w:ascii="Times New Roman" w:hAnsi="Times New Roman" w:cs="Times New Roman"/>
          <w:color w:val="FF0000"/>
          <w:sz w:val="24"/>
          <w:szCs w:val="24"/>
          <w:u w:val="single"/>
          <w:shd w:val="clear" w:color="auto" w:fill="FFFFFF"/>
        </w:rPr>
        <w:t>El problema al luchar contra la inflación no es solo el riesgo de una aterrizaje duro de la economía, sino de la enorme cantidad de deuda en el sistema. El endurecimiento de las condiciones financieras puede empeorar</w:t>
      </w:r>
      <w:r>
        <w:rPr>
          <w:rFonts w:ascii="Times New Roman" w:hAnsi="Times New Roman" w:cs="Times New Roman"/>
          <w:color w:val="FF0000"/>
          <w:sz w:val="24"/>
          <w:szCs w:val="24"/>
          <w:u w:val="single"/>
          <w:shd w:val="clear" w:color="auto" w:fill="FFFFFF"/>
        </w:rPr>
        <w:t xml:space="preserve"> la recesión y llevar a impagos”</w:t>
      </w:r>
      <w:r w:rsidRPr="000323D4">
        <w:rPr>
          <w:rFonts w:ascii="Times New Roman" w:hAnsi="Times New Roman" w:cs="Times New Roman"/>
          <w:color w:val="FF0000"/>
          <w:sz w:val="24"/>
          <w:szCs w:val="24"/>
          <w:u w:val="single"/>
          <w:shd w:val="clear" w:color="auto" w:fill="FFFFFF"/>
        </w:rPr>
        <w:t>, asegura.</w:t>
      </w:r>
    </w:p>
    <w:p w:rsidR="007E3D39" w:rsidRPr="000323D4" w:rsidRDefault="007E3D39" w:rsidP="007E3D39">
      <w:pPr>
        <w:spacing w:line="240" w:lineRule="auto"/>
        <w:jc w:val="both"/>
        <w:rPr>
          <w:rFonts w:ascii="Times New Roman" w:hAnsi="Times New Roman" w:cs="Times New Roman"/>
          <w:color w:val="FF0000"/>
          <w:sz w:val="24"/>
          <w:szCs w:val="24"/>
          <w:u w:val="single"/>
          <w:shd w:val="clear" w:color="auto" w:fill="FFFFFF"/>
        </w:rPr>
      </w:pPr>
      <w:r>
        <w:rPr>
          <w:rFonts w:ascii="Times New Roman" w:hAnsi="Times New Roman" w:cs="Times New Roman"/>
          <w:color w:val="FF0000"/>
          <w:sz w:val="24"/>
          <w:szCs w:val="24"/>
          <w:u w:val="single"/>
          <w:shd w:val="clear" w:color="auto" w:fill="FFFFFF"/>
        </w:rPr>
        <w:t>“</w:t>
      </w:r>
      <w:r w:rsidRPr="000323D4">
        <w:rPr>
          <w:rFonts w:ascii="Times New Roman" w:hAnsi="Times New Roman" w:cs="Times New Roman"/>
          <w:color w:val="FF0000"/>
          <w:sz w:val="24"/>
          <w:szCs w:val="24"/>
          <w:u w:val="single"/>
          <w:shd w:val="clear" w:color="auto" w:fill="FFFFFF"/>
        </w:rPr>
        <w:t>Por eso digo que los bancos centrales están en una trampa de deuda, porque subir intereses para combatir la inflación puede no solo contraer la economía s</w:t>
      </w:r>
      <w:r>
        <w:rPr>
          <w:rFonts w:ascii="Times New Roman" w:hAnsi="Times New Roman" w:cs="Times New Roman"/>
          <w:color w:val="FF0000"/>
          <w:sz w:val="24"/>
          <w:szCs w:val="24"/>
          <w:u w:val="single"/>
          <w:shd w:val="clear" w:color="auto" w:fill="FFFFFF"/>
        </w:rPr>
        <w:t>ino crear una crisis financiera”</w:t>
      </w:r>
      <w:r w:rsidRPr="000323D4">
        <w:rPr>
          <w:rFonts w:ascii="Times New Roman" w:hAnsi="Times New Roman" w:cs="Times New Roman"/>
          <w:color w:val="FF0000"/>
          <w:sz w:val="24"/>
          <w:szCs w:val="24"/>
          <w:u w:val="single"/>
          <w:shd w:val="clear" w:color="auto" w:fill="FFFFFF"/>
        </w:rPr>
        <w:t>, advier</w:t>
      </w:r>
      <w:r>
        <w:rPr>
          <w:rFonts w:ascii="Times New Roman" w:hAnsi="Times New Roman" w:cs="Times New Roman"/>
          <w:color w:val="FF0000"/>
          <w:sz w:val="24"/>
          <w:szCs w:val="24"/>
          <w:u w:val="single"/>
          <w:shd w:val="clear" w:color="auto" w:fill="FFFFFF"/>
        </w:rPr>
        <w:t>te, al tiempo que vaticina que “</w:t>
      </w:r>
      <w:r w:rsidRPr="000323D4">
        <w:rPr>
          <w:rFonts w:ascii="Times New Roman" w:hAnsi="Times New Roman" w:cs="Times New Roman"/>
          <w:color w:val="FF0000"/>
          <w:sz w:val="24"/>
          <w:szCs w:val="24"/>
          <w:u w:val="single"/>
          <w:shd w:val="clear" w:color="auto" w:fill="FFFFFF"/>
        </w:rPr>
        <w:t>la madre de todas las crisis de deuda puede acontecer en algún momento</w:t>
      </w:r>
      <w:r>
        <w:rPr>
          <w:rFonts w:ascii="Times New Roman" w:hAnsi="Times New Roman" w:cs="Times New Roman"/>
          <w:color w:val="FF0000"/>
          <w:sz w:val="24"/>
          <w:szCs w:val="24"/>
          <w:u w:val="single"/>
          <w:shd w:val="clear" w:color="auto" w:fill="FFFFFF"/>
        </w:rPr>
        <w:t xml:space="preserve"> de esta década o de la próxima”</w:t>
      </w:r>
      <w:r>
        <w:rPr>
          <w:rFonts w:ascii="Times New Roman" w:hAnsi="Times New Roman" w:cs="Times New Roman"/>
          <w:color w:val="FF0000"/>
          <w:sz w:val="24"/>
          <w:szCs w:val="24"/>
          <w:shd w:val="clear" w:color="auto" w:fill="FFFFFF"/>
        </w:rPr>
        <w:t>…</w:t>
      </w:r>
    </w:p>
    <w:p w:rsidR="007E3D39" w:rsidRPr="00E41CB2" w:rsidRDefault="007E3D39" w:rsidP="007E3D39">
      <w:pPr>
        <w:spacing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 </w:t>
      </w:r>
      <w:r>
        <w:rPr>
          <w:rFonts w:ascii="Times New Roman" w:eastAsia="Times New Roman" w:hAnsi="Times New Roman" w:cs="Times New Roman"/>
          <w:sz w:val="24"/>
          <w:szCs w:val="24"/>
          <w:u w:val="single"/>
          <w:lang w:eastAsia="es-ES"/>
        </w:rPr>
        <w:t>El BCE da por muerta a la “japonización”</w:t>
      </w:r>
      <w:r w:rsidRPr="00E41CB2">
        <w:rPr>
          <w:rFonts w:ascii="Times New Roman" w:eastAsia="Times New Roman" w:hAnsi="Times New Roman" w:cs="Times New Roman"/>
          <w:sz w:val="24"/>
          <w:szCs w:val="24"/>
          <w:u w:val="single"/>
          <w:lang w:eastAsia="es-ES"/>
        </w:rPr>
        <w:t xml:space="preserve"> y admite que la economía está entrando en un nuevo régimen</w:t>
      </w:r>
      <w:r>
        <w:rPr>
          <w:rFonts w:ascii="Times New Roman" w:eastAsia="Times New Roman" w:hAnsi="Times New Roman" w:cs="Times New Roman"/>
          <w:sz w:val="24"/>
          <w:szCs w:val="24"/>
          <w:lang w:eastAsia="es-ES"/>
        </w:rPr>
        <w:t xml:space="preserve"> (El Economista - </w:t>
      </w:r>
      <w:r w:rsidRPr="00E41CB2">
        <w:rPr>
          <w:rFonts w:ascii="Times New Roman" w:eastAsia="Times New Roman" w:hAnsi="Times New Roman" w:cs="Times New Roman"/>
          <w:b/>
          <w:sz w:val="24"/>
          <w:szCs w:val="24"/>
          <w:lang w:eastAsia="es-ES"/>
        </w:rPr>
        <w:t>17/1/23</w:t>
      </w:r>
      <w:r>
        <w:rPr>
          <w:rFonts w:ascii="Times New Roman" w:eastAsia="Times New Roman" w:hAnsi="Times New Roman" w:cs="Times New Roman"/>
          <w:sz w:val="24"/>
          <w:szCs w:val="24"/>
          <w:lang w:eastAsia="es-ES"/>
        </w:rPr>
        <w:t>)</w:t>
      </w:r>
    </w:p>
    <w:p w:rsidR="007E3D39" w:rsidRPr="00E41CB2" w:rsidRDefault="007E3D39" w:rsidP="007E3D39">
      <w:pPr>
        <w:spacing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 xml:space="preserve">(Por </w:t>
      </w:r>
      <w:r w:rsidRPr="00E41CB2">
        <w:rPr>
          <w:rFonts w:ascii="Times New Roman" w:eastAsia="Times New Roman" w:hAnsi="Times New Roman" w:cs="Times New Roman"/>
          <w:sz w:val="24"/>
          <w:szCs w:val="24"/>
          <w:lang w:eastAsia="es-ES"/>
        </w:rPr>
        <w:t>Vicente Nieves</w:t>
      </w:r>
      <w:r>
        <w:rPr>
          <w:rFonts w:ascii="Times New Roman" w:eastAsia="Times New Roman" w:hAnsi="Times New Roman" w:cs="Times New Roman"/>
          <w:sz w:val="24"/>
          <w:szCs w:val="24"/>
          <w:lang w:eastAsia="es-ES"/>
        </w:rPr>
        <w:t>)</w:t>
      </w:r>
    </w:p>
    <w:p w:rsidR="007E3D39" w:rsidRPr="008F4253" w:rsidRDefault="007E3D39" w:rsidP="007E3D39">
      <w:pPr>
        <w:spacing w:after="100" w:afterAutospacing="1" w:line="240" w:lineRule="auto"/>
        <w:jc w:val="both"/>
        <w:rPr>
          <w:rFonts w:ascii="Times New Roman" w:eastAsia="Times New Roman" w:hAnsi="Times New Roman" w:cs="Times New Roman"/>
          <w:sz w:val="24"/>
          <w:szCs w:val="24"/>
          <w:u w:val="single"/>
          <w:lang w:eastAsia="es-ES"/>
        </w:rPr>
      </w:pPr>
      <w:r>
        <w:rPr>
          <w:rFonts w:ascii="Times New Roman" w:eastAsia="Times New Roman" w:hAnsi="Times New Roman" w:cs="Times New Roman"/>
          <w:sz w:val="24"/>
          <w:szCs w:val="24"/>
          <w:u w:val="single"/>
          <w:lang w:eastAsia="es-ES"/>
        </w:rPr>
        <w:t>La temida “japonización”</w:t>
      </w:r>
      <w:r w:rsidRPr="008F4253">
        <w:rPr>
          <w:rFonts w:ascii="Times New Roman" w:eastAsia="Times New Roman" w:hAnsi="Times New Roman" w:cs="Times New Roman"/>
          <w:sz w:val="24"/>
          <w:szCs w:val="24"/>
          <w:u w:val="single"/>
          <w:lang w:eastAsia="es-ES"/>
        </w:rPr>
        <w:t xml:space="preserve"> se desvanece en el horizonte de la economía europea. Tras años de advertencias y comparaciones con Japón, ahora este escenario parece alejarse, a medida que la inflación y los altos tipos de interés llegan para quedarse. Tanto es así, que el propio Banco Central Europeo (BCE) ha reconocido que esta tendencia parece haber quedado silenciada por los hecho</w:t>
      </w:r>
      <w:r>
        <w:rPr>
          <w:rFonts w:ascii="Times New Roman" w:eastAsia="Times New Roman" w:hAnsi="Times New Roman" w:cs="Times New Roman"/>
          <w:sz w:val="24"/>
          <w:szCs w:val="24"/>
          <w:u w:val="single"/>
          <w:lang w:eastAsia="es-ES"/>
        </w:rPr>
        <w:t>s. Ahora queda descifrar si la “japonización”</w:t>
      </w:r>
      <w:r w:rsidRPr="008F4253">
        <w:rPr>
          <w:rFonts w:ascii="Times New Roman" w:eastAsia="Times New Roman" w:hAnsi="Times New Roman" w:cs="Times New Roman"/>
          <w:sz w:val="24"/>
          <w:szCs w:val="24"/>
          <w:u w:val="single"/>
          <w:lang w:eastAsia="es-ES"/>
        </w:rPr>
        <w:t xml:space="preserve"> (término con una intensa connotación negativa) era realmente peor que el régimen en el que se está adentrando la zona euro.</w:t>
      </w:r>
    </w:p>
    <w:p w:rsidR="007E3D39" w:rsidRPr="00822B17" w:rsidRDefault="007E3D39" w:rsidP="007E3D39">
      <w:pPr>
        <w:spacing w:after="100" w:afterAutospacing="1" w:line="240" w:lineRule="auto"/>
        <w:jc w:val="both"/>
        <w:rPr>
          <w:rFonts w:ascii="Times New Roman" w:eastAsia="Times New Roman" w:hAnsi="Times New Roman" w:cs="Times New Roman"/>
          <w:sz w:val="24"/>
          <w:szCs w:val="24"/>
          <w:lang w:eastAsia="es-ES"/>
        </w:rPr>
      </w:pPr>
      <w:r w:rsidRPr="00E41CB2">
        <w:rPr>
          <w:rFonts w:ascii="Times New Roman" w:eastAsia="Times New Roman" w:hAnsi="Times New Roman" w:cs="Times New Roman"/>
          <w:sz w:val="24"/>
          <w:szCs w:val="24"/>
          <w:lang w:eastAsia="es-ES"/>
        </w:rPr>
        <w:t xml:space="preserve">En una entrevista publicada por el Financial Times y replicada por el propio Banco Central Europeo en su página web, </w:t>
      </w:r>
      <w:r w:rsidRPr="008F4253">
        <w:rPr>
          <w:rFonts w:ascii="Times New Roman" w:eastAsia="Times New Roman" w:hAnsi="Times New Roman" w:cs="Times New Roman"/>
          <w:sz w:val="24"/>
          <w:szCs w:val="24"/>
          <w:u w:val="single"/>
          <w:lang w:eastAsia="es-ES"/>
        </w:rPr>
        <w:t>Philip Lane, economista jefe del BCE, diferencia tres tipos de regímenes inflacionarios para finalmente analizar en cuál de ellos estamos en estos momentos</w:t>
      </w:r>
      <w:r w:rsidRPr="00822B17">
        <w:rPr>
          <w:rFonts w:ascii="Times New Roman" w:eastAsia="Times New Roman" w:hAnsi="Times New Roman" w:cs="Times New Roman"/>
          <w:sz w:val="24"/>
          <w:szCs w:val="24"/>
          <w:lang w:eastAsia="es-ES"/>
        </w:rPr>
        <w:t>…</w:t>
      </w:r>
    </w:p>
    <w:p w:rsidR="007E3D39" w:rsidRPr="00E41CB2" w:rsidRDefault="007E3D39" w:rsidP="007E3D39">
      <w:pPr>
        <w:spacing w:after="100" w:afterAutospacing="1" w:line="240" w:lineRule="auto"/>
        <w:jc w:val="both"/>
        <w:rPr>
          <w:rFonts w:ascii="Times New Roman" w:eastAsia="Times New Roman" w:hAnsi="Times New Roman" w:cs="Times New Roman"/>
          <w:sz w:val="24"/>
          <w:szCs w:val="24"/>
          <w:lang w:eastAsia="es-ES"/>
        </w:rPr>
      </w:pPr>
      <w:r w:rsidRPr="008F4253">
        <w:rPr>
          <w:rFonts w:ascii="Times New Roman" w:eastAsia="Times New Roman" w:hAnsi="Times New Roman" w:cs="Times New Roman"/>
          <w:color w:val="FF0000"/>
          <w:sz w:val="24"/>
          <w:szCs w:val="24"/>
          <w:u w:val="single"/>
          <w:lang w:eastAsia="es-ES"/>
        </w:rPr>
        <w:t xml:space="preserve">El primero </w:t>
      </w:r>
      <w:r>
        <w:rPr>
          <w:rFonts w:ascii="Times New Roman" w:eastAsia="Times New Roman" w:hAnsi="Times New Roman" w:cs="Times New Roman"/>
          <w:color w:val="FF0000"/>
          <w:sz w:val="24"/>
          <w:szCs w:val="24"/>
          <w:u w:val="single"/>
          <w:lang w:eastAsia="es-ES"/>
        </w:rPr>
        <w:t>de ellos se corresponde con la “japonización”</w:t>
      </w:r>
      <w:r w:rsidRPr="008F4253">
        <w:rPr>
          <w:rFonts w:ascii="Times New Roman" w:eastAsia="Times New Roman" w:hAnsi="Times New Roman" w:cs="Times New Roman"/>
          <w:color w:val="FF0000"/>
          <w:sz w:val="24"/>
          <w:szCs w:val="24"/>
          <w:u w:val="single"/>
          <w:lang w:eastAsia="es-ES"/>
        </w:rPr>
        <w:t>, que fue el régimen que ha dominado en la Eurozona durante casi una década (entre 2012 y 2021). La inflación no alcanzaba el 2%, la demanda interna se encontraba constantemente deprimida y los tipos de interés eran históricamente bajos en un intento por estimular el consumo y la inversión de una población envejecida</w:t>
      </w:r>
      <w:r w:rsidRPr="00E41CB2">
        <w:rPr>
          <w:rFonts w:ascii="Times New Roman" w:eastAsia="Times New Roman" w:hAnsi="Times New Roman" w:cs="Times New Roman"/>
          <w:sz w:val="24"/>
          <w:szCs w:val="24"/>
          <w:lang w:eastAsia="es-ES"/>
        </w:rPr>
        <w:t>. Japón lleva inmerso en este régimen décadas y varios analistas aseguraban que la zona euro se estaba</w:t>
      </w:r>
      <w:r>
        <w:rPr>
          <w:rFonts w:ascii="Times New Roman" w:eastAsia="Times New Roman" w:hAnsi="Times New Roman" w:cs="Times New Roman"/>
          <w:sz w:val="24"/>
          <w:szCs w:val="24"/>
          <w:lang w:eastAsia="es-ES"/>
        </w:rPr>
        <w:t xml:space="preserve"> adentrando en la misma trampa.</w:t>
      </w:r>
    </w:p>
    <w:p w:rsidR="007E3D39" w:rsidRPr="00822B17" w:rsidRDefault="007E3D39" w:rsidP="007E3D39">
      <w:pPr>
        <w:spacing w:after="100" w:afterAutospacing="1" w:line="240" w:lineRule="auto"/>
        <w:jc w:val="both"/>
        <w:rPr>
          <w:rFonts w:ascii="Times New Roman" w:eastAsia="Times New Roman" w:hAnsi="Times New Roman" w:cs="Times New Roman"/>
          <w:sz w:val="24"/>
          <w:szCs w:val="24"/>
          <w:lang w:eastAsia="es-ES"/>
        </w:rPr>
      </w:pPr>
      <w:r w:rsidRPr="00B85EDE">
        <w:rPr>
          <w:rFonts w:ascii="Times New Roman" w:eastAsia="Times New Roman" w:hAnsi="Times New Roman" w:cs="Times New Roman"/>
          <w:sz w:val="24"/>
          <w:szCs w:val="24"/>
          <w:u w:val="single"/>
          <w:lang w:eastAsia="es-ES"/>
        </w:rPr>
        <w:t>Ese escenario previo a la pandemia se ha esfumado en cuestión de meses. No solo la guerra de Ucrania, también el descenso de la población activa (lo que genera escasez de trabajadores) o la transición energética parecen factores de largo plazo que van a mantener el crecimiento de la inflación por encima del 2%</w:t>
      </w:r>
      <w:r w:rsidRPr="00822B17">
        <w:rPr>
          <w:rFonts w:ascii="Times New Roman" w:eastAsia="Times New Roman" w:hAnsi="Times New Roman" w:cs="Times New Roman"/>
          <w:sz w:val="24"/>
          <w:szCs w:val="24"/>
          <w:lang w:eastAsia="es-ES"/>
        </w:rPr>
        <w:t>.</w:t>
      </w:r>
      <w:r>
        <w:rPr>
          <w:rFonts w:ascii="Times New Roman" w:eastAsia="Times New Roman" w:hAnsi="Times New Roman" w:cs="Times New Roman"/>
          <w:sz w:val="24"/>
          <w:szCs w:val="24"/>
          <w:lang w:eastAsia="es-ES"/>
        </w:rPr>
        <w:t>..</w:t>
      </w:r>
    </w:p>
    <w:p w:rsidR="007E3D39" w:rsidRPr="00E41CB2" w:rsidRDefault="007E3D39" w:rsidP="007E3D39">
      <w:pPr>
        <w:spacing w:after="100" w:afterAutospacing="1" w:line="240" w:lineRule="auto"/>
        <w:jc w:val="both"/>
        <w:rPr>
          <w:rFonts w:ascii="Times New Roman" w:eastAsia="Times New Roman" w:hAnsi="Times New Roman" w:cs="Times New Roman"/>
          <w:sz w:val="24"/>
          <w:szCs w:val="24"/>
          <w:lang w:eastAsia="es-ES"/>
        </w:rPr>
      </w:pPr>
      <w:r>
        <w:rPr>
          <w:rFonts w:ascii="Times New Roman" w:eastAsia="Times New Roman" w:hAnsi="Times New Roman" w:cs="Times New Roman"/>
          <w:sz w:val="24"/>
          <w:szCs w:val="24"/>
          <w:lang w:eastAsia="es-ES"/>
        </w:rPr>
        <w:t>“</w:t>
      </w:r>
      <w:r w:rsidRPr="00E41CB2">
        <w:rPr>
          <w:rFonts w:ascii="Times New Roman" w:eastAsia="Times New Roman" w:hAnsi="Times New Roman" w:cs="Times New Roman"/>
          <w:sz w:val="24"/>
          <w:szCs w:val="24"/>
          <w:lang w:eastAsia="es-ES"/>
        </w:rPr>
        <w:t>Creo que este será un resultado duradero. Entonces, si las expectativas ahora se han vuelto a anclar en nuestro objetivo del 2%, en lugar de estar muy por debajo de ese número, los tipos de interés irán a un nivel consistente con ese objetivo, no volverán los tipos de interés ultra-bajos que necesitábamos para luchar cuando la inflación e</w:t>
      </w:r>
      <w:r>
        <w:rPr>
          <w:rFonts w:ascii="Times New Roman" w:eastAsia="Times New Roman" w:hAnsi="Times New Roman" w:cs="Times New Roman"/>
          <w:sz w:val="24"/>
          <w:szCs w:val="24"/>
          <w:lang w:eastAsia="es-ES"/>
        </w:rPr>
        <w:t>staba por debajo del objetivo”.</w:t>
      </w:r>
    </w:p>
    <w:p w:rsidR="007E3D39" w:rsidRPr="00E41CB2" w:rsidRDefault="007E3D39" w:rsidP="007E3D39">
      <w:pPr>
        <w:spacing w:after="100" w:afterAutospacing="1" w:line="240" w:lineRule="auto"/>
        <w:jc w:val="both"/>
        <w:rPr>
          <w:rFonts w:ascii="Times New Roman" w:eastAsia="Times New Roman" w:hAnsi="Times New Roman" w:cs="Times New Roman"/>
          <w:sz w:val="24"/>
          <w:szCs w:val="24"/>
          <w:lang w:eastAsia="es-ES"/>
        </w:rPr>
      </w:pPr>
      <w:r w:rsidRPr="00B85EDE">
        <w:rPr>
          <w:rFonts w:ascii="Times New Roman" w:eastAsia="Times New Roman" w:hAnsi="Times New Roman" w:cs="Times New Roman"/>
          <w:color w:val="FF0000"/>
          <w:sz w:val="24"/>
          <w:szCs w:val="24"/>
          <w:lang w:eastAsia="es-ES"/>
        </w:rPr>
        <w:t>Otro factor que presionaba a la baja el tipo de interés neutral o de equilibrio era el desapalancamiento después de la crisis financiera mundial y de la crisis de la deuda soberana europea</w:t>
      </w:r>
      <w:r>
        <w:rPr>
          <w:rFonts w:ascii="Times New Roman" w:eastAsia="Times New Roman" w:hAnsi="Times New Roman" w:cs="Times New Roman"/>
          <w:sz w:val="24"/>
          <w:szCs w:val="24"/>
          <w:lang w:eastAsia="es-ES"/>
        </w:rPr>
        <w:t>. “</w:t>
      </w:r>
      <w:r w:rsidRPr="00E41CB2">
        <w:rPr>
          <w:rFonts w:ascii="Times New Roman" w:eastAsia="Times New Roman" w:hAnsi="Times New Roman" w:cs="Times New Roman"/>
          <w:sz w:val="24"/>
          <w:szCs w:val="24"/>
          <w:lang w:eastAsia="es-ES"/>
        </w:rPr>
        <w:t xml:space="preserve">En varios países, los hogares tuvieron que reducir su deuda doméstica. Además, </w:t>
      </w:r>
      <w:r w:rsidRPr="00E41CB2">
        <w:rPr>
          <w:rFonts w:ascii="Times New Roman" w:eastAsia="Times New Roman" w:hAnsi="Times New Roman" w:cs="Times New Roman"/>
          <w:sz w:val="24"/>
          <w:szCs w:val="24"/>
          <w:lang w:eastAsia="es-ES"/>
        </w:rPr>
        <w:lastRenderedPageBreak/>
        <w:t xml:space="preserve">tuvimos varios años en los que los gobiernos sintieron que tenían que aplicar políticas fiscales austeras, o se vieron obligados a hacerlo. Esto también fue </w:t>
      </w:r>
      <w:r>
        <w:rPr>
          <w:rFonts w:ascii="Times New Roman" w:eastAsia="Times New Roman" w:hAnsi="Times New Roman" w:cs="Times New Roman"/>
          <w:sz w:val="24"/>
          <w:szCs w:val="24"/>
          <w:lang w:eastAsia="es-ES"/>
        </w:rPr>
        <w:t>malo para la demanda agregada”.</w:t>
      </w:r>
    </w:p>
    <w:p w:rsidR="007E3D39" w:rsidRPr="00822B17" w:rsidRDefault="007E3D39" w:rsidP="007E3D39">
      <w:pPr>
        <w:spacing w:after="100" w:afterAutospacing="1" w:line="240" w:lineRule="auto"/>
        <w:jc w:val="both"/>
        <w:rPr>
          <w:rFonts w:ascii="Times New Roman" w:eastAsia="Times New Roman" w:hAnsi="Times New Roman" w:cs="Times New Roman"/>
          <w:color w:val="FF0000"/>
          <w:sz w:val="24"/>
          <w:szCs w:val="24"/>
          <w:lang w:eastAsia="es-ES"/>
        </w:rPr>
      </w:pPr>
      <w:r w:rsidRPr="00B85EDE">
        <w:rPr>
          <w:rFonts w:ascii="Times New Roman" w:eastAsia="Times New Roman" w:hAnsi="Times New Roman" w:cs="Times New Roman"/>
          <w:color w:val="FF0000"/>
          <w:sz w:val="24"/>
          <w:szCs w:val="24"/>
          <w:u w:val="single"/>
          <w:lang w:eastAsia="es-ES"/>
        </w:rPr>
        <w:t>Sin embargo, durante la pandemia, los gobiernos han tenido que incurrir en grandes déficits. Ese gasto se transfirió a los hogares y las empresas. Entonces, los balances (la deuda neta) de los hogares han mejorado bastante, lo que genera un mayor espacio para el consumo</w:t>
      </w:r>
      <w:r w:rsidRPr="00822B17">
        <w:rPr>
          <w:rFonts w:ascii="Times New Roman" w:eastAsia="Times New Roman" w:hAnsi="Times New Roman" w:cs="Times New Roman"/>
          <w:color w:val="FF0000"/>
          <w:sz w:val="24"/>
          <w:szCs w:val="24"/>
          <w:lang w:eastAsia="es-ES"/>
        </w:rPr>
        <w:t>…</w:t>
      </w:r>
    </w:p>
    <w:p w:rsidR="007E3D39" w:rsidRPr="00E41CB2" w:rsidRDefault="007E3D39" w:rsidP="007E3D39">
      <w:pPr>
        <w:spacing w:after="100" w:afterAutospacing="1" w:line="240" w:lineRule="auto"/>
        <w:jc w:val="both"/>
        <w:rPr>
          <w:rFonts w:ascii="Times New Roman" w:eastAsia="Times New Roman" w:hAnsi="Times New Roman" w:cs="Times New Roman"/>
          <w:sz w:val="24"/>
          <w:szCs w:val="24"/>
          <w:lang w:eastAsia="es-ES"/>
        </w:rPr>
      </w:pPr>
      <w:r w:rsidRPr="00E41CB2">
        <w:rPr>
          <w:rFonts w:ascii="Times New Roman" w:eastAsia="Times New Roman" w:hAnsi="Times New Roman" w:cs="Times New Roman"/>
          <w:sz w:val="24"/>
          <w:szCs w:val="24"/>
          <w:lang w:eastAsia="es-ES"/>
        </w:rPr>
        <w:t>La población no está cómoda con los niveles de inflación actuales y algunos expertos culpan a la propia b</w:t>
      </w:r>
      <w:r>
        <w:rPr>
          <w:rFonts w:ascii="Times New Roman" w:eastAsia="Times New Roman" w:hAnsi="Times New Roman" w:cs="Times New Roman"/>
          <w:sz w:val="24"/>
          <w:szCs w:val="24"/>
          <w:lang w:eastAsia="es-ES"/>
        </w:rPr>
        <w:t>anca central de esta situación.</w:t>
      </w:r>
    </w:p>
    <w:p w:rsidR="007E3D39" w:rsidRDefault="007E3D39" w:rsidP="007E3D39">
      <w:pPr>
        <w:spacing w:after="100" w:afterAutospacing="1" w:line="240" w:lineRule="auto"/>
        <w:jc w:val="both"/>
        <w:rPr>
          <w:rFonts w:ascii="Times New Roman" w:eastAsia="Times New Roman" w:hAnsi="Times New Roman" w:cs="Times New Roman"/>
          <w:sz w:val="24"/>
          <w:szCs w:val="24"/>
          <w:lang w:eastAsia="es-ES"/>
        </w:rPr>
      </w:pPr>
      <w:r w:rsidRPr="00E41CB2">
        <w:rPr>
          <w:rFonts w:ascii="Times New Roman" w:eastAsia="Times New Roman" w:hAnsi="Times New Roman" w:cs="Times New Roman"/>
          <w:sz w:val="24"/>
          <w:szCs w:val="24"/>
          <w:lang w:eastAsia="es-ES"/>
        </w:rPr>
        <w:t>Lane se defiende de esta ac</w:t>
      </w:r>
      <w:r>
        <w:rPr>
          <w:rFonts w:ascii="Times New Roman" w:eastAsia="Times New Roman" w:hAnsi="Times New Roman" w:cs="Times New Roman"/>
          <w:sz w:val="24"/>
          <w:szCs w:val="24"/>
          <w:lang w:eastAsia="es-ES"/>
        </w:rPr>
        <w:t>usación de la siguiente forma: “</w:t>
      </w:r>
      <w:r w:rsidRPr="00E41CB2">
        <w:rPr>
          <w:rFonts w:ascii="Times New Roman" w:eastAsia="Times New Roman" w:hAnsi="Times New Roman" w:cs="Times New Roman"/>
          <w:sz w:val="24"/>
          <w:szCs w:val="24"/>
          <w:lang w:eastAsia="es-ES"/>
        </w:rPr>
        <w:t>Tuvimos una relajación cuantitativa (quantitative easing o compra de bonos) muy grande y tipos de interés muy bajos, y esto limitó la presión desinflacionaria, manteniendo la inflación en la eurozona en torno al 1-1,5% en lugar de permitir una deflación total. Pero no estábamos creando presión inflacionaria. Entonces, no veo que la inflación de hoy se deba a una políti</w:t>
      </w:r>
      <w:r>
        <w:rPr>
          <w:rFonts w:ascii="Times New Roman" w:eastAsia="Times New Roman" w:hAnsi="Times New Roman" w:cs="Times New Roman"/>
          <w:sz w:val="24"/>
          <w:szCs w:val="24"/>
          <w:lang w:eastAsia="es-ES"/>
        </w:rPr>
        <w:t>ca monetaria excesivamente laxa”</w:t>
      </w:r>
      <w:r w:rsidRPr="00E41CB2">
        <w:rPr>
          <w:rFonts w:ascii="Times New Roman" w:eastAsia="Times New Roman" w:hAnsi="Times New Roman" w:cs="Times New Roman"/>
          <w:sz w:val="24"/>
          <w:szCs w:val="24"/>
          <w:lang w:eastAsia="es-ES"/>
        </w:rPr>
        <w:t>, sentencia el banquero irlandés.</w:t>
      </w:r>
    </w:p>
    <w:p w:rsidR="007E3D39" w:rsidRPr="00F96224" w:rsidRDefault="007E3D39" w:rsidP="007E3D3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 </w:t>
      </w:r>
      <w:r w:rsidRPr="00F96224">
        <w:rPr>
          <w:rFonts w:ascii="Times New Roman" w:hAnsi="Times New Roman" w:cs="Times New Roman"/>
          <w:sz w:val="24"/>
          <w:szCs w:val="24"/>
          <w:u w:val="single"/>
          <w:shd w:val="clear" w:color="auto" w:fill="FFFFFF"/>
        </w:rPr>
        <w:t>El proteccionismo amenaza el crecimiento</w:t>
      </w:r>
      <w:r>
        <w:rPr>
          <w:rFonts w:ascii="Times New Roman" w:hAnsi="Times New Roman" w:cs="Times New Roman"/>
          <w:sz w:val="24"/>
          <w:szCs w:val="24"/>
          <w:shd w:val="clear" w:color="auto" w:fill="FFFFFF"/>
        </w:rPr>
        <w:t xml:space="preserve"> (El Economista - </w:t>
      </w:r>
      <w:r w:rsidRPr="00F96224">
        <w:rPr>
          <w:rFonts w:ascii="Times New Roman" w:hAnsi="Times New Roman" w:cs="Times New Roman"/>
          <w:b/>
          <w:sz w:val="24"/>
          <w:szCs w:val="24"/>
          <w:shd w:val="clear" w:color="auto" w:fill="FFFFFF"/>
        </w:rPr>
        <w:t>19/1/23</w:t>
      </w:r>
      <w:r>
        <w:rPr>
          <w:rFonts w:ascii="Times New Roman" w:hAnsi="Times New Roman" w:cs="Times New Roman"/>
          <w:sz w:val="24"/>
          <w:szCs w:val="24"/>
          <w:shd w:val="clear" w:color="auto" w:fill="FFFFFF"/>
        </w:rPr>
        <w:t>)</w:t>
      </w:r>
    </w:p>
    <w:p w:rsidR="007E3D39" w:rsidRPr="00F96224" w:rsidRDefault="007E3D39" w:rsidP="007E3D39">
      <w:pPr>
        <w:spacing w:line="240" w:lineRule="auto"/>
        <w:jc w:val="both"/>
        <w:rPr>
          <w:rFonts w:ascii="Times New Roman" w:hAnsi="Times New Roman" w:cs="Times New Roman"/>
          <w:sz w:val="24"/>
          <w:szCs w:val="24"/>
          <w:shd w:val="clear" w:color="auto" w:fill="FFFFFF"/>
          <w:lang w:val="en-US"/>
        </w:rPr>
      </w:pPr>
      <w:r>
        <w:rPr>
          <w:rFonts w:ascii="Times New Roman" w:hAnsi="Times New Roman" w:cs="Times New Roman"/>
          <w:sz w:val="24"/>
          <w:szCs w:val="24"/>
          <w:shd w:val="clear" w:color="auto" w:fill="FFFFFF"/>
          <w:lang w:val="en-US"/>
        </w:rPr>
        <w:t xml:space="preserve">(Por Andrew Sheng - </w:t>
      </w:r>
      <w:r w:rsidRPr="00F96224">
        <w:rPr>
          <w:rFonts w:ascii="Times New Roman" w:hAnsi="Times New Roman" w:cs="Times New Roman"/>
          <w:sz w:val="24"/>
          <w:szCs w:val="24"/>
          <w:shd w:val="clear" w:color="auto" w:fill="FFFFFF"/>
          <w:lang w:val="en-US"/>
        </w:rPr>
        <w:t>Xiao Geng</w:t>
      </w:r>
      <w:r>
        <w:rPr>
          <w:rFonts w:ascii="Times New Roman" w:hAnsi="Times New Roman" w:cs="Times New Roman"/>
          <w:sz w:val="24"/>
          <w:szCs w:val="24"/>
          <w:shd w:val="clear" w:color="auto" w:fill="FFFFFF"/>
          <w:lang w:val="en-US"/>
        </w:rPr>
        <w:t>)</w:t>
      </w:r>
    </w:p>
    <w:p w:rsidR="007E3D39" w:rsidRPr="00F96224" w:rsidRDefault="007E3D39" w:rsidP="007E3D39">
      <w:pPr>
        <w:spacing w:line="240" w:lineRule="auto"/>
        <w:jc w:val="both"/>
        <w:rPr>
          <w:rFonts w:ascii="Times New Roman" w:hAnsi="Times New Roman" w:cs="Times New Roman"/>
          <w:sz w:val="24"/>
          <w:szCs w:val="24"/>
          <w:shd w:val="clear" w:color="auto" w:fill="FFFFFF"/>
        </w:rPr>
      </w:pPr>
      <w:r w:rsidRPr="00F96224">
        <w:rPr>
          <w:rFonts w:ascii="Times New Roman" w:hAnsi="Times New Roman" w:cs="Times New Roman"/>
          <w:sz w:val="24"/>
          <w:szCs w:val="24"/>
          <w:shd w:val="clear" w:color="auto" w:fill="FFFFFF"/>
        </w:rPr>
        <w:t>Del mismo modo que el balance de una empresa puede proporcionar información</w:t>
      </w:r>
      <w:r w:rsidR="00E92717">
        <w:rPr>
          <w:rFonts w:ascii="Times New Roman" w:hAnsi="Times New Roman" w:cs="Times New Roman"/>
          <w:sz w:val="24"/>
          <w:szCs w:val="24"/>
          <w:shd w:val="clear" w:color="auto" w:fill="FFFFFF"/>
        </w:rPr>
        <w:t xml:space="preserve"> sobre su salud financiera, un “balance global”</w:t>
      </w:r>
      <w:r w:rsidRPr="00F96224">
        <w:rPr>
          <w:rFonts w:ascii="Times New Roman" w:hAnsi="Times New Roman" w:cs="Times New Roman"/>
          <w:sz w:val="24"/>
          <w:szCs w:val="24"/>
          <w:shd w:val="clear" w:color="auto" w:fill="FFFFFF"/>
        </w:rPr>
        <w:t xml:space="preserve"> (GBS), que recoja los activos y pasivos de gobiernos, empresas, hogares e instituciones financieras, puede hacer lo mismo con la economía mundial. Esta lógica llevó al McKinsey Global Institute (MGI) a empezar a recopilar, y actualizar periódicamente, un GBS que cubriera diez países que juntos represent</w:t>
      </w:r>
      <w:r>
        <w:rPr>
          <w:rFonts w:ascii="Times New Roman" w:hAnsi="Times New Roman" w:cs="Times New Roman"/>
          <w:sz w:val="24"/>
          <w:szCs w:val="24"/>
          <w:shd w:val="clear" w:color="auto" w:fill="FFFFFF"/>
        </w:rPr>
        <w:t>an más del 60% del PIB mundial.</w:t>
      </w:r>
    </w:p>
    <w:p w:rsidR="007E3D39" w:rsidRPr="00B85EDE" w:rsidRDefault="007E3D39" w:rsidP="007E3D39">
      <w:pPr>
        <w:spacing w:line="240" w:lineRule="auto"/>
        <w:jc w:val="both"/>
        <w:rPr>
          <w:rFonts w:ascii="Times New Roman" w:hAnsi="Times New Roman" w:cs="Times New Roman"/>
          <w:color w:val="FF0000"/>
          <w:sz w:val="24"/>
          <w:szCs w:val="24"/>
          <w:u w:val="single"/>
          <w:shd w:val="clear" w:color="auto" w:fill="FFFFFF"/>
        </w:rPr>
      </w:pPr>
      <w:r w:rsidRPr="00B85EDE">
        <w:rPr>
          <w:rFonts w:ascii="Times New Roman" w:hAnsi="Times New Roman" w:cs="Times New Roman"/>
          <w:color w:val="FF0000"/>
          <w:sz w:val="24"/>
          <w:szCs w:val="24"/>
          <w:u w:val="single"/>
          <w:shd w:val="clear" w:color="auto" w:fill="FFFFFF"/>
        </w:rPr>
        <w:t>El primer GBS del MGI, publicado a finales de 2021, mostró que durante los primeros 20 años de este siglo, los activos mundiales crecieron más rápido que la producción. En 2020, los activos del balance mundial sumaban más de 1,5 cuatrillones de dólares (unas 18,1 veces su PIB), casi el triple que en 2000 (cuando los activos equivalían a unas 13,2 veces el PIB). El crecimiento de la riqueza mundial también superó el crecimiento (más bien tibio) del PIB, lo que implica que la riqueza se concentró cada vez más entre quienes poseían activos inmobiliarios y financieros.</w:t>
      </w:r>
    </w:p>
    <w:p w:rsidR="007E3D39" w:rsidRPr="00F96224" w:rsidRDefault="007E3D39" w:rsidP="007E3D39">
      <w:pPr>
        <w:spacing w:line="240" w:lineRule="auto"/>
        <w:jc w:val="both"/>
        <w:rPr>
          <w:rFonts w:ascii="Times New Roman" w:hAnsi="Times New Roman" w:cs="Times New Roman"/>
          <w:sz w:val="24"/>
          <w:szCs w:val="24"/>
          <w:shd w:val="clear" w:color="auto" w:fill="FFFFFF"/>
        </w:rPr>
      </w:pPr>
      <w:r w:rsidRPr="00F96224">
        <w:rPr>
          <w:rFonts w:ascii="Times New Roman" w:hAnsi="Times New Roman" w:cs="Times New Roman"/>
          <w:sz w:val="24"/>
          <w:szCs w:val="24"/>
          <w:shd w:val="clear" w:color="auto" w:fill="FFFFFF"/>
        </w:rPr>
        <w:t>En 2020 y 2021 -los dos primeros años de la pandemia COVID-19- estas tendencias se aceleraron, con el balance mundial hinchándose incluso cuando el crecimiento del PIB se estancó. De hecho, a pesar de las pérdidas de ingresos de miles de millones de dólares, se añadieron 100 billones de dólares a la riqueza mundial durante este período, impulsados en gran medida por una expansión fiscal y monetaria sin precedentes. Al acuñarse 39 billones de dólares en nuevas divisas y depósitos, los precios de los activos se dispararon. Mientras tanto, los pasivos de deuda crecieron en unos 50 billones de dólares, y los pasivos de capital en 75 billones. Desde principios del siglo XXI, la expansión del sector financiero, principalmente a través de la creación de deuda, ha desempeñado un papel fundamental en el aumento del patrimonio neto (activos menos pasivos), sobre t</w:t>
      </w:r>
      <w:r>
        <w:rPr>
          <w:rFonts w:ascii="Times New Roman" w:hAnsi="Times New Roman" w:cs="Times New Roman"/>
          <w:sz w:val="24"/>
          <w:szCs w:val="24"/>
          <w:shd w:val="clear" w:color="auto" w:fill="FFFFFF"/>
        </w:rPr>
        <w:t>odo a través del efecto precio.</w:t>
      </w:r>
    </w:p>
    <w:p w:rsidR="007E3D39" w:rsidRDefault="007E3D39" w:rsidP="007E3D39">
      <w:pPr>
        <w:spacing w:line="240" w:lineRule="auto"/>
        <w:jc w:val="both"/>
        <w:rPr>
          <w:rFonts w:ascii="Times New Roman" w:hAnsi="Times New Roman" w:cs="Times New Roman"/>
          <w:sz w:val="24"/>
          <w:szCs w:val="24"/>
          <w:shd w:val="clear" w:color="auto" w:fill="FFFFFF"/>
        </w:rPr>
      </w:pPr>
      <w:r w:rsidRPr="00B85EDE">
        <w:rPr>
          <w:rFonts w:ascii="Times New Roman" w:hAnsi="Times New Roman" w:cs="Times New Roman"/>
          <w:color w:val="FF0000"/>
          <w:sz w:val="24"/>
          <w:szCs w:val="24"/>
          <w:u w:val="single"/>
          <w:shd w:val="clear" w:color="auto" w:fill="FFFFFF"/>
        </w:rPr>
        <w:t>En el periodo 2000-21, el 50% del aumento del patrimonio neto procedió del incremento de los precios de los activos por encima de la inflación, el 29% de la inflación general y sólo el 23% de la inversión neta</w:t>
      </w:r>
      <w:r w:rsidRPr="00F96224">
        <w:rPr>
          <w:rFonts w:ascii="Times New Roman" w:hAnsi="Times New Roman" w:cs="Times New Roman"/>
          <w:sz w:val="24"/>
          <w:szCs w:val="24"/>
          <w:shd w:val="clear" w:color="auto" w:fill="FFFFFF"/>
        </w:rPr>
        <w:t>. Así, aunque el patrimonio neto global creció, la inversión en la economía real se mantuvo relativamente baja. Así pues</w:t>
      </w:r>
      <w:r w:rsidRPr="00B85EDE">
        <w:rPr>
          <w:rFonts w:ascii="Times New Roman" w:hAnsi="Times New Roman" w:cs="Times New Roman"/>
          <w:sz w:val="24"/>
          <w:szCs w:val="24"/>
          <w:u w:val="single"/>
          <w:shd w:val="clear" w:color="auto" w:fill="FFFFFF"/>
        </w:rPr>
        <w:t xml:space="preserve">, la excesiva financiarización socavó </w:t>
      </w:r>
      <w:r w:rsidRPr="00B85EDE">
        <w:rPr>
          <w:rFonts w:ascii="Times New Roman" w:hAnsi="Times New Roman" w:cs="Times New Roman"/>
          <w:sz w:val="24"/>
          <w:szCs w:val="24"/>
          <w:u w:val="single"/>
          <w:shd w:val="clear" w:color="auto" w:fill="FFFFFF"/>
        </w:rPr>
        <w:lastRenderedPageBreak/>
        <w:t>el crecimiento de la productividad. El panorama cambió significativamente en 2022. Mientras continuaba la financiación, el GBS se contrajo en relación con el PIB por primera vez en décadas</w:t>
      </w:r>
      <w:r w:rsidRPr="0058625E">
        <w:rPr>
          <w:rFonts w:ascii="Times New Roman" w:hAnsi="Times New Roman" w:cs="Times New Roman"/>
          <w:sz w:val="24"/>
          <w:szCs w:val="24"/>
          <w:shd w:val="clear" w:color="auto" w:fill="FFFFFF"/>
        </w:rPr>
        <w:t>…</w:t>
      </w:r>
    </w:p>
    <w:p w:rsidR="007E3D39" w:rsidRPr="002425C7"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425C7">
        <w:rPr>
          <w:rFonts w:ascii="Times New Roman" w:hAnsi="Times New Roman" w:cs="Times New Roman"/>
          <w:sz w:val="24"/>
          <w:szCs w:val="24"/>
          <w:u w:val="single"/>
        </w:rPr>
        <w:t>Los bancos centrales afilan un mensaje duro de alzas de tipos y dinero caro por más tiempo</w:t>
      </w:r>
      <w:r>
        <w:rPr>
          <w:rFonts w:ascii="Times New Roman" w:hAnsi="Times New Roman" w:cs="Times New Roman"/>
          <w:sz w:val="24"/>
          <w:szCs w:val="24"/>
        </w:rPr>
        <w:t xml:space="preserve"> (Cinco Días - </w:t>
      </w:r>
      <w:r w:rsidRPr="002425C7">
        <w:rPr>
          <w:rFonts w:ascii="Times New Roman" w:hAnsi="Times New Roman" w:cs="Times New Roman"/>
          <w:b/>
          <w:sz w:val="24"/>
          <w:szCs w:val="24"/>
        </w:rPr>
        <w:t>31/1/23</w:t>
      </w:r>
      <w:r>
        <w:rPr>
          <w:rFonts w:ascii="Times New Roman" w:hAnsi="Times New Roman" w:cs="Times New Roman"/>
          <w:sz w:val="24"/>
          <w:szCs w:val="24"/>
        </w:rPr>
        <w:t>)</w:t>
      </w:r>
    </w:p>
    <w:p w:rsidR="007E3D39" w:rsidRPr="002425C7" w:rsidRDefault="007E3D39" w:rsidP="007E3D39">
      <w:pPr>
        <w:spacing w:line="240" w:lineRule="auto"/>
        <w:jc w:val="both"/>
        <w:rPr>
          <w:rFonts w:ascii="Times New Roman" w:hAnsi="Times New Roman" w:cs="Times New Roman"/>
          <w:sz w:val="24"/>
          <w:szCs w:val="24"/>
        </w:rPr>
      </w:pPr>
      <w:r w:rsidRPr="00C60A24">
        <w:rPr>
          <w:rFonts w:ascii="Times New Roman" w:hAnsi="Times New Roman" w:cs="Times New Roman"/>
          <w:sz w:val="24"/>
          <w:szCs w:val="24"/>
          <w:u w:val="single"/>
        </w:rPr>
        <w:t>Semana grande de bancos centrales, una vez más. La Reserva Federal, el BCE y el Banco de Inglaterra volverán a elevar los tipos de interés en los próximos días, pero la atención estará puesta no ya en unas subidas que se dan por descontadas -cuarto de punto la Fed y medio punto el BCE y el Banco de Inglaterra- sino por la guía sobre los movimientos de los próximos meses</w:t>
      </w:r>
      <w:r w:rsidRPr="002425C7">
        <w:rPr>
          <w:rFonts w:ascii="Times New Roman" w:hAnsi="Times New Roman" w:cs="Times New Roman"/>
          <w:sz w:val="24"/>
          <w:szCs w:val="24"/>
        </w:rPr>
        <w:t>. Después de un encarecimiento acelerado del precio del dinero durante 2022, cada vez está más cerca el punto máximo al que los bancos centrales están dispuestos a llevar los tipos de interés, hasta el punto de que los inversores incluso confían en que 2023 sea el año en que la Fed comience el camino inverso de descenso en las tasas</w:t>
      </w:r>
      <w:r>
        <w:rPr>
          <w:rFonts w:ascii="Times New Roman" w:hAnsi="Times New Roman" w:cs="Times New Roman"/>
          <w:sz w:val="24"/>
          <w:szCs w:val="24"/>
        </w:rPr>
        <w:t>.</w:t>
      </w:r>
    </w:p>
    <w:p w:rsidR="007E3D39" w:rsidRDefault="007E3D39" w:rsidP="007E3D39">
      <w:pPr>
        <w:spacing w:line="240" w:lineRule="auto"/>
        <w:jc w:val="both"/>
        <w:rPr>
          <w:rFonts w:ascii="Times New Roman" w:hAnsi="Times New Roman" w:cs="Times New Roman"/>
          <w:b/>
          <w:color w:val="FF0000"/>
          <w:sz w:val="24"/>
          <w:szCs w:val="24"/>
        </w:rPr>
      </w:pPr>
      <w:r>
        <w:rPr>
          <w:noProof/>
          <w:lang w:eastAsia="es-ES"/>
        </w:rPr>
        <w:drawing>
          <wp:inline distT="0" distB="0" distL="0" distR="0" wp14:anchorId="2AE4ABD2" wp14:editId="21A0636B">
            <wp:extent cx="5632450" cy="2749411"/>
            <wp:effectExtent l="0" t="0" r="6350" b="0"/>
            <wp:docPr id="120" name="Imagen 120" descr="Tipos de interé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pos de interés"/>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36197" cy="2751240"/>
                    </a:xfrm>
                    <a:prstGeom prst="rect">
                      <a:avLst/>
                    </a:prstGeom>
                    <a:noFill/>
                    <a:ln>
                      <a:noFill/>
                    </a:ln>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sidRPr="00C60A24">
        <w:rPr>
          <w:rFonts w:ascii="Times New Roman" w:hAnsi="Times New Roman" w:cs="Times New Roman"/>
          <w:sz w:val="24"/>
          <w:szCs w:val="24"/>
          <w:u w:val="single"/>
        </w:rPr>
        <w:t>La inflación subyacente se está convirtiendo de hecho en la gran inquietud de los bancos centrales y el gran motivo por el que no van a bajar la tregua. El riesgo es que su mensaje de subidas de tipos sea de una dureza mayor a la que esperan los inversores</w:t>
      </w:r>
      <w:r w:rsidRPr="002425C7">
        <w:rPr>
          <w:rFonts w:ascii="Times New Roman" w:hAnsi="Times New Roman" w:cs="Times New Roman"/>
          <w:sz w:val="24"/>
          <w:szCs w:val="24"/>
        </w:rPr>
        <w:t>. El buen tono con que ha arrancado este año la Bolsa se fundamenta precisamente en que los inversores esperan que los bancos centrales decidan alzas de tipos más suaves de las que se intuye por la dureza de sus mensajes</w:t>
      </w:r>
      <w:r>
        <w:rPr>
          <w:rFonts w:ascii="Times New Roman" w:hAnsi="Times New Roman" w:cs="Times New Roman"/>
          <w:sz w:val="24"/>
          <w:szCs w:val="24"/>
        </w:rPr>
        <w:t>…</w:t>
      </w:r>
    </w:p>
    <w:p w:rsidR="007E3D39" w:rsidRDefault="007E3D39" w:rsidP="007E3D39">
      <w:pPr>
        <w:spacing w:line="240" w:lineRule="auto"/>
        <w:jc w:val="both"/>
        <w:rPr>
          <w:rFonts w:ascii="Times New Roman" w:hAnsi="Times New Roman" w:cs="Times New Roman"/>
          <w:sz w:val="24"/>
          <w:szCs w:val="24"/>
        </w:rPr>
      </w:pPr>
      <w:r>
        <w:rPr>
          <w:noProof/>
          <w:lang w:eastAsia="es-ES"/>
        </w:rPr>
        <w:drawing>
          <wp:inline distT="0" distB="0" distL="0" distR="0" wp14:anchorId="4556E423" wp14:editId="317AFD1D">
            <wp:extent cx="5702300" cy="2127250"/>
            <wp:effectExtent l="0" t="0" r="0" b="6350"/>
            <wp:docPr id="130" name="Imagen 130" descr="Tipos F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ipos F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02300" cy="2127250"/>
                    </a:xfrm>
                    <a:prstGeom prst="rect">
                      <a:avLst/>
                    </a:prstGeom>
                    <a:noFill/>
                    <a:ln>
                      <a:noFill/>
                    </a:ln>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sidRPr="00A065C3">
        <w:rPr>
          <w:rFonts w:ascii="Times New Roman" w:hAnsi="Times New Roman" w:cs="Times New Roman"/>
          <w:noProof/>
          <w:sz w:val="24"/>
          <w:szCs w:val="24"/>
          <w:lang w:eastAsia="es-ES"/>
        </w:rPr>
        <w:lastRenderedPageBreak/>
        <w:drawing>
          <wp:inline distT="0" distB="0" distL="0" distR="0" wp14:anchorId="66B88833" wp14:editId="504E072F">
            <wp:extent cx="5638800" cy="2825750"/>
            <wp:effectExtent l="0" t="0" r="0" b="0"/>
            <wp:docPr id="105" name="Imagen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642578" cy="2827643"/>
                    </a:xfrm>
                    <a:prstGeom prst="rect">
                      <a:avLst/>
                    </a:prstGeom>
                  </pic:spPr>
                </pic:pic>
              </a:graphicData>
            </a:graphic>
          </wp:inline>
        </w:drawing>
      </w:r>
    </w:p>
    <w:p w:rsidR="007E3D39" w:rsidRPr="00A00108" w:rsidRDefault="007E3D39" w:rsidP="007E3D39">
      <w:pPr>
        <w:jc w:val="both"/>
        <w:rPr>
          <w:rFonts w:ascii="Times New Roman" w:hAnsi="Times New Roman" w:cs="Times New Roman"/>
          <w:sz w:val="24"/>
          <w:szCs w:val="24"/>
        </w:rPr>
      </w:pPr>
      <w:r w:rsidRPr="00A00108">
        <w:rPr>
          <w:rFonts w:ascii="Times New Roman" w:hAnsi="Times New Roman" w:cs="Times New Roman"/>
          <w:sz w:val="24"/>
          <w:szCs w:val="24"/>
        </w:rPr>
        <w:t xml:space="preserve">- </w:t>
      </w:r>
      <w:r w:rsidRPr="00A00108">
        <w:rPr>
          <w:rFonts w:ascii="Times New Roman" w:hAnsi="Times New Roman" w:cs="Times New Roman"/>
          <w:sz w:val="24"/>
          <w:szCs w:val="24"/>
          <w:u w:val="single"/>
        </w:rPr>
        <w:t>Condiciones financieras más flexibles plantean un enigma para los bancos centrales</w:t>
      </w:r>
      <w:r w:rsidRPr="00A00108">
        <w:rPr>
          <w:rFonts w:ascii="Times New Roman" w:hAnsi="Times New Roman" w:cs="Times New Roman"/>
          <w:sz w:val="24"/>
          <w:szCs w:val="24"/>
        </w:rPr>
        <w:t xml:space="preserve"> (FMI Blog - </w:t>
      </w:r>
      <w:r w:rsidRPr="00A00108">
        <w:rPr>
          <w:rFonts w:ascii="Times New Roman" w:hAnsi="Times New Roman" w:cs="Times New Roman"/>
          <w:b/>
          <w:sz w:val="24"/>
          <w:szCs w:val="24"/>
        </w:rPr>
        <w:t>2/2/23</w:t>
      </w:r>
      <w:r w:rsidRPr="00A00108">
        <w:rPr>
          <w:rFonts w:ascii="Times New Roman" w:hAnsi="Times New Roman" w:cs="Times New Roman"/>
          <w:sz w:val="24"/>
          <w:szCs w:val="24"/>
        </w:rPr>
        <w:t>)</w:t>
      </w:r>
    </w:p>
    <w:p w:rsidR="007E3D39" w:rsidRPr="00A00108" w:rsidRDefault="007E3D39" w:rsidP="007E3D39">
      <w:pPr>
        <w:spacing w:line="240" w:lineRule="auto"/>
        <w:jc w:val="both"/>
        <w:rPr>
          <w:rFonts w:ascii="Times New Roman" w:hAnsi="Times New Roman" w:cs="Times New Roman"/>
          <w:bCs/>
          <w:spacing w:val="-4"/>
          <w:sz w:val="24"/>
          <w:szCs w:val="24"/>
        </w:rPr>
      </w:pPr>
      <w:r w:rsidRPr="00A00108">
        <w:rPr>
          <w:rFonts w:ascii="Times New Roman" w:hAnsi="Times New Roman" w:cs="Times New Roman"/>
          <w:bCs/>
          <w:spacing w:val="-4"/>
          <w:sz w:val="24"/>
          <w:szCs w:val="24"/>
        </w:rPr>
        <w:t>A pesar del fuerte endurecimiento de la política monetaria, las condiciones financieras se han relajado en gran parte del mundo, lo que representa un desafío para los bancos centrales.</w:t>
      </w:r>
    </w:p>
    <w:p w:rsidR="007E3D39" w:rsidRPr="00A00108" w:rsidRDefault="007E3D39" w:rsidP="007E3D39">
      <w:pPr>
        <w:spacing w:line="240" w:lineRule="auto"/>
        <w:jc w:val="both"/>
        <w:rPr>
          <w:rFonts w:ascii="Times New Roman" w:hAnsi="Times New Roman" w:cs="Times New Roman"/>
          <w:bCs/>
          <w:sz w:val="24"/>
          <w:szCs w:val="24"/>
        </w:rPr>
      </w:pPr>
      <w:r w:rsidRPr="00A00108">
        <w:rPr>
          <w:rFonts w:ascii="Times New Roman" w:hAnsi="Times New Roman" w:cs="Times New Roman"/>
          <w:bCs/>
          <w:sz w:val="24"/>
          <w:szCs w:val="24"/>
        </w:rPr>
        <w:t xml:space="preserve">(Por </w:t>
      </w:r>
      <w:hyperlink r:id="rId17" w:history="1">
        <w:r w:rsidRPr="00E92717">
          <w:rPr>
            <w:rStyle w:val="Hipervnculo"/>
            <w:rFonts w:ascii="Times New Roman" w:hAnsi="Times New Roman" w:cs="Times New Roman"/>
            <w:bCs/>
            <w:color w:val="auto"/>
            <w:sz w:val="24"/>
            <w:szCs w:val="24"/>
            <w:u w:val="none"/>
          </w:rPr>
          <w:t>Tobías Adrián</w:t>
        </w:r>
      </w:hyperlink>
      <w:r w:rsidRPr="00E92717">
        <w:rPr>
          <w:rFonts w:ascii="Times New Roman" w:hAnsi="Times New Roman" w:cs="Times New Roman"/>
          <w:bCs/>
          <w:sz w:val="24"/>
          <w:szCs w:val="24"/>
        </w:rPr>
        <w:t>, </w:t>
      </w:r>
      <w:hyperlink r:id="rId18" w:history="1">
        <w:r w:rsidRPr="00E92717">
          <w:rPr>
            <w:rStyle w:val="Hipervnculo"/>
            <w:rFonts w:ascii="Times New Roman" w:hAnsi="Times New Roman" w:cs="Times New Roman"/>
            <w:bCs/>
            <w:color w:val="auto"/>
            <w:sz w:val="24"/>
            <w:szCs w:val="24"/>
            <w:u w:val="none"/>
          </w:rPr>
          <w:t>Christopher Erceg</w:t>
        </w:r>
      </w:hyperlink>
      <w:r w:rsidRPr="00E92717">
        <w:rPr>
          <w:rFonts w:ascii="Times New Roman" w:hAnsi="Times New Roman" w:cs="Times New Roman"/>
          <w:bCs/>
          <w:sz w:val="24"/>
          <w:szCs w:val="24"/>
        </w:rPr>
        <w:t>, </w:t>
      </w:r>
      <w:hyperlink r:id="rId19" w:history="1">
        <w:r w:rsidRPr="00E92717">
          <w:rPr>
            <w:rStyle w:val="Hipervnculo"/>
            <w:rFonts w:ascii="Times New Roman" w:hAnsi="Times New Roman" w:cs="Times New Roman"/>
            <w:bCs/>
            <w:color w:val="auto"/>
            <w:sz w:val="24"/>
            <w:szCs w:val="24"/>
            <w:u w:val="none"/>
          </w:rPr>
          <w:t>Fabio Natalucci</w:t>
        </w:r>
      </w:hyperlink>
      <w:r w:rsidRPr="00A00108">
        <w:rPr>
          <w:rFonts w:ascii="Times New Roman" w:hAnsi="Times New Roman" w:cs="Times New Roman"/>
          <w:bCs/>
          <w:sz w:val="24"/>
          <w:szCs w:val="24"/>
        </w:rPr>
        <w:t>)</w:t>
      </w:r>
    </w:p>
    <w:p w:rsidR="007E3D39" w:rsidRPr="00175D2A" w:rsidRDefault="007E3D39" w:rsidP="007E3D39">
      <w:pPr>
        <w:pStyle w:val="NormalWeb"/>
        <w:spacing w:before="0" w:beforeAutospacing="0" w:after="0" w:afterAutospacing="0"/>
        <w:jc w:val="both"/>
        <w:rPr>
          <w:u w:val="single"/>
        </w:rPr>
      </w:pPr>
      <w:r w:rsidRPr="00175D2A">
        <w:rPr>
          <w:u w:val="single"/>
        </w:rPr>
        <w:t>Los bancos centrales aumentaron agresivamente las tasas de interés el año pasado cuando la inflación en muchos países alcanzó los niveles más altos en décadas. Ahora, la caída de los precios de la energía está reduciendo la inflación general y alimentando el optimismo de que la política monetaria se relajará a finales de este año.</w:t>
      </w:r>
    </w:p>
    <w:p w:rsidR="007E3D39" w:rsidRDefault="007E3D39" w:rsidP="007E3D39">
      <w:pPr>
        <w:pStyle w:val="NormalWeb"/>
        <w:spacing w:before="0" w:beforeAutospacing="0" w:after="0" w:afterAutospacing="0"/>
        <w:jc w:val="both"/>
        <w:rPr>
          <w:color w:val="FF0000"/>
          <w:u w:val="single"/>
        </w:rPr>
      </w:pPr>
      <w:r w:rsidRPr="00175D2A">
        <w:rPr>
          <w:color w:val="FF0000"/>
          <w:u w:val="single"/>
        </w:rPr>
        <w:t>Tales expectativas han causado una fuerte caída en las tasas de interés globales a largo plazo y han impulsado los mercados financieros tanto en las economías avanzadas como en los mercados emergentes.</w:t>
      </w:r>
    </w:p>
    <w:p w:rsidR="007E3D39" w:rsidRPr="00175D2A" w:rsidRDefault="007E3D39" w:rsidP="007E3D39">
      <w:pPr>
        <w:pStyle w:val="NormalWeb"/>
        <w:spacing w:before="0" w:beforeAutospacing="0" w:after="0" w:afterAutospacing="0"/>
        <w:jc w:val="both"/>
        <w:rPr>
          <w:color w:val="FF0000"/>
          <w:u w:val="single"/>
        </w:rPr>
      </w:pPr>
    </w:p>
    <w:p w:rsidR="007E3D39" w:rsidRDefault="007E3D39" w:rsidP="007E3D39">
      <w:pPr>
        <w:pStyle w:val="NormalWeb"/>
        <w:spacing w:before="0" w:beforeAutospacing="0" w:after="0" w:afterAutospacing="0"/>
        <w:jc w:val="both"/>
        <w:rPr>
          <w:color w:val="FF0000"/>
          <w:u w:val="single"/>
        </w:rPr>
      </w:pPr>
      <w:r w:rsidRPr="00175D2A">
        <w:rPr>
          <w:color w:val="FF0000"/>
          <w:u w:val="single"/>
        </w:rPr>
        <w:t>Aunque esto puede hacer que sea tentador concluir que la política monetaria se está volviendo demasiado restrictiva y está a punto de causar una contracción económica innecesaria, los inversores pueden ser demasiado optimistas sobre el progreso en la desinflación. Si bien la inflación general ha disminuido y la inflación subyacente ha retrocedido levemente en algunos países, ambas siguen siendo demasiado altas. Por lo tanto, los bancos centrales deben mostrarse decididos en su </w:t>
      </w:r>
      <w:hyperlink r:id="rId20" w:anchor="page=11" w:history="1">
        <w:r w:rsidRPr="00175D2A">
          <w:rPr>
            <w:rStyle w:val="Hipervnculo"/>
            <w:rFonts w:eastAsiaTheme="majorEastAsia"/>
            <w:color w:val="FF0000"/>
          </w:rPr>
          <w:t>lucha contra la inflación</w:t>
        </w:r>
      </w:hyperlink>
      <w:r w:rsidRPr="00175D2A">
        <w:rPr>
          <w:color w:val="FF0000"/>
          <w:u w:val="single"/>
        </w:rPr>
        <w:t> y asegurarse de que la política se mantenga lo suficientemente restrictiva como para que la inflación vuelva al objetivo de manera duradera.</w:t>
      </w:r>
    </w:p>
    <w:p w:rsidR="007E3D39" w:rsidRPr="00175D2A" w:rsidRDefault="007E3D39" w:rsidP="007E3D39">
      <w:pPr>
        <w:pStyle w:val="NormalWeb"/>
        <w:spacing w:before="0" w:beforeAutospacing="0" w:after="0" w:afterAutospacing="0"/>
        <w:jc w:val="both"/>
        <w:rPr>
          <w:color w:val="FF0000"/>
          <w:u w:val="single"/>
        </w:rPr>
      </w:pPr>
    </w:p>
    <w:p w:rsidR="007E3D39" w:rsidRPr="00A00108" w:rsidRDefault="007E3D39" w:rsidP="007E3D39">
      <w:pPr>
        <w:pStyle w:val="NormalWeb"/>
        <w:spacing w:before="0" w:beforeAutospacing="0" w:after="0" w:afterAutospacing="0"/>
        <w:jc w:val="both"/>
        <w:rPr>
          <w:rStyle w:val="Textoennegrita"/>
          <w:b w:val="0"/>
        </w:rPr>
      </w:pPr>
      <w:r w:rsidRPr="00A00108">
        <w:rPr>
          <w:rStyle w:val="Textoennegrita"/>
          <w:b w:val="0"/>
        </w:rPr>
        <w:t>Apriete agresivo</w:t>
      </w:r>
    </w:p>
    <w:p w:rsidR="007E3D39" w:rsidRPr="0021243B" w:rsidRDefault="007E3D39" w:rsidP="007E3D39">
      <w:pPr>
        <w:pStyle w:val="NormalWeb"/>
        <w:spacing w:before="0" w:beforeAutospacing="0" w:after="0" w:afterAutospacing="0"/>
        <w:jc w:val="both"/>
      </w:pPr>
    </w:p>
    <w:p w:rsidR="007E3D39" w:rsidRPr="0021243B" w:rsidRDefault="007E3D39" w:rsidP="007E3D39">
      <w:pPr>
        <w:pStyle w:val="NormalWeb"/>
        <w:spacing w:before="0" w:beforeAutospacing="0" w:after="0" w:afterAutospacing="0"/>
        <w:jc w:val="both"/>
      </w:pPr>
      <w:r w:rsidRPr="00175D2A">
        <w:rPr>
          <w:u w:val="single"/>
        </w:rPr>
        <w:t>Después de muchos años de baja inflación, el aumento de la inflación durante la recuperación </w:t>
      </w:r>
      <w:hyperlink r:id="rId21" w:history="1">
        <w:r w:rsidRPr="00A00108">
          <w:rPr>
            <w:rStyle w:val="Hipervnculo"/>
            <w:rFonts w:eastAsiaTheme="majorEastAsia"/>
            <w:color w:val="auto"/>
          </w:rPr>
          <w:t>de la pandemia fue una sorpresa</w:t>
        </w:r>
      </w:hyperlink>
      <w:r w:rsidRPr="0021243B">
        <w:t>. </w:t>
      </w:r>
      <w:r w:rsidRPr="00175D2A">
        <w:rPr>
          <w:color w:val="FF0000"/>
          <w:u w:val="single"/>
        </w:rPr>
        <w:t>Los factores clave que impulsaron la inflación incluyeron interrupciones en el suministro, altos precios de la energía luego de la invasión rusa de Ucrania y un estímulo monetario y fiscal masivo que impulsó el gasto en vivienda y bienes duraderos.</w:t>
      </w:r>
      <w:r w:rsidRPr="0021243B">
        <w:t> La inflación superó el 6 por ciento en más de las cuatro quintas partes de las economías del mundo, mientras que las ganancias de precios cada vez más generalizadas elevaron las expectativas de nuevos aumentos a máximos de varias décadas.</w:t>
      </w:r>
    </w:p>
    <w:p w:rsidR="007E3D39" w:rsidRPr="0021243B" w:rsidRDefault="007E3D39" w:rsidP="007E3D39">
      <w:pPr>
        <w:pStyle w:val="NormalWeb"/>
        <w:spacing w:before="0" w:beforeAutospacing="0" w:after="375" w:afterAutospacing="0"/>
        <w:jc w:val="both"/>
      </w:pPr>
      <w:r w:rsidRPr="0021243B">
        <w:rPr>
          <w:noProof/>
        </w:rPr>
        <w:lastRenderedPageBreak/>
        <w:drawing>
          <wp:inline distT="0" distB="0" distL="0" distR="0" wp14:anchorId="6FF9EAF2" wp14:editId="61B73EC6">
            <wp:extent cx="5759450" cy="4000500"/>
            <wp:effectExtent l="0" t="0" r="0" b="0"/>
            <wp:docPr id="106" name="Imagen 106" descr="https://www.imf.org/-/media/Images/IMF/Blog/Articles/Blog-Charts/2023/February/gfsr-chart-1-web.ash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imf.org/-/media/Images/IMF/Blog/Articles/Blog-Charts/2023/February/gfsr-chart-1-web.ashx"/>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9450" cy="4000500"/>
                    </a:xfrm>
                    <a:prstGeom prst="rect">
                      <a:avLst/>
                    </a:prstGeom>
                    <a:noFill/>
                    <a:ln>
                      <a:noFill/>
                    </a:ln>
                  </pic:spPr>
                </pic:pic>
              </a:graphicData>
            </a:graphic>
          </wp:inline>
        </w:drawing>
      </w:r>
    </w:p>
    <w:p w:rsidR="007E3D39" w:rsidRDefault="007E3D39" w:rsidP="007E3D39">
      <w:pPr>
        <w:pStyle w:val="NormalWeb"/>
        <w:spacing w:before="0" w:beforeAutospacing="0" w:after="0" w:afterAutospacing="0"/>
        <w:jc w:val="both"/>
      </w:pPr>
      <w:r w:rsidRPr="0021243B">
        <w:t>Los bancos centrales de los mercados emergentes respondieron con una política de endurecimiento drástico a partir de 2021, seguidos por sus homólogos de las economías avanzadas. Esto condujo a un endurecimiento de las condiciones financieras a nivel mundial durante el otoño del año pasado. Como resultado, ahora se espera que el crecimiento económico mundial se desacelere este año, con opiniones divergentes sobre la medida en que el desempleo probablemente deba aumentar para enfriar los mercados laborales calientes.</w:t>
      </w:r>
    </w:p>
    <w:p w:rsidR="007E3D39" w:rsidRPr="0021243B" w:rsidRDefault="007E3D39" w:rsidP="007E3D39">
      <w:pPr>
        <w:pStyle w:val="NormalWeb"/>
        <w:spacing w:before="0" w:beforeAutospacing="0" w:after="0" w:afterAutospacing="0"/>
        <w:jc w:val="both"/>
      </w:pPr>
    </w:p>
    <w:p w:rsidR="007E3D39" w:rsidRPr="00A00108" w:rsidRDefault="007E3D39" w:rsidP="007E3D39">
      <w:pPr>
        <w:pStyle w:val="NormalWeb"/>
        <w:spacing w:before="0" w:beforeAutospacing="0" w:after="0" w:afterAutospacing="0"/>
        <w:jc w:val="both"/>
        <w:rPr>
          <w:rStyle w:val="Textoennegrita"/>
          <w:b w:val="0"/>
        </w:rPr>
      </w:pPr>
      <w:r w:rsidRPr="00A00108">
        <w:rPr>
          <w:rStyle w:val="Textoennegrita"/>
          <w:b w:val="0"/>
        </w:rPr>
        <w:t>Optimismo inversor</w:t>
      </w:r>
    </w:p>
    <w:p w:rsidR="007E3D39" w:rsidRPr="0021243B" w:rsidRDefault="007E3D39" w:rsidP="007E3D39">
      <w:pPr>
        <w:pStyle w:val="NormalWeb"/>
        <w:spacing w:before="0" w:beforeAutospacing="0" w:after="0" w:afterAutospacing="0"/>
        <w:jc w:val="both"/>
      </w:pPr>
    </w:p>
    <w:p w:rsidR="007E3D39" w:rsidRDefault="007E3D39" w:rsidP="007E3D39">
      <w:pPr>
        <w:pStyle w:val="NormalWeb"/>
        <w:spacing w:before="0" w:beforeAutospacing="0" w:after="0" w:afterAutospacing="0"/>
        <w:jc w:val="both"/>
        <w:rPr>
          <w:u w:val="single"/>
        </w:rPr>
      </w:pPr>
      <w:r w:rsidRPr="00175D2A">
        <w:rPr>
          <w:u w:val="single"/>
        </w:rPr>
        <w:t>Sin embargo, desde fines del año pasado, los mercados financieros se han recuperado con fuerza ante la caída de los precios de la energía y las señales de que la inflación podría haber tocado techo. En algunas economías, los precios de los bienes incluidos en las medidas de inflación básica, como automóviles y muebles, han caído.</w:t>
      </w:r>
    </w:p>
    <w:p w:rsidR="007E3D39" w:rsidRPr="00175D2A" w:rsidRDefault="007E3D39" w:rsidP="007E3D39">
      <w:pPr>
        <w:pStyle w:val="NormalWeb"/>
        <w:spacing w:before="0" w:beforeAutospacing="0" w:after="0" w:afterAutospacing="0"/>
        <w:jc w:val="both"/>
        <w:rPr>
          <w:u w:val="single"/>
        </w:rPr>
      </w:pPr>
    </w:p>
    <w:p w:rsidR="007E3D39" w:rsidRDefault="007E3D39" w:rsidP="007E3D39">
      <w:pPr>
        <w:pStyle w:val="NormalWeb"/>
        <w:spacing w:before="0" w:beforeAutospacing="0" w:after="0" w:afterAutospacing="0"/>
        <w:jc w:val="both"/>
        <w:rPr>
          <w:u w:val="single"/>
        </w:rPr>
      </w:pPr>
      <w:r w:rsidRPr="00175D2A">
        <w:rPr>
          <w:u w:val="single"/>
        </w:rPr>
        <w:t>Estos signos de progreso en la reducción de las presiones inflacionarias en medio de la solidez continua de los mercados laborales han ofrecido razones para creer que las autoridades pueden haber logrado controlar la inflación con poco costo para el crecimiento económico, lo que se conoce como aterrizaje suave.</w:t>
      </w:r>
    </w:p>
    <w:p w:rsidR="007E3D39" w:rsidRPr="00175D2A" w:rsidRDefault="007E3D39" w:rsidP="007E3D39">
      <w:pPr>
        <w:pStyle w:val="NormalWeb"/>
        <w:spacing w:before="0" w:beforeAutospacing="0" w:after="0" w:afterAutospacing="0"/>
        <w:jc w:val="both"/>
        <w:rPr>
          <w:u w:val="single"/>
        </w:rPr>
      </w:pPr>
    </w:p>
    <w:p w:rsidR="007E3D39" w:rsidRPr="0021243B" w:rsidRDefault="007E3D39" w:rsidP="007E3D39">
      <w:pPr>
        <w:pStyle w:val="NormalWeb"/>
        <w:spacing w:before="0" w:beforeAutospacing="0" w:after="0" w:afterAutospacing="0"/>
        <w:jc w:val="both"/>
      </w:pPr>
      <w:r w:rsidRPr="0021243B">
        <w:t>En Estados Unidos y la zona del euro, las medidas de inflación basadas en el mercado para un año venidero han vuelto a acercarse al objetivo del 2 por ciento de los bancos centrales desde el 6 por ciento de la primavera pasada. Los indicadores de varias otras economías avanzadas han experimentado caídas similares. En los mercados emergentes, estas medidas de inflación basadas en el mercado a un año vista también han estado cayendo, aunque a un ritmo más lento.</w:t>
      </w:r>
    </w:p>
    <w:p w:rsidR="007E3D39" w:rsidRPr="0021243B" w:rsidRDefault="007E3D39" w:rsidP="007E3D39">
      <w:pPr>
        <w:pStyle w:val="NormalWeb"/>
        <w:spacing w:before="0" w:beforeAutospacing="0" w:after="375" w:afterAutospacing="0"/>
        <w:jc w:val="both"/>
      </w:pPr>
      <w:r w:rsidRPr="0021243B">
        <w:rPr>
          <w:noProof/>
        </w:rPr>
        <w:lastRenderedPageBreak/>
        <w:drawing>
          <wp:inline distT="0" distB="0" distL="0" distR="0" wp14:anchorId="4E4E6E88" wp14:editId="31F32FE6">
            <wp:extent cx="5556250" cy="3257550"/>
            <wp:effectExtent l="0" t="0" r="6350" b="0"/>
            <wp:docPr id="107" name="Imagen 107" descr="https://www.imf.org/-/media/Images/IMF/Blog/Articles/Blog-Charts/2023/February/final-final-gfsr-chart-2-01.ash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imf.org/-/media/Images/IMF/Blog/Articles/Blog-Charts/2023/February/final-final-gfsr-chart-2-01.ashx"/>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556250" cy="3257550"/>
                    </a:xfrm>
                    <a:prstGeom prst="rect">
                      <a:avLst/>
                    </a:prstGeom>
                    <a:noFill/>
                    <a:ln>
                      <a:noFill/>
                    </a:ln>
                  </pic:spPr>
                </pic:pic>
              </a:graphicData>
            </a:graphic>
          </wp:inline>
        </w:drawing>
      </w:r>
    </w:p>
    <w:p w:rsidR="007E3D39" w:rsidRPr="00A00108" w:rsidRDefault="007E3D39" w:rsidP="007E3D39">
      <w:pPr>
        <w:pStyle w:val="NormalWeb"/>
        <w:spacing w:before="0" w:beforeAutospacing="0" w:after="0" w:afterAutospacing="0"/>
        <w:jc w:val="both"/>
        <w:rPr>
          <w:rStyle w:val="Textoennegrita"/>
          <w:b w:val="0"/>
        </w:rPr>
      </w:pPr>
      <w:r w:rsidRPr="00A00108">
        <w:rPr>
          <w:rStyle w:val="Textoennegrita"/>
          <w:b w:val="0"/>
        </w:rPr>
        <w:t>Relajación esperada</w:t>
      </w:r>
    </w:p>
    <w:p w:rsidR="007E3D39" w:rsidRPr="0021243B" w:rsidRDefault="007E3D39" w:rsidP="007E3D39">
      <w:pPr>
        <w:pStyle w:val="NormalWeb"/>
        <w:spacing w:before="0" w:beforeAutospacing="0" w:after="0" w:afterAutospacing="0"/>
        <w:jc w:val="both"/>
      </w:pPr>
    </w:p>
    <w:p w:rsidR="007E3D39" w:rsidRDefault="007E3D39" w:rsidP="007E3D39">
      <w:pPr>
        <w:pStyle w:val="NormalWeb"/>
        <w:spacing w:before="0" w:beforeAutospacing="0" w:after="0" w:afterAutospacing="0"/>
        <w:jc w:val="both"/>
        <w:rPr>
          <w:color w:val="FF0000"/>
          <w:u w:val="single"/>
        </w:rPr>
      </w:pPr>
      <w:r w:rsidRPr="00175D2A">
        <w:rPr>
          <w:u w:val="single"/>
        </w:rPr>
        <w:t>Estas esperanzas de desinflación han ido acompañadas de expectativas crecientes de que los bancos centrales pronto no solo dejarán de endurecer la política, sino que también reducirán las tasas con bastante rapidez</w:t>
      </w:r>
      <w:r w:rsidRPr="0021243B">
        <w:t>. </w:t>
      </w:r>
      <w:r w:rsidRPr="00175D2A">
        <w:rPr>
          <w:color w:val="FF0000"/>
          <w:u w:val="single"/>
        </w:rPr>
        <w:t>En muchas economías, esto ha llevado a que los rendimientos de la deuda pública a largo plazo caigan por debajo de los vencimientos a corto plazo. Históricamente, tal inversión de la curva de rendimiento suele preceder a las recesiones. De hecho, las evaluaciones de los analistas apuntan a un riesgo significativo de recesión en muchas economías, pero la expectativa es que las recesiones, en caso de que ocurran, serán leves.</w:t>
      </w:r>
    </w:p>
    <w:p w:rsidR="007E3D39" w:rsidRPr="00175D2A" w:rsidRDefault="007E3D39" w:rsidP="007E3D39">
      <w:pPr>
        <w:pStyle w:val="NormalWeb"/>
        <w:spacing w:before="0" w:beforeAutospacing="0" w:after="0" w:afterAutospacing="0"/>
        <w:jc w:val="both"/>
        <w:rPr>
          <w:color w:val="FF0000"/>
          <w:u w:val="single"/>
        </w:rPr>
      </w:pPr>
    </w:p>
    <w:p w:rsidR="007E3D39" w:rsidRPr="0021243B" w:rsidRDefault="007E3D39" w:rsidP="007E3D39">
      <w:pPr>
        <w:pStyle w:val="NormalWeb"/>
        <w:spacing w:before="0" w:beforeAutospacing="0" w:after="375" w:afterAutospacing="0"/>
        <w:jc w:val="both"/>
      </w:pPr>
      <w:r w:rsidRPr="0021243B">
        <w:rPr>
          <w:noProof/>
        </w:rPr>
        <w:drawing>
          <wp:inline distT="0" distB="0" distL="0" distR="0" wp14:anchorId="46DB849E" wp14:editId="6E7B7FF5">
            <wp:extent cx="5765800" cy="3327400"/>
            <wp:effectExtent l="0" t="0" r="6350" b="6350"/>
            <wp:docPr id="108" name="Imagen 108" descr="https://www.imf.org/-/media/Images/IMF/Blog/Articles/Blog-Charts/2023/February/gfsr-chart-3-web.ash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imf.org/-/media/Images/IMF/Blog/Articles/Blog-Charts/2023/February/gfsr-chart-3-web.ashx"/>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65800" cy="3327400"/>
                    </a:xfrm>
                    <a:prstGeom prst="rect">
                      <a:avLst/>
                    </a:prstGeom>
                    <a:noFill/>
                    <a:ln>
                      <a:noFill/>
                    </a:ln>
                  </pic:spPr>
                </pic:pic>
              </a:graphicData>
            </a:graphic>
          </wp:inline>
        </w:drawing>
      </w:r>
    </w:p>
    <w:p w:rsidR="007E3D39" w:rsidRPr="00175D2A" w:rsidRDefault="007E3D39" w:rsidP="007E3D39">
      <w:pPr>
        <w:pStyle w:val="NormalWeb"/>
        <w:spacing w:before="0" w:beforeAutospacing="0" w:after="0" w:afterAutospacing="0"/>
        <w:jc w:val="both"/>
        <w:rPr>
          <w:u w:val="single"/>
        </w:rPr>
      </w:pPr>
      <w:r w:rsidRPr="00175D2A">
        <w:rPr>
          <w:u w:val="single"/>
        </w:rPr>
        <w:lastRenderedPageBreak/>
        <w:t>Las crecientes expectativas de tasas de interés más bajas y solo una desaceleración económica superficial han impulsado una relajación significativa de las condiciones financieras en los últimos meses, a pesar de que los bancos centrales continúan aumentando las tasas. Los mercados han reflejado este panorama relativamente benigno: los mercados bursátiles se han recuperado y los diferenciales crediticios se han reducido considerablemente.</w:t>
      </w:r>
      <w:bookmarkStart w:id="0" w:name="_Hlk125056795"/>
      <w:bookmarkEnd w:id="0"/>
    </w:p>
    <w:p w:rsidR="007E3D39" w:rsidRPr="0021243B" w:rsidRDefault="007E3D39" w:rsidP="007E3D39">
      <w:pPr>
        <w:pStyle w:val="NormalWeb"/>
        <w:spacing w:before="0" w:beforeAutospacing="0" w:after="0" w:afterAutospacing="0"/>
        <w:jc w:val="both"/>
      </w:pPr>
    </w:p>
    <w:p w:rsidR="007E3D39" w:rsidRPr="00A00108" w:rsidRDefault="007E3D39" w:rsidP="007E3D39">
      <w:pPr>
        <w:pStyle w:val="NormalWeb"/>
        <w:spacing w:before="0" w:beforeAutospacing="0" w:after="0" w:afterAutospacing="0"/>
        <w:jc w:val="both"/>
        <w:rPr>
          <w:rStyle w:val="Textoennegrita"/>
          <w:b w:val="0"/>
        </w:rPr>
      </w:pPr>
      <w:r w:rsidRPr="00A00108">
        <w:rPr>
          <w:rStyle w:val="Textoennegrita"/>
          <w:b w:val="0"/>
        </w:rPr>
        <w:t>Enigma para los bancos centrales</w:t>
      </w:r>
    </w:p>
    <w:p w:rsidR="007E3D39" w:rsidRPr="0021243B" w:rsidRDefault="007E3D39" w:rsidP="007E3D39">
      <w:pPr>
        <w:pStyle w:val="NormalWeb"/>
        <w:spacing w:before="0" w:beforeAutospacing="0" w:after="0" w:afterAutospacing="0"/>
        <w:jc w:val="both"/>
      </w:pPr>
    </w:p>
    <w:p w:rsidR="007E3D39" w:rsidRPr="0021243B" w:rsidRDefault="007E3D39" w:rsidP="007E3D39">
      <w:pPr>
        <w:pStyle w:val="NormalWeb"/>
        <w:spacing w:before="0" w:beforeAutospacing="0" w:after="0" w:afterAutospacing="0"/>
        <w:jc w:val="both"/>
      </w:pPr>
      <w:r w:rsidRPr="0021243B">
        <w:t>Esta relajación de las condiciones financieras durante un ciclo de endurecimiento del banco central crea un enigma para los responsables de la formulación de políticas.</w:t>
      </w:r>
    </w:p>
    <w:p w:rsidR="007E3D39" w:rsidRDefault="007E3D39" w:rsidP="007E3D39">
      <w:pPr>
        <w:pStyle w:val="NormalWeb"/>
        <w:spacing w:before="0" w:beforeAutospacing="0" w:after="0" w:afterAutospacing="0"/>
        <w:jc w:val="both"/>
      </w:pPr>
      <w:r w:rsidRPr="0021243B">
        <w:t>Por un lado, los mercados financieros están indicando que la desinflación puede ocurrir sin aumentos significativos en el desempleo. Los formuladores de políticas podrían adoptar ese punto de vista y, de hecho, ratificar la relajación de las condiciones financieras. Muchos observadores preocupados de que los bancos centrales se muestren demasiado entusiastas con el endurecimiento de la política monetaria y provoquen una recesión económica innecesariamente dolorosa, respaldan tal punto de vista.</w:t>
      </w:r>
    </w:p>
    <w:p w:rsidR="007E3D39" w:rsidRPr="0021243B" w:rsidRDefault="007E3D39" w:rsidP="007E3D39">
      <w:pPr>
        <w:pStyle w:val="NormalWeb"/>
        <w:spacing w:before="0" w:beforeAutospacing="0" w:after="0" w:afterAutospacing="0"/>
        <w:jc w:val="both"/>
      </w:pPr>
    </w:p>
    <w:p w:rsidR="007E3D39" w:rsidRDefault="007E3D39" w:rsidP="007E3D39">
      <w:pPr>
        <w:pStyle w:val="NormalWeb"/>
        <w:spacing w:before="0" w:beforeAutospacing="0" w:after="0" w:afterAutospacing="0"/>
        <w:jc w:val="both"/>
        <w:rPr>
          <w:color w:val="FF0000"/>
          <w:u w:val="single"/>
        </w:rPr>
      </w:pPr>
      <w:r w:rsidRPr="00175D2A">
        <w:rPr>
          <w:color w:val="FF0000"/>
          <w:u w:val="single"/>
        </w:rPr>
        <w:t>Alternativamente, los bancos centrales podrían hacer retroceder el optimismo de los inversionistas, enfatizando los riesgos de que las presiones inflacionarias puedan ser más persistentes de lo esperado. Este enfoque de gestión de riesgos requeriría tasas de interés restrictivas por más tiempo, hasta que haya evidencia tangible de una disminución sostenida de la inflación.</w:t>
      </w:r>
    </w:p>
    <w:p w:rsidR="007E3D39" w:rsidRPr="00175D2A" w:rsidRDefault="007E3D39" w:rsidP="007E3D39">
      <w:pPr>
        <w:pStyle w:val="NormalWeb"/>
        <w:spacing w:before="0" w:beforeAutospacing="0" w:after="0" w:afterAutospacing="0"/>
        <w:jc w:val="both"/>
        <w:rPr>
          <w:color w:val="FF0000"/>
          <w:u w:val="single"/>
        </w:rPr>
      </w:pPr>
    </w:p>
    <w:p w:rsidR="007E3D39" w:rsidRDefault="007E3D39" w:rsidP="007E3D39">
      <w:pPr>
        <w:pStyle w:val="NormalWeb"/>
        <w:spacing w:before="0" w:beforeAutospacing="0" w:after="0" w:afterAutospacing="0"/>
        <w:jc w:val="both"/>
        <w:rPr>
          <w:color w:val="FF0000"/>
          <w:u w:val="single"/>
        </w:rPr>
      </w:pPr>
      <w:r w:rsidRPr="00175D2A">
        <w:rPr>
          <w:color w:val="FF0000"/>
          <w:u w:val="single"/>
        </w:rPr>
        <w:t>Si bien hacerlo podría inducir una revisión de la política de precios y de los activos de riesgo en los mercados financieros, lo que posiblemente provoque una caída de los precios de las acciones y una ampliación de los diferenciales crediticios, hay tres razones por las que se necesita un enfoque de este tipo para garantizar la estabilidad de precios.</w:t>
      </w:r>
    </w:p>
    <w:p w:rsidR="007E3D39" w:rsidRPr="00175D2A" w:rsidRDefault="007E3D39" w:rsidP="007E3D39">
      <w:pPr>
        <w:pStyle w:val="NormalWeb"/>
        <w:spacing w:before="0" w:beforeAutospacing="0" w:after="0" w:afterAutospacing="0"/>
        <w:jc w:val="both"/>
        <w:rPr>
          <w:color w:val="FF0000"/>
          <w:u w:val="single"/>
        </w:rPr>
      </w:pPr>
    </w:p>
    <w:p w:rsidR="007E3D39" w:rsidRPr="00175D2A" w:rsidRDefault="007E3D39" w:rsidP="007E3D39">
      <w:pPr>
        <w:numPr>
          <w:ilvl w:val="0"/>
          <w:numId w:val="1"/>
        </w:numPr>
        <w:spacing w:after="0" w:line="240" w:lineRule="auto"/>
        <w:jc w:val="both"/>
        <w:rPr>
          <w:rFonts w:ascii="Times New Roman" w:hAnsi="Times New Roman" w:cs="Times New Roman"/>
          <w:color w:val="FF0000"/>
          <w:sz w:val="24"/>
          <w:szCs w:val="24"/>
        </w:rPr>
      </w:pPr>
      <w:r w:rsidRPr="00175D2A">
        <w:rPr>
          <w:rFonts w:ascii="Times New Roman" w:hAnsi="Times New Roman" w:cs="Times New Roman"/>
          <w:color w:val="FF0000"/>
          <w:sz w:val="24"/>
          <w:szCs w:val="24"/>
        </w:rPr>
        <w:t>La historia muestra que la alta inflación a menudo es persistente, y posiblemente puede aumentar aún más, sin medidas de política monetaria enérgicas y decisivas para reducirla.</w:t>
      </w:r>
      <w:r w:rsidRPr="00175D2A">
        <w:rPr>
          <w:rFonts w:ascii="Times New Roman" w:hAnsi="Times New Roman" w:cs="Times New Roman"/>
          <w:color w:val="FF0000"/>
          <w:sz w:val="24"/>
          <w:szCs w:val="24"/>
        </w:rPr>
        <w:br/>
      </w:r>
    </w:p>
    <w:p w:rsidR="007E3D39" w:rsidRPr="00175D2A" w:rsidRDefault="007E3D39" w:rsidP="007E3D39">
      <w:pPr>
        <w:numPr>
          <w:ilvl w:val="0"/>
          <w:numId w:val="1"/>
        </w:numPr>
        <w:spacing w:after="0" w:line="240" w:lineRule="auto"/>
        <w:jc w:val="both"/>
        <w:rPr>
          <w:rFonts w:ascii="Times New Roman" w:hAnsi="Times New Roman" w:cs="Times New Roman"/>
          <w:color w:val="FF0000"/>
          <w:sz w:val="24"/>
          <w:szCs w:val="24"/>
        </w:rPr>
      </w:pPr>
      <w:r w:rsidRPr="00175D2A">
        <w:rPr>
          <w:rFonts w:ascii="Times New Roman" w:hAnsi="Times New Roman" w:cs="Times New Roman"/>
          <w:color w:val="FF0000"/>
          <w:sz w:val="24"/>
          <w:szCs w:val="24"/>
        </w:rPr>
        <w:t>Si bien la inflación de los bienes se ha reducido, parece poco probable que suceda lo mismo con los servicios sin un enfriamiento significativo del mercado laboral. De manera crucial, los bancos centrales deben evitar malinterpretar las fuertes caídas en los precios de los bienes y la relajación de la política antes de que la inflación de los servicios y los salarios, que se ajustan más lentamente, también se hayan moderado notablemente.</w:t>
      </w:r>
      <w:r w:rsidRPr="00175D2A">
        <w:rPr>
          <w:rFonts w:ascii="Times New Roman" w:hAnsi="Times New Roman" w:cs="Times New Roman"/>
          <w:color w:val="FF0000"/>
          <w:sz w:val="24"/>
          <w:szCs w:val="24"/>
        </w:rPr>
        <w:br/>
      </w:r>
    </w:p>
    <w:p w:rsidR="007E3D39" w:rsidRPr="00175D2A" w:rsidRDefault="007E3D39" w:rsidP="007E3D39">
      <w:pPr>
        <w:numPr>
          <w:ilvl w:val="0"/>
          <w:numId w:val="1"/>
        </w:numPr>
        <w:spacing w:after="0" w:line="240" w:lineRule="auto"/>
        <w:jc w:val="both"/>
        <w:rPr>
          <w:rFonts w:ascii="Times New Roman" w:hAnsi="Times New Roman" w:cs="Times New Roman"/>
          <w:color w:val="FF0000"/>
          <w:sz w:val="24"/>
          <w:szCs w:val="24"/>
        </w:rPr>
      </w:pPr>
      <w:r w:rsidRPr="00175D2A">
        <w:rPr>
          <w:rFonts w:ascii="Times New Roman" w:hAnsi="Times New Roman" w:cs="Times New Roman"/>
          <w:color w:val="FF0000"/>
          <w:sz w:val="24"/>
          <w:szCs w:val="24"/>
        </w:rPr>
        <w:t>La experiencia sugiere que los períodos prolongados de rápidos aumentos de precios hacen que las expectativas de inflación sean más susceptibles de desanclarse a medida que dicha mentalidad inflacionaria se arraiga más en el comportamiento de los hogares y las empresas.</w:t>
      </w:r>
      <w:bookmarkStart w:id="1" w:name="_Hlk125528974"/>
      <w:bookmarkEnd w:id="1"/>
    </w:p>
    <w:p w:rsidR="007E3D39" w:rsidRPr="0021243B" w:rsidRDefault="007E3D39" w:rsidP="007E3D39">
      <w:pPr>
        <w:spacing w:after="0" w:line="240" w:lineRule="auto"/>
        <w:ind w:left="720"/>
        <w:jc w:val="both"/>
        <w:rPr>
          <w:rFonts w:ascii="Times New Roman" w:hAnsi="Times New Roman" w:cs="Times New Roman"/>
          <w:sz w:val="24"/>
          <w:szCs w:val="24"/>
        </w:rPr>
      </w:pPr>
    </w:p>
    <w:p w:rsidR="007E3D39" w:rsidRPr="00A00108" w:rsidRDefault="007E3D39" w:rsidP="007E3D39">
      <w:pPr>
        <w:pStyle w:val="NormalWeb"/>
        <w:spacing w:before="0" w:beforeAutospacing="0" w:after="0" w:afterAutospacing="0"/>
        <w:jc w:val="both"/>
        <w:rPr>
          <w:rStyle w:val="Textoennegrita"/>
          <w:b w:val="0"/>
        </w:rPr>
      </w:pPr>
      <w:r w:rsidRPr="00A00108">
        <w:rPr>
          <w:rStyle w:val="Textoennegrita"/>
          <w:b w:val="0"/>
        </w:rPr>
        <w:t>Los formuladores de políticas deben seguir siendo decididos</w:t>
      </w:r>
    </w:p>
    <w:p w:rsidR="007E3D39" w:rsidRPr="0021243B" w:rsidRDefault="007E3D39" w:rsidP="007E3D39">
      <w:pPr>
        <w:pStyle w:val="NormalWeb"/>
        <w:spacing w:before="0" w:beforeAutospacing="0" w:after="0" w:afterAutospacing="0"/>
        <w:jc w:val="both"/>
      </w:pPr>
    </w:p>
    <w:p w:rsidR="007E3D39" w:rsidRPr="00D74943" w:rsidRDefault="007E3D39" w:rsidP="007E3D39">
      <w:pPr>
        <w:pStyle w:val="NormalWeb"/>
        <w:spacing w:before="0" w:beforeAutospacing="0" w:after="0" w:afterAutospacing="0"/>
        <w:jc w:val="both"/>
        <w:rPr>
          <w:color w:val="FF0000"/>
          <w:u w:val="single"/>
        </w:rPr>
      </w:pPr>
      <w:r w:rsidRPr="00D74943">
        <w:rPr>
          <w:color w:val="FF0000"/>
          <w:u w:val="single"/>
        </w:rPr>
        <w:t>Los bancos centrales deben comunicar la probable necesidad de mantener las tasas de interés más altas durante más tiempo hasta que haya evidencia de que la inflación, incluidos los salarios y los precios de los servicios, ha regresado de manera sostenible al objetivo.</w:t>
      </w:r>
    </w:p>
    <w:p w:rsidR="007E3D39" w:rsidRDefault="007E3D39" w:rsidP="007E3D39">
      <w:pPr>
        <w:pStyle w:val="NormalWeb"/>
        <w:spacing w:before="0" w:beforeAutospacing="0" w:after="0" w:afterAutospacing="0"/>
        <w:jc w:val="both"/>
        <w:rPr>
          <w:color w:val="FF0000"/>
          <w:u w:val="single"/>
        </w:rPr>
      </w:pPr>
      <w:r w:rsidRPr="00D74943">
        <w:rPr>
          <w:color w:val="FF0000"/>
          <w:u w:val="single"/>
        </w:rPr>
        <w:lastRenderedPageBreak/>
        <w:t>Es probable que los formuladores de políticas se enfrenten a presiones para flexibilizar la política a medida que aumenta el desempleo y la inflación sigue cayendo. Estos desafíos podrían ser particularmente agudos para las economías de mercados emergentes.</w:t>
      </w:r>
    </w:p>
    <w:p w:rsidR="007E3D39" w:rsidRPr="00D74943" w:rsidRDefault="007E3D39" w:rsidP="007E3D39">
      <w:pPr>
        <w:pStyle w:val="NormalWeb"/>
        <w:spacing w:before="0" w:beforeAutospacing="0" w:after="0" w:afterAutospacing="0"/>
        <w:jc w:val="both"/>
        <w:rPr>
          <w:color w:val="FF0000"/>
          <w:u w:val="single"/>
        </w:rPr>
      </w:pPr>
    </w:p>
    <w:p w:rsidR="007E3D39" w:rsidRDefault="007E3D39" w:rsidP="007E3D39">
      <w:pPr>
        <w:pStyle w:val="NormalWeb"/>
        <w:spacing w:before="0" w:beforeAutospacing="0" w:after="0" w:afterAutospacing="0"/>
        <w:jc w:val="both"/>
      </w:pPr>
      <w:r w:rsidRPr="0021243B">
        <w:t>Sin duda, este es un período inusual en el que muchos factores especiales están afectando la inflación, y es posible que la inflación baje más rápido de lo que prevén los formuladores de políticas.</w:t>
      </w:r>
      <w:r>
        <w:t xml:space="preserve"> </w:t>
      </w:r>
      <w:r w:rsidRPr="0021243B">
        <w:t>Sin embargo, una relajación prematura podría generar el riesgo de un fuerte resurgimiento de la inflación una vez que la actividad se recupere, dejando a los países susceptibles a nuevos shocks que podrían desanclar las expectativas de inflación. Por lo tanto, es fundamental que las autoridades se mantengan resueltas y se concentren en llevar la inflación de regreso a la meta sin demora.</w:t>
      </w:r>
    </w:p>
    <w:p w:rsidR="007E3D39" w:rsidRPr="0021243B" w:rsidRDefault="007E3D39" w:rsidP="007E3D39">
      <w:pPr>
        <w:pStyle w:val="NormalWeb"/>
        <w:spacing w:before="0" w:beforeAutospacing="0" w:after="0" w:afterAutospacing="0"/>
        <w:jc w:val="both"/>
      </w:pPr>
    </w:p>
    <w:p w:rsidR="007E3D39" w:rsidRPr="00A00108" w:rsidRDefault="007E3D39" w:rsidP="007E3D39">
      <w:pPr>
        <w:spacing w:line="240" w:lineRule="auto"/>
        <w:jc w:val="both"/>
        <w:rPr>
          <w:rFonts w:ascii="Times New Roman" w:hAnsi="Times New Roman" w:cs="Times New Roman"/>
          <w:sz w:val="24"/>
          <w:szCs w:val="24"/>
        </w:rPr>
      </w:pPr>
      <w:r w:rsidRPr="00A00108">
        <w:rPr>
          <w:rFonts w:ascii="Times New Roman" w:hAnsi="Times New Roman" w:cs="Times New Roman"/>
          <w:sz w:val="24"/>
          <w:szCs w:val="24"/>
        </w:rPr>
        <w:t xml:space="preserve">- </w:t>
      </w:r>
      <w:r w:rsidRPr="00A00108">
        <w:rPr>
          <w:rFonts w:ascii="Times New Roman" w:hAnsi="Times New Roman" w:cs="Times New Roman"/>
          <w:sz w:val="24"/>
          <w:szCs w:val="24"/>
          <w:u w:val="single"/>
        </w:rPr>
        <w:t>Lecciones sobre la mayor crisis financiera de la historia</w:t>
      </w:r>
      <w:r w:rsidRPr="00A00108">
        <w:rPr>
          <w:rFonts w:ascii="Times New Roman" w:hAnsi="Times New Roman" w:cs="Times New Roman"/>
          <w:sz w:val="24"/>
          <w:szCs w:val="24"/>
        </w:rPr>
        <w:t xml:space="preserve"> (Libertad Digital - </w:t>
      </w:r>
      <w:r w:rsidRPr="006B6858">
        <w:rPr>
          <w:rFonts w:ascii="Times New Roman" w:hAnsi="Times New Roman" w:cs="Times New Roman"/>
          <w:b/>
          <w:sz w:val="24"/>
          <w:szCs w:val="24"/>
        </w:rPr>
        <w:t>6/2/23</w:t>
      </w:r>
      <w:r w:rsidRPr="00A00108">
        <w:rPr>
          <w:rFonts w:ascii="Times New Roman" w:hAnsi="Times New Roman" w:cs="Times New Roman"/>
          <w:sz w:val="24"/>
          <w:szCs w:val="24"/>
        </w:rPr>
        <w:t>)</w:t>
      </w:r>
    </w:p>
    <w:p w:rsidR="007E3D39" w:rsidRPr="00AF5BBC" w:rsidRDefault="007E3D39" w:rsidP="007E3D39">
      <w:pPr>
        <w:spacing w:line="240" w:lineRule="auto"/>
        <w:jc w:val="both"/>
        <w:rPr>
          <w:rFonts w:ascii="Times New Roman" w:hAnsi="Times New Roman" w:cs="Times New Roman"/>
          <w:sz w:val="24"/>
          <w:szCs w:val="24"/>
        </w:rPr>
      </w:pPr>
      <w:r w:rsidRPr="00AF5BBC">
        <w:rPr>
          <w:rFonts w:ascii="Times New Roman" w:hAnsi="Times New Roman" w:cs="Times New Roman"/>
          <w:sz w:val="24"/>
          <w:szCs w:val="24"/>
        </w:rPr>
        <w:t xml:space="preserve">La crisis económica del año 2008 es uno de los fenómenos históricos más importantes de este siglo y sobre los que han corrido más ríos de tinta, tanto en el momento en el que </w:t>
      </w:r>
      <w:r>
        <w:rPr>
          <w:rFonts w:ascii="Times New Roman" w:hAnsi="Times New Roman" w:cs="Times New Roman"/>
          <w:sz w:val="24"/>
          <w:szCs w:val="24"/>
        </w:rPr>
        <w:t>se produjo como posteriormente.</w:t>
      </w:r>
    </w:p>
    <w:p w:rsidR="007E3D39" w:rsidRPr="00AF5BBC" w:rsidRDefault="007E3D39" w:rsidP="007E3D39">
      <w:pPr>
        <w:spacing w:line="240" w:lineRule="auto"/>
        <w:jc w:val="both"/>
        <w:rPr>
          <w:rFonts w:ascii="Times New Roman" w:hAnsi="Times New Roman" w:cs="Times New Roman"/>
          <w:sz w:val="24"/>
          <w:szCs w:val="24"/>
        </w:rPr>
      </w:pPr>
      <w:r w:rsidRPr="00AF5BBC">
        <w:rPr>
          <w:rFonts w:ascii="Times New Roman" w:hAnsi="Times New Roman" w:cs="Times New Roman"/>
          <w:sz w:val="24"/>
          <w:szCs w:val="24"/>
        </w:rPr>
        <w:t>Cuando se recuerda esta crisis financiera, especialmente por parte de la izquierda, se hace para insistir en la idea de que todo ha sido causado por las empresas privadas, que la economía ha sufrido un proceso de desregulación, y que esto se habría solucionado con una banca pública. El interés particular es egoísta y antepone su beneficio personal al interés general, con lo que con una banca pública nos ahorraríam</w:t>
      </w:r>
      <w:r>
        <w:rPr>
          <w:rFonts w:ascii="Times New Roman" w:hAnsi="Times New Roman" w:cs="Times New Roman"/>
          <w:sz w:val="24"/>
          <w:szCs w:val="24"/>
        </w:rPr>
        <w:t>os todo este tipo de problemas.</w:t>
      </w:r>
    </w:p>
    <w:p w:rsidR="007E3D39" w:rsidRPr="004E339A" w:rsidRDefault="007E3D39" w:rsidP="007E3D39">
      <w:pPr>
        <w:spacing w:line="240" w:lineRule="auto"/>
        <w:jc w:val="both"/>
        <w:rPr>
          <w:rFonts w:ascii="Times New Roman" w:hAnsi="Times New Roman" w:cs="Times New Roman"/>
          <w:sz w:val="24"/>
          <w:szCs w:val="24"/>
          <w:u w:val="single"/>
        </w:rPr>
      </w:pPr>
      <w:r w:rsidRPr="00AF5BBC">
        <w:rPr>
          <w:rFonts w:ascii="Times New Roman" w:hAnsi="Times New Roman" w:cs="Times New Roman"/>
          <w:sz w:val="24"/>
          <w:szCs w:val="24"/>
        </w:rPr>
        <w:t xml:space="preserve">Sin embargo, esto no puede estar más alejado de la realidad. Ya </w:t>
      </w:r>
      <w:r w:rsidRPr="004E339A">
        <w:rPr>
          <w:rFonts w:ascii="Times New Roman" w:hAnsi="Times New Roman" w:cs="Times New Roman"/>
          <w:sz w:val="24"/>
          <w:szCs w:val="24"/>
          <w:u w:val="single"/>
        </w:rPr>
        <w:t>que el proceso que se dio en Estados Unidos tiene más bien su origen en la banca pública que en la banca privada, y fue consecuencia de acciones gubernamentales por parte de la Administración de Bill Clinton que del libre mercado.</w:t>
      </w:r>
    </w:p>
    <w:p w:rsidR="007E3D39" w:rsidRPr="004E339A" w:rsidRDefault="007E3D39" w:rsidP="007E3D39">
      <w:pPr>
        <w:spacing w:line="240" w:lineRule="auto"/>
        <w:jc w:val="both"/>
        <w:rPr>
          <w:rFonts w:ascii="Times New Roman" w:hAnsi="Times New Roman" w:cs="Times New Roman"/>
          <w:color w:val="FF0000"/>
          <w:sz w:val="24"/>
          <w:szCs w:val="24"/>
          <w:u w:val="single"/>
        </w:rPr>
      </w:pPr>
      <w:r w:rsidRPr="004E339A">
        <w:rPr>
          <w:rFonts w:ascii="Times New Roman" w:hAnsi="Times New Roman" w:cs="Times New Roman"/>
          <w:color w:val="FF0000"/>
          <w:sz w:val="24"/>
          <w:szCs w:val="24"/>
          <w:u w:val="single"/>
        </w:rPr>
        <w:t>Todo tendría su comienzo, aunque no su única causa, en la reforma de la Ley de Reinversión Comunitaria (en inglés Community Reinvestment Act) que se produjo en el año 1995, bajo el mandato de Bill Clinton.</w:t>
      </w:r>
    </w:p>
    <w:p w:rsidR="007E3D39" w:rsidRPr="00AF5BBC" w:rsidRDefault="007E3D39" w:rsidP="007E3D39">
      <w:pPr>
        <w:spacing w:line="240" w:lineRule="auto"/>
        <w:jc w:val="both"/>
        <w:rPr>
          <w:rFonts w:ascii="Times New Roman" w:hAnsi="Times New Roman" w:cs="Times New Roman"/>
          <w:sz w:val="24"/>
          <w:szCs w:val="24"/>
        </w:rPr>
      </w:pPr>
      <w:r w:rsidRPr="00AF5BBC">
        <w:rPr>
          <w:rFonts w:ascii="Times New Roman" w:hAnsi="Times New Roman" w:cs="Times New Roman"/>
          <w:sz w:val="24"/>
          <w:szCs w:val="24"/>
        </w:rPr>
        <w:t>El origen de las hipotecas Ninja</w:t>
      </w:r>
    </w:p>
    <w:p w:rsidR="007E3D39" w:rsidRPr="004E339A" w:rsidRDefault="007E3D39" w:rsidP="007E3D39">
      <w:pPr>
        <w:spacing w:line="240" w:lineRule="auto"/>
        <w:jc w:val="both"/>
        <w:rPr>
          <w:rFonts w:ascii="Times New Roman" w:hAnsi="Times New Roman" w:cs="Times New Roman"/>
          <w:color w:val="FF0000"/>
          <w:sz w:val="24"/>
          <w:szCs w:val="24"/>
          <w:u w:val="single"/>
        </w:rPr>
      </w:pPr>
      <w:r w:rsidRPr="004E339A">
        <w:rPr>
          <w:rFonts w:ascii="Times New Roman" w:hAnsi="Times New Roman" w:cs="Times New Roman"/>
          <w:color w:val="FF0000"/>
          <w:sz w:val="24"/>
          <w:szCs w:val="24"/>
          <w:u w:val="single"/>
        </w:rPr>
        <w:t>El presidente demócrata promovió una serie de medidas políticas encaminadas a que cada ciudadano americano, independientemente de su nivel de ingresos, pudiera ser propietario de una casa. No importaba la renta de que dispusiera, si tenía o no tenía un empleo, y ni tan siquiera importaba si ese ciudadano tenía propiedades. Para poner en funcionamiento este plan, se sirvió de dos entidades bancarias como Fannie Mae y Freddie Mac. Estas dos empresas tenían un carácter semipúblico, de modo que recibían una protección especial por parte de la Administración.</w:t>
      </w:r>
    </w:p>
    <w:p w:rsidR="007E3D39" w:rsidRPr="004E339A" w:rsidRDefault="007E3D39" w:rsidP="007E3D39">
      <w:pPr>
        <w:spacing w:line="240" w:lineRule="auto"/>
        <w:jc w:val="both"/>
        <w:rPr>
          <w:rFonts w:ascii="Times New Roman" w:hAnsi="Times New Roman" w:cs="Times New Roman"/>
          <w:color w:val="FF0000"/>
          <w:sz w:val="24"/>
          <w:szCs w:val="24"/>
          <w:u w:val="single"/>
        </w:rPr>
      </w:pPr>
      <w:r w:rsidRPr="004E339A">
        <w:rPr>
          <w:rFonts w:ascii="Times New Roman" w:hAnsi="Times New Roman" w:cs="Times New Roman"/>
          <w:color w:val="FF0000"/>
          <w:sz w:val="24"/>
          <w:szCs w:val="24"/>
          <w:u w:val="single"/>
        </w:rPr>
        <w:t>De forma tradicional, los bancos han concedido las distintas hipotecas hasta un determinado límite, normalmente de un 80% del valor total de la vivienda, con lo que el aspirante a propietario tendría que aportar el 20% restante</w:t>
      </w:r>
      <w:r>
        <w:rPr>
          <w:rFonts w:ascii="Times New Roman" w:hAnsi="Times New Roman" w:cs="Times New Roman"/>
          <w:color w:val="FF0000"/>
          <w:sz w:val="24"/>
          <w:szCs w:val="24"/>
          <w:u w:val="single"/>
        </w:rPr>
        <w:t xml:space="preserve"> en concepto de pago inicial o “entrada”</w:t>
      </w:r>
      <w:r w:rsidRPr="004E339A">
        <w:rPr>
          <w:rFonts w:ascii="Times New Roman" w:hAnsi="Times New Roman" w:cs="Times New Roman"/>
          <w:color w:val="FF0000"/>
          <w:sz w:val="24"/>
          <w:szCs w:val="24"/>
          <w:u w:val="single"/>
        </w:rPr>
        <w:t>. Con esta reforma de la ley, lo que se hizo fue bajar ese tradicional 20% a un 3%, para posteriormente eliminarlo en el año 2000.</w:t>
      </w:r>
    </w:p>
    <w:p w:rsidR="007E3D39" w:rsidRPr="004E339A" w:rsidRDefault="007E3D39" w:rsidP="007E3D39">
      <w:pPr>
        <w:spacing w:line="240" w:lineRule="auto"/>
        <w:jc w:val="both"/>
        <w:rPr>
          <w:rFonts w:ascii="Times New Roman" w:hAnsi="Times New Roman" w:cs="Times New Roman"/>
          <w:color w:val="FF0000"/>
          <w:sz w:val="24"/>
          <w:szCs w:val="24"/>
          <w:u w:val="single"/>
        </w:rPr>
      </w:pPr>
      <w:r w:rsidRPr="004E339A">
        <w:rPr>
          <w:rFonts w:ascii="Times New Roman" w:hAnsi="Times New Roman" w:cs="Times New Roman"/>
          <w:color w:val="FF0000"/>
          <w:sz w:val="24"/>
          <w:szCs w:val="24"/>
          <w:u w:val="single"/>
        </w:rPr>
        <w:t>Estas hip</w:t>
      </w:r>
      <w:r>
        <w:rPr>
          <w:rFonts w:ascii="Times New Roman" w:hAnsi="Times New Roman" w:cs="Times New Roman"/>
          <w:color w:val="FF0000"/>
          <w:sz w:val="24"/>
          <w:szCs w:val="24"/>
          <w:u w:val="single"/>
        </w:rPr>
        <w:t>otecas recibieron el nombre de “hipotecas subprime” o “hipotecas NINJA”</w:t>
      </w:r>
      <w:r w:rsidRPr="004E339A">
        <w:rPr>
          <w:rFonts w:ascii="Times New Roman" w:hAnsi="Times New Roman" w:cs="Times New Roman"/>
          <w:color w:val="FF0000"/>
          <w:sz w:val="24"/>
          <w:szCs w:val="24"/>
          <w:u w:val="single"/>
        </w:rPr>
        <w:t xml:space="preserve">, que viene </w:t>
      </w:r>
      <w:r>
        <w:rPr>
          <w:rFonts w:ascii="Times New Roman" w:hAnsi="Times New Roman" w:cs="Times New Roman"/>
          <w:color w:val="FF0000"/>
          <w:sz w:val="24"/>
          <w:szCs w:val="24"/>
          <w:u w:val="single"/>
        </w:rPr>
        <w:t>a ser el acrónimo en inglés de “No income, no job, asset”</w:t>
      </w:r>
      <w:r w:rsidRPr="004E339A">
        <w:rPr>
          <w:rFonts w:ascii="Times New Roman" w:hAnsi="Times New Roman" w:cs="Times New Roman"/>
          <w:color w:val="FF0000"/>
          <w:sz w:val="24"/>
          <w:szCs w:val="24"/>
          <w:u w:val="single"/>
        </w:rPr>
        <w:t xml:space="preserve"> (sin ingresos, sin trabajo y sin patrimonio).</w:t>
      </w:r>
    </w:p>
    <w:p w:rsidR="007E3D39" w:rsidRPr="004E339A" w:rsidRDefault="007E3D39" w:rsidP="007E3D39">
      <w:pPr>
        <w:spacing w:line="240" w:lineRule="auto"/>
        <w:jc w:val="both"/>
        <w:rPr>
          <w:rFonts w:ascii="Times New Roman" w:hAnsi="Times New Roman" w:cs="Times New Roman"/>
          <w:color w:val="FF0000"/>
          <w:sz w:val="24"/>
          <w:szCs w:val="24"/>
          <w:u w:val="single"/>
        </w:rPr>
      </w:pPr>
      <w:r w:rsidRPr="004E339A">
        <w:rPr>
          <w:rFonts w:ascii="Times New Roman" w:hAnsi="Times New Roman" w:cs="Times New Roman"/>
          <w:color w:val="FF0000"/>
          <w:sz w:val="24"/>
          <w:szCs w:val="24"/>
          <w:u w:val="single"/>
        </w:rPr>
        <w:lastRenderedPageBreak/>
        <w:t>Por parte de la Administración Clinton, se obligó a que, al menos, el 50% de las hipotecas que concedían Freddie Mac</w:t>
      </w:r>
      <w:r>
        <w:rPr>
          <w:rFonts w:ascii="Times New Roman" w:hAnsi="Times New Roman" w:cs="Times New Roman"/>
          <w:color w:val="FF0000"/>
          <w:sz w:val="24"/>
          <w:szCs w:val="24"/>
          <w:u w:val="single"/>
        </w:rPr>
        <w:t xml:space="preserve"> y Fannie Mae tuvieran que ser “hipotecas NINJA”</w:t>
      </w:r>
      <w:r w:rsidRPr="004E339A">
        <w:rPr>
          <w:rFonts w:ascii="Times New Roman" w:hAnsi="Times New Roman" w:cs="Times New Roman"/>
          <w:color w:val="FF0000"/>
          <w:sz w:val="24"/>
          <w:szCs w:val="24"/>
          <w:u w:val="single"/>
        </w:rPr>
        <w:t>. Como vemos, estas dos empresas ofrecían garantías de hasta el 100% con el dinero de todos los contribuyentes.</w:t>
      </w:r>
    </w:p>
    <w:p w:rsidR="007E3D39" w:rsidRPr="004E339A" w:rsidRDefault="007E3D39" w:rsidP="007E3D39">
      <w:pPr>
        <w:spacing w:line="240" w:lineRule="auto"/>
        <w:jc w:val="both"/>
        <w:rPr>
          <w:rFonts w:ascii="Times New Roman" w:hAnsi="Times New Roman" w:cs="Times New Roman"/>
          <w:sz w:val="24"/>
          <w:szCs w:val="24"/>
          <w:u w:val="single"/>
        </w:rPr>
      </w:pPr>
      <w:r w:rsidRPr="004E339A">
        <w:rPr>
          <w:rFonts w:ascii="Times New Roman" w:hAnsi="Times New Roman" w:cs="Times New Roman"/>
          <w:sz w:val="24"/>
          <w:szCs w:val="24"/>
          <w:u w:val="single"/>
        </w:rPr>
        <w:t xml:space="preserve">Estos dos bancos comenzaron a promover una serie de hipotecas </w:t>
      </w:r>
      <w:r>
        <w:rPr>
          <w:rFonts w:ascii="Times New Roman" w:hAnsi="Times New Roman" w:cs="Times New Roman"/>
          <w:sz w:val="24"/>
          <w:szCs w:val="24"/>
          <w:u w:val="single"/>
        </w:rPr>
        <w:t>de tipo variable, las llamadas “ARM”</w:t>
      </w:r>
      <w:r w:rsidRPr="004E339A">
        <w:rPr>
          <w:rFonts w:ascii="Times New Roman" w:hAnsi="Times New Roman" w:cs="Times New Roman"/>
          <w:sz w:val="24"/>
          <w:szCs w:val="24"/>
          <w:u w:val="single"/>
        </w:rPr>
        <w:t xml:space="preserve"> (hipoteca de interés ajustable). Estas hipotecas ofrecían cuotas iniciales muy bajas, las cuales comenzarían a subir mucho a partir de dos o tres años.</w:t>
      </w:r>
    </w:p>
    <w:p w:rsidR="007E3D39" w:rsidRPr="004E339A" w:rsidRDefault="007E3D39" w:rsidP="007E3D39">
      <w:pPr>
        <w:spacing w:line="240" w:lineRule="auto"/>
        <w:jc w:val="both"/>
        <w:rPr>
          <w:rFonts w:ascii="Times New Roman" w:hAnsi="Times New Roman" w:cs="Times New Roman"/>
          <w:sz w:val="24"/>
          <w:szCs w:val="24"/>
          <w:u w:val="single"/>
        </w:rPr>
      </w:pPr>
      <w:r w:rsidRPr="004E339A">
        <w:rPr>
          <w:rFonts w:ascii="Times New Roman" w:hAnsi="Times New Roman" w:cs="Times New Roman"/>
          <w:sz w:val="24"/>
          <w:szCs w:val="24"/>
          <w:u w:val="single"/>
        </w:rPr>
        <w:t>La concesión de hipotecas subprime fue tal que mientras que en el año 1998 representaban el 9,8% del total de hipotecas, en el año 2006 representaba el 23,5% del total.</w:t>
      </w:r>
    </w:p>
    <w:p w:rsidR="007E3D39" w:rsidRPr="00AF5BBC" w:rsidRDefault="007E3D39" w:rsidP="007E3D39">
      <w:pPr>
        <w:spacing w:line="240" w:lineRule="auto"/>
        <w:jc w:val="both"/>
        <w:rPr>
          <w:rFonts w:ascii="Times New Roman" w:hAnsi="Times New Roman" w:cs="Times New Roman"/>
          <w:sz w:val="24"/>
          <w:szCs w:val="24"/>
        </w:rPr>
      </w:pPr>
      <w:r>
        <w:rPr>
          <w:noProof/>
          <w:lang w:eastAsia="es-ES"/>
        </w:rPr>
        <w:drawing>
          <wp:inline distT="0" distB="0" distL="0" distR="0" wp14:anchorId="5A899142" wp14:editId="6A96888F">
            <wp:extent cx="5727246" cy="3263900"/>
            <wp:effectExtent l="0" t="0" r="6985" b="0"/>
            <wp:docPr id="109" name="Imagen 109" descr="pug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uga-1.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3266330"/>
                    </a:xfrm>
                    <a:prstGeom prst="rect">
                      <a:avLst/>
                    </a:prstGeom>
                    <a:noFill/>
                    <a:ln>
                      <a:noFill/>
                    </a:ln>
                  </pic:spPr>
                </pic:pic>
              </a:graphicData>
            </a:graphic>
          </wp:inline>
        </w:drawing>
      </w:r>
    </w:p>
    <w:p w:rsidR="007E3D39" w:rsidRPr="004E339A" w:rsidRDefault="007E3D39" w:rsidP="007E3D39">
      <w:pPr>
        <w:spacing w:line="240" w:lineRule="auto"/>
        <w:jc w:val="both"/>
        <w:rPr>
          <w:rFonts w:ascii="Times New Roman" w:hAnsi="Times New Roman" w:cs="Times New Roman"/>
          <w:sz w:val="24"/>
          <w:szCs w:val="24"/>
          <w:u w:val="single"/>
        </w:rPr>
      </w:pPr>
      <w:r w:rsidRPr="004E339A">
        <w:rPr>
          <w:rFonts w:ascii="Times New Roman" w:hAnsi="Times New Roman" w:cs="Times New Roman"/>
          <w:sz w:val="24"/>
          <w:szCs w:val="24"/>
          <w:u w:val="single"/>
        </w:rPr>
        <w:t>El problema con este tipo de hipotecas era su alta tasa de morosidad, que ya en 1998 rondaba el 11% y que no paró de crecer hasta llegar casi al 20% en 2007.</w:t>
      </w:r>
    </w:p>
    <w:p w:rsidR="007E3D39" w:rsidRPr="00AF5BBC" w:rsidRDefault="007E3D39" w:rsidP="007E3D39">
      <w:pPr>
        <w:spacing w:line="240" w:lineRule="auto"/>
        <w:jc w:val="both"/>
        <w:rPr>
          <w:rFonts w:ascii="Times New Roman" w:hAnsi="Times New Roman" w:cs="Times New Roman"/>
          <w:sz w:val="24"/>
          <w:szCs w:val="24"/>
        </w:rPr>
      </w:pPr>
      <w:r>
        <w:rPr>
          <w:noProof/>
          <w:lang w:eastAsia="es-ES"/>
        </w:rPr>
        <w:drawing>
          <wp:inline distT="0" distB="0" distL="0" distR="0" wp14:anchorId="622BFA2E" wp14:editId="4C2997D1">
            <wp:extent cx="5727700" cy="2882900"/>
            <wp:effectExtent l="0" t="0" r="6350" b="0"/>
            <wp:docPr id="110" name="Imagen 110" descr="puga-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uga-2.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2884818"/>
                    </a:xfrm>
                    <a:prstGeom prst="rect">
                      <a:avLst/>
                    </a:prstGeom>
                    <a:noFill/>
                    <a:ln>
                      <a:noFill/>
                    </a:ln>
                  </pic:spPr>
                </pic:pic>
              </a:graphicData>
            </a:graphic>
          </wp:inline>
        </w:drawing>
      </w:r>
    </w:p>
    <w:p w:rsidR="007E3D39" w:rsidRPr="004E339A" w:rsidRDefault="007E3D39" w:rsidP="007E3D39">
      <w:pPr>
        <w:spacing w:line="240" w:lineRule="auto"/>
        <w:jc w:val="both"/>
        <w:rPr>
          <w:rFonts w:ascii="Times New Roman" w:hAnsi="Times New Roman" w:cs="Times New Roman"/>
          <w:color w:val="FF0000"/>
          <w:sz w:val="24"/>
          <w:szCs w:val="24"/>
          <w:u w:val="single"/>
        </w:rPr>
      </w:pPr>
      <w:r w:rsidRPr="004E339A">
        <w:rPr>
          <w:rFonts w:ascii="Times New Roman" w:hAnsi="Times New Roman" w:cs="Times New Roman"/>
          <w:color w:val="FF0000"/>
          <w:sz w:val="24"/>
          <w:szCs w:val="24"/>
          <w:u w:val="single"/>
        </w:rPr>
        <w:lastRenderedPageBreak/>
        <w:t>Como consecuencia de las garantías de hasta el 100% de las hipotecas y de que en los primeros años las cuotas de pago eran muy reducidas, tanto Fannie Mae como Freddie Mac necesitaban financiación con la que seguir concediendo otras hipotecas, de modo que recurrieron a fondos de inversión como Lehman Brothers.</w:t>
      </w:r>
    </w:p>
    <w:p w:rsidR="007E3D39" w:rsidRPr="004E339A" w:rsidRDefault="007E3D39" w:rsidP="007E3D39">
      <w:pPr>
        <w:spacing w:line="240" w:lineRule="auto"/>
        <w:jc w:val="both"/>
        <w:rPr>
          <w:rFonts w:ascii="Times New Roman" w:hAnsi="Times New Roman" w:cs="Times New Roman"/>
          <w:color w:val="FF0000"/>
          <w:sz w:val="24"/>
          <w:szCs w:val="24"/>
          <w:u w:val="single"/>
        </w:rPr>
      </w:pPr>
      <w:r w:rsidRPr="004E339A">
        <w:rPr>
          <w:rFonts w:ascii="Times New Roman" w:hAnsi="Times New Roman" w:cs="Times New Roman"/>
          <w:color w:val="FF0000"/>
          <w:sz w:val="24"/>
          <w:szCs w:val="24"/>
          <w:u w:val="single"/>
        </w:rPr>
        <w:t>Las empresas se</w:t>
      </w:r>
      <w:r>
        <w:rPr>
          <w:rFonts w:ascii="Times New Roman" w:hAnsi="Times New Roman" w:cs="Times New Roman"/>
          <w:color w:val="FF0000"/>
          <w:sz w:val="24"/>
          <w:szCs w:val="24"/>
          <w:u w:val="single"/>
        </w:rPr>
        <w:t>mipúblicas crearon los famosos “Mortgage Backed Security”</w:t>
      </w:r>
      <w:r w:rsidRPr="004E339A">
        <w:rPr>
          <w:rFonts w:ascii="Times New Roman" w:hAnsi="Times New Roman" w:cs="Times New Roman"/>
          <w:color w:val="FF0000"/>
          <w:sz w:val="24"/>
          <w:szCs w:val="24"/>
          <w:u w:val="single"/>
        </w:rPr>
        <w:t xml:space="preserve"> o MBS. Estos activos eran valores respaldados por hipotecas, es decir, agrupaban en div</w:t>
      </w:r>
      <w:r>
        <w:rPr>
          <w:rFonts w:ascii="Times New Roman" w:hAnsi="Times New Roman" w:cs="Times New Roman"/>
          <w:color w:val="FF0000"/>
          <w:sz w:val="24"/>
          <w:szCs w:val="24"/>
          <w:u w:val="single"/>
        </w:rPr>
        <w:t>ersos paquetes tanto hipotecas “subprime” como hipotecas “prime”</w:t>
      </w:r>
      <w:r w:rsidRPr="004E339A">
        <w:rPr>
          <w:rFonts w:ascii="Times New Roman" w:hAnsi="Times New Roman" w:cs="Times New Roman"/>
          <w:color w:val="FF0000"/>
          <w:sz w:val="24"/>
          <w:szCs w:val="24"/>
          <w:u w:val="single"/>
        </w:rPr>
        <w:t xml:space="preserve"> con el fin de vendérselo a los distintos fondos de inversión, de manera que fueran ellos los que se encargaran de cobrar estas hipotecas en el futuro, a cambio de dinero en el presente.</w:t>
      </w:r>
    </w:p>
    <w:p w:rsidR="007E3D39" w:rsidRPr="00AF5BBC" w:rsidRDefault="007E3D39" w:rsidP="007E3D39">
      <w:pPr>
        <w:spacing w:line="240" w:lineRule="auto"/>
        <w:jc w:val="both"/>
        <w:rPr>
          <w:rFonts w:ascii="Times New Roman" w:hAnsi="Times New Roman" w:cs="Times New Roman"/>
          <w:sz w:val="24"/>
          <w:szCs w:val="24"/>
        </w:rPr>
      </w:pPr>
      <w:r w:rsidRPr="00AF5BBC">
        <w:rPr>
          <w:rFonts w:ascii="Times New Roman" w:hAnsi="Times New Roman" w:cs="Times New Roman"/>
          <w:sz w:val="24"/>
          <w:szCs w:val="24"/>
        </w:rPr>
        <w:t>Es decir, si un determinado paquete tenía un precio de, pongamos, 5 millones de dólares, Fannie Mae o Freddie Mac se lo vendían al fondo de inversión por 4 millones de dólares en el presente, siendo el fondo de inversión el encargado de cobrar esos 5 millones en el futuro, con lo que su ganancia sería de un millón de dólares. Teór</w:t>
      </w:r>
      <w:r>
        <w:rPr>
          <w:rFonts w:ascii="Times New Roman" w:hAnsi="Times New Roman" w:cs="Times New Roman"/>
          <w:sz w:val="24"/>
          <w:szCs w:val="24"/>
        </w:rPr>
        <w:t>icamente, ambas partes ganaban.</w:t>
      </w:r>
    </w:p>
    <w:p w:rsidR="007E3D39" w:rsidRPr="00AF5BBC" w:rsidRDefault="007E3D39" w:rsidP="007E3D39">
      <w:pPr>
        <w:spacing w:line="240" w:lineRule="auto"/>
        <w:jc w:val="both"/>
        <w:rPr>
          <w:rFonts w:ascii="Times New Roman" w:hAnsi="Times New Roman" w:cs="Times New Roman"/>
          <w:sz w:val="24"/>
          <w:szCs w:val="24"/>
        </w:rPr>
      </w:pPr>
      <w:r w:rsidRPr="00AF5BBC">
        <w:rPr>
          <w:rFonts w:ascii="Times New Roman" w:hAnsi="Times New Roman" w:cs="Times New Roman"/>
          <w:sz w:val="24"/>
          <w:szCs w:val="24"/>
        </w:rPr>
        <w:t>Un despilfarro de 187.000 millones de dólares</w:t>
      </w:r>
    </w:p>
    <w:p w:rsidR="007E3D39" w:rsidRPr="004E339A" w:rsidRDefault="007E3D39" w:rsidP="007E3D39">
      <w:pPr>
        <w:spacing w:line="240" w:lineRule="auto"/>
        <w:jc w:val="both"/>
        <w:rPr>
          <w:rFonts w:ascii="Times New Roman" w:hAnsi="Times New Roman" w:cs="Times New Roman"/>
          <w:color w:val="FF0000"/>
          <w:sz w:val="24"/>
          <w:szCs w:val="24"/>
          <w:u w:val="single"/>
        </w:rPr>
      </w:pPr>
      <w:r w:rsidRPr="004E339A">
        <w:rPr>
          <w:rFonts w:ascii="Times New Roman" w:hAnsi="Times New Roman" w:cs="Times New Roman"/>
          <w:color w:val="FF0000"/>
          <w:sz w:val="24"/>
          <w:szCs w:val="24"/>
          <w:u w:val="single"/>
        </w:rPr>
        <w:t>Lo que no sabían los distintos fondos de inversión como Lehman Brothers es la cantidad de hipotecas basura que había en esos paquetes, en esto tuvieron su parte de culpa las agencias de calificación.</w:t>
      </w:r>
    </w:p>
    <w:p w:rsidR="007E3D39" w:rsidRPr="004E339A" w:rsidRDefault="007E3D39" w:rsidP="007E3D39">
      <w:pPr>
        <w:spacing w:line="240" w:lineRule="auto"/>
        <w:jc w:val="both"/>
        <w:rPr>
          <w:rFonts w:ascii="Times New Roman" w:hAnsi="Times New Roman" w:cs="Times New Roman"/>
          <w:color w:val="FF0000"/>
          <w:sz w:val="24"/>
          <w:szCs w:val="24"/>
          <w:u w:val="single"/>
        </w:rPr>
      </w:pPr>
      <w:r w:rsidRPr="004E339A">
        <w:rPr>
          <w:rFonts w:ascii="Times New Roman" w:hAnsi="Times New Roman" w:cs="Times New Roman"/>
          <w:color w:val="FF0000"/>
          <w:sz w:val="24"/>
          <w:szCs w:val="24"/>
          <w:u w:val="single"/>
        </w:rPr>
        <w:t>Estas agencias de calificación otorgaban la puntuación más alta posible (AAA) a este tipo de paquetes (MBS) sin ningún tipo de análisis e investigación, de modo que lo hacían de forma totalmente indiscriminada. Posteriormente, se ha llegado a la conclusión de que estas agencias no tenían la suficiente experiencia ni capacidad para llevar a cabo este tipo de encargos.</w:t>
      </w:r>
    </w:p>
    <w:p w:rsidR="007E3D39" w:rsidRPr="004E339A" w:rsidRDefault="007E3D39" w:rsidP="007E3D39">
      <w:pPr>
        <w:spacing w:line="240" w:lineRule="auto"/>
        <w:jc w:val="both"/>
        <w:rPr>
          <w:rFonts w:ascii="Times New Roman" w:hAnsi="Times New Roman" w:cs="Times New Roman"/>
          <w:color w:val="FF0000"/>
          <w:sz w:val="24"/>
          <w:szCs w:val="24"/>
          <w:u w:val="single"/>
        </w:rPr>
      </w:pPr>
      <w:r w:rsidRPr="004E339A">
        <w:rPr>
          <w:rFonts w:ascii="Times New Roman" w:hAnsi="Times New Roman" w:cs="Times New Roman"/>
          <w:color w:val="FF0000"/>
          <w:sz w:val="24"/>
          <w:szCs w:val="24"/>
          <w:u w:val="single"/>
        </w:rPr>
        <w:t>Esto contribuyó a que más y más fondos de inversión adquirieran este tipo de activos, contribuyendo a crear la burbuja que en 2007 terminó por explotar. Lehman Brothers se declaró en bancarrota el 15 de septiembre de 2008, desencadenando todos los acontecimientos que ya conocemos.</w:t>
      </w:r>
    </w:p>
    <w:p w:rsidR="007E3D39" w:rsidRPr="004E339A" w:rsidRDefault="007E3D39" w:rsidP="007E3D39">
      <w:pPr>
        <w:spacing w:line="240" w:lineRule="auto"/>
        <w:jc w:val="both"/>
        <w:rPr>
          <w:rFonts w:ascii="Times New Roman" w:hAnsi="Times New Roman" w:cs="Times New Roman"/>
          <w:color w:val="FF0000"/>
          <w:sz w:val="24"/>
          <w:szCs w:val="24"/>
          <w:u w:val="single"/>
        </w:rPr>
      </w:pPr>
      <w:r w:rsidRPr="004E339A">
        <w:rPr>
          <w:rFonts w:ascii="Times New Roman" w:hAnsi="Times New Roman" w:cs="Times New Roman"/>
          <w:color w:val="FF0000"/>
          <w:sz w:val="24"/>
          <w:szCs w:val="24"/>
          <w:u w:val="single"/>
        </w:rPr>
        <w:t>El despilfarro de Freddie Mac y de Fannie Mae costó a los contribuyentes norteamericanos en torno a 187.000 millones de dólares.</w:t>
      </w:r>
    </w:p>
    <w:p w:rsidR="007E3D39" w:rsidRPr="00AF5BBC" w:rsidRDefault="007E3D39" w:rsidP="007E3D39">
      <w:pPr>
        <w:spacing w:line="240" w:lineRule="auto"/>
        <w:jc w:val="both"/>
        <w:rPr>
          <w:rFonts w:ascii="Times New Roman" w:hAnsi="Times New Roman" w:cs="Times New Roman"/>
          <w:sz w:val="24"/>
          <w:szCs w:val="24"/>
        </w:rPr>
      </w:pPr>
      <w:r w:rsidRPr="00AF5BBC">
        <w:rPr>
          <w:rFonts w:ascii="Times New Roman" w:hAnsi="Times New Roman" w:cs="Times New Roman"/>
          <w:sz w:val="24"/>
          <w:szCs w:val="24"/>
        </w:rPr>
        <w:t>En resumidas cuentas, fueron dos empresas semipúblicas las que impulsaron la vorágine de hipotecas basura que, a la postre, resultaron ser las causantes de la mayor crisis vivida en este siglo. Siendo todo este proceso promocionado p</w:t>
      </w:r>
      <w:r>
        <w:rPr>
          <w:rFonts w:ascii="Times New Roman" w:hAnsi="Times New Roman" w:cs="Times New Roman"/>
          <w:sz w:val="24"/>
          <w:szCs w:val="24"/>
        </w:rPr>
        <w:t>or el Gobierno de Bill Clinton.</w:t>
      </w:r>
    </w:p>
    <w:p w:rsidR="007E3D39" w:rsidRDefault="007E3D39" w:rsidP="007E3D39">
      <w:pPr>
        <w:spacing w:line="240" w:lineRule="auto"/>
        <w:jc w:val="both"/>
        <w:rPr>
          <w:rFonts w:ascii="Times New Roman" w:hAnsi="Times New Roman" w:cs="Times New Roman"/>
          <w:sz w:val="24"/>
          <w:szCs w:val="24"/>
        </w:rPr>
      </w:pPr>
      <w:r w:rsidRPr="00AF5BBC">
        <w:rPr>
          <w:rFonts w:ascii="Times New Roman" w:hAnsi="Times New Roman" w:cs="Times New Roman"/>
          <w:sz w:val="24"/>
          <w:szCs w:val="24"/>
        </w:rPr>
        <w:t>Conviene recordar este episodio para cuando nuestros político</w:t>
      </w:r>
      <w:r>
        <w:rPr>
          <w:rFonts w:ascii="Times New Roman" w:hAnsi="Times New Roman" w:cs="Times New Roman"/>
          <w:sz w:val="24"/>
          <w:szCs w:val="24"/>
        </w:rPr>
        <w:t>s de izquierdas insistan en la “necesidad”</w:t>
      </w:r>
      <w:r w:rsidRPr="00AF5BBC">
        <w:rPr>
          <w:rFonts w:ascii="Times New Roman" w:hAnsi="Times New Roman" w:cs="Times New Roman"/>
          <w:sz w:val="24"/>
          <w:szCs w:val="24"/>
        </w:rPr>
        <w:t xml:space="preserve"> de una banca pública que facilite el crédito a las personas con</w:t>
      </w:r>
      <w:r>
        <w:rPr>
          <w:rFonts w:ascii="Times New Roman" w:hAnsi="Times New Roman" w:cs="Times New Roman"/>
          <w:sz w:val="24"/>
          <w:szCs w:val="24"/>
        </w:rPr>
        <w:t xml:space="preserve"> menos capacidad de pago y que “</w:t>
      </w:r>
      <w:r w:rsidRPr="00AF5BBC">
        <w:rPr>
          <w:rFonts w:ascii="Times New Roman" w:hAnsi="Times New Roman" w:cs="Times New Roman"/>
          <w:sz w:val="24"/>
          <w:szCs w:val="24"/>
        </w:rPr>
        <w:t xml:space="preserve">luche </w:t>
      </w:r>
      <w:r>
        <w:rPr>
          <w:rFonts w:ascii="Times New Roman" w:hAnsi="Times New Roman" w:cs="Times New Roman"/>
          <w:sz w:val="24"/>
          <w:szCs w:val="24"/>
        </w:rPr>
        <w:t>por los intereses de la mayoría”</w:t>
      </w:r>
      <w:r w:rsidRPr="00AF5BBC">
        <w:rPr>
          <w:rFonts w:ascii="Times New Roman" w:hAnsi="Times New Roman" w:cs="Times New Roman"/>
          <w:sz w:val="24"/>
          <w:szCs w:val="24"/>
        </w:rPr>
        <w:t>. Pues ya sabemos de qué forma acabó esto mismo en Estados Unidos.</w:t>
      </w:r>
    </w:p>
    <w:p w:rsidR="007E3D39" w:rsidRPr="006718DF" w:rsidRDefault="007E3D39" w:rsidP="007E3D39">
      <w:pPr>
        <w:spacing w:line="240" w:lineRule="auto"/>
        <w:jc w:val="both"/>
        <w:rPr>
          <w:rFonts w:ascii="Times New Roman" w:hAnsi="Times New Roman" w:cs="Times New Roman"/>
          <w:b/>
          <w:sz w:val="24"/>
          <w:szCs w:val="24"/>
        </w:rPr>
      </w:pPr>
      <w:r w:rsidRPr="006B6858">
        <w:rPr>
          <w:rFonts w:ascii="Times New Roman" w:hAnsi="Times New Roman" w:cs="Times New Roman"/>
          <w:b/>
          <w:sz w:val="24"/>
          <w:szCs w:val="24"/>
        </w:rPr>
        <w:t>Nota</w:t>
      </w:r>
      <w:r>
        <w:rPr>
          <w:rFonts w:ascii="Times New Roman" w:hAnsi="Times New Roman" w:cs="Times New Roman"/>
          <w:sz w:val="24"/>
          <w:szCs w:val="24"/>
        </w:rPr>
        <w:t xml:space="preserve">: </w:t>
      </w:r>
      <w:r w:rsidRPr="006718DF">
        <w:rPr>
          <w:rFonts w:ascii="Times New Roman" w:hAnsi="Times New Roman" w:cs="Times New Roman"/>
          <w:b/>
          <w:sz w:val="24"/>
          <w:szCs w:val="24"/>
        </w:rPr>
        <w:t>Acotación sobre la crisis sanitaria del año 2020, y sus consecuencias inflacionarias</w:t>
      </w:r>
    </w:p>
    <w:p w:rsidR="007E3D39" w:rsidRPr="001A7B0B" w:rsidRDefault="007E3D39" w:rsidP="007E3D39">
      <w:pPr>
        <w:spacing w:line="240" w:lineRule="auto"/>
        <w:jc w:val="both"/>
        <w:rPr>
          <w:rFonts w:ascii="Times New Roman" w:hAnsi="Times New Roman" w:cs="Times New Roman"/>
          <w:color w:val="FF0000"/>
          <w:sz w:val="24"/>
          <w:szCs w:val="24"/>
        </w:rPr>
      </w:pPr>
      <w:r w:rsidRPr="001A7B0B">
        <w:rPr>
          <w:rFonts w:ascii="Times New Roman" w:hAnsi="Times New Roman" w:cs="Times New Roman"/>
          <w:color w:val="FF0000"/>
          <w:sz w:val="24"/>
          <w:szCs w:val="24"/>
        </w:rPr>
        <w:t>¿Qué hizo que subiera de forma desmedida el nivel de inflación en EEUU? Pues, para empezar, el dinero helicóptero. Ese que lanzó la Administración para que los ciudadanos tuvieran dinero para pasar los confinamientos. Pero lanzaron demasiado y, cuando los desconfinaron, los ciudadanos salieron a gastar como si no hubiera un mañana. Coincidió con que los almacenes estaban vacíos, lo que disparó el precio de los productos y, como consecuencia, el de los servicios.</w:t>
      </w:r>
    </w:p>
    <w:p w:rsidR="007E3D39" w:rsidRPr="001A7B0B" w:rsidRDefault="007E3D39" w:rsidP="007E3D39">
      <w:pPr>
        <w:spacing w:line="240" w:lineRule="auto"/>
        <w:jc w:val="both"/>
        <w:rPr>
          <w:rFonts w:ascii="Times New Roman" w:hAnsi="Times New Roman" w:cs="Times New Roman"/>
          <w:color w:val="FF0000"/>
          <w:sz w:val="24"/>
          <w:szCs w:val="24"/>
        </w:rPr>
      </w:pPr>
      <w:r w:rsidRPr="001A7B0B">
        <w:rPr>
          <w:rFonts w:ascii="Times New Roman" w:hAnsi="Times New Roman" w:cs="Times New Roman"/>
          <w:color w:val="FF0000"/>
          <w:sz w:val="24"/>
          <w:szCs w:val="24"/>
        </w:rPr>
        <w:lastRenderedPageBreak/>
        <w:t>El reinicio de la economía mundial también generó unos cuellos de botella -atascos- en la cadena de distribución, lo que disparó el precio del transporte. Y de los productos transportados. Y luego, por si lo anterior era poco, Occidente decidió sancionar a Rusia no comprando sus productos y, como es el mayor productor de materias primas del mundo, se disparó el precio de las materias primas, lo que generó todavía más inflación.</w:t>
      </w:r>
    </w:p>
    <w:p w:rsidR="007E3D39" w:rsidRPr="001A7B0B" w:rsidRDefault="007E3D39" w:rsidP="007E3D39">
      <w:pPr>
        <w:spacing w:line="240" w:lineRule="auto"/>
        <w:jc w:val="both"/>
        <w:rPr>
          <w:rFonts w:ascii="Times New Roman" w:hAnsi="Times New Roman" w:cs="Times New Roman"/>
          <w:color w:val="FF0000"/>
          <w:sz w:val="24"/>
          <w:szCs w:val="24"/>
        </w:rPr>
      </w:pPr>
      <w:r w:rsidRPr="001A7B0B">
        <w:rPr>
          <w:rFonts w:ascii="Times New Roman" w:hAnsi="Times New Roman" w:cs="Times New Roman"/>
          <w:color w:val="FF0000"/>
          <w:sz w:val="24"/>
          <w:szCs w:val="24"/>
        </w:rPr>
        <w:t>Fue la tormenta perfecta. Pero con el tiempo los rusos se han saltado todas las sanciones, las cadenas de distribución y producción se han estabilizado y los ciudadanos se han ido gastando los ahorros del confinamiento.</w:t>
      </w:r>
    </w:p>
    <w:p w:rsidR="007E3D39" w:rsidRPr="001A7B0B" w:rsidRDefault="007E3D39" w:rsidP="007E3D39">
      <w:pPr>
        <w:spacing w:line="240" w:lineRule="auto"/>
        <w:jc w:val="both"/>
        <w:rPr>
          <w:rFonts w:ascii="Times New Roman" w:hAnsi="Times New Roman" w:cs="Times New Roman"/>
          <w:color w:val="FF0000"/>
          <w:sz w:val="24"/>
          <w:szCs w:val="24"/>
        </w:rPr>
      </w:pPr>
      <w:r w:rsidRPr="001A7B0B">
        <w:rPr>
          <w:rFonts w:ascii="Times New Roman" w:hAnsi="Times New Roman" w:cs="Times New Roman"/>
          <w:color w:val="FF0000"/>
          <w:sz w:val="24"/>
          <w:szCs w:val="24"/>
        </w:rPr>
        <w:t>Para el caso de la Unión Europea, ambas crisis (financiera, en 2008 y sanitaria, en 2020), aunque tuvieron su origen fuera de sus fronteras (financiera, en EEUU, y sanitaria en China), provocaron daños económicos mucho mayores que en los países que las causaron.</w:t>
      </w:r>
    </w:p>
    <w:p w:rsidR="007E3D39" w:rsidRPr="001A7B0B" w:rsidRDefault="007E3D39" w:rsidP="007E3D39">
      <w:pPr>
        <w:spacing w:line="240" w:lineRule="auto"/>
        <w:jc w:val="both"/>
        <w:rPr>
          <w:rFonts w:ascii="Times New Roman" w:hAnsi="Times New Roman" w:cs="Times New Roman"/>
          <w:color w:val="FF0000"/>
          <w:sz w:val="24"/>
          <w:szCs w:val="24"/>
        </w:rPr>
      </w:pPr>
      <w:r w:rsidRPr="001A7B0B">
        <w:rPr>
          <w:rFonts w:ascii="Times New Roman" w:hAnsi="Times New Roman" w:cs="Times New Roman"/>
          <w:color w:val="FF0000"/>
          <w:sz w:val="24"/>
          <w:szCs w:val="24"/>
        </w:rPr>
        <w:t>Hay una lección importante en ello. El poder de la UE como bloque comercial se está desvaneciendo rápidamente. Puede que algunos funcionarios de Bruselas sigan pensando que es importante, pero para todos los demás es cada vez más irrelevante.</w:t>
      </w:r>
    </w:p>
    <w:p w:rsidR="007E3D39" w:rsidRPr="001A7B0B" w:rsidRDefault="007E3D39" w:rsidP="007E3D39">
      <w:pPr>
        <w:spacing w:line="240" w:lineRule="auto"/>
        <w:jc w:val="both"/>
        <w:rPr>
          <w:rFonts w:ascii="Times New Roman" w:hAnsi="Times New Roman" w:cs="Times New Roman"/>
          <w:color w:val="FF0000"/>
          <w:sz w:val="24"/>
          <w:szCs w:val="24"/>
        </w:rPr>
      </w:pPr>
      <w:r w:rsidRPr="001A7B0B">
        <w:rPr>
          <w:rFonts w:ascii="Times New Roman" w:hAnsi="Times New Roman" w:cs="Times New Roman"/>
          <w:color w:val="FF0000"/>
          <w:sz w:val="24"/>
          <w:szCs w:val="24"/>
        </w:rPr>
        <w:t>Para la UE, esto es sin duda preocupante. Una de las principales ventajas de pertenecer a la UE era que era el bloque comercial dominante en el mundo. Establecía las normas que todos debían seguir. Tenía peso para negociar cualquier acuerdo que quisiera, porque el mercado único era tan grande y tan importante que nadie podía ignorarlo. Y daba a países que, de otro modo, no tendrían mucha importancia, un asiento en la mesa principal. Puede que en otros tiempos esto fuera cierto. En 1980, la UE representaba por sí sola el 30% del PIB mundial. Ahora sólo representa el 15%. En términos de producción total, es más pequeña que EEUU y, desde el año pasado, también que China. En sectores clave como los semiconductores, representaba más del 30% de la producción mundial a principios de siglo, pero ahora representa menos del 10%.</w:t>
      </w:r>
    </w:p>
    <w:p w:rsidR="007E3D39" w:rsidRPr="001A7B0B" w:rsidRDefault="007E3D39" w:rsidP="007E3D39">
      <w:pPr>
        <w:spacing w:line="240" w:lineRule="auto"/>
        <w:jc w:val="both"/>
        <w:rPr>
          <w:rFonts w:ascii="Times New Roman" w:hAnsi="Times New Roman" w:cs="Times New Roman"/>
          <w:color w:val="FF0000"/>
          <w:sz w:val="24"/>
          <w:szCs w:val="24"/>
        </w:rPr>
      </w:pPr>
      <w:r w:rsidRPr="001A7B0B">
        <w:rPr>
          <w:rFonts w:ascii="Times New Roman" w:hAnsi="Times New Roman" w:cs="Times New Roman"/>
          <w:color w:val="FF0000"/>
          <w:sz w:val="24"/>
          <w:szCs w:val="24"/>
        </w:rPr>
        <w:t xml:space="preserve">“Se mire por donde se mire, se está hundiendo en la irrelevancia (al igual que el Reino Unido en términos de influencia económica mundial). Esto se debe en parte a que China, gran parte de Asia, al menos la mitad de África y, de hecho, también EEUU, han crecido mucho más rápido. Y en parte se debe a que su sobrecargado sistema normativo y el enorme volumen de su factura del bienestar han ralentizado a sus principales empresas hasta tal punto que apenas pueden competir ya en la escena mundial. Sea cual sea la explicación, el resultado es el mismo. Un mercado que representaba un tercio del PIB mundial importaba a todo el mundo. Pero ¿un mercado que representa una octava parte y se reduce cada año que pasa? No tanto. Puede que algunos funcionarios de Bruselas sigan imaginando que son una superpotencia reguladora y comercial, capaz de dar órdenes sobre otros países y exigir cambios siempre que los necesite. La evidencia nos dice que le queda poca influencia, y por muchas amenazas que haga nadie le hará caso”; sostiene  Matthew Lynn, en su artículo </w:t>
      </w:r>
      <w:r>
        <w:rPr>
          <w:rFonts w:ascii="Times New Roman" w:hAnsi="Times New Roman" w:cs="Times New Roman"/>
          <w:color w:val="FF0000"/>
          <w:sz w:val="24"/>
          <w:szCs w:val="24"/>
        </w:rPr>
        <w:t>“</w:t>
      </w:r>
      <w:r w:rsidRPr="001A7B0B">
        <w:rPr>
          <w:rFonts w:ascii="Times New Roman" w:hAnsi="Times New Roman" w:cs="Times New Roman"/>
          <w:color w:val="FF0000"/>
          <w:sz w:val="24"/>
          <w:szCs w:val="24"/>
        </w:rPr>
        <w:t>El poder comercial de la UE se desvanece</w:t>
      </w:r>
      <w:r>
        <w:rPr>
          <w:rFonts w:ascii="Times New Roman" w:hAnsi="Times New Roman" w:cs="Times New Roman"/>
          <w:color w:val="FF0000"/>
          <w:sz w:val="24"/>
          <w:szCs w:val="24"/>
        </w:rPr>
        <w:t>”</w:t>
      </w:r>
      <w:r w:rsidRPr="001A7B0B">
        <w:rPr>
          <w:rFonts w:ascii="Times New Roman" w:hAnsi="Times New Roman" w:cs="Times New Roman"/>
          <w:color w:val="FF0000"/>
          <w:sz w:val="24"/>
          <w:szCs w:val="24"/>
        </w:rPr>
        <w:t xml:space="preserve"> - El Economista - </w:t>
      </w:r>
      <w:r w:rsidRPr="001A7B0B">
        <w:rPr>
          <w:rFonts w:ascii="Times New Roman" w:hAnsi="Times New Roman" w:cs="Times New Roman"/>
          <w:b/>
          <w:color w:val="FF0000"/>
          <w:sz w:val="24"/>
          <w:szCs w:val="24"/>
        </w:rPr>
        <w:t>28/1/23</w:t>
      </w:r>
      <w:r w:rsidRPr="001A7B0B">
        <w:rPr>
          <w:rFonts w:ascii="Times New Roman" w:hAnsi="Times New Roman" w:cs="Times New Roman"/>
          <w:color w:val="FF0000"/>
          <w:sz w:val="24"/>
          <w:szCs w:val="24"/>
        </w:rPr>
        <w:t>)</w:t>
      </w:r>
    </w:p>
    <w:p w:rsidR="007E3D39" w:rsidRPr="00A06A62"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06A62">
        <w:rPr>
          <w:rFonts w:ascii="Times New Roman" w:hAnsi="Times New Roman" w:cs="Times New Roman"/>
          <w:sz w:val="24"/>
          <w:szCs w:val="24"/>
          <w:u w:val="single"/>
        </w:rPr>
        <w:t>Europa a las puertas de la deuda</w:t>
      </w:r>
      <w:r>
        <w:rPr>
          <w:rFonts w:ascii="Times New Roman" w:hAnsi="Times New Roman" w:cs="Times New Roman"/>
          <w:sz w:val="24"/>
          <w:szCs w:val="24"/>
        </w:rPr>
        <w:t xml:space="preserve"> (Project Syndicate - </w:t>
      </w:r>
      <w:r w:rsidRPr="00A06A62">
        <w:rPr>
          <w:rFonts w:ascii="Times New Roman" w:hAnsi="Times New Roman" w:cs="Times New Roman"/>
          <w:b/>
          <w:sz w:val="24"/>
          <w:szCs w:val="24"/>
        </w:rPr>
        <w:t>7/2/23</w:t>
      </w:r>
      <w:r>
        <w:rPr>
          <w:rFonts w:ascii="Times New Roman" w:hAnsi="Times New Roman" w:cs="Times New Roman"/>
          <w:sz w:val="24"/>
          <w:szCs w:val="24"/>
        </w:rPr>
        <w:t>)</w:t>
      </w:r>
    </w:p>
    <w:p w:rsidR="007E3D39" w:rsidRPr="00A34FA7" w:rsidRDefault="007E3D39" w:rsidP="007E3D39">
      <w:pPr>
        <w:spacing w:line="240" w:lineRule="auto"/>
        <w:jc w:val="both"/>
        <w:rPr>
          <w:rFonts w:ascii="Times New Roman" w:hAnsi="Times New Roman" w:cs="Times New Roman"/>
          <w:color w:val="FF0000"/>
          <w:sz w:val="24"/>
          <w:szCs w:val="24"/>
        </w:rPr>
      </w:pPr>
      <w:r w:rsidRPr="00A34FA7">
        <w:rPr>
          <w:rFonts w:ascii="Times New Roman" w:hAnsi="Times New Roman" w:cs="Times New Roman"/>
          <w:color w:val="FF0000"/>
          <w:sz w:val="24"/>
          <w:szCs w:val="24"/>
        </w:rPr>
        <w:t>La ola de préstamos en curso de la Comisión Europea es económicamente irresponsable y claramente inflacionaria. Al seguir emitiendo bonos comunes para financiar sus gastos, la Comisión está perjudicando a los ahorradores europeos y socavando la solvencia de los gobiernos nacionales.</w:t>
      </w:r>
    </w:p>
    <w:p w:rsidR="007E3D39" w:rsidRPr="00A34FA7" w:rsidRDefault="007E3D39" w:rsidP="007E3D39">
      <w:pPr>
        <w:spacing w:line="240" w:lineRule="auto"/>
        <w:jc w:val="both"/>
        <w:rPr>
          <w:rFonts w:ascii="Times New Roman" w:hAnsi="Times New Roman" w:cs="Times New Roman"/>
          <w:color w:val="FF0000"/>
          <w:sz w:val="24"/>
          <w:szCs w:val="24"/>
          <w:u w:val="single"/>
        </w:rPr>
      </w:pPr>
      <w:r>
        <w:rPr>
          <w:rFonts w:ascii="Times New Roman" w:hAnsi="Times New Roman" w:cs="Times New Roman"/>
          <w:sz w:val="24"/>
          <w:szCs w:val="24"/>
        </w:rPr>
        <w:t>Múnich.-</w:t>
      </w:r>
      <w:r w:rsidRPr="00A06A62">
        <w:rPr>
          <w:rFonts w:ascii="Times New Roman" w:hAnsi="Times New Roman" w:cs="Times New Roman"/>
          <w:sz w:val="24"/>
          <w:szCs w:val="24"/>
        </w:rPr>
        <w:t xml:space="preserve"> </w:t>
      </w:r>
      <w:r w:rsidRPr="00A34FA7">
        <w:rPr>
          <w:rFonts w:ascii="Times New Roman" w:hAnsi="Times New Roman" w:cs="Times New Roman"/>
          <w:color w:val="FF0000"/>
          <w:sz w:val="24"/>
          <w:szCs w:val="24"/>
          <w:u w:val="single"/>
        </w:rPr>
        <w:t xml:space="preserve">Golpeada duramente por la pandemia de COVID-19 y la guerra en Ucrania, la Unión Europea necesita dinero. Y dado que Paolo Gentiloni, el comisario de economía del </w:t>
      </w:r>
      <w:r w:rsidRPr="00A34FA7">
        <w:rPr>
          <w:rFonts w:ascii="Times New Roman" w:hAnsi="Times New Roman" w:cs="Times New Roman"/>
          <w:color w:val="FF0000"/>
          <w:sz w:val="24"/>
          <w:szCs w:val="24"/>
          <w:u w:val="single"/>
        </w:rPr>
        <w:lastRenderedPageBreak/>
        <w:t>bloque, no puede obtenerlo directamente de los estados miembros de la UE, quiere tomarlo prestado. El propósito no parece importar. Lo que importa es que la Comisión reciba dinero, mucho dinero, incluso si eso significa acumular una montaña de deuda.</w:t>
      </w:r>
    </w:p>
    <w:p w:rsidR="007E3D39" w:rsidRPr="00A34FA7" w:rsidRDefault="007E3D39" w:rsidP="007E3D39">
      <w:pPr>
        <w:spacing w:line="240" w:lineRule="auto"/>
        <w:jc w:val="both"/>
        <w:rPr>
          <w:rFonts w:ascii="Times New Roman" w:hAnsi="Times New Roman" w:cs="Times New Roman"/>
          <w:sz w:val="24"/>
          <w:szCs w:val="24"/>
          <w:u w:val="single"/>
        </w:rPr>
      </w:pPr>
      <w:r w:rsidRPr="00A34FA7">
        <w:rPr>
          <w:rFonts w:ascii="Times New Roman" w:hAnsi="Times New Roman" w:cs="Times New Roman"/>
          <w:sz w:val="24"/>
          <w:szCs w:val="24"/>
          <w:u w:val="single"/>
        </w:rPr>
        <w:t>En 2020, Gentiloni desempeñó un papel clave en la creación de NextGenerationEU (NGEU), el programa de emergencia que permitió a la UE pedir prestado más de 800 000 millones de euros (858 000 millones de dólares) para hacer frente a los efectos de la pandemia de COVID-19. El pasado mayo quiso recaudar fondos para ayudar a Ucrania , y en octubre sugirió emitir deuda conjunta para ayudar a los ciudadanos europeos con sus facturas de gas. Ahora, en medio de una ola de emisiones de deuda común, la Comisión Europea planea competir con la Ley de Reducción de la Inflación de $369 mil millones del presidente estadounidense Joe Biden, que incluye subsidios para proyectos de energía limpia. Si bien el nuevo plan podría no implicar nuev</w:t>
      </w:r>
      <w:r>
        <w:rPr>
          <w:rFonts w:ascii="Times New Roman" w:hAnsi="Times New Roman" w:cs="Times New Roman"/>
          <w:sz w:val="24"/>
          <w:szCs w:val="24"/>
          <w:u w:val="single"/>
        </w:rPr>
        <w:t>os préstamos, propone un nuevo “</w:t>
      </w:r>
      <w:r w:rsidRPr="00A34FA7">
        <w:rPr>
          <w:rFonts w:ascii="Times New Roman" w:hAnsi="Times New Roman" w:cs="Times New Roman"/>
          <w:sz w:val="24"/>
          <w:szCs w:val="24"/>
          <w:u w:val="single"/>
        </w:rPr>
        <w:t>fon</w:t>
      </w:r>
      <w:r>
        <w:rPr>
          <w:rFonts w:ascii="Times New Roman" w:hAnsi="Times New Roman" w:cs="Times New Roman"/>
          <w:sz w:val="24"/>
          <w:szCs w:val="24"/>
          <w:u w:val="single"/>
        </w:rPr>
        <w:t>do de soberanía europea”</w:t>
      </w:r>
      <w:r w:rsidRPr="00A34FA7">
        <w:rPr>
          <w:rFonts w:ascii="Times New Roman" w:hAnsi="Times New Roman" w:cs="Times New Roman"/>
          <w:sz w:val="24"/>
          <w:szCs w:val="24"/>
          <w:u w:val="single"/>
        </w:rPr>
        <w:t xml:space="preserve"> para invertir en tecnologías verdes.</w:t>
      </w:r>
    </w:p>
    <w:p w:rsidR="007E3D39" w:rsidRPr="00A06A62" w:rsidRDefault="007E3D39" w:rsidP="007E3D39">
      <w:pPr>
        <w:spacing w:line="240" w:lineRule="auto"/>
        <w:jc w:val="both"/>
        <w:rPr>
          <w:rFonts w:ascii="Times New Roman" w:hAnsi="Times New Roman" w:cs="Times New Roman"/>
          <w:sz w:val="24"/>
          <w:szCs w:val="24"/>
        </w:rPr>
      </w:pPr>
      <w:r w:rsidRPr="00A06A62">
        <w:rPr>
          <w:rFonts w:ascii="Times New Roman" w:hAnsi="Times New Roman" w:cs="Times New Roman"/>
          <w:sz w:val="24"/>
          <w:szCs w:val="24"/>
        </w:rPr>
        <w:t xml:space="preserve">Es dudoso que los beneficios de estos programas justifiquen sus costos. Por ejemplo, parece no haber correlación entre la distribución de fondos de NGEU y la gravedad de los brotes locales de COVID-19. Sin embargo, </w:t>
      </w:r>
      <w:r w:rsidRPr="00A34FA7">
        <w:rPr>
          <w:rFonts w:ascii="Times New Roman" w:hAnsi="Times New Roman" w:cs="Times New Roman"/>
          <w:color w:val="FF0000"/>
          <w:sz w:val="24"/>
          <w:szCs w:val="24"/>
          <w:u w:val="single"/>
        </w:rPr>
        <w:t>existe una correlación negativa entre la ayuda de NGEU y el PIB per cápita</w:t>
      </w:r>
      <w:r w:rsidRPr="00A06A62">
        <w:rPr>
          <w:rFonts w:ascii="Times New Roman" w:hAnsi="Times New Roman" w:cs="Times New Roman"/>
          <w:sz w:val="24"/>
          <w:szCs w:val="24"/>
        </w:rPr>
        <w:t>, y algunos de los países más pobres que se vieron menos afectados por el virus recibieron c</w:t>
      </w:r>
      <w:r>
        <w:rPr>
          <w:rFonts w:ascii="Times New Roman" w:hAnsi="Times New Roman" w:cs="Times New Roman"/>
          <w:sz w:val="24"/>
          <w:szCs w:val="24"/>
        </w:rPr>
        <w:t>antidades asombrosas de dinero.</w:t>
      </w:r>
    </w:p>
    <w:p w:rsidR="007E3D39" w:rsidRPr="00A34FA7" w:rsidRDefault="007E3D39" w:rsidP="007E3D39">
      <w:pPr>
        <w:spacing w:line="240" w:lineRule="auto"/>
        <w:jc w:val="both"/>
        <w:rPr>
          <w:rFonts w:ascii="Times New Roman" w:hAnsi="Times New Roman" w:cs="Times New Roman"/>
          <w:color w:val="FF0000"/>
          <w:sz w:val="24"/>
          <w:szCs w:val="24"/>
          <w:u w:val="single"/>
        </w:rPr>
      </w:pPr>
      <w:r w:rsidRPr="00A34FA7">
        <w:rPr>
          <w:rFonts w:ascii="Times New Roman" w:hAnsi="Times New Roman" w:cs="Times New Roman"/>
          <w:color w:val="FF0000"/>
          <w:sz w:val="24"/>
          <w:szCs w:val="24"/>
          <w:u w:val="single"/>
        </w:rPr>
        <w:t>El problema con la juerga actual de endeudamiento de la Comisión es que las propias normas de la UE le prohíben asumir deuda. El artículo 311 del Tratado de Funcionamiento de la Unión Europea establece claramente que la UE debe financiarse “totalmente con recursos propios”. Es por eso que los estados miembros necesitaban acordar por unanimidad la creación de NGEU.</w:t>
      </w:r>
    </w:p>
    <w:p w:rsidR="007E3D39" w:rsidRPr="00A34FA7" w:rsidRDefault="007E3D39" w:rsidP="007E3D39">
      <w:pPr>
        <w:spacing w:line="240" w:lineRule="auto"/>
        <w:jc w:val="both"/>
        <w:rPr>
          <w:rFonts w:ascii="Times New Roman" w:hAnsi="Times New Roman" w:cs="Times New Roman"/>
          <w:sz w:val="24"/>
          <w:szCs w:val="24"/>
          <w:u w:val="single"/>
        </w:rPr>
      </w:pPr>
      <w:r w:rsidRPr="00A34FA7">
        <w:rPr>
          <w:rFonts w:ascii="Times New Roman" w:hAnsi="Times New Roman" w:cs="Times New Roman"/>
          <w:sz w:val="24"/>
          <w:szCs w:val="24"/>
          <w:u w:val="single"/>
        </w:rPr>
        <w:t>Otro gran problema es la falta de claridad sobre quién asumirá el costo de esta deuda. Los políticos y los economistas suelen decir que la carga de la deuda de la UE recaerá inevitablemente sobre las futuras generaciones de contribuyentes, que tendrán que pagarla. Si bien hay algo de verdad en esto, los ahorradores de hoy pagarán el precio más alto.</w:t>
      </w:r>
    </w:p>
    <w:p w:rsidR="007E3D39" w:rsidRPr="00A34FA7" w:rsidRDefault="007E3D39" w:rsidP="007E3D39">
      <w:pPr>
        <w:spacing w:line="240" w:lineRule="auto"/>
        <w:jc w:val="both"/>
        <w:rPr>
          <w:rFonts w:ascii="Times New Roman" w:hAnsi="Times New Roman" w:cs="Times New Roman"/>
          <w:sz w:val="24"/>
          <w:szCs w:val="24"/>
          <w:u w:val="single"/>
        </w:rPr>
      </w:pPr>
      <w:r w:rsidRPr="00A34FA7">
        <w:rPr>
          <w:rFonts w:ascii="Times New Roman" w:hAnsi="Times New Roman" w:cs="Times New Roman"/>
          <w:sz w:val="24"/>
          <w:szCs w:val="24"/>
          <w:u w:val="single"/>
        </w:rPr>
        <w:t>Como la mayor parte del mundo desarrollado, Europa se tambalea por el regreso de la estanflación. En un entorno estanflacionario, eventos inesperados (como la guerra en Ucrania o el COVID-19) crean choques de oferta que se traducen en precios al alza debido al exceso de demanda. La emisión de nueva deuda crea más demanda, lo que alimenta aún más la inflación.</w:t>
      </w:r>
    </w:p>
    <w:p w:rsidR="007E3D39" w:rsidRPr="00A06A62" w:rsidRDefault="007E3D39" w:rsidP="007E3D39">
      <w:pPr>
        <w:spacing w:line="240" w:lineRule="auto"/>
        <w:jc w:val="both"/>
        <w:rPr>
          <w:rFonts w:ascii="Times New Roman" w:hAnsi="Times New Roman" w:cs="Times New Roman"/>
          <w:sz w:val="24"/>
          <w:szCs w:val="24"/>
        </w:rPr>
      </w:pPr>
      <w:r w:rsidRPr="00A06A62">
        <w:rPr>
          <w:rFonts w:ascii="Times New Roman" w:hAnsi="Times New Roman" w:cs="Times New Roman"/>
          <w:sz w:val="24"/>
          <w:szCs w:val="24"/>
        </w:rPr>
        <w:t>Si bien el crecimiento de los precios parece estar desacelerándose, la inflación de la eurozona aún se encuentra en el 8,5 %, cuatro veces más que el objetivo del 2 % del Banco Central Europeo, y podría volver a dispararse. Incluso la tasa de inflación subyacente más reciente, que excluye los volátiles precios de los alimentos y la energía, se situó en el 6,2</w:t>
      </w:r>
      <w:r>
        <w:rPr>
          <w:rFonts w:ascii="Times New Roman" w:hAnsi="Times New Roman" w:cs="Times New Roman"/>
          <w:sz w:val="24"/>
          <w:szCs w:val="24"/>
        </w:rPr>
        <w:t xml:space="preserve"> %, mucho más de lo previsto. </w:t>
      </w:r>
    </w:p>
    <w:p w:rsidR="007E3D39" w:rsidRPr="00A34FA7" w:rsidRDefault="007E3D39" w:rsidP="007E3D39">
      <w:pPr>
        <w:spacing w:line="240" w:lineRule="auto"/>
        <w:jc w:val="both"/>
        <w:rPr>
          <w:rFonts w:ascii="Times New Roman" w:hAnsi="Times New Roman" w:cs="Times New Roman"/>
          <w:sz w:val="24"/>
          <w:szCs w:val="24"/>
          <w:u w:val="single"/>
        </w:rPr>
      </w:pPr>
      <w:r w:rsidRPr="00A06A62">
        <w:rPr>
          <w:rFonts w:ascii="Times New Roman" w:hAnsi="Times New Roman" w:cs="Times New Roman"/>
          <w:sz w:val="24"/>
          <w:szCs w:val="24"/>
        </w:rPr>
        <w:t xml:space="preserve">Durante la década de estanflación de la década de 1970, tomó un tiempo para que se arraigara una espiral de salarios y precios. </w:t>
      </w:r>
      <w:r w:rsidRPr="00A34FA7">
        <w:rPr>
          <w:rFonts w:ascii="Times New Roman" w:hAnsi="Times New Roman" w:cs="Times New Roman"/>
          <w:sz w:val="24"/>
          <w:szCs w:val="24"/>
          <w:u w:val="single"/>
        </w:rPr>
        <w:t>Sin un final a la vista para la guerra en Ucrania y la salida constante de los baby boomers de la fuerza laboral, es probable que la alta inflación llegue para quedarse.</w:t>
      </w:r>
    </w:p>
    <w:p w:rsidR="007E3D39" w:rsidRPr="00A34FA7" w:rsidRDefault="007E3D39" w:rsidP="007E3D39">
      <w:pPr>
        <w:spacing w:line="240" w:lineRule="auto"/>
        <w:jc w:val="both"/>
        <w:rPr>
          <w:rFonts w:ascii="Times New Roman" w:hAnsi="Times New Roman" w:cs="Times New Roman"/>
          <w:color w:val="FF0000"/>
          <w:sz w:val="24"/>
          <w:szCs w:val="24"/>
          <w:u w:val="single"/>
        </w:rPr>
      </w:pPr>
      <w:r w:rsidRPr="00A34FA7">
        <w:rPr>
          <w:rFonts w:ascii="Times New Roman" w:hAnsi="Times New Roman" w:cs="Times New Roman"/>
          <w:color w:val="FF0000"/>
          <w:sz w:val="24"/>
          <w:szCs w:val="24"/>
          <w:u w:val="single"/>
        </w:rPr>
        <w:t xml:space="preserve">La persistencia de una alta inflación convierte a los pensionistas que ahorran diligentemente para la vejez, junto con los ahorradores que invierten su dinero en activos garantizados por </w:t>
      </w:r>
      <w:r w:rsidRPr="00A34FA7">
        <w:rPr>
          <w:rFonts w:ascii="Times New Roman" w:hAnsi="Times New Roman" w:cs="Times New Roman"/>
          <w:color w:val="FF0000"/>
          <w:sz w:val="24"/>
          <w:szCs w:val="24"/>
          <w:u w:val="single"/>
        </w:rPr>
        <w:lastRenderedPageBreak/>
        <w:t>valor nominal como los seguros de vida, en las verdaderas víctimas del endeudamiento de Europa. Los efectos distributivos podrían resultar profundos, si no desastrosos.</w:t>
      </w:r>
    </w:p>
    <w:p w:rsidR="007E3D39" w:rsidRPr="00A34FA7" w:rsidRDefault="007E3D39" w:rsidP="007E3D39">
      <w:pPr>
        <w:spacing w:line="240" w:lineRule="auto"/>
        <w:jc w:val="both"/>
        <w:rPr>
          <w:rFonts w:ascii="Times New Roman" w:hAnsi="Times New Roman" w:cs="Times New Roman"/>
          <w:color w:val="FF0000"/>
          <w:sz w:val="24"/>
          <w:szCs w:val="24"/>
          <w:u w:val="single"/>
        </w:rPr>
      </w:pPr>
      <w:r w:rsidRPr="00A34FA7">
        <w:rPr>
          <w:rFonts w:ascii="Times New Roman" w:hAnsi="Times New Roman" w:cs="Times New Roman"/>
          <w:color w:val="FF0000"/>
          <w:sz w:val="24"/>
          <w:szCs w:val="24"/>
          <w:u w:val="single"/>
        </w:rPr>
        <w:t>En sus memorias El mundo de ayer, el escritor austriaco Stefan Zweig describió vívidamente cómo la hiperinflación de la década de 1920 empobreció y radicalizó a la pequeña burguesía. Nada, escribió, hizo que los alemanes fueran tan “odiosos y maduros para Hitler” como la inflación. El historiador estadounidense Gerald Feldman corroboró esta observación en su libro seminal de 1997 sobre la inflación alemana, El gran desorden.</w:t>
      </w:r>
    </w:p>
    <w:p w:rsidR="007E3D39" w:rsidRPr="00A34FA7" w:rsidRDefault="007E3D39" w:rsidP="007E3D39">
      <w:pPr>
        <w:spacing w:line="240" w:lineRule="auto"/>
        <w:jc w:val="both"/>
        <w:rPr>
          <w:rFonts w:ascii="Times New Roman" w:hAnsi="Times New Roman" w:cs="Times New Roman"/>
          <w:b/>
          <w:color w:val="FF0000"/>
          <w:sz w:val="24"/>
          <w:szCs w:val="24"/>
          <w:u w:val="single"/>
        </w:rPr>
      </w:pPr>
      <w:r w:rsidRPr="00A34FA7">
        <w:rPr>
          <w:rFonts w:ascii="Times New Roman" w:hAnsi="Times New Roman" w:cs="Times New Roman"/>
          <w:b/>
          <w:color w:val="FF0000"/>
          <w:sz w:val="24"/>
          <w:szCs w:val="24"/>
          <w:u w:val="single"/>
        </w:rPr>
        <w:t>Sin duda, el aumento inflacionario actual no se parece en nada a las crisis de hiperinflación de principios del siglo XX. Pero cada episodio inflacionario comienza pequeño. El truco es cortarlo de raíz antes de que se salga de control. Como dirían los romanos, principiis obsta (“resistir el principio”).</w:t>
      </w:r>
    </w:p>
    <w:p w:rsidR="007E3D39" w:rsidRPr="00A34FA7" w:rsidRDefault="007E3D39" w:rsidP="007E3D39">
      <w:pPr>
        <w:spacing w:line="240" w:lineRule="auto"/>
        <w:jc w:val="both"/>
        <w:rPr>
          <w:rFonts w:ascii="Times New Roman" w:hAnsi="Times New Roman" w:cs="Times New Roman"/>
          <w:b/>
          <w:color w:val="FF0000"/>
          <w:sz w:val="24"/>
          <w:szCs w:val="24"/>
          <w:u w:val="single"/>
        </w:rPr>
      </w:pPr>
      <w:r w:rsidRPr="00A34FA7">
        <w:rPr>
          <w:rFonts w:ascii="Times New Roman" w:hAnsi="Times New Roman" w:cs="Times New Roman"/>
          <w:b/>
          <w:color w:val="FF0000"/>
          <w:sz w:val="24"/>
          <w:szCs w:val="24"/>
          <w:u w:val="single"/>
        </w:rPr>
        <w:t>Los planes de la Comisión Europea para recaudar miles de millones mediante la emisión de bonos de la UE a largo plazo son legalmente cuestionables y económicamente irresponsables. Este endeudamiento, para el que constantemente se buscan nuevas justificaciones, es claramente inflacionario. Además, el enfoque de la Comisión podría socavar la estabilidad europea y poner en peligro la moneda única.</w:t>
      </w:r>
    </w:p>
    <w:p w:rsidR="007E3D39" w:rsidRPr="00A06A62" w:rsidRDefault="007E3D39" w:rsidP="007E3D39">
      <w:pPr>
        <w:spacing w:line="240" w:lineRule="auto"/>
        <w:jc w:val="both"/>
        <w:rPr>
          <w:rFonts w:ascii="Times New Roman" w:hAnsi="Times New Roman" w:cs="Times New Roman"/>
          <w:sz w:val="24"/>
          <w:szCs w:val="24"/>
        </w:rPr>
      </w:pPr>
      <w:r w:rsidRPr="00A34FA7">
        <w:rPr>
          <w:rFonts w:ascii="Times New Roman" w:hAnsi="Times New Roman" w:cs="Times New Roman"/>
          <w:color w:val="FF0000"/>
          <w:sz w:val="24"/>
          <w:szCs w:val="24"/>
          <w:u w:val="single"/>
        </w:rPr>
        <w:t>Si continuara en su camino actual, la UE dañaría la solvencia de los bonos del gobierno europeo</w:t>
      </w:r>
      <w:r w:rsidRPr="00A06A62">
        <w:rPr>
          <w:rFonts w:ascii="Times New Roman" w:hAnsi="Times New Roman" w:cs="Times New Roman"/>
          <w:sz w:val="24"/>
          <w:szCs w:val="24"/>
        </w:rPr>
        <w:t>. Cuando la exprimera ministra del Reino Unido, Liz Truss, ignoró de manera similar todas las advertencias y trató de aumentar la ya elevada deuda nacional de Gran Bretaña con su desastrosa propuesta de reducción de impuestos el año pasado, asustó a los inversores, derrumbó la libra y rápi</w:t>
      </w:r>
      <w:r>
        <w:rPr>
          <w:rFonts w:ascii="Times New Roman" w:hAnsi="Times New Roman" w:cs="Times New Roman"/>
          <w:sz w:val="24"/>
          <w:szCs w:val="24"/>
        </w:rPr>
        <w:t>damente le mostraron la puerta.</w:t>
      </w:r>
    </w:p>
    <w:p w:rsidR="007E3D39" w:rsidRPr="00A34FA7" w:rsidRDefault="007E3D39" w:rsidP="007E3D39">
      <w:pPr>
        <w:spacing w:line="240" w:lineRule="auto"/>
        <w:jc w:val="both"/>
        <w:rPr>
          <w:rFonts w:ascii="Times New Roman" w:hAnsi="Times New Roman" w:cs="Times New Roman"/>
          <w:color w:val="FF0000"/>
          <w:sz w:val="24"/>
          <w:szCs w:val="24"/>
          <w:u w:val="single"/>
        </w:rPr>
      </w:pPr>
      <w:r w:rsidRPr="00A34FA7">
        <w:rPr>
          <w:rFonts w:ascii="Times New Roman" w:hAnsi="Times New Roman" w:cs="Times New Roman"/>
          <w:color w:val="FF0000"/>
          <w:sz w:val="24"/>
          <w:szCs w:val="24"/>
          <w:u w:val="single"/>
        </w:rPr>
        <w:t>Los banq</w:t>
      </w:r>
      <w:r>
        <w:rPr>
          <w:rFonts w:ascii="Times New Roman" w:hAnsi="Times New Roman" w:cs="Times New Roman"/>
          <w:color w:val="FF0000"/>
          <w:sz w:val="24"/>
          <w:szCs w:val="24"/>
          <w:u w:val="single"/>
        </w:rPr>
        <w:t>ueros centrales de Europa y EEUU</w:t>
      </w:r>
      <w:r w:rsidRPr="00A34FA7">
        <w:rPr>
          <w:rFonts w:ascii="Times New Roman" w:hAnsi="Times New Roman" w:cs="Times New Roman"/>
          <w:color w:val="FF0000"/>
          <w:sz w:val="24"/>
          <w:szCs w:val="24"/>
          <w:u w:val="single"/>
        </w:rPr>
        <w:t xml:space="preserve"> han estado elevando agresivamente las tasas de interés durante los últimos 18 meses para controlar la inflación. Seguir los planes de Gentiloni socavaría estos esfuerzos. Cualquier deuda nueva ahora es inflacionaria y, por lo tanto, potencialmente devastadora para la estabilidad del euro.</w:t>
      </w:r>
    </w:p>
    <w:p w:rsidR="007E3D39" w:rsidRPr="00A34FA7" w:rsidRDefault="007E3D39" w:rsidP="007E3D39">
      <w:pPr>
        <w:spacing w:line="240" w:lineRule="auto"/>
        <w:jc w:val="both"/>
        <w:rPr>
          <w:rFonts w:ascii="Times New Roman" w:hAnsi="Times New Roman" w:cs="Times New Roman"/>
          <w:b/>
          <w:color w:val="FF0000"/>
          <w:sz w:val="24"/>
          <w:szCs w:val="24"/>
          <w:u w:val="single"/>
        </w:rPr>
      </w:pPr>
      <w:r w:rsidRPr="00A34FA7">
        <w:rPr>
          <w:rFonts w:ascii="Times New Roman" w:hAnsi="Times New Roman" w:cs="Times New Roman"/>
          <w:b/>
          <w:color w:val="FF0000"/>
          <w:sz w:val="24"/>
          <w:szCs w:val="24"/>
          <w:u w:val="single"/>
        </w:rPr>
        <w:t>Todo esto no quiere decir que los formuladores de políticas no deban perseguir causas dignas. Pero en un entorno de estanflación, la forma de hacerlo es a través de impuestos u otros recortes de gastos, no de deuda. Si la Comisión Europea necesita dinero, debería pedírselo a los parlamentos nacionales de sus estados miembros. Y si se niegan, la UE no debe tomarlo prestado. Hacer lo contrario pondría en peligro el sueño de la unificación europea.</w:t>
      </w:r>
    </w:p>
    <w:p w:rsidR="007E3D39" w:rsidRDefault="007E3D39" w:rsidP="007E3D39">
      <w:pPr>
        <w:spacing w:line="240" w:lineRule="auto"/>
        <w:jc w:val="both"/>
        <w:rPr>
          <w:rFonts w:ascii="Times New Roman" w:hAnsi="Times New Roman" w:cs="Times New Roman"/>
          <w:sz w:val="24"/>
          <w:szCs w:val="24"/>
          <w:lang w:val="en-US"/>
        </w:rPr>
      </w:pPr>
      <w:r>
        <w:rPr>
          <w:rFonts w:ascii="Times New Roman" w:hAnsi="Times New Roman" w:cs="Times New Roman"/>
          <w:sz w:val="24"/>
          <w:szCs w:val="24"/>
        </w:rPr>
        <w:t>(</w:t>
      </w:r>
      <w:r w:rsidRPr="00A06A62">
        <w:rPr>
          <w:rFonts w:ascii="Times New Roman" w:hAnsi="Times New Roman" w:cs="Times New Roman"/>
          <w:sz w:val="24"/>
          <w:szCs w:val="24"/>
        </w:rPr>
        <w:t>Hans-Werner Sinn, profesor emérito de economía</w:t>
      </w:r>
      <w:r w:rsidR="00E92717">
        <w:rPr>
          <w:rFonts w:ascii="Times New Roman" w:hAnsi="Times New Roman" w:cs="Times New Roman"/>
          <w:sz w:val="24"/>
          <w:szCs w:val="24"/>
        </w:rPr>
        <w:t xml:space="preserve"> de la Universidad de Mú</w:t>
      </w:r>
      <w:r w:rsidRPr="00A06A62">
        <w:rPr>
          <w:rFonts w:ascii="Times New Roman" w:hAnsi="Times New Roman" w:cs="Times New Roman"/>
          <w:sz w:val="24"/>
          <w:szCs w:val="24"/>
        </w:rPr>
        <w:t xml:space="preserve">nich, fue presidente del Instituto Ifo de Investigación Económica y es miembro del Consejo Asesor del Ministerio de Economía alemán. </w:t>
      </w:r>
      <w:r w:rsidRPr="00A06A62">
        <w:rPr>
          <w:rFonts w:ascii="Times New Roman" w:hAnsi="Times New Roman" w:cs="Times New Roman"/>
          <w:sz w:val="24"/>
          <w:szCs w:val="24"/>
          <w:lang w:val="en-US"/>
        </w:rPr>
        <w:t xml:space="preserve">Es autor, más recientemente, de The Euro Trap: On Bursting Bubbles, Budgets, and Beliefs  </w:t>
      </w:r>
      <w:r>
        <w:rPr>
          <w:rFonts w:ascii="Times New Roman" w:hAnsi="Times New Roman" w:cs="Times New Roman"/>
          <w:sz w:val="24"/>
          <w:szCs w:val="24"/>
          <w:lang w:val="en-US"/>
        </w:rPr>
        <w:t>(Oxford University Press, 2014))</w:t>
      </w:r>
    </w:p>
    <w:p w:rsidR="007E3D39" w:rsidRPr="00E64C75" w:rsidRDefault="007E3D39" w:rsidP="007E3D3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E64C75">
        <w:rPr>
          <w:rFonts w:ascii="Times New Roman" w:hAnsi="Times New Roman" w:cs="Times New Roman"/>
          <w:sz w:val="24"/>
          <w:szCs w:val="24"/>
          <w:u w:val="single"/>
        </w:rPr>
        <w:t>La nueva era del comercio mundial ya tiene nombre: el FMI bautiza y explica la quinta etapa de la globalización</w:t>
      </w:r>
      <w:r>
        <w:rPr>
          <w:rFonts w:ascii="Times New Roman" w:hAnsi="Times New Roman" w:cs="Times New Roman"/>
          <w:sz w:val="24"/>
          <w:szCs w:val="24"/>
        </w:rPr>
        <w:t xml:space="preserve"> (El Economista - </w:t>
      </w:r>
      <w:r w:rsidRPr="00E64C75">
        <w:rPr>
          <w:rFonts w:ascii="Times New Roman" w:hAnsi="Times New Roman" w:cs="Times New Roman"/>
          <w:b/>
          <w:sz w:val="24"/>
          <w:szCs w:val="24"/>
        </w:rPr>
        <w:t>13/2/23</w:t>
      </w:r>
      <w:r>
        <w:rPr>
          <w:rFonts w:ascii="Times New Roman" w:hAnsi="Times New Roman" w:cs="Times New Roman"/>
          <w:sz w:val="24"/>
          <w:szCs w:val="24"/>
        </w:rPr>
        <w:t>)</w:t>
      </w:r>
    </w:p>
    <w:p w:rsidR="007E3D39" w:rsidRPr="00E64C75" w:rsidRDefault="007E3D39" w:rsidP="007E3D3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64C75">
        <w:rPr>
          <w:rFonts w:ascii="Times New Roman" w:hAnsi="Times New Roman" w:cs="Times New Roman"/>
          <w:sz w:val="24"/>
          <w:szCs w:val="24"/>
        </w:rPr>
        <w:t>Vicente Nieves</w:t>
      </w:r>
      <w:r>
        <w:rPr>
          <w:rFonts w:ascii="Times New Roman" w:hAnsi="Times New Roman" w:cs="Times New Roman"/>
          <w:sz w:val="24"/>
          <w:szCs w:val="24"/>
        </w:rPr>
        <w:t>)</w:t>
      </w:r>
    </w:p>
    <w:p w:rsidR="007E3D39" w:rsidRPr="00E64C75" w:rsidRDefault="007E3D39" w:rsidP="007E3D39">
      <w:pPr>
        <w:shd w:val="clear" w:color="auto" w:fill="FFFFFF"/>
        <w:spacing w:line="240" w:lineRule="auto"/>
        <w:jc w:val="both"/>
        <w:rPr>
          <w:rFonts w:ascii="Times New Roman" w:hAnsi="Times New Roman" w:cs="Times New Roman"/>
          <w:sz w:val="24"/>
          <w:szCs w:val="24"/>
        </w:rPr>
      </w:pPr>
      <w:r w:rsidRPr="00E64C75">
        <w:rPr>
          <w:rFonts w:ascii="Times New Roman" w:hAnsi="Times New Roman" w:cs="Times New Roman"/>
          <w:sz w:val="24"/>
          <w:szCs w:val="24"/>
        </w:rPr>
        <w:t xml:space="preserve">Los últimos 200 años han sido convulsos para el mundo en general, pero sobre todo para Occidente. Más allá de las dos guerras mundiales y otros grandes conflictos que han marcado definitivamente el pasado y el presente, en esos dos siglos la economía ha dado un salto de gigante, que dio comienzo con la Revolución Industrial. Este giro copernicano, aunque terriblemente duro en sus inicios para los trabajadores, ha permitido que millones de personas </w:t>
      </w:r>
      <w:r w:rsidRPr="00E64C75">
        <w:rPr>
          <w:rFonts w:ascii="Times New Roman" w:hAnsi="Times New Roman" w:cs="Times New Roman"/>
          <w:sz w:val="24"/>
          <w:szCs w:val="24"/>
        </w:rPr>
        <w:lastRenderedPageBreak/>
        <w:t>salgan de la pobreza y que los países se especialicen allí donde tienen ventajas comparativas. Todo ello ha sido posible, en gran parte, gracias al crecimie</w:t>
      </w:r>
      <w:r>
        <w:rPr>
          <w:rFonts w:ascii="Times New Roman" w:hAnsi="Times New Roman" w:cs="Times New Roman"/>
          <w:sz w:val="24"/>
          <w:szCs w:val="24"/>
        </w:rPr>
        <w:t>nto del comercio internacional.</w:t>
      </w:r>
    </w:p>
    <w:p w:rsidR="007E3D39" w:rsidRPr="00E55E31" w:rsidRDefault="007E3D39" w:rsidP="007E3D39">
      <w:pPr>
        <w:shd w:val="clear" w:color="auto" w:fill="FFFFFF"/>
        <w:spacing w:line="240" w:lineRule="auto"/>
        <w:jc w:val="both"/>
        <w:rPr>
          <w:rFonts w:ascii="Times New Roman" w:hAnsi="Times New Roman" w:cs="Times New Roman"/>
          <w:sz w:val="24"/>
          <w:szCs w:val="24"/>
          <w:u w:val="single"/>
        </w:rPr>
      </w:pPr>
      <w:r w:rsidRPr="00E55E31">
        <w:rPr>
          <w:rFonts w:ascii="Times New Roman" w:hAnsi="Times New Roman" w:cs="Times New Roman"/>
          <w:sz w:val="24"/>
          <w:szCs w:val="24"/>
          <w:u w:val="single"/>
        </w:rPr>
        <w:t>Las mejoras en el transporte experimentadas durante esos años redujeron la “distancia” entre economías y regiones, permitiendo que los intercambios de bienes fueran rentables y posibles (antes no se podían transportar productos perecederos o muy pesados, por ejemplo). Pese a todo, el comercio internacional y su evolución no ha sido lineal desde entonces ni parece que vaya a serlo en el futuro, pese a los beneficios que genera en términos agregados. Buena prueba de esta falta de linealidad es la nueva era en la que se está adentrando el comercio internacional, una etapa en la que la hiper-globalización parece decir adiós a la vez que nace lo que los economistas del FMI han denominado como slowbalization.</w:t>
      </w:r>
    </w:p>
    <w:p w:rsidR="007E3D39" w:rsidRPr="00E64C75" w:rsidRDefault="007E3D39" w:rsidP="007E3D39">
      <w:pPr>
        <w:shd w:val="clear" w:color="auto" w:fill="FFFFFF"/>
        <w:spacing w:line="240" w:lineRule="auto"/>
        <w:jc w:val="both"/>
        <w:rPr>
          <w:rFonts w:ascii="Times New Roman" w:hAnsi="Times New Roman" w:cs="Times New Roman"/>
          <w:sz w:val="24"/>
          <w:szCs w:val="24"/>
        </w:rPr>
      </w:pPr>
      <w:r w:rsidRPr="00E64C75">
        <w:rPr>
          <w:rFonts w:ascii="Times New Roman" w:hAnsi="Times New Roman" w:cs="Times New Roman"/>
          <w:sz w:val="24"/>
          <w:szCs w:val="24"/>
        </w:rPr>
        <w:t>El Fondo Monetario Internacional ha publicado una nota en la que analiza las cinco eras que ha vivido el comercio internacional desde 1870 hasta la fecha. Shekhar Aiyar y Anna Ilyina son las autoras de la nota en la que se divide la globalización en cinco eras: 1870-1914 (Revolución Industrial), 1914-1945 (guerras y proteccionismo), 1945-1980 (Tipos de cambio fijos-Bretton Woods), 1980-2008 (la gran liberalización o hiper-globalización) y 2008 hasta hoy (slowbalization). Estas son las cinco eras de la globalización que detecta y define el FMI en su última nota, siendo la última la más novedosa, puesto que las anteriores tienen ya bastante literatura a sus espaldas y están bien definidas y bautizadas.</w:t>
      </w:r>
    </w:p>
    <w:p w:rsidR="007E3D39" w:rsidRDefault="007E3D39" w:rsidP="007E3D39">
      <w:pPr>
        <w:shd w:val="clear" w:color="auto" w:fill="FFFFFF"/>
        <w:spacing w:line="240" w:lineRule="auto"/>
        <w:jc w:val="both"/>
        <w:rPr>
          <w:rFonts w:ascii="Times New Roman" w:hAnsi="Times New Roman" w:cs="Times New Roman"/>
          <w:sz w:val="24"/>
          <w:szCs w:val="24"/>
        </w:rPr>
      </w:pPr>
      <w:r w:rsidRPr="00E64C75">
        <w:rPr>
          <w:rFonts w:ascii="Times New Roman" w:hAnsi="Times New Roman" w:cs="Times New Roman"/>
          <w:sz w:val="24"/>
          <w:szCs w:val="24"/>
        </w:rPr>
        <w:t>Las cinco eras de la globalización explicadas en un gráfico</w:t>
      </w:r>
    </w:p>
    <w:p w:rsidR="007E3D39" w:rsidRPr="00E64C75" w:rsidRDefault="007E3D39" w:rsidP="007E3D39">
      <w:pPr>
        <w:shd w:val="clear" w:color="auto" w:fill="FFFFFF"/>
        <w:spacing w:line="240" w:lineRule="auto"/>
        <w:jc w:val="both"/>
        <w:rPr>
          <w:rFonts w:ascii="Times New Roman" w:hAnsi="Times New Roman" w:cs="Times New Roman"/>
          <w:sz w:val="24"/>
          <w:szCs w:val="24"/>
        </w:rPr>
      </w:pPr>
      <w:r>
        <w:rPr>
          <w:noProof/>
          <w:lang w:eastAsia="es-ES"/>
        </w:rPr>
        <w:drawing>
          <wp:inline distT="0" distB="0" distL="0" distR="0" wp14:anchorId="00CBCFE2" wp14:editId="25F2BCDD">
            <wp:extent cx="5731510" cy="3536499"/>
            <wp:effectExtent l="0" t="0" r="2540" b="6985"/>
            <wp:docPr id="111" name="Imagen 111" descr="https://s03.s3c.es/imag/_v0/2310x1425/b/b/5/Exp_Import_PI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2310x1425/b/b/5/Exp_Import_PIB.gif"/>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31510" cy="3536499"/>
                    </a:xfrm>
                    <a:prstGeom prst="rect">
                      <a:avLst/>
                    </a:prstGeom>
                    <a:noFill/>
                    <a:ln>
                      <a:noFill/>
                    </a:ln>
                  </pic:spPr>
                </pic:pic>
              </a:graphicData>
            </a:graphic>
          </wp:inline>
        </w:drawing>
      </w:r>
    </w:p>
    <w:p w:rsidR="007E3D39" w:rsidRPr="00B25B94" w:rsidRDefault="007E3D39" w:rsidP="007E3D39">
      <w:pPr>
        <w:shd w:val="clear" w:color="auto" w:fill="FFFFFF"/>
        <w:spacing w:line="240" w:lineRule="auto"/>
        <w:jc w:val="both"/>
        <w:rPr>
          <w:rFonts w:ascii="Times New Roman" w:hAnsi="Times New Roman" w:cs="Times New Roman"/>
          <w:color w:val="FF0000"/>
          <w:sz w:val="24"/>
          <w:szCs w:val="24"/>
          <w:u w:val="single"/>
        </w:rPr>
      </w:pPr>
      <w:r w:rsidRPr="00B25B94">
        <w:rPr>
          <w:rFonts w:ascii="Times New Roman" w:hAnsi="Times New Roman" w:cs="Times New Roman"/>
          <w:color w:val="FF0000"/>
          <w:sz w:val="24"/>
          <w:szCs w:val="24"/>
          <w:u w:val="single"/>
        </w:rPr>
        <w:t xml:space="preserve">-La gran liberalización (1980-2008). La era de la liberalización supuso la gradual eliminación de las barreras comerciales en China y otras grandes economías emergentes y una cooperación económica internacional sin precedentes, incluyendo la integración del antiguo bloque soviético. La liberalización supuso un mayor crecimiento del comercio. La Organización Mundial del Comercio (OMC), creada en 1995, se convirtió en un nuevo supervisor multilateral de los acuerdos comerciales, las negociaciones y la solución de </w:t>
      </w:r>
      <w:r w:rsidRPr="00B25B94">
        <w:rPr>
          <w:rFonts w:ascii="Times New Roman" w:hAnsi="Times New Roman" w:cs="Times New Roman"/>
          <w:color w:val="FF0000"/>
          <w:sz w:val="24"/>
          <w:szCs w:val="24"/>
          <w:u w:val="single"/>
        </w:rPr>
        <w:lastRenderedPageBreak/>
        <w:t>controversias. Los flujos de capital transfronterizos aumentaron, incrementando la complejidad y la interconexión del sistema financiero global.</w:t>
      </w:r>
    </w:p>
    <w:p w:rsidR="007E3D39" w:rsidRPr="00B25B94" w:rsidRDefault="007E3D39" w:rsidP="007E3D39">
      <w:pPr>
        <w:shd w:val="clear" w:color="auto" w:fill="FFFFFF"/>
        <w:spacing w:line="240" w:lineRule="auto"/>
        <w:jc w:val="both"/>
        <w:rPr>
          <w:rFonts w:ascii="Times New Roman" w:hAnsi="Times New Roman" w:cs="Times New Roman"/>
          <w:color w:val="FF0000"/>
          <w:sz w:val="24"/>
          <w:szCs w:val="24"/>
          <w:u w:val="single"/>
        </w:rPr>
      </w:pPr>
      <w:r w:rsidRPr="00B25B94">
        <w:rPr>
          <w:rFonts w:ascii="Times New Roman" w:hAnsi="Times New Roman" w:cs="Times New Roman"/>
          <w:color w:val="FF0000"/>
          <w:sz w:val="24"/>
          <w:szCs w:val="24"/>
          <w:u w:val="single"/>
        </w:rPr>
        <w:t>Durante este periodo, la OMC trabajó a través de varias rondas (Uruguay, Doha…) para reducir los aranceles y mejorar en general las condiciones del comercio internacional, integrando a gran parte del mundo en este proceso globalizador que ha permitido que millones de personas (muchas de ellas Asia y, sobre todo, en China) salgan de la pobreza. Durante este periodo, la apertura comercial global (importaciones más exportaciones) ha alcanzado su máximo histórico, superando el 50% del PIB global de forma continuada. Este periodo parece haber tocado techo. Ahora, la globalización parece haberse estancado en el mejor de los casos.</w:t>
      </w:r>
    </w:p>
    <w:p w:rsidR="007E3D39" w:rsidRPr="00B25B94" w:rsidRDefault="007E3D39" w:rsidP="007E3D39">
      <w:pPr>
        <w:shd w:val="clear" w:color="auto" w:fill="FFFFFF"/>
        <w:spacing w:line="240" w:lineRule="auto"/>
        <w:jc w:val="both"/>
        <w:rPr>
          <w:rFonts w:ascii="Times New Roman" w:hAnsi="Times New Roman" w:cs="Times New Roman"/>
          <w:color w:val="FF0000"/>
          <w:sz w:val="24"/>
          <w:szCs w:val="24"/>
          <w:u w:val="single"/>
        </w:rPr>
      </w:pPr>
      <w:r w:rsidRPr="00B25B94">
        <w:rPr>
          <w:rFonts w:ascii="Times New Roman" w:hAnsi="Times New Roman" w:cs="Times New Roman"/>
          <w:color w:val="FF0000"/>
          <w:sz w:val="24"/>
          <w:szCs w:val="24"/>
          <w:u w:val="single"/>
        </w:rPr>
        <w:t>-Slow</w:t>
      </w:r>
      <w:r>
        <w:rPr>
          <w:rFonts w:ascii="Times New Roman" w:hAnsi="Times New Roman" w:cs="Times New Roman"/>
          <w:color w:val="FF0000"/>
          <w:sz w:val="24"/>
          <w:szCs w:val="24"/>
          <w:u w:val="single"/>
        </w:rPr>
        <w:t>balization (2008-presente). La “slowbalización”</w:t>
      </w:r>
      <w:r w:rsidRPr="00B25B94">
        <w:rPr>
          <w:rFonts w:ascii="Times New Roman" w:hAnsi="Times New Roman" w:cs="Times New Roman"/>
          <w:color w:val="FF0000"/>
          <w:sz w:val="24"/>
          <w:szCs w:val="24"/>
          <w:u w:val="single"/>
        </w:rPr>
        <w:t xml:space="preserve"> o ralentización de la globalización que se ha producido tras la crisis financiera mundial se ha caracterizado por una desaceleración prolongada en el ritmo reformas y apertura comercial y el debilitamiento del apoyo político al libre comercio en medio de crecientes tensiones geopolíticas. Las rondas de aranceles entre EEUU y China, la ruptura de varios tratados de libre comercio que se estaban negociando o la propia guerra de Ucrania están frenando la globalización.</w:t>
      </w:r>
    </w:p>
    <w:p w:rsidR="007E3D39" w:rsidRPr="00B25B94" w:rsidRDefault="007E3D39" w:rsidP="007E3D39">
      <w:pPr>
        <w:shd w:val="clear" w:color="auto" w:fill="FFFFFF"/>
        <w:spacing w:line="240" w:lineRule="auto"/>
        <w:jc w:val="both"/>
        <w:rPr>
          <w:rFonts w:ascii="Times New Roman" w:hAnsi="Times New Roman" w:cs="Times New Roman"/>
          <w:color w:val="FF0000"/>
          <w:sz w:val="24"/>
          <w:szCs w:val="24"/>
          <w:u w:val="single"/>
        </w:rPr>
      </w:pPr>
      <w:r w:rsidRPr="00B25B94">
        <w:rPr>
          <w:rFonts w:ascii="Times New Roman" w:hAnsi="Times New Roman" w:cs="Times New Roman"/>
          <w:color w:val="FF0000"/>
          <w:sz w:val="24"/>
          <w:szCs w:val="24"/>
          <w:u w:val="single"/>
        </w:rPr>
        <w:t>Hasta la fecha, más que una reducción de la apertura comercial global se ha visto un estancamiento y, sobre todo, una mayor regionalización. La globalización está dejando de ser global, para ser de regiones. El comercio pierde peso entre diferentes regiones, pero lo gana de forma interna (entre países europeos, América Latina, ciertas zonas de Asia...).</w:t>
      </w:r>
    </w:p>
    <w:p w:rsidR="007E3D39" w:rsidRPr="00B25B94" w:rsidRDefault="007E3D39" w:rsidP="007E3D39">
      <w:pPr>
        <w:shd w:val="clear" w:color="auto" w:fill="FFFFFF"/>
        <w:spacing w:line="240" w:lineRule="auto"/>
        <w:jc w:val="both"/>
        <w:rPr>
          <w:rFonts w:ascii="Times New Roman" w:hAnsi="Times New Roman" w:cs="Times New Roman"/>
          <w:color w:val="FF0000"/>
          <w:sz w:val="24"/>
          <w:szCs w:val="24"/>
          <w:u w:val="single"/>
        </w:rPr>
      </w:pPr>
      <w:r w:rsidRPr="00B25B94">
        <w:rPr>
          <w:rFonts w:ascii="Times New Roman" w:hAnsi="Times New Roman" w:cs="Times New Roman"/>
          <w:color w:val="FF0000"/>
          <w:sz w:val="24"/>
          <w:szCs w:val="24"/>
          <w:u w:val="single"/>
        </w:rPr>
        <w:t>Un mundo regionalizado</w:t>
      </w:r>
    </w:p>
    <w:p w:rsidR="007E3D39" w:rsidRPr="00B25B94" w:rsidRDefault="007E3D39" w:rsidP="007E3D39">
      <w:pPr>
        <w:shd w:val="clear" w:color="auto" w:fill="FFFFFF"/>
        <w:spacing w:line="240" w:lineRule="auto"/>
        <w:jc w:val="both"/>
        <w:rPr>
          <w:rFonts w:ascii="Times New Roman" w:hAnsi="Times New Roman" w:cs="Times New Roman"/>
          <w:color w:val="FF0000"/>
          <w:sz w:val="24"/>
          <w:szCs w:val="24"/>
          <w:u w:val="single"/>
        </w:rPr>
      </w:pPr>
      <w:r w:rsidRPr="00B25B94">
        <w:rPr>
          <w:rFonts w:ascii="Times New Roman" w:hAnsi="Times New Roman" w:cs="Times New Roman"/>
          <w:color w:val="FF0000"/>
          <w:sz w:val="24"/>
          <w:szCs w:val="24"/>
          <w:u w:val="single"/>
        </w:rPr>
        <w:t>Según un nuevo análisis de Morgan Stanley Research, está surgiendo un modelo mucho menos global y menos profundamente interconectado, más centrado en el comercio entre actores regionales y aliados, y caracterizado por un cambio de unas pocas potencias económicas globales hacia múltiples centros políticos</w:t>
      </w:r>
      <w:r>
        <w:rPr>
          <w:rFonts w:ascii="Times New Roman" w:hAnsi="Times New Roman" w:cs="Times New Roman"/>
          <w:color w:val="FF0000"/>
          <w:sz w:val="24"/>
          <w:szCs w:val="24"/>
          <w:u w:val="single"/>
        </w:rPr>
        <w:t xml:space="preserve"> y económicos. “</w:t>
      </w:r>
      <w:r w:rsidRPr="00B25B94">
        <w:rPr>
          <w:rFonts w:ascii="Times New Roman" w:hAnsi="Times New Roman" w:cs="Times New Roman"/>
          <w:color w:val="FF0000"/>
          <w:sz w:val="24"/>
          <w:szCs w:val="24"/>
          <w:u w:val="single"/>
        </w:rPr>
        <w:t>Y aunque</w:t>
      </w:r>
      <w:r>
        <w:rPr>
          <w:rFonts w:ascii="Times New Roman" w:hAnsi="Times New Roman" w:cs="Times New Roman"/>
          <w:color w:val="FF0000"/>
          <w:sz w:val="24"/>
          <w:szCs w:val="24"/>
          <w:u w:val="single"/>
        </w:rPr>
        <w:t xml:space="preserve"> los efectos completos de esta “slowbalization”</w:t>
      </w:r>
      <w:r w:rsidRPr="00B25B94">
        <w:rPr>
          <w:rFonts w:ascii="Times New Roman" w:hAnsi="Times New Roman" w:cs="Times New Roman"/>
          <w:color w:val="FF0000"/>
          <w:sz w:val="24"/>
          <w:szCs w:val="24"/>
          <w:u w:val="single"/>
        </w:rPr>
        <w:t xml:space="preserve"> tardarán años en manifestarse, el proceso ya está en marcha. Países como México, India, Vietnam y Turquía podrían beneficiarse, al igual que varios sectores clave, incluida la defensa </w:t>
      </w:r>
      <w:r>
        <w:rPr>
          <w:rFonts w:ascii="Times New Roman" w:hAnsi="Times New Roman" w:cs="Times New Roman"/>
          <w:color w:val="FF0000"/>
          <w:sz w:val="24"/>
          <w:szCs w:val="24"/>
          <w:u w:val="single"/>
        </w:rPr>
        <w:t>y la ciberseguridad”</w:t>
      </w:r>
      <w:r w:rsidRPr="00B25B94">
        <w:rPr>
          <w:rFonts w:ascii="Times New Roman" w:hAnsi="Times New Roman" w:cs="Times New Roman"/>
          <w:color w:val="FF0000"/>
          <w:sz w:val="24"/>
          <w:szCs w:val="24"/>
          <w:u w:val="single"/>
        </w:rPr>
        <w:t>, aseguran los expertos de Morgan Stanley.</w:t>
      </w:r>
    </w:p>
    <w:p w:rsidR="007E3D39" w:rsidRPr="00B25B94" w:rsidRDefault="007E3D39" w:rsidP="007E3D39">
      <w:pPr>
        <w:shd w:val="clear" w:color="auto" w:fill="FFFFFF"/>
        <w:spacing w:line="240" w:lineRule="auto"/>
        <w:jc w:val="both"/>
        <w:rPr>
          <w:rFonts w:ascii="Times New Roman" w:hAnsi="Times New Roman" w:cs="Times New Roman"/>
          <w:color w:val="FF0000"/>
          <w:sz w:val="24"/>
          <w:szCs w:val="24"/>
          <w:u w:val="single"/>
        </w:rPr>
      </w:pPr>
      <w:r w:rsidRPr="00B25B94">
        <w:rPr>
          <w:rFonts w:ascii="Times New Roman" w:hAnsi="Times New Roman" w:cs="Times New Roman"/>
          <w:color w:val="FF0000"/>
          <w:sz w:val="24"/>
          <w:szCs w:val="24"/>
          <w:u w:val="single"/>
        </w:rPr>
        <w:t>Estos expertos aseguran que incluso antes del covid-19, una combinación de tendencias, como cambios en las preferencias de los consumidores, mayor poder adquisitivo en los mercados emergentes y la irrupción de los aranceles, crecientes dudas en la inversión extranjera y mayor sensibilidad a la seguridad nacional en el comercio de tecnología, comenzaron a conspirar para desacelerar la globalización, e incluso revertirla.</w:t>
      </w:r>
    </w:p>
    <w:p w:rsidR="007E3D39" w:rsidRDefault="007E3D39" w:rsidP="007E3D39">
      <w:pPr>
        <w:shd w:val="clear" w:color="auto" w:fill="FFFFFF"/>
        <w:spacing w:line="240" w:lineRule="auto"/>
        <w:jc w:val="both"/>
        <w:rPr>
          <w:rFonts w:ascii="Times New Roman" w:hAnsi="Times New Roman" w:cs="Times New Roman"/>
          <w:color w:val="FF0000"/>
          <w:sz w:val="24"/>
          <w:szCs w:val="24"/>
        </w:rPr>
      </w:pPr>
      <w:r w:rsidRPr="00B25B94">
        <w:rPr>
          <w:rFonts w:ascii="Times New Roman" w:hAnsi="Times New Roman" w:cs="Times New Roman"/>
          <w:color w:val="FF0000"/>
          <w:sz w:val="24"/>
          <w:szCs w:val="24"/>
          <w:u w:val="single"/>
        </w:rPr>
        <w:t>En 2022 y este año, la guerra entre Rusia y Ucrania y su efecto en las cadenas de suministro han dejado a la</w:t>
      </w:r>
      <w:r>
        <w:rPr>
          <w:rFonts w:ascii="Times New Roman" w:hAnsi="Times New Roman" w:cs="Times New Roman"/>
          <w:color w:val="FF0000"/>
          <w:sz w:val="24"/>
          <w:szCs w:val="24"/>
          <w:u w:val="single"/>
        </w:rPr>
        <w:t xml:space="preserve"> luz de forma más evidente las “trampas”</w:t>
      </w:r>
      <w:r w:rsidRPr="00B25B94">
        <w:rPr>
          <w:rFonts w:ascii="Times New Roman" w:hAnsi="Times New Roman" w:cs="Times New Roman"/>
          <w:color w:val="FF0000"/>
          <w:sz w:val="24"/>
          <w:szCs w:val="24"/>
          <w:u w:val="single"/>
        </w:rPr>
        <w:t xml:space="preserve"> o los peligros de la interdependencia económica, lo que ha dado aún más fuerza a las discusiones sobre el traslado de la producción a lugares más cercanos o, al menos, a economías aliadas</w:t>
      </w:r>
      <w:r>
        <w:rPr>
          <w:rFonts w:ascii="Times New Roman" w:hAnsi="Times New Roman" w:cs="Times New Roman"/>
          <w:color w:val="FF0000"/>
          <w:sz w:val="24"/>
          <w:szCs w:val="24"/>
          <w:u w:val="single"/>
        </w:rPr>
        <w:t xml:space="preserve"> o muy cercanas culturalmente. “</w:t>
      </w:r>
      <w:r w:rsidRPr="00B25B94">
        <w:rPr>
          <w:rFonts w:ascii="Times New Roman" w:hAnsi="Times New Roman" w:cs="Times New Roman"/>
          <w:color w:val="FF0000"/>
          <w:sz w:val="24"/>
          <w:szCs w:val="24"/>
          <w:u w:val="single"/>
        </w:rPr>
        <w:t>Esperamos que estas fuerzas impulsen a los gobiernos y las empresas a invertir sustancialmente en la relocalización dentro de los propios países, la relocalización cercana y la relocalización hacia países al</w:t>
      </w:r>
      <w:r>
        <w:rPr>
          <w:rFonts w:ascii="Times New Roman" w:hAnsi="Times New Roman" w:cs="Times New Roman"/>
          <w:color w:val="FF0000"/>
          <w:sz w:val="24"/>
          <w:szCs w:val="24"/>
          <w:u w:val="single"/>
        </w:rPr>
        <w:t>iados para las cadenas de valor”</w:t>
      </w:r>
      <w:r w:rsidRPr="00B25B94">
        <w:rPr>
          <w:rFonts w:ascii="Times New Roman" w:hAnsi="Times New Roman" w:cs="Times New Roman"/>
          <w:color w:val="FF0000"/>
          <w:sz w:val="24"/>
          <w:szCs w:val="24"/>
          <w:u w:val="single"/>
        </w:rPr>
        <w:t>, comenta Michael Zezas, director de investigación de políticas públicas y estrategia municipal de Morgan Stanley Research</w:t>
      </w:r>
      <w:r w:rsidRPr="00D12D7A">
        <w:rPr>
          <w:rFonts w:ascii="Times New Roman" w:hAnsi="Times New Roman" w:cs="Times New Roman"/>
          <w:color w:val="FF0000"/>
          <w:sz w:val="24"/>
          <w:szCs w:val="24"/>
        </w:rPr>
        <w:t>…</w:t>
      </w:r>
    </w:p>
    <w:p w:rsidR="007E3D39" w:rsidRPr="00D12D7A" w:rsidRDefault="007E3D39" w:rsidP="007E3D39">
      <w:pPr>
        <w:shd w:val="clear" w:color="auto" w:fill="FFFFFF"/>
        <w:spacing w:line="240" w:lineRule="auto"/>
        <w:jc w:val="both"/>
        <w:rPr>
          <w:rFonts w:ascii="Times New Roman" w:hAnsi="Times New Roman" w:cs="Times New Roman"/>
          <w:color w:val="FF0000"/>
          <w:sz w:val="24"/>
          <w:szCs w:val="24"/>
        </w:rPr>
      </w:pPr>
    </w:p>
    <w:p w:rsidR="007E3D39" w:rsidRPr="00270152" w:rsidRDefault="007E3D39" w:rsidP="007E3D3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270152">
        <w:rPr>
          <w:rFonts w:ascii="Times New Roman" w:hAnsi="Times New Roman" w:cs="Times New Roman"/>
          <w:sz w:val="24"/>
          <w:szCs w:val="24"/>
          <w:u w:val="single"/>
        </w:rPr>
        <w:t>La re</w:t>
      </w:r>
      <w:r>
        <w:rPr>
          <w:rFonts w:ascii="Times New Roman" w:hAnsi="Times New Roman" w:cs="Times New Roman"/>
          <w:sz w:val="24"/>
          <w:szCs w:val="24"/>
          <w:u w:val="single"/>
        </w:rPr>
        <w:t>forma de las pensiones será el “</w:t>
      </w:r>
      <w:r w:rsidRPr="00270152">
        <w:rPr>
          <w:rFonts w:ascii="Times New Roman" w:hAnsi="Times New Roman" w:cs="Times New Roman"/>
          <w:sz w:val="24"/>
          <w:szCs w:val="24"/>
          <w:u w:val="single"/>
        </w:rPr>
        <w:t>momento Kwasi" de Francia</w:t>
      </w:r>
      <w:r>
        <w:rPr>
          <w:rFonts w:ascii="Times New Roman" w:hAnsi="Times New Roman" w:cs="Times New Roman"/>
          <w:sz w:val="24"/>
          <w:szCs w:val="24"/>
        </w:rPr>
        <w:t xml:space="preserve"> (El Economista - </w:t>
      </w:r>
      <w:r w:rsidRPr="00270152">
        <w:rPr>
          <w:rFonts w:ascii="Times New Roman" w:hAnsi="Times New Roman" w:cs="Times New Roman"/>
          <w:b/>
          <w:sz w:val="24"/>
          <w:szCs w:val="24"/>
        </w:rPr>
        <w:t>14/2/23</w:t>
      </w:r>
      <w:r>
        <w:rPr>
          <w:rFonts w:ascii="Times New Roman" w:hAnsi="Times New Roman" w:cs="Times New Roman"/>
          <w:sz w:val="24"/>
          <w:szCs w:val="24"/>
        </w:rPr>
        <w:t>)</w:t>
      </w:r>
    </w:p>
    <w:p w:rsidR="007E3D39" w:rsidRPr="00270152" w:rsidRDefault="007E3D39" w:rsidP="007E3D3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270152">
        <w:rPr>
          <w:rFonts w:ascii="Times New Roman" w:hAnsi="Times New Roman" w:cs="Times New Roman"/>
          <w:sz w:val="24"/>
          <w:szCs w:val="24"/>
        </w:rPr>
        <w:t>Matthew Lynn</w:t>
      </w:r>
      <w:r>
        <w:rPr>
          <w:rFonts w:ascii="Times New Roman" w:hAnsi="Times New Roman" w:cs="Times New Roman"/>
          <w:sz w:val="24"/>
          <w:szCs w:val="24"/>
        </w:rPr>
        <w:t>)</w:t>
      </w:r>
    </w:p>
    <w:p w:rsidR="007E3D39" w:rsidRPr="001E2A13" w:rsidRDefault="007E3D39" w:rsidP="007E3D39">
      <w:pPr>
        <w:shd w:val="clear" w:color="auto" w:fill="FFFFFF"/>
        <w:spacing w:line="240" w:lineRule="auto"/>
        <w:jc w:val="both"/>
        <w:rPr>
          <w:rFonts w:ascii="Times New Roman" w:hAnsi="Times New Roman" w:cs="Times New Roman"/>
          <w:b/>
          <w:color w:val="FF0000"/>
          <w:sz w:val="24"/>
          <w:szCs w:val="24"/>
          <w:u w:val="single"/>
        </w:rPr>
      </w:pPr>
      <w:r w:rsidRPr="001E2A13">
        <w:rPr>
          <w:rFonts w:ascii="Times New Roman" w:hAnsi="Times New Roman" w:cs="Times New Roman"/>
          <w:sz w:val="24"/>
          <w:szCs w:val="24"/>
          <w:u w:val="single"/>
        </w:rPr>
        <w:t>En Francia, cualquier susurro de una reforma, por pequeña que sea, del generoso sistema de protección social siempre provoca una furiosa reacción. Quienquiera que tenga la mala suerte de ocupar el Palacio del Elíseo ese día suele echarse atrás</w:t>
      </w:r>
      <w:r w:rsidRPr="00270152">
        <w:rPr>
          <w:rFonts w:ascii="Times New Roman" w:hAnsi="Times New Roman" w:cs="Times New Roman"/>
          <w:sz w:val="24"/>
          <w:szCs w:val="24"/>
        </w:rPr>
        <w:t xml:space="preserve">. </w:t>
      </w:r>
      <w:r w:rsidRPr="001E2A13">
        <w:rPr>
          <w:rFonts w:ascii="Times New Roman" w:hAnsi="Times New Roman" w:cs="Times New Roman"/>
          <w:color w:val="FF0000"/>
          <w:sz w:val="24"/>
          <w:szCs w:val="24"/>
          <w:u w:val="single"/>
        </w:rPr>
        <w:t xml:space="preserve">Sin embargo, el </w:t>
      </w:r>
      <w:r>
        <w:rPr>
          <w:rFonts w:ascii="Times New Roman" w:hAnsi="Times New Roman" w:cs="Times New Roman"/>
          <w:color w:val="FF0000"/>
          <w:sz w:val="24"/>
          <w:szCs w:val="24"/>
          <w:u w:val="single"/>
        </w:rPr>
        <w:t>actual puede convertirse en el “momento Kwasi”</w:t>
      </w:r>
      <w:r w:rsidRPr="001E2A13">
        <w:rPr>
          <w:rFonts w:ascii="Times New Roman" w:hAnsi="Times New Roman" w:cs="Times New Roman"/>
          <w:color w:val="FF0000"/>
          <w:sz w:val="24"/>
          <w:szCs w:val="24"/>
          <w:u w:val="single"/>
        </w:rPr>
        <w:t xml:space="preserve"> de Francia. Llamado así por el desafortunado y efímero ministro de Hacienda del Reino Unido, Kwasi Kwarteng, y su ronda de reformas que, aunque perfectamente sensatas en sí mismas, hacen que todo el mundo se dé cuenta de que la deuda que conllevan es inasequible</w:t>
      </w:r>
      <w:r w:rsidRPr="00270152">
        <w:rPr>
          <w:rFonts w:ascii="Times New Roman" w:hAnsi="Times New Roman" w:cs="Times New Roman"/>
          <w:sz w:val="24"/>
          <w:szCs w:val="24"/>
        </w:rPr>
        <w:t xml:space="preserve">. </w:t>
      </w:r>
      <w:r w:rsidRPr="001E2A13">
        <w:rPr>
          <w:rFonts w:ascii="Times New Roman" w:hAnsi="Times New Roman" w:cs="Times New Roman"/>
          <w:b/>
          <w:color w:val="FF0000"/>
          <w:sz w:val="24"/>
          <w:szCs w:val="24"/>
          <w:u w:val="single"/>
        </w:rPr>
        <w:t>Con la tercera deuda más alta del mundo, un enorme déficit estructural y una población envejecida que se niega a trabajar durante más tiempo, cuando Macron dé marcha atrás en las pensiones, como inevitablemente hará, los inversores se darán cuenta de que el modelo social del país es insostenible y no van a recuperar su dinero. Y las consecuencias serán muy negativas.</w:t>
      </w:r>
    </w:p>
    <w:p w:rsidR="007E3D39" w:rsidRPr="001E2A13" w:rsidRDefault="007E3D39" w:rsidP="007E3D39">
      <w:pPr>
        <w:shd w:val="clear" w:color="auto" w:fill="FFFFFF"/>
        <w:spacing w:line="240" w:lineRule="auto"/>
        <w:jc w:val="both"/>
        <w:rPr>
          <w:rFonts w:ascii="Times New Roman" w:hAnsi="Times New Roman" w:cs="Times New Roman"/>
          <w:color w:val="FF0000"/>
          <w:sz w:val="24"/>
          <w:szCs w:val="24"/>
          <w:u w:val="single"/>
        </w:rPr>
      </w:pPr>
      <w:r w:rsidRPr="001E2A13">
        <w:rPr>
          <w:rFonts w:ascii="Times New Roman" w:hAnsi="Times New Roman" w:cs="Times New Roman"/>
          <w:sz w:val="24"/>
          <w:szCs w:val="24"/>
          <w:u w:val="single"/>
        </w:rPr>
        <w:t>Es difícil entender cómo alguien en su sano juicio puede estar en desacuerdo con las reformas de las pensiones de Macron. La edad de jubilación se elevará modestamente de 62 a 64 años en el transcurso de los próximos seis años, junto con aumentos menores de las cotizaciones a la seguridad social necesarias para tener derecho a ella. No es nada del otro mundo. Incluso para 2030, una edad de jubilación de 64 años será significativamente inferior a la de la mayoría de los países comparables y, con una esperanza de vida media de 82 años, seguirá dando a la gente 18 años para disfrutar de su pensión</w:t>
      </w:r>
      <w:r w:rsidRPr="00270152">
        <w:rPr>
          <w:rFonts w:ascii="Times New Roman" w:hAnsi="Times New Roman" w:cs="Times New Roman"/>
          <w:sz w:val="24"/>
          <w:szCs w:val="24"/>
        </w:rPr>
        <w:t xml:space="preserve">. Dado que los pensionistas representan ya una cuarta parte de los 68 millones de habitantes de Francia y que la esperanza de vida sigue aumentando, </w:t>
      </w:r>
      <w:r w:rsidRPr="001E2A13">
        <w:rPr>
          <w:rFonts w:ascii="Times New Roman" w:hAnsi="Times New Roman" w:cs="Times New Roman"/>
          <w:color w:val="FF0000"/>
          <w:sz w:val="24"/>
          <w:szCs w:val="24"/>
          <w:u w:val="single"/>
        </w:rPr>
        <w:t>es evidente que la edad de jubilación debe aumentar. En la mayoría de los países, eso no se considera controvertido, sobre todo si se introduce por etapas. En Francia, es inaceptable</w:t>
      </w:r>
      <w:r>
        <w:rPr>
          <w:rFonts w:ascii="Times New Roman" w:hAnsi="Times New Roman" w:cs="Times New Roman"/>
          <w:color w:val="FF0000"/>
          <w:sz w:val="24"/>
          <w:szCs w:val="24"/>
        </w:rPr>
        <w:t>…</w:t>
      </w:r>
    </w:p>
    <w:p w:rsidR="007E3D39" w:rsidRPr="00270152" w:rsidRDefault="007E3D39" w:rsidP="007E3D39">
      <w:pPr>
        <w:shd w:val="clear" w:color="auto" w:fill="FFFFFF"/>
        <w:spacing w:line="240" w:lineRule="auto"/>
        <w:jc w:val="both"/>
        <w:rPr>
          <w:rFonts w:ascii="Times New Roman" w:hAnsi="Times New Roman" w:cs="Times New Roman"/>
          <w:sz w:val="24"/>
          <w:szCs w:val="24"/>
        </w:rPr>
      </w:pPr>
      <w:r>
        <w:rPr>
          <w:rFonts w:ascii="Times New Roman" w:hAnsi="Times New Roman" w:cs="Times New Roman"/>
          <w:b/>
          <w:color w:val="FF0000"/>
          <w:sz w:val="24"/>
          <w:szCs w:val="24"/>
          <w:u w:val="single"/>
        </w:rPr>
        <w:t>El “Momento Kwasi”</w:t>
      </w:r>
      <w:r w:rsidRPr="001E2A13">
        <w:rPr>
          <w:rFonts w:ascii="Times New Roman" w:hAnsi="Times New Roman" w:cs="Times New Roman"/>
          <w:b/>
          <w:color w:val="FF0000"/>
          <w:sz w:val="24"/>
          <w:szCs w:val="24"/>
          <w:u w:val="single"/>
        </w:rPr>
        <w:t xml:space="preserve"> aún no ha entrado en los manuales de economía, pero debería hacerlo en los próximos años. Es el acontecimiento que hace que los mercados se den cuenta de repente de que las finanzas de un país son completamente insostenibles</w:t>
      </w:r>
      <w:r w:rsidRPr="00270152">
        <w:rPr>
          <w:rFonts w:ascii="Times New Roman" w:hAnsi="Times New Roman" w:cs="Times New Roman"/>
          <w:sz w:val="24"/>
          <w:szCs w:val="24"/>
        </w:rPr>
        <w:t>. En el Reino Unido, ocurrió tras el desafortunado minipresupuesto de Kwasi Kwarteng en septiembre. Las medidas en sí eran perfectamente sensatas, al menos para el bajo nivel de exigencia del Gobierno británico. Pero implicaban mucho más endeudamiento. De repente, los mercados decidieron que ya</w:t>
      </w:r>
      <w:r>
        <w:rPr>
          <w:rFonts w:ascii="Times New Roman" w:hAnsi="Times New Roman" w:cs="Times New Roman"/>
          <w:sz w:val="24"/>
          <w:szCs w:val="24"/>
        </w:rPr>
        <w:t xml:space="preserve"> era suficiente y se rebelaron.</w:t>
      </w:r>
    </w:p>
    <w:p w:rsidR="007E3D39" w:rsidRPr="002C1D38" w:rsidRDefault="007E3D39" w:rsidP="007E3D39">
      <w:pPr>
        <w:shd w:val="clear" w:color="auto" w:fill="FFFFFF"/>
        <w:spacing w:line="240" w:lineRule="auto"/>
        <w:jc w:val="both"/>
        <w:rPr>
          <w:rFonts w:ascii="Times New Roman" w:hAnsi="Times New Roman" w:cs="Times New Roman"/>
          <w:sz w:val="24"/>
          <w:szCs w:val="24"/>
          <w:u w:val="single"/>
        </w:rPr>
      </w:pPr>
      <w:r w:rsidRPr="002C1D38">
        <w:rPr>
          <w:rFonts w:ascii="Times New Roman" w:hAnsi="Times New Roman" w:cs="Times New Roman"/>
          <w:color w:val="FF0000"/>
          <w:sz w:val="24"/>
          <w:szCs w:val="24"/>
          <w:u w:val="single"/>
        </w:rPr>
        <w:t>La deuda británica ya es bastante mala, pero la de Francia es catastrófica. La deuda total ha aumentado hasta 114 puntos porcentuales del PIB, muy por encima de los 99 puntos porcentuales que se espera que alcance el Reino Unido este año. El déficit presupuestario sigue siendo del 5 % del PIB este año, con un vago compromiso de reducirlo</w:t>
      </w:r>
      <w:r w:rsidRPr="00270152">
        <w:rPr>
          <w:rFonts w:ascii="Times New Roman" w:hAnsi="Times New Roman" w:cs="Times New Roman"/>
          <w:sz w:val="24"/>
          <w:szCs w:val="24"/>
        </w:rPr>
        <w:t xml:space="preserve">. </w:t>
      </w:r>
      <w:r w:rsidRPr="002C1D38">
        <w:rPr>
          <w:rFonts w:ascii="Times New Roman" w:hAnsi="Times New Roman" w:cs="Times New Roman"/>
          <w:color w:val="FF0000"/>
          <w:sz w:val="24"/>
          <w:szCs w:val="24"/>
          <w:u w:val="single"/>
        </w:rPr>
        <w:t>El año pasado, la deuda pública total de Francia superó a la de Italia y se convirtió en la tercera mayor del mundo, por detrás de Estados Unidos y Japón, dos economías mucho mayores (de hecho, la deuda per cápita asciende a 46.000 dólares, frente a los 40.000 del Reino Unido y los 37.000 de Grecia). El déficit comercial supera los 100.000 millones de euros anuales, y no deja de aumentar. Sus inversiones en el extranjero son insignificantes y disminuyen cada año que pasa. Se mire por donde se mire, es un país que vive constantemente por encima de sus posibilidades</w:t>
      </w:r>
      <w:r w:rsidRPr="00270152">
        <w:rPr>
          <w:rFonts w:ascii="Times New Roman" w:hAnsi="Times New Roman" w:cs="Times New Roman"/>
          <w:sz w:val="24"/>
          <w:szCs w:val="24"/>
        </w:rPr>
        <w:t xml:space="preserve">. Tiene excelentes infraestructuras y algunas empresas de talla mundial, como el imperio del lujo LVMH, pero también </w:t>
      </w:r>
      <w:r w:rsidRPr="002C1D38">
        <w:rPr>
          <w:rFonts w:ascii="Times New Roman" w:hAnsi="Times New Roman" w:cs="Times New Roman"/>
          <w:color w:val="FF0000"/>
          <w:sz w:val="24"/>
          <w:szCs w:val="24"/>
          <w:u w:val="single"/>
        </w:rPr>
        <w:t>tiene uno de los gobiernos más grandes del mundo (representa el 55% del PIB, la cifra más alta de la OCDE) y un sistema de bienestar hinchado.</w:t>
      </w:r>
      <w:r w:rsidRPr="002C1D38">
        <w:rPr>
          <w:rFonts w:ascii="Times New Roman" w:hAnsi="Times New Roman" w:cs="Times New Roman"/>
          <w:color w:val="FF0000"/>
          <w:sz w:val="24"/>
          <w:szCs w:val="24"/>
        </w:rPr>
        <w:t xml:space="preserve"> </w:t>
      </w:r>
      <w:r w:rsidRPr="00270152">
        <w:rPr>
          <w:rFonts w:ascii="Times New Roman" w:hAnsi="Times New Roman" w:cs="Times New Roman"/>
          <w:sz w:val="24"/>
          <w:szCs w:val="24"/>
        </w:rPr>
        <w:t xml:space="preserve">Las pensiones son increíblemente generosas (los maquinistas, por ejemplo, pueden jubilarse a los 52 años) y, lo que es peor, están totalmente desfinanciadas: los impuestos de los </w:t>
      </w:r>
      <w:r w:rsidRPr="00270152">
        <w:rPr>
          <w:rFonts w:ascii="Times New Roman" w:hAnsi="Times New Roman" w:cs="Times New Roman"/>
          <w:sz w:val="24"/>
          <w:szCs w:val="24"/>
        </w:rPr>
        <w:lastRenderedPageBreak/>
        <w:t xml:space="preserve">trabajadores se utilizan para pagar las prestaciones de los jubilados. </w:t>
      </w:r>
      <w:r w:rsidRPr="002C1D38">
        <w:rPr>
          <w:rFonts w:ascii="Times New Roman" w:hAnsi="Times New Roman" w:cs="Times New Roman"/>
          <w:sz w:val="24"/>
          <w:szCs w:val="24"/>
          <w:u w:val="single"/>
        </w:rPr>
        <w:t>A mediados de siglo, cada seis trabajadores pagará a cinco jubilados. No es ni remotamente asequible. Al igual que el Reino Unido, Francia es un país relativamente pobre que actúa como si fuera rico y exige al Estado prestaciones cada vez más generosas.</w:t>
      </w:r>
    </w:p>
    <w:p w:rsidR="007E3D39" w:rsidRDefault="007E3D39" w:rsidP="007E3D39">
      <w:pPr>
        <w:shd w:val="clear" w:color="auto" w:fill="FFFFFF"/>
        <w:spacing w:line="240" w:lineRule="auto"/>
        <w:jc w:val="both"/>
        <w:rPr>
          <w:rFonts w:ascii="Times New Roman" w:hAnsi="Times New Roman" w:cs="Times New Roman"/>
          <w:sz w:val="24"/>
          <w:szCs w:val="24"/>
        </w:rPr>
      </w:pPr>
      <w:r w:rsidRPr="002C1D38">
        <w:rPr>
          <w:rFonts w:ascii="Times New Roman" w:hAnsi="Times New Roman" w:cs="Times New Roman"/>
          <w:color w:val="FF0000"/>
          <w:sz w:val="24"/>
          <w:szCs w:val="24"/>
          <w:u w:val="single"/>
        </w:rPr>
        <w:t xml:space="preserve">Cuando Macron ceda y acepte que el sistema de pensiones se pague simplemente con más </w:t>
      </w:r>
      <w:r>
        <w:rPr>
          <w:rFonts w:ascii="Times New Roman" w:hAnsi="Times New Roman" w:cs="Times New Roman"/>
          <w:color w:val="FF0000"/>
          <w:sz w:val="24"/>
          <w:szCs w:val="24"/>
          <w:u w:val="single"/>
        </w:rPr>
        <w:t>préstamos, se desencadenará el “Momento Kwasi”</w:t>
      </w:r>
      <w:r w:rsidRPr="002C1D38">
        <w:rPr>
          <w:rFonts w:ascii="Times New Roman" w:hAnsi="Times New Roman" w:cs="Times New Roman"/>
          <w:color w:val="FF0000"/>
          <w:sz w:val="24"/>
          <w:szCs w:val="24"/>
          <w:u w:val="single"/>
        </w:rPr>
        <w:t>. Los mercados se darán cuenta de que la deuda no va a bajar, que ni este presidente, ni ninguno de sus sucesores aún más resistentes a las reformas, podrán cambiar nada, y las facturas simplemente se volcarán en los mercados de bonos para pagarlas para siempre</w:t>
      </w:r>
      <w:r>
        <w:rPr>
          <w:rFonts w:ascii="Times New Roman" w:hAnsi="Times New Roman" w:cs="Times New Roman"/>
          <w:sz w:val="24"/>
          <w:szCs w:val="24"/>
        </w:rPr>
        <w:t>…</w:t>
      </w:r>
    </w:p>
    <w:p w:rsidR="007E3D39" w:rsidRPr="002C1D38" w:rsidRDefault="007E3D39" w:rsidP="007E3D39">
      <w:pPr>
        <w:shd w:val="clear" w:color="auto" w:fill="FFFFFF"/>
        <w:spacing w:line="240" w:lineRule="auto"/>
        <w:jc w:val="both"/>
        <w:rPr>
          <w:rFonts w:ascii="Times New Roman" w:hAnsi="Times New Roman" w:cs="Times New Roman"/>
          <w:b/>
          <w:color w:val="FF0000"/>
          <w:sz w:val="24"/>
          <w:szCs w:val="24"/>
          <w:u w:val="single"/>
        </w:rPr>
      </w:pPr>
      <w:r w:rsidRPr="002C1D38">
        <w:rPr>
          <w:rFonts w:ascii="Times New Roman" w:hAnsi="Times New Roman" w:cs="Times New Roman"/>
          <w:b/>
          <w:color w:val="FF0000"/>
          <w:sz w:val="24"/>
          <w:szCs w:val="24"/>
          <w:u w:val="single"/>
        </w:rPr>
        <w:t xml:space="preserve">Una cosa es cierta. Una vez que los mercados pierden la fe en la clase política de un país, como ocurrió en el Reino Unido el pasado septiembre, encuentran un instrumento al que atacar. Sólo es cuestión de saber cuál. </w:t>
      </w:r>
      <w:r w:rsidRPr="00270152">
        <w:rPr>
          <w:rFonts w:ascii="Times New Roman" w:hAnsi="Times New Roman" w:cs="Times New Roman"/>
          <w:sz w:val="24"/>
          <w:szCs w:val="24"/>
        </w:rPr>
        <w:t xml:space="preserve">Francia será testigo de huelgas hoy y durante el resto del mes que viene. Los manifestantes pueden imaginar que no cambiará gran cosa. Pero </w:t>
      </w:r>
      <w:r w:rsidRPr="002C1D38">
        <w:rPr>
          <w:rFonts w:ascii="Times New Roman" w:hAnsi="Times New Roman" w:cs="Times New Roman"/>
          <w:b/>
          <w:color w:val="FF0000"/>
          <w:sz w:val="24"/>
          <w:szCs w:val="24"/>
          <w:u w:val="single"/>
        </w:rPr>
        <w:t>cuando llegue, el colapso de la confianza en la deuda francesa será brutal y repentino, e imposible de ignorar para cualquier gobierno.</w:t>
      </w:r>
    </w:p>
    <w:p w:rsidR="007E3D39" w:rsidRPr="00E164C3" w:rsidRDefault="007E3D39" w:rsidP="007E3D39">
      <w:pPr>
        <w:rPr>
          <w:rFonts w:ascii="Times New Roman" w:hAnsi="Times New Roman" w:cs="Times New Roman"/>
          <w:sz w:val="24"/>
          <w:szCs w:val="24"/>
        </w:rPr>
      </w:pPr>
      <w:r>
        <w:rPr>
          <w:rFonts w:ascii="Times New Roman" w:hAnsi="Times New Roman" w:cs="Times New Roman"/>
          <w:sz w:val="24"/>
          <w:szCs w:val="24"/>
        </w:rPr>
        <w:t xml:space="preserve">- </w:t>
      </w:r>
      <w:r w:rsidRPr="00E164C3">
        <w:rPr>
          <w:rFonts w:ascii="Times New Roman" w:hAnsi="Times New Roman" w:cs="Times New Roman"/>
          <w:sz w:val="24"/>
          <w:szCs w:val="24"/>
          <w:u w:val="single"/>
        </w:rPr>
        <w:t>Informe de Riesgos Globales 2023</w:t>
      </w:r>
      <w:r w:rsidRPr="00E164C3">
        <w:rPr>
          <w:rFonts w:ascii="Times New Roman" w:hAnsi="Times New Roman" w:cs="Times New Roman"/>
          <w:sz w:val="24"/>
          <w:szCs w:val="24"/>
        </w:rPr>
        <w:t xml:space="preserve"> (WEF - </w:t>
      </w:r>
      <w:r w:rsidRPr="00E164C3">
        <w:rPr>
          <w:rFonts w:ascii="Times New Roman" w:hAnsi="Times New Roman" w:cs="Times New Roman"/>
          <w:b/>
          <w:sz w:val="24"/>
          <w:szCs w:val="24"/>
        </w:rPr>
        <w:t>Enero 2023</w:t>
      </w:r>
      <w:r w:rsidRPr="00E164C3">
        <w:rPr>
          <w:rFonts w:ascii="Times New Roman" w:hAnsi="Times New Roman" w:cs="Times New Roman"/>
          <w:sz w:val="24"/>
          <w:szCs w:val="24"/>
        </w:rPr>
        <w:t>)</w:t>
      </w:r>
    </w:p>
    <w:p w:rsidR="007E3D39" w:rsidRDefault="007E3D39" w:rsidP="007E3D39">
      <w:pPr>
        <w:pStyle w:val="NormalWeb"/>
        <w:jc w:val="both"/>
      </w:pPr>
      <w:r>
        <w:t>El mundo enfrenta una serie de riesgos que se sienten completamente nuevos y extrañamente familiares. El </w:t>
      </w:r>
      <w:r>
        <w:rPr>
          <w:i/>
          <w:iCs/>
        </w:rPr>
        <w:t>Informe de riesgos globales 2023</w:t>
      </w:r>
      <w:r>
        <w:t> explora algunos de los riesgos más graves que podemos enfrentar en la próxima década. Mientras nos encontramos al borde de una era de bajo crecimiento y baja cooperación, las compensaciones más duras corren el riesgo de erosionar la acción climática, el desarrollo humano y la resiliencia futura…   </w:t>
      </w:r>
    </w:p>
    <w:p w:rsidR="007E3D39" w:rsidRDefault="007E3D39" w:rsidP="007E3D39">
      <w:pPr>
        <w:pStyle w:val="NormalWeb"/>
        <w:jc w:val="both"/>
      </w:pPr>
      <w:r>
        <w:rPr>
          <w:b/>
          <w:bCs/>
        </w:rPr>
        <w:t>Figura A | Riesgos globales clasificados por gravedad a corto y largo plazo</w:t>
      </w:r>
    </w:p>
    <w:p w:rsidR="007E3D39" w:rsidRDefault="007E3D39" w:rsidP="007E3D39">
      <w:pPr>
        <w:jc w:val="both"/>
      </w:pPr>
      <w:r>
        <w:rPr>
          <w:noProof/>
          <w:lang w:eastAsia="es-ES"/>
        </w:rPr>
        <w:drawing>
          <wp:inline distT="0" distB="0" distL="0" distR="0" wp14:anchorId="5753275D" wp14:editId="2C19F72C">
            <wp:extent cx="5645150" cy="4000500"/>
            <wp:effectExtent l="0" t="0" r="0" b="0"/>
            <wp:docPr id="112" name="Imagen 112" descr="Informe de riesgos globales 2023, Figura A |  Riesgos globales clasificados por gravedad a corto y largo plaz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nforme de riesgos globales 2023, Figura A |  Riesgos globales clasificados por gravedad a corto y largo plazo"/>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45150" cy="4000500"/>
                    </a:xfrm>
                    <a:prstGeom prst="rect">
                      <a:avLst/>
                    </a:prstGeom>
                    <a:noFill/>
                    <a:ln>
                      <a:noFill/>
                    </a:ln>
                  </pic:spPr>
                </pic:pic>
              </a:graphicData>
            </a:graphic>
          </wp:inline>
        </w:drawing>
      </w:r>
    </w:p>
    <w:p w:rsidR="007E3D39" w:rsidRDefault="007E3D39" w:rsidP="007E3D39">
      <w:pPr>
        <w:pStyle w:val="NormalWeb"/>
        <w:jc w:val="both"/>
      </w:pPr>
      <w:r>
        <w:rPr>
          <w:b/>
          <w:bCs/>
        </w:rPr>
        <w:lastRenderedPageBreak/>
        <w:t>Figura B | Panorama mundial a corto y largo plazo</w:t>
      </w:r>
    </w:p>
    <w:p w:rsidR="007E3D39" w:rsidRDefault="007E3D39" w:rsidP="007E3D39">
      <w:pPr>
        <w:jc w:val="both"/>
      </w:pPr>
      <w:r>
        <w:t xml:space="preserve">     </w:t>
      </w:r>
      <w:r>
        <w:rPr>
          <w:noProof/>
          <w:lang w:eastAsia="es-ES"/>
        </w:rPr>
        <w:drawing>
          <wp:inline distT="0" distB="0" distL="0" distR="0" wp14:anchorId="09CEA9B3" wp14:editId="5850DFBD">
            <wp:extent cx="5391150" cy="3454400"/>
            <wp:effectExtent l="0" t="0" r="0" b="0"/>
            <wp:docPr id="113" name="Imagen 113" descr="https://assets.weforum.org/editor/MpGKCtakXkDPg9B35siUQEKQgNUgzXrrYNxtrNauci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assets.weforum.org/editor/MpGKCtakXkDPg9B35siUQEKQgNUgzXrrYNxtrNauci4.pn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91150" cy="3454400"/>
                    </a:xfrm>
                    <a:prstGeom prst="rect">
                      <a:avLst/>
                    </a:prstGeom>
                    <a:noFill/>
                    <a:ln>
                      <a:noFill/>
                    </a:ln>
                  </pic:spPr>
                </pic:pic>
              </a:graphicData>
            </a:graphic>
          </wp:inline>
        </w:drawing>
      </w:r>
    </w:p>
    <w:p w:rsidR="007E3D39" w:rsidRDefault="007E3D39" w:rsidP="007E3D39">
      <w:pPr>
        <w:pStyle w:val="NormalWeb"/>
        <w:jc w:val="both"/>
      </w:pPr>
      <w:r>
        <w:rPr>
          <w:b/>
          <w:bCs/>
        </w:rPr>
        <w:t>Figura C | Panorama global de riesgos: un mapa de interconexiones</w:t>
      </w:r>
    </w:p>
    <w:p w:rsidR="007E3D39" w:rsidRDefault="007E3D39" w:rsidP="007E3D39">
      <w:r>
        <w:t xml:space="preserve">          </w:t>
      </w:r>
      <w:r>
        <w:rPr>
          <w:noProof/>
          <w:lang w:eastAsia="es-ES"/>
        </w:rPr>
        <w:drawing>
          <wp:inline distT="0" distB="0" distL="0" distR="0" wp14:anchorId="69446D48" wp14:editId="01216516">
            <wp:extent cx="5080000" cy="4311650"/>
            <wp:effectExtent l="0" t="0" r="6350" b="0"/>
            <wp:docPr id="114" name="Imagen 114" descr="https://assets.weforum.org/editor/4rgEg0IkuXCkeo3zwCd2Xy5Pph09VHBiE4DnUAaYzw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assets.weforum.org/editor/4rgEg0IkuXCkeo3zwCd2Xy5Pph09VHBiE4DnUAaYzwQ.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080000" cy="4311650"/>
                    </a:xfrm>
                    <a:prstGeom prst="rect">
                      <a:avLst/>
                    </a:prstGeom>
                    <a:noFill/>
                    <a:ln>
                      <a:noFill/>
                    </a:ln>
                  </pic:spPr>
                </pic:pic>
              </a:graphicData>
            </a:graphic>
          </wp:inline>
        </w:drawing>
      </w:r>
    </w:p>
    <w:p w:rsidR="007E3D39" w:rsidRPr="004152DD" w:rsidRDefault="007E3D39" w:rsidP="007E3D39">
      <w:pPr>
        <w:shd w:val="clear" w:color="auto" w:fill="F9F8F2"/>
        <w:spacing w:before="100" w:beforeAutospacing="1" w:after="100" w:afterAutospacing="1" w:line="240" w:lineRule="auto"/>
        <w:ind w:left="240"/>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4152DD">
        <w:rPr>
          <w:rFonts w:ascii="Times New Roman" w:hAnsi="Times New Roman" w:cs="Times New Roman"/>
          <w:sz w:val="24"/>
          <w:szCs w:val="24"/>
          <w:u w:val="single"/>
        </w:rPr>
        <w:t>La complejidad de la inflación persistirá en el futuro</w:t>
      </w:r>
      <w:r>
        <w:rPr>
          <w:rFonts w:ascii="Times New Roman" w:hAnsi="Times New Roman" w:cs="Times New Roman"/>
          <w:sz w:val="24"/>
          <w:szCs w:val="24"/>
        </w:rPr>
        <w:t xml:space="preserve"> (El Economista - </w:t>
      </w:r>
      <w:r w:rsidRPr="004152DD">
        <w:rPr>
          <w:rFonts w:ascii="Times New Roman" w:hAnsi="Times New Roman" w:cs="Times New Roman"/>
          <w:b/>
          <w:sz w:val="24"/>
          <w:szCs w:val="24"/>
        </w:rPr>
        <w:t>16/2/23</w:t>
      </w:r>
      <w:r>
        <w:rPr>
          <w:rFonts w:ascii="Times New Roman" w:hAnsi="Times New Roman" w:cs="Times New Roman"/>
          <w:sz w:val="24"/>
          <w:szCs w:val="24"/>
        </w:rPr>
        <w:t>)</w:t>
      </w:r>
    </w:p>
    <w:p w:rsidR="007E3D39" w:rsidRPr="004152DD" w:rsidRDefault="007E3D39" w:rsidP="007E3D39">
      <w:pPr>
        <w:shd w:val="clear" w:color="auto" w:fill="F9F8F2"/>
        <w:spacing w:before="100" w:beforeAutospacing="1" w:after="100" w:afterAutospacing="1" w:line="240" w:lineRule="auto"/>
        <w:ind w:left="240"/>
        <w:jc w:val="both"/>
        <w:rPr>
          <w:rFonts w:ascii="Times New Roman" w:hAnsi="Times New Roman" w:cs="Times New Roman"/>
          <w:sz w:val="24"/>
          <w:szCs w:val="24"/>
        </w:rPr>
      </w:pPr>
      <w:r>
        <w:rPr>
          <w:rFonts w:ascii="Times New Roman" w:hAnsi="Times New Roman" w:cs="Times New Roman"/>
          <w:sz w:val="24"/>
          <w:szCs w:val="24"/>
        </w:rPr>
        <w:t xml:space="preserve">(Por </w:t>
      </w:r>
      <w:r w:rsidRPr="004152DD">
        <w:rPr>
          <w:rFonts w:ascii="Times New Roman" w:hAnsi="Times New Roman" w:cs="Times New Roman"/>
          <w:sz w:val="24"/>
          <w:szCs w:val="24"/>
        </w:rPr>
        <w:t>Mohamed A. El-Erian</w:t>
      </w:r>
      <w:r>
        <w:rPr>
          <w:rFonts w:ascii="Times New Roman" w:hAnsi="Times New Roman" w:cs="Times New Roman"/>
          <w:sz w:val="24"/>
          <w:szCs w:val="24"/>
        </w:rPr>
        <w:t>)</w:t>
      </w:r>
    </w:p>
    <w:p w:rsidR="007E3D39" w:rsidRPr="00D400E9" w:rsidRDefault="007E3D39" w:rsidP="007E3D39">
      <w:pPr>
        <w:shd w:val="clear" w:color="auto" w:fill="F9F8F2"/>
        <w:spacing w:before="100" w:beforeAutospacing="1" w:after="100" w:afterAutospacing="1" w:line="240" w:lineRule="auto"/>
        <w:ind w:left="240"/>
        <w:jc w:val="both"/>
        <w:rPr>
          <w:rFonts w:ascii="Times New Roman" w:hAnsi="Times New Roman" w:cs="Times New Roman"/>
          <w:color w:val="FF0000"/>
          <w:sz w:val="24"/>
          <w:szCs w:val="24"/>
          <w:u w:val="single"/>
        </w:rPr>
      </w:pPr>
      <w:r w:rsidRPr="00D400E9">
        <w:rPr>
          <w:rFonts w:ascii="Times New Roman" w:hAnsi="Times New Roman" w:cs="Times New Roman"/>
          <w:color w:val="FF0000"/>
          <w:sz w:val="24"/>
          <w:szCs w:val="24"/>
          <w:u w:val="single"/>
        </w:rPr>
        <w:t>Ya pasaron casi dos años desde que comenzó el brote de inf</w:t>
      </w:r>
      <w:r>
        <w:rPr>
          <w:rFonts w:ascii="Times New Roman" w:hAnsi="Times New Roman" w:cs="Times New Roman"/>
          <w:color w:val="FF0000"/>
          <w:sz w:val="24"/>
          <w:szCs w:val="24"/>
          <w:u w:val="single"/>
        </w:rPr>
        <w:t>lación actual y el concepto de “inflación transitoria”</w:t>
      </w:r>
      <w:r w:rsidRPr="00D400E9">
        <w:rPr>
          <w:rFonts w:ascii="Times New Roman" w:hAnsi="Times New Roman" w:cs="Times New Roman"/>
          <w:color w:val="FF0000"/>
          <w:sz w:val="24"/>
          <w:szCs w:val="24"/>
          <w:u w:val="single"/>
        </w:rPr>
        <w:t xml:space="preserve"> vuelve a escena ahora que empiezan a disiparse los shocks de oferta relacionados con el COVID. Esto se produce en un momento en que resulta fundamentalmente importante mantener la mente abierta respecto de la trayectoria de la inflación, evitando, inclusive, una postura transitoria excesivamente simplista que corre el riesgo de ocultar los verdaderos problemas que enfrenta la economía de Estados Unidos.</w:t>
      </w:r>
    </w:p>
    <w:p w:rsidR="007E3D39" w:rsidRPr="00D400E9" w:rsidRDefault="007E3D39" w:rsidP="007E3D39">
      <w:pPr>
        <w:shd w:val="clear" w:color="auto" w:fill="F9F8F2"/>
        <w:spacing w:before="100" w:beforeAutospacing="1" w:after="100" w:afterAutospacing="1" w:line="240" w:lineRule="auto"/>
        <w:ind w:left="240"/>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 noción de “transitorio”</w:t>
      </w:r>
      <w:r w:rsidRPr="00D400E9">
        <w:rPr>
          <w:rFonts w:ascii="Times New Roman" w:hAnsi="Times New Roman" w:cs="Times New Roman"/>
          <w:color w:val="FF0000"/>
          <w:sz w:val="24"/>
          <w:szCs w:val="24"/>
          <w:u w:val="single"/>
        </w:rPr>
        <w:t xml:space="preserve"> es tranquilizadora porque sugiere un fenómeno de corta vida y reversible. De manera crítica, el concepto ignora la necesidad de ajustar comportamientos.</w:t>
      </w:r>
      <w:r w:rsidRPr="00D400E9">
        <w:rPr>
          <w:rFonts w:ascii="Times New Roman" w:hAnsi="Times New Roman" w:cs="Times New Roman"/>
          <w:color w:val="FF0000"/>
          <w:sz w:val="24"/>
          <w:szCs w:val="24"/>
        </w:rPr>
        <w:t xml:space="preserve"> </w:t>
      </w:r>
      <w:r w:rsidRPr="004152DD">
        <w:rPr>
          <w:rFonts w:ascii="Times New Roman" w:hAnsi="Times New Roman" w:cs="Times New Roman"/>
          <w:sz w:val="24"/>
          <w:szCs w:val="24"/>
        </w:rPr>
        <w:t>Después de todo, si un temor de inflación es solo temporario, la mejor manera de lidiar con él es simplemente sentarse a esperar (o, para usar un término</w:t>
      </w:r>
      <w:r>
        <w:rPr>
          <w:rFonts w:ascii="Times New Roman" w:hAnsi="Times New Roman" w:cs="Times New Roman"/>
          <w:sz w:val="24"/>
          <w:szCs w:val="24"/>
        </w:rPr>
        <w:t xml:space="preserve"> de la política y del mercado, “revisarlo”</w:t>
      </w:r>
      <w:r w:rsidRPr="004152DD">
        <w:rPr>
          <w:rFonts w:ascii="Times New Roman" w:hAnsi="Times New Roman" w:cs="Times New Roman"/>
          <w:sz w:val="24"/>
          <w:szCs w:val="24"/>
        </w:rPr>
        <w:t xml:space="preserve">). </w:t>
      </w:r>
      <w:r w:rsidRPr="00D400E9">
        <w:rPr>
          <w:rFonts w:ascii="Times New Roman" w:hAnsi="Times New Roman" w:cs="Times New Roman"/>
          <w:color w:val="FF0000"/>
          <w:sz w:val="24"/>
          <w:szCs w:val="24"/>
          <w:u w:val="single"/>
        </w:rPr>
        <w:t>Es por ello que este relato es particularmente peligroso. Al fomentar la complacencia y la inercia, podría exacerbar un problema que ya es serio y dificultar aún más su resolución.</w:t>
      </w:r>
    </w:p>
    <w:p w:rsidR="007E3D39" w:rsidRPr="00D400E9" w:rsidRDefault="007E3D39" w:rsidP="007E3D39">
      <w:pPr>
        <w:shd w:val="clear" w:color="auto" w:fill="F9F8F2"/>
        <w:spacing w:before="100" w:beforeAutospacing="1" w:after="100" w:afterAutospacing="1" w:line="240" w:lineRule="auto"/>
        <w:ind w:left="240"/>
        <w:jc w:val="both"/>
        <w:rPr>
          <w:rFonts w:ascii="Times New Roman" w:hAnsi="Times New Roman" w:cs="Times New Roman"/>
          <w:sz w:val="24"/>
          <w:szCs w:val="24"/>
          <w:u w:val="single"/>
        </w:rPr>
      </w:pPr>
      <w:r w:rsidRPr="00D400E9">
        <w:rPr>
          <w:rFonts w:ascii="Times New Roman" w:hAnsi="Times New Roman" w:cs="Times New Roman"/>
          <w:sz w:val="24"/>
          <w:szCs w:val="24"/>
          <w:u w:val="single"/>
        </w:rPr>
        <w:t>La respuesta inicial de la Reserva Federal de Estados Unidos a la creciente inflación es un buen ejemplo. En 2021, el banco central más poderoso e influyente del mundo se apresuró a decir que el aumento de la inflación era transitorio. Y redobló la apuesta en torno a esta estrategia inclusive después de que los datos la contradijeran, negándose durante demasiado tiempo a dar un golpe de timón.</w:t>
      </w:r>
    </w:p>
    <w:p w:rsidR="007E3D39" w:rsidRPr="00D400E9" w:rsidRDefault="007E3D39" w:rsidP="007E3D39">
      <w:pPr>
        <w:shd w:val="clear" w:color="auto" w:fill="F9F8F2"/>
        <w:spacing w:before="100" w:beforeAutospacing="1" w:after="100" w:afterAutospacing="1" w:line="240" w:lineRule="auto"/>
        <w:ind w:left="240"/>
        <w:jc w:val="both"/>
        <w:rPr>
          <w:rFonts w:ascii="Times New Roman" w:hAnsi="Times New Roman" w:cs="Times New Roman"/>
          <w:color w:val="FF0000"/>
          <w:sz w:val="24"/>
          <w:szCs w:val="24"/>
          <w:u w:val="single"/>
        </w:rPr>
      </w:pPr>
      <w:r w:rsidRPr="00D400E9">
        <w:rPr>
          <w:rFonts w:ascii="Times New Roman" w:hAnsi="Times New Roman" w:cs="Times New Roman"/>
          <w:color w:val="FF0000"/>
          <w:sz w:val="24"/>
          <w:szCs w:val="24"/>
          <w:u w:val="single"/>
        </w:rPr>
        <w:t>Los repetidos errores de apreciación de la Fed demoraron respuestas políticas que eran cruciales en un momento en que la persistencia de la inflación empezaba a influir en la fijación de precios por parte de las empresas y en las demandas salariales de los trabajadores. Como resultado de ello, la Fed no sólo perdió credibilidad, sino que también infligió un dolor innecesario a millones de hogares estadounidenses, particularmente los segmentos más vulnerables de la población.</w:t>
      </w:r>
    </w:p>
    <w:p w:rsidR="007E3D39" w:rsidRPr="00D400E9" w:rsidRDefault="007E3D39" w:rsidP="007E3D39">
      <w:pPr>
        <w:shd w:val="clear" w:color="auto" w:fill="F9F8F2"/>
        <w:spacing w:before="100" w:beforeAutospacing="1" w:after="100" w:afterAutospacing="1" w:line="240" w:lineRule="auto"/>
        <w:ind w:left="240"/>
        <w:jc w:val="both"/>
        <w:rPr>
          <w:rFonts w:ascii="Times New Roman" w:hAnsi="Times New Roman" w:cs="Times New Roman"/>
          <w:sz w:val="24"/>
          <w:szCs w:val="24"/>
          <w:u w:val="single"/>
        </w:rPr>
      </w:pPr>
      <w:r w:rsidRPr="00D400E9">
        <w:rPr>
          <w:rFonts w:ascii="Times New Roman" w:hAnsi="Times New Roman" w:cs="Times New Roman"/>
          <w:sz w:val="24"/>
          <w:szCs w:val="24"/>
          <w:u w:val="single"/>
        </w:rPr>
        <w:t>Si bien unos pocos economistas nunca abandonaron la teoría de la inflación transitoria, la gran mayoría ya se dio cuenta el año pasado de que era un error analítico y de política lamentable. Eso hace que el resurgimiento actual de este discurso sea aún más desconcertante.</w:t>
      </w:r>
    </w:p>
    <w:p w:rsidR="007E3D39" w:rsidRPr="00D400E9" w:rsidRDefault="007E3D39" w:rsidP="007E3D39">
      <w:pPr>
        <w:shd w:val="clear" w:color="auto" w:fill="F9F8F2"/>
        <w:spacing w:before="100" w:beforeAutospacing="1" w:after="100" w:afterAutospacing="1" w:line="240" w:lineRule="auto"/>
        <w:ind w:left="240"/>
        <w:jc w:val="both"/>
        <w:rPr>
          <w:rFonts w:ascii="Times New Roman" w:hAnsi="Times New Roman" w:cs="Times New Roman"/>
          <w:color w:val="FF0000"/>
          <w:sz w:val="24"/>
          <w:szCs w:val="24"/>
          <w:u w:val="single"/>
        </w:rPr>
      </w:pPr>
      <w:r w:rsidRPr="00D400E9">
        <w:rPr>
          <w:rFonts w:ascii="Times New Roman" w:hAnsi="Times New Roman" w:cs="Times New Roman"/>
          <w:color w:val="FF0000"/>
          <w:sz w:val="24"/>
          <w:szCs w:val="24"/>
          <w:u w:val="single"/>
        </w:rPr>
        <w:t>Un artículo reciente publi</w:t>
      </w:r>
      <w:r>
        <w:rPr>
          <w:rFonts w:ascii="Times New Roman" w:hAnsi="Times New Roman" w:cs="Times New Roman"/>
          <w:color w:val="FF0000"/>
          <w:sz w:val="24"/>
          <w:szCs w:val="24"/>
          <w:u w:val="single"/>
        </w:rPr>
        <w:t>cado en Politico observaba que “</w:t>
      </w:r>
      <w:r w:rsidRPr="00D400E9">
        <w:rPr>
          <w:rFonts w:ascii="Times New Roman" w:hAnsi="Times New Roman" w:cs="Times New Roman"/>
          <w:color w:val="FF0000"/>
          <w:sz w:val="24"/>
          <w:szCs w:val="24"/>
          <w:u w:val="single"/>
        </w:rPr>
        <w:t xml:space="preserve">También </w:t>
      </w:r>
      <w:r>
        <w:rPr>
          <w:rFonts w:ascii="Times New Roman" w:hAnsi="Times New Roman" w:cs="Times New Roman"/>
          <w:color w:val="FF0000"/>
          <w:sz w:val="24"/>
          <w:szCs w:val="24"/>
          <w:u w:val="single"/>
        </w:rPr>
        <w:t>existen motivos para creer que (</w:t>
      </w:r>
      <w:r w:rsidRPr="00D400E9">
        <w:rPr>
          <w:rFonts w:ascii="Times New Roman" w:hAnsi="Times New Roman" w:cs="Times New Roman"/>
          <w:color w:val="FF0000"/>
          <w:sz w:val="24"/>
          <w:szCs w:val="24"/>
          <w:u w:val="single"/>
        </w:rPr>
        <w:t>los economistas y lo</w:t>
      </w:r>
      <w:r>
        <w:rPr>
          <w:rFonts w:ascii="Times New Roman" w:hAnsi="Times New Roman" w:cs="Times New Roman"/>
          <w:color w:val="FF0000"/>
          <w:sz w:val="24"/>
          <w:szCs w:val="24"/>
          <w:u w:val="single"/>
        </w:rPr>
        <w:t>s responsables de las políticas</w:t>
      </w:r>
      <w:r w:rsidRPr="00D400E9">
        <w:rPr>
          <w:rFonts w:ascii="Times New Roman" w:hAnsi="Times New Roman" w:cs="Times New Roman"/>
          <w:color w:val="FF0000"/>
          <w:sz w:val="24"/>
          <w:szCs w:val="24"/>
          <w:u w:val="single"/>
        </w:rPr>
        <w:t xml:space="preserve"> que tranqu</w:t>
      </w:r>
      <w:r>
        <w:rPr>
          <w:rFonts w:ascii="Times New Roman" w:hAnsi="Times New Roman" w:cs="Times New Roman"/>
          <w:color w:val="FF0000"/>
          <w:sz w:val="24"/>
          <w:szCs w:val="24"/>
          <w:u w:val="single"/>
        </w:rPr>
        <w:t>ilizaban a los [norteamericanos)</w:t>
      </w:r>
      <w:r w:rsidRPr="00D400E9">
        <w:rPr>
          <w:rFonts w:ascii="Times New Roman" w:hAnsi="Times New Roman" w:cs="Times New Roman"/>
          <w:color w:val="FF0000"/>
          <w:sz w:val="24"/>
          <w:szCs w:val="24"/>
          <w:u w:val="single"/>
        </w:rPr>
        <w:t xml:space="preserve"> diciéndoles que la inflación sería transitoria, incluido el presidente de la Fed, Jerome Powell, podrían haber tenido algo de razón, aunque el período transitorio fue más prolongado y </w:t>
      </w:r>
      <w:r>
        <w:rPr>
          <w:rFonts w:ascii="Times New Roman" w:hAnsi="Times New Roman" w:cs="Times New Roman"/>
          <w:color w:val="FF0000"/>
          <w:sz w:val="24"/>
          <w:szCs w:val="24"/>
          <w:u w:val="single"/>
        </w:rPr>
        <w:t>más desagradable de lo esperado”</w:t>
      </w:r>
      <w:r w:rsidRPr="00D400E9">
        <w:rPr>
          <w:rFonts w:ascii="Times New Roman" w:hAnsi="Times New Roman" w:cs="Times New Roman"/>
          <w:color w:val="FF0000"/>
          <w:sz w:val="24"/>
          <w:szCs w:val="24"/>
          <w:u w:val="single"/>
        </w:rPr>
        <w:t>.</w:t>
      </w:r>
    </w:p>
    <w:p w:rsidR="007E3D39" w:rsidRPr="00D400E9" w:rsidRDefault="007E3D39" w:rsidP="007E3D39">
      <w:pPr>
        <w:shd w:val="clear" w:color="auto" w:fill="F9F8F2"/>
        <w:spacing w:before="100" w:beforeAutospacing="1" w:after="100" w:afterAutospacing="1" w:line="240" w:lineRule="auto"/>
        <w:ind w:left="240"/>
        <w:jc w:val="both"/>
        <w:rPr>
          <w:rFonts w:ascii="Times New Roman" w:hAnsi="Times New Roman" w:cs="Times New Roman"/>
          <w:color w:val="FF0000"/>
          <w:sz w:val="24"/>
          <w:szCs w:val="24"/>
          <w:u w:val="single"/>
        </w:rPr>
      </w:pPr>
      <w:r w:rsidRPr="00D400E9">
        <w:rPr>
          <w:rFonts w:ascii="Times New Roman" w:hAnsi="Times New Roman" w:cs="Times New Roman"/>
          <w:color w:val="FF0000"/>
          <w:sz w:val="24"/>
          <w:szCs w:val="24"/>
          <w:u w:val="single"/>
        </w:rPr>
        <w:t>Esto es lamentable. No solo impone una dimensión temporal en un concepto inherentemente conductual, sino que también ignora el hecho de que la respuesta inicialmente torpe de la Fed la obligó a implementar una de las series más agresivas y concentradas de alzas de las tasas de interés, incluidos cuatro incrementos consecutivos de 75 puntos básicos. Asimismo, si bien la inflación de Estados Unidos se ha venido desacelerando, es peligroso sugerir que hemos dejado el problema atrás.</w:t>
      </w:r>
    </w:p>
    <w:p w:rsidR="007E3D39" w:rsidRPr="00D400E9" w:rsidRDefault="007E3D39" w:rsidP="007E3D39">
      <w:pPr>
        <w:shd w:val="clear" w:color="auto" w:fill="F9F8F2"/>
        <w:spacing w:before="100" w:beforeAutospacing="1" w:after="100" w:afterAutospacing="1" w:line="240" w:lineRule="auto"/>
        <w:ind w:left="240"/>
        <w:jc w:val="both"/>
        <w:rPr>
          <w:rFonts w:ascii="Times New Roman" w:hAnsi="Times New Roman" w:cs="Times New Roman"/>
          <w:color w:val="FF0000"/>
          <w:sz w:val="24"/>
          <w:szCs w:val="24"/>
          <w:u w:val="single"/>
        </w:rPr>
      </w:pPr>
      <w:r w:rsidRPr="00D400E9">
        <w:rPr>
          <w:rFonts w:ascii="Times New Roman" w:hAnsi="Times New Roman" w:cs="Times New Roman"/>
          <w:color w:val="FF0000"/>
          <w:sz w:val="24"/>
          <w:szCs w:val="24"/>
          <w:u w:val="single"/>
        </w:rPr>
        <w:lastRenderedPageBreak/>
        <w:t xml:space="preserve">Al analizar lo que resta del año y los primeros meses de 2024, distingo tres posibilidades. La primera es una desinflación ordenada, también </w:t>
      </w:r>
      <w:r>
        <w:rPr>
          <w:rFonts w:ascii="Times New Roman" w:hAnsi="Times New Roman" w:cs="Times New Roman"/>
          <w:color w:val="FF0000"/>
          <w:sz w:val="24"/>
          <w:szCs w:val="24"/>
          <w:u w:val="single"/>
        </w:rPr>
        <w:t>conocida por los críticos como “desinflación inmaculada”</w:t>
      </w:r>
      <w:r w:rsidRPr="004152DD">
        <w:rPr>
          <w:rFonts w:ascii="Times New Roman" w:hAnsi="Times New Roman" w:cs="Times New Roman"/>
          <w:sz w:val="24"/>
          <w:szCs w:val="24"/>
        </w:rPr>
        <w:t xml:space="preserve">. En este escenario, la inflación sigue bajando sostenidamente hacia la meta del 2% de la Fed sin perjudicar el crecimiento económico y los empleos en Estados Unidos. La dinámica implica principalmente un mercado laboral que evita los aumentos salariales excesivos a la vez que sigue afianzando una actividad económica sólida. </w:t>
      </w:r>
      <w:r w:rsidRPr="00D400E9">
        <w:rPr>
          <w:rFonts w:ascii="Times New Roman" w:hAnsi="Times New Roman" w:cs="Times New Roman"/>
          <w:color w:val="FF0000"/>
          <w:sz w:val="24"/>
          <w:szCs w:val="24"/>
          <w:u w:val="single"/>
        </w:rPr>
        <w:t>Si se tiene en cuenta el resto de las cosas que están sucediendo en la economía, le asignaría una probabilidad a este escenario del 25%.</w:t>
      </w:r>
    </w:p>
    <w:p w:rsidR="007E3D39" w:rsidRPr="00706420" w:rsidRDefault="007E3D39" w:rsidP="007E3D39">
      <w:pPr>
        <w:shd w:val="clear" w:color="auto" w:fill="F9F8F2"/>
        <w:spacing w:before="100" w:beforeAutospacing="1" w:after="100" w:afterAutospacing="1" w:line="240" w:lineRule="auto"/>
        <w:ind w:left="240"/>
        <w:jc w:val="both"/>
        <w:rPr>
          <w:rFonts w:ascii="Times New Roman" w:hAnsi="Times New Roman" w:cs="Times New Roman"/>
          <w:color w:val="FF0000"/>
          <w:sz w:val="24"/>
          <w:szCs w:val="24"/>
          <w:u w:val="single"/>
        </w:rPr>
      </w:pPr>
      <w:r w:rsidRPr="00706420">
        <w:rPr>
          <w:rFonts w:ascii="Times New Roman" w:hAnsi="Times New Roman" w:cs="Times New Roman"/>
          <w:color w:val="FF0000"/>
          <w:sz w:val="24"/>
          <w:szCs w:val="24"/>
          <w:u w:val="single"/>
        </w:rPr>
        <w:t>En el segundo escenario, la inflación se empantana. La tasa de inflación sigue cayendo, pero luego se traba en un 3-4% en el segundo semestre de este año en tanto los precios de los bienes dejan de caer y la inflación de los servicios persiste</w:t>
      </w:r>
      <w:r w:rsidRPr="004152DD">
        <w:rPr>
          <w:rFonts w:ascii="Times New Roman" w:hAnsi="Times New Roman" w:cs="Times New Roman"/>
          <w:sz w:val="24"/>
          <w:szCs w:val="24"/>
        </w:rPr>
        <w:t xml:space="preserve">. </w:t>
      </w:r>
      <w:r w:rsidRPr="00706420">
        <w:rPr>
          <w:rFonts w:ascii="Times New Roman" w:hAnsi="Times New Roman" w:cs="Times New Roman"/>
          <w:sz w:val="24"/>
          <w:szCs w:val="24"/>
          <w:u w:val="single"/>
        </w:rPr>
        <w:t>Esto obligaría a la Fed a elegir entre destruir la economía para hacer bajar la inflación a su meta del 2%, ajustando la tasa objetivo para que sea más consistente con las condiciones cambiantes de la oferta, o esperar a ver si Estados Unidos puede vivir o no con una inflación estable del 3-4%.</w:t>
      </w:r>
      <w:r w:rsidRPr="004152DD">
        <w:rPr>
          <w:rFonts w:ascii="Times New Roman" w:hAnsi="Times New Roman" w:cs="Times New Roman"/>
          <w:sz w:val="24"/>
          <w:szCs w:val="24"/>
        </w:rPr>
        <w:t xml:space="preserve"> No sé cuál sería la elección de la Fed en este caso, pero </w:t>
      </w:r>
      <w:r w:rsidRPr="00706420">
        <w:rPr>
          <w:rFonts w:ascii="Times New Roman" w:hAnsi="Times New Roman" w:cs="Times New Roman"/>
          <w:color w:val="FF0000"/>
          <w:sz w:val="24"/>
          <w:szCs w:val="24"/>
          <w:u w:val="single"/>
        </w:rPr>
        <w:t>diría que la probabilidad de una inflación persistente de este tipo sería del 50%, de modo que espero que le haya dedicado tiempo a pensar en este escenario.</w:t>
      </w:r>
    </w:p>
    <w:p w:rsidR="007E3D39" w:rsidRPr="00706420" w:rsidRDefault="007E3D39" w:rsidP="007E3D39">
      <w:pPr>
        <w:shd w:val="clear" w:color="auto" w:fill="F9F8F2"/>
        <w:spacing w:before="100" w:beforeAutospacing="1" w:after="100" w:afterAutospacing="1" w:line="240" w:lineRule="auto"/>
        <w:ind w:left="240"/>
        <w:jc w:val="both"/>
        <w:rPr>
          <w:rFonts w:ascii="Times New Roman" w:hAnsi="Times New Roman" w:cs="Times New Roman"/>
          <w:color w:val="FF0000"/>
          <w:sz w:val="24"/>
          <w:szCs w:val="24"/>
          <w:u w:val="single"/>
        </w:rPr>
      </w:pPr>
      <w:r w:rsidRPr="00706420">
        <w:rPr>
          <w:rFonts w:ascii="Times New Roman" w:hAnsi="Times New Roman" w:cs="Times New Roman"/>
          <w:color w:val="FF0000"/>
          <w:sz w:val="24"/>
          <w:szCs w:val="24"/>
          <w:u w:val="single"/>
        </w:rPr>
        <w:t xml:space="preserve">Por último, está la posibilidad </w:t>
      </w:r>
      <w:r>
        <w:rPr>
          <w:rFonts w:ascii="Times New Roman" w:hAnsi="Times New Roman" w:cs="Times New Roman"/>
          <w:color w:val="FF0000"/>
          <w:sz w:val="24"/>
          <w:szCs w:val="24"/>
          <w:u w:val="single"/>
        </w:rPr>
        <w:t>de lo que podemos definir como “inflación en U”</w:t>
      </w:r>
      <w:r w:rsidRPr="00706420">
        <w:rPr>
          <w:rFonts w:ascii="Times New Roman" w:hAnsi="Times New Roman" w:cs="Times New Roman"/>
          <w:color w:val="FF0000"/>
          <w:sz w:val="24"/>
          <w:szCs w:val="24"/>
          <w:u w:val="single"/>
        </w:rPr>
        <w:t>: los precios vuelven a subir a fines de este año y en 2024, en tanto una economía china totalmente recuperada y el mercado laboral estadounidense sólido generan, simultáneamente, una inflación persistente de los servicios y precios más elevados de los bienes. Diría que la probabilidad de este desenlace es del 25%.</w:t>
      </w:r>
    </w:p>
    <w:p w:rsidR="007E3D39" w:rsidRPr="00706420" w:rsidRDefault="007E3D39" w:rsidP="007E3D39">
      <w:pPr>
        <w:shd w:val="clear" w:color="auto" w:fill="F9F8F2"/>
        <w:spacing w:before="100" w:beforeAutospacing="1" w:after="100" w:afterAutospacing="1" w:line="240" w:lineRule="auto"/>
        <w:jc w:val="both"/>
        <w:rPr>
          <w:rFonts w:ascii="Times New Roman" w:hAnsi="Times New Roman" w:cs="Times New Roman"/>
          <w:color w:val="FF0000"/>
          <w:sz w:val="24"/>
          <w:szCs w:val="24"/>
          <w:u w:val="single"/>
        </w:rPr>
      </w:pPr>
      <w:r w:rsidRPr="004152DD">
        <w:rPr>
          <w:rFonts w:ascii="Times New Roman" w:hAnsi="Times New Roman" w:cs="Times New Roman"/>
          <w:sz w:val="24"/>
          <w:szCs w:val="24"/>
        </w:rPr>
        <w:t xml:space="preserve">Esto no tiene que ver simplemente con múltiples escenarios sin que alguno se imponga. También tiene que ver con probabilidades que se deben analizar con cautela. El exsecretario del Tesoro de Estados Unidos </w:t>
      </w:r>
      <w:r w:rsidRPr="00706420">
        <w:rPr>
          <w:rFonts w:ascii="Times New Roman" w:hAnsi="Times New Roman" w:cs="Times New Roman"/>
          <w:color w:val="FF0000"/>
          <w:sz w:val="24"/>
          <w:szCs w:val="24"/>
          <w:u w:val="single"/>
        </w:rPr>
        <w:t>Lawrence H. Summers captó bien el humor prevaleci</w:t>
      </w:r>
      <w:r>
        <w:rPr>
          <w:rFonts w:ascii="Times New Roman" w:hAnsi="Times New Roman" w:cs="Times New Roman"/>
          <w:color w:val="FF0000"/>
          <w:sz w:val="24"/>
          <w:szCs w:val="24"/>
          <w:u w:val="single"/>
        </w:rPr>
        <w:t>ente entre muchos economistas: “</w:t>
      </w:r>
      <w:r w:rsidRPr="00706420">
        <w:rPr>
          <w:rFonts w:ascii="Times New Roman" w:hAnsi="Times New Roman" w:cs="Times New Roman"/>
          <w:color w:val="FF0000"/>
          <w:sz w:val="24"/>
          <w:szCs w:val="24"/>
          <w:u w:val="single"/>
        </w:rPr>
        <w:t>No recuerdo una e</w:t>
      </w:r>
      <w:r>
        <w:rPr>
          <w:rFonts w:ascii="Times New Roman" w:hAnsi="Times New Roman" w:cs="Times New Roman"/>
          <w:color w:val="FF0000"/>
          <w:sz w:val="24"/>
          <w:szCs w:val="24"/>
          <w:u w:val="single"/>
        </w:rPr>
        <w:t>conomía tan difícil de entender”</w:t>
      </w:r>
      <w:r w:rsidRPr="00706420">
        <w:rPr>
          <w:rFonts w:ascii="Times New Roman" w:hAnsi="Times New Roman" w:cs="Times New Roman"/>
          <w:color w:val="FF0000"/>
          <w:sz w:val="24"/>
          <w:szCs w:val="24"/>
          <w:u w:val="single"/>
        </w:rPr>
        <w:t>, dijo recientemente.</w:t>
      </w:r>
    </w:p>
    <w:p w:rsidR="007E3D39" w:rsidRPr="00706420" w:rsidRDefault="007E3D39" w:rsidP="007E3D39">
      <w:pPr>
        <w:shd w:val="clear" w:color="auto" w:fill="F9F8F2"/>
        <w:spacing w:before="100" w:beforeAutospacing="1" w:after="100" w:afterAutospacing="1" w:line="240" w:lineRule="auto"/>
        <w:jc w:val="both"/>
        <w:rPr>
          <w:rFonts w:ascii="Times New Roman" w:hAnsi="Times New Roman" w:cs="Times New Roman"/>
          <w:color w:val="FF0000"/>
          <w:sz w:val="24"/>
          <w:szCs w:val="24"/>
          <w:u w:val="single"/>
        </w:rPr>
      </w:pPr>
      <w:r w:rsidRPr="00706420">
        <w:rPr>
          <w:rFonts w:ascii="Times New Roman" w:hAnsi="Times New Roman" w:cs="Times New Roman"/>
          <w:color w:val="FF0000"/>
          <w:sz w:val="24"/>
          <w:szCs w:val="24"/>
          <w:u w:val="single"/>
        </w:rPr>
        <w:t>Esta sensación de incertidumbre es evidente en la perspectiva de corto plazo para la actividad económica, los precios y la política monetaria, así como los cambios estructurales de largo plazo como la transición a una energía limpia, la reprogramación de las cadenas de suministro globales y la naturaleza cambiante de la globalización. Las tensiones políticas agudizadas también inciden.</w:t>
      </w:r>
    </w:p>
    <w:p w:rsidR="007E3D39" w:rsidRPr="00706420" w:rsidRDefault="007E3D39" w:rsidP="007E3D39">
      <w:pPr>
        <w:shd w:val="clear" w:color="auto" w:fill="F9F8F2"/>
        <w:spacing w:before="100" w:beforeAutospacing="1" w:after="100" w:afterAutospacing="1" w:line="240" w:lineRule="auto"/>
        <w:jc w:val="both"/>
        <w:rPr>
          <w:rFonts w:ascii="Times New Roman" w:hAnsi="Times New Roman" w:cs="Times New Roman"/>
          <w:sz w:val="24"/>
          <w:szCs w:val="24"/>
          <w:u w:val="single"/>
        </w:rPr>
      </w:pPr>
      <w:r w:rsidRPr="00706420">
        <w:rPr>
          <w:rFonts w:ascii="Times New Roman" w:hAnsi="Times New Roman" w:cs="Times New Roman"/>
          <w:color w:val="FF0000"/>
          <w:sz w:val="24"/>
          <w:szCs w:val="24"/>
          <w:u w:val="single"/>
        </w:rPr>
        <w:t>Más allá de lo que suceda, lo peor que podemos hacer es volver a caer en la complacencia. Powell, un paladín de la</w:t>
      </w:r>
      <w:r>
        <w:rPr>
          <w:rFonts w:ascii="Times New Roman" w:hAnsi="Times New Roman" w:cs="Times New Roman"/>
          <w:color w:val="FF0000"/>
          <w:sz w:val="24"/>
          <w:szCs w:val="24"/>
          <w:u w:val="single"/>
        </w:rPr>
        <w:t xml:space="preserve"> “inflación transitoria”</w:t>
      </w:r>
      <w:r w:rsidRPr="00706420">
        <w:rPr>
          <w:rFonts w:ascii="Times New Roman" w:hAnsi="Times New Roman" w:cs="Times New Roman"/>
          <w:color w:val="FF0000"/>
          <w:sz w:val="24"/>
          <w:szCs w:val="24"/>
          <w:u w:val="single"/>
        </w:rPr>
        <w:t xml:space="preserve"> durante demasiado tiempo, ahora advierte en contra de ella</w:t>
      </w:r>
      <w:r>
        <w:rPr>
          <w:rFonts w:ascii="Times New Roman" w:hAnsi="Times New Roman" w:cs="Times New Roman"/>
          <w:sz w:val="24"/>
          <w:szCs w:val="24"/>
          <w:u w:val="single"/>
        </w:rPr>
        <w:t>. “Hubo una expectativa de que la (inflación)</w:t>
      </w:r>
      <w:r w:rsidRPr="00706420">
        <w:rPr>
          <w:rFonts w:ascii="Times New Roman" w:hAnsi="Times New Roman" w:cs="Times New Roman"/>
          <w:sz w:val="24"/>
          <w:szCs w:val="24"/>
          <w:u w:val="single"/>
        </w:rPr>
        <w:t xml:space="preserve"> desaparecería rápidamente, sin causar mayores problemas, pero no creo que s</w:t>
      </w:r>
      <w:r>
        <w:rPr>
          <w:rFonts w:ascii="Times New Roman" w:hAnsi="Times New Roman" w:cs="Times New Roman"/>
          <w:sz w:val="24"/>
          <w:szCs w:val="24"/>
          <w:u w:val="single"/>
        </w:rPr>
        <w:t>ea algo que se pueda garantizar”</w:t>
      </w:r>
      <w:r w:rsidRPr="00706420">
        <w:rPr>
          <w:rFonts w:ascii="Times New Roman" w:hAnsi="Times New Roman" w:cs="Times New Roman"/>
          <w:sz w:val="24"/>
          <w:szCs w:val="24"/>
          <w:u w:val="single"/>
        </w:rPr>
        <w:t>, dijo recientemente</w:t>
      </w:r>
      <w:r>
        <w:rPr>
          <w:rFonts w:ascii="Times New Roman" w:hAnsi="Times New Roman" w:cs="Times New Roman"/>
          <w:sz w:val="24"/>
          <w:szCs w:val="24"/>
          <w:u w:val="single"/>
        </w:rPr>
        <w:t>. “</w:t>
      </w:r>
      <w:r w:rsidRPr="00706420">
        <w:rPr>
          <w:rFonts w:ascii="Times New Roman" w:hAnsi="Times New Roman" w:cs="Times New Roman"/>
          <w:sz w:val="24"/>
          <w:szCs w:val="24"/>
          <w:u w:val="single"/>
        </w:rPr>
        <w:t>La hipótesis de base, para mí, es que llevará algún tiempo. Y tendremos que hacer a</w:t>
      </w:r>
      <w:r>
        <w:rPr>
          <w:rFonts w:ascii="Times New Roman" w:hAnsi="Times New Roman" w:cs="Times New Roman"/>
          <w:sz w:val="24"/>
          <w:szCs w:val="24"/>
          <w:u w:val="single"/>
        </w:rPr>
        <w:t>lgo más que aumentar las tasas…”</w:t>
      </w:r>
      <w:r w:rsidRPr="00706420">
        <w:rPr>
          <w:rFonts w:ascii="Times New Roman" w:hAnsi="Times New Roman" w:cs="Times New Roman"/>
          <w:sz w:val="24"/>
          <w:szCs w:val="24"/>
          <w:u w:val="single"/>
        </w:rPr>
        <w:t>.</w:t>
      </w:r>
    </w:p>
    <w:p w:rsidR="007E3D39" w:rsidRPr="004152DD" w:rsidRDefault="007E3D39" w:rsidP="007E3D39">
      <w:pPr>
        <w:shd w:val="clear" w:color="auto" w:fill="F9F8F2"/>
        <w:spacing w:before="100" w:beforeAutospacing="1" w:after="100" w:afterAutospacing="1" w:line="240" w:lineRule="auto"/>
        <w:jc w:val="both"/>
        <w:rPr>
          <w:rFonts w:ascii="Times New Roman" w:hAnsi="Times New Roman" w:cs="Times New Roman"/>
          <w:sz w:val="24"/>
          <w:szCs w:val="24"/>
        </w:rPr>
      </w:pPr>
      <w:r w:rsidRPr="004152DD">
        <w:rPr>
          <w:rFonts w:ascii="Times New Roman" w:hAnsi="Times New Roman" w:cs="Times New Roman"/>
          <w:sz w:val="24"/>
          <w:szCs w:val="24"/>
        </w:rPr>
        <w:t xml:space="preserve">Los discursos económicos simplistas, especialmente aquellos tranquilizadores que seducen a quienes buscan atajos, muchas veces confunden más de lo que esclarecen. Esto es lo que sucedió con la postura de la inflación transitoria que, si bien fue refutada en 2021-22, hoy vuelve a aparecer. Sucede lo mismo con quienes predicen con un alto grado de confianza una recesión en Estados Unidos (no estoy en ese bando), solo para </w:t>
      </w:r>
      <w:r>
        <w:rPr>
          <w:rFonts w:ascii="Times New Roman" w:hAnsi="Times New Roman" w:cs="Times New Roman"/>
          <w:sz w:val="24"/>
          <w:szCs w:val="24"/>
        </w:rPr>
        <w:t>desestimarla diciendo que será “breve y poco profunda”</w:t>
      </w:r>
      <w:r w:rsidRPr="004152DD">
        <w:rPr>
          <w:rFonts w:ascii="Times New Roman" w:hAnsi="Times New Roman" w:cs="Times New Roman"/>
          <w:sz w:val="24"/>
          <w:szCs w:val="24"/>
        </w:rPr>
        <w:t xml:space="preserve"> para recuperar su zona de confort económico.</w:t>
      </w:r>
    </w:p>
    <w:p w:rsidR="007E3D39" w:rsidRDefault="007E3D39" w:rsidP="007E3D39">
      <w:pPr>
        <w:shd w:val="clear" w:color="auto" w:fill="F9F8F2"/>
        <w:spacing w:before="100" w:beforeAutospacing="1" w:after="100" w:afterAutospacing="1"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4152DD">
        <w:rPr>
          <w:rFonts w:ascii="Times New Roman" w:hAnsi="Times New Roman" w:cs="Times New Roman"/>
          <w:sz w:val="24"/>
          <w:szCs w:val="24"/>
        </w:rPr>
        <w:t>Mohamed A. El-Erian, presidente del Queens' College en la Universidad de Cambridge, es profesor en la Escuela Wharton de la Universidad de Pensilvania y autor de The Only Game in Town: Central Banks, Instability, and Avoiding the Next Collapse (Random House</w:t>
      </w:r>
      <w:r>
        <w:rPr>
          <w:rFonts w:ascii="Times New Roman" w:hAnsi="Times New Roman" w:cs="Times New Roman"/>
          <w:sz w:val="24"/>
          <w:szCs w:val="24"/>
        </w:rPr>
        <w:t>, 2016))</w:t>
      </w:r>
    </w:p>
    <w:p w:rsidR="007E3D39" w:rsidRDefault="007E3D39" w:rsidP="007E3D39">
      <w:pPr>
        <w:spacing w:line="240" w:lineRule="auto"/>
        <w:jc w:val="both"/>
        <w:rPr>
          <w:rFonts w:ascii="Times New Roman" w:hAnsi="Times New Roman" w:cs="Times New Roman"/>
          <w:sz w:val="24"/>
          <w:szCs w:val="24"/>
        </w:rPr>
      </w:pPr>
      <w:r w:rsidRPr="00434EB4">
        <w:rPr>
          <w:rFonts w:ascii="Times New Roman" w:hAnsi="Times New Roman" w:cs="Times New Roman"/>
          <w:noProof/>
          <w:color w:val="191919"/>
          <w:sz w:val="24"/>
          <w:szCs w:val="24"/>
          <w:lang w:eastAsia="es-ES"/>
        </w:rPr>
        <w:drawing>
          <wp:inline distT="0" distB="0" distL="0" distR="0" wp14:anchorId="49AED9F2" wp14:editId="53EBF3F3">
            <wp:extent cx="5731510" cy="2683510"/>
            <wp:effectExtent l="0" t="0" r="2540" b="2540"/>
            <wp:docPr id="115" name="Imagen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5731510" cy="2683510"/>
                    </a:xfrm>
                    <a:prstGeom prst="rect">
                      <a:avLst/>
                    </a:prstGeom>
                  </pic:spPr>
                </pic:pic>
              </a:graphicData>
            </a:graphic>
          </wp:inline>
        </w:drawing>
      </w:r>
    </w:p>
    <w:p w:rsidR="007E3D39" w:rsidRDefault="007E3D39" w:rsidP="007E3D39">
      <w:pPr>
        <w:pStyle w:val="bbc-hhl7in"/>
        <w:shd w:val="clear" w:color="auto" w:fill="FDFDFD"/>
        <w:spacing w:before="0" w:beforeAutospacing="0" w:after="0" w:afterAutospacing="0"/>
        <w:jc w:val="both"/>
      </w:pPr>
      <w:r>
        <w:t xml:space="preserve">(Fuente: Cinco Días - </w:t>
      </w:r>
      <w:r w:rsidRPr="00675C81">
        <w:rPr>
          <w:b/>
        </w:rPr>
        <w:t>24/2/23</w:t>
      </w:r>
      <w:r>
        <w:t>)</w:t>
      </w:r>
    </w:p>
    <w:p w:rsidR="007E3D39" w:rsidRDefault="007E3D39" w:rsidP="007E3D39">
      <w:pPr>
        <w:pStyle w:val="bbc-hhl7in"/>
        <w:shd w:val="clear" w:color="auto" w:fill="FDFDFD"/>
        <w:spacing w:before="0" w:beforeAutospacing="0" w:after="0" w:afterAutospacing="0"/>
        <w:jc w:val="both"/>
      </w:pPr>
    </w:p>
    <w:p w:rsidR="007E3D39" w:rsidRPr="009D0C45"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9D0C45">
        <w:rPr>
          <w:rFonts w:ascii="Times New Roman" w:hAnsi="Times New Roman" w:cs="Times New Roman"/>
          <w:sz w:val="24"/>
          <w:szCs w:val="24"/>
          <w:u w:val="single"/>
        </w:rPr>
        <w:t>El BCE revela los tres criterios que determinarán las subidas de los tipos de interés a partir de marzo</w:t>
      </w:r>
      <w:r>
        <w:rPr>
          <w:rFonts w:ascii="Times New Roman" w:hAnsi="Times New Roman" w:cs="Times New Roman"/>
          <w:sz w:val="24"/>
          <w:szCs w:val="24"/>
        </w:rPr>
        <w:t xml:space="preserve"> (El Economista - </w:t>
      </w:r>
      <w:r w:rsidRPr="009D0C45">
        <w:rPr>
          <w:rFonts w:ascii="Times New Roman" w:hAnsi="Times New Roman" w:cs="Times New Roman"/>
          <w:b/>
          <w:sz w:val="24"/>
          <w:szCs w:val="24"/>
        </w:rPr>
        <w:t>28/2/23</w:t>
      </w:r>
      <w:r>
        <w:rPr>
          <w:rFonts w:ascii="Times New Roman" w:hAnsi="Times New Roman" w:cs="Times New Roman"/>
          <w:sz w:val="24"/>
          <w:szCs w:val="24"/>
        </w:rPr>
        <w:t>)</w:t>
      </w:r>
    </w:p>
    <w:p w:rsidR="007E3D39" w:rsidRPr="009D0C45"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9D0C45">
        <w:rPr>
          <w:rFonts w:ascii="Times New Roman" w:hAnsi="Times New Roman" w:cs="Times New Roman"/>
          <w:sz w:val="24"/>
          <w:szCs w:val="24"/>
        </w:rPr>
        <w:t>Vicente Nieves</w:t>
      </w:r>
      <w:r>
        <w:rPr>
          <w:rFonts w:ascii="Times New Roman" w:hAnsi="Times New Roman" w:cs="Times New Roman"/>
          <w:sz w:val="24"/>
          <w:szCs w:val="24"/>
        </w:rPr>
        <w:t>)</w:t>
      </w:r>
    </w:p>
    <w:p w:rsidR="007E3D39" w:rsidRPr="009D0C45" w:rsidRDefault="007E3D39" w:rsidP="007E3D39">
      <w:pPr>
        <w:spacing w:line="240" w:lineRule="auto"/>
        <w:jc w:val="both"/>
        <w:rPr>
          <w:rFonts w:ascii="Times New Roman" w:hAnsi="Times New Roman" w:cs="Times New Roman"/>
          <w:sz w:val="24"/>
          <w:szCs w:val="24"/>
        </w:rPr>
      </w:pPr>
      <w:r w:rsidRPr="009D0C45">
        <w:rPr>
          <w:rFonts w:ascii="Times New Roman" w:hAnsi="Times New Roman" w:cs="Times New Roman"/>
          <w:sz w:val="24"/>
          <w:szCs w:val="24"/>
        </w:rPr>
        <w:t>La hoja de ruta del Banco Central Europeo (BCE) se ha llenado de tachones y modificaciones en el último año. La imprevisible fuerza de la inflación ha obligado al banco central a incumplir lo que hasta 2021 parecía un documento sagrado que se debía seguir al pie de la letra, para preservar la credibilidad del BCE. Para evitar nuevos pasos en falso, el BCE ha cambiado de estrategia. Aunque en la reunión de marzo se ha comunicado que la subida de tipos será de 50 puntos básicos (es un trato hecho), de ahí en adelante los movimientos de la institución monetaria vendrán predefinidos por tres criterios que, como suele ser habitual, no destacan por su claridad: el BCE decidirá reunión a reunión qué</w:t>
      </w:r>
      <w:r>
        <w:rPr>
          <w:rFonts w:ascii="Times New Roman" w:hAnsi="Times New Roman" w:cs="Times New Roman"/>
          <w:sz w:val="24"/>
          <w:szCs w:val="24"/>
        </w:rPr>
        <w:t xml:space="preserve"> pasos tomar a partir de marzo…</w:t>
      </w:r>
    </w:p>
    <w:p w:rsidR="007E3D39" w:rsidRPr="009D0C45" w:rsidRDefault="007E3D39" w:rsidP="007E3D39">
      <w:pPr>
        <w:spacing w:line="240" w:lineRule="auto"/>
        <w:jc w:val="both"/>
        <w:rPr>
          <w:rFonts w:ascii="Times New Roman" w:hAnsi="Times New Roman" w:cs="Times New Roman"/>
          <w:sz w:val="24"/>
          <w:szCs w:val="24"/>
        </w:rPr>
      </w:pPr>
      <w:r w:rsidRPr="009D0C45">
        <w:rPr>
          <w:rFonts w:ascii="Times New Roman" w:hAnsi="Times New Roman" w:cs="Times New Roman"/>
          <w:sz w:val="24"/>
          <w:szCs w:val="24"/>
        </w:rPr>
        <w:t>Lane ha detallado cada criterio en una entrevista que ha concedido a la agencia Reuters (replicada por el BCE al completo) después de confirmar que la deci</w:t>
      </w:r>
      <w:r>
        <w:rPr>
          <w:rFonts w:ascii="Times New Roman" w:hAnsi="Times New Roman" w:cs="Times New Roman"/>
          <w:sz w:val="24"/>
          <w:szCs w:val="24"/>
        </w:rPr>
        <w:t>sión de marzo ya está cerrada: “</w:t>
      </w:r>
      <w:r w:rsidRPr="009D0C45">
        <w:rPr>
          <w:rFonts w:ascii="Times New Roman" w:hAnsi="Times New Roman" w:cs="Times New Roman"/>
          <w:sz w:val="24"/>
          <w:szCs w:val="24"/>
        </w:rPr>
        <w:t>Nuestra evaluación de diciembre sigue siendo sólida: necesitábamos una secuencia de alzas de 50 puntos básicos para entrar en una zona en la que tendremos que pensar más detenidamente si los tipos son lo suficientemente restrictivos para que la inflación regrese al 2%. El flujo de datos desde entonces sugiere que la evaluación es sólida, que necesitamos o</w:t>
      </w:r>
      <w:r>
        <w:rPr>
          <w:rFonts w:ascii="Times New Roman" w:hAnsi="Times New Roman" w:cs="Times New Roman"/>
          <w:sz w:val="24"/>
          <w:szCs w:val="24"/>
        </w:rPr>
        <w:t>tros 50 puntos básicos en marzo”</w:t>
      </w:r>
      <w:r w:rsidRPr="009D0C45">
        <w:rPr>
          <w:rFonts w:ascii="Times New Roman" w:hAnsi="Times New Roman" w:cs="Times New Roman"/>
          <w:sz w:val="24"/>
          <w:szCs w:val="24"/>
        </w:rPr>
        <w:t>.</w:t>
      </w:r>
    </w:p>
    <w:p w:rsidR="007E3D39" w:rsidRPr="007B2F43" w:rsidRDefault="007E3D39" w:rsidP="007E3D39">
      <w:pPr>
        <w:spacing w:line="240" w:lineRule="auto"/>
        <w:jc w:val="both"/>
        <w:rPr>
          <w:rFonts w:ascii="Times New Roman" w:hAnsi="Times New Roman" w:cs="Times New Roman"/>
          <w:sz w:val="24"/>
          <w:szCs w:val="24"/>
        </w:rPr>
      </w:pPr>
      <w:r w:rsidRPr="00D20A56">
        <w:rPr>
          <w:rFonts w:ascii="Times New Roman" w:hAnsi="Times New Roman" w:cs="Times New Roman"/>
          <w:sz w:val="24"/>
          <w:szCs w:val="24"/>
          <w:u w:val="single"/>
        </w:rPr>
        <w:t>El BCE comenzó a subir los tipos de interés en julio de 2021</w:t>
      </w:r>
      <w:r w:rsidRPr="009D0C45">
        <w:rPr>
          <w:rFonts w:ascii="Times New Roman" w:hAnsi="Times New Roman" w:cs="Times New Roman"/>
          <w:sz w:val="24"/>
          <w:szCs w:val="24"/>
        </w:rPr>
        <w:t xml:space="preserve">. Desde entonces, el alza del precio del dinero ha sumado 300 puntos básicos (pb) y ha dejado el precio del dinero en el 2,5% (la tasa de depósito). Aunque esta subida de tipos ya ha comenzado a tener impacto en la inflación (según el propio BCE), aún queda un largo camino por delante hasta que los precios vuelvan de forma sostenible al nivel del 2%. Los próximos meses serán definitivos, </w:t>
      </w:r>
      <w:r w:rsidRPr="009D0C45">
        <w:rPr>
          <w:rFonts w:ascii="Times New Roman" w:hAnsi="Times New Roman" w:cs="Times New Roman"/>
          <w:sz w:val="24"/>
          <w:szCs w:val="24"/>
        </w:rPr>
        <w:lastRenderedPageBreak/>
        <w:t xml:space="preserve">puesto que el BCE podría llevar los tipos hasta alcanzar su máximo histórico. </w:t>
      </w:r>
      <w:r w:rsidRPr="00D20A56">
        <w:rPr>
          <w:rFonts w:ascii="Times New Roman" w:hAnsi="Times New Roman" w:cs="Times New Roman"/>
          <w:sz w:val="24"/>
          <w:szCs w:val="24"/>
          <w:u w:val="single"/>
        </w:rPr>
        <w:t>El mercado descuenta que el precio del dinero llegará al 4%, la cuestión es cómo y cuándo</w:t>
      </w:r>
      <w:r w:rsidRPr="007B2F43">
        <w:rPr>
          <w:rFonts w:ascii="Times New Roman" w:hAnsi="Times New Roman" w:cs="Times New Roman"/>
          <w:sz w:val="24"/>
          <w:szCs w:val="24"/>
        </w:rPr>
        <w:t>…</w:t>
      </w:r>
    </w:p>
    <w:p w:rsidR="007E3D39" w:rsidRPr="009D0C45" w:rsidRDefault="007E3D39" w:rsidP="007E3D39">
      <w:pPr>
        <w:spacing w:line="240" w:lineRule="auto"/>
        <w:jc w:val="both"/>
        <w:rPr>
          <w:rFonts w:ascii="Times New Roman" w:hAnsi="Times New Roman" w:cs="Times New Roman"/>
          <w:sz w:val="24"/>
          <w:szCs w:val="24"/>
        </w:rPr>
      </w:pPr>
      <w:r w:rsidRPr="009D0C45">
        <w:rPr>
          <w:rFonts w:ascii="Times New Roman" w:hAnsi="Times New Roman" w:cs="Times New Roman"/>
          <w:sz w:val="24"/>
          <w:szCs w:val="24"/>
        </w:rPr>
        <w:t>¿Qué pasará después de marzo?</w:t>
      </w:r>
    </w:p>
    <w:p w:rsidR="007E3D39" w:rsidRPr="00D20A56" w:rsidRDefault="007E3D39" w:rsidP="007E3D3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D20A56">
        <w:rPr>
          <w:rFonts w:ascii="Times New Roman" w:hAnsi="Times New Roman" w:cs="Times New Roman"/>
          <w:color w:val="FF0000"/>
          <w:sz w:val="24"/>
          <w:szCs w:val="24"/>
          <w:u w:val="single"/>
        </w:rPr>
        <w:t>Hay tres criterios para determinar qué sucederá después: un elemento son nuestras proyecciones de inflación, y aquí me refiero a todo el camino, no solo al punto final. El segundo es el progreso en relación con la inflación subyacente, y el tercero es una evaluación de la fuerza y la rapidez con que está funciona</w:t>
      </w:r>
      <w:r>
        <w:rPr>
          <w:rFonts w:ascii="Times New Roman" w:hAnsi="Times New Roman" w:cs="Times New Roman"/>
          <w:color w:val="FF0000"/>
          <w:sz w:val="24"/>
          <w:szCs w:val="24"/>
          <w:u w:val="single"/>
        </w:rPr>
        <w:t>ndo el endurecimiento monetario”</w:t>
      </w:r>
      <w:r w:rsidRPr="00D20A56">
        <w:rPr>
          <w:rFonts w:ascii="Times New Roman" w:hAnsi="Times New Roman" w:cs="Times New Roman"/>
          <w:color w:val="FF0000"/>
          <w:sz w:val="24"/>
          <w:szCs w:val="24"/>
          <w:u w:val="single"/>
        </w:rPr>
        <w:t>, ha destacado Lane en la entrevista con Reuters.</w:t>
      </w:r>
    </w:p>
    <w:p w:rsidR="007E3D39" w:rsidRPr="009D0C45" w:rsidRDefault="007E3D39" w:rsidP="007E3D39">
      <w:pPr>
        <w:spacing w:line="240" w:lineRule="auto"/>
        <w:jc w:val="both"/>
        <w:rPr>
          <w:rFonts w:ascii="Times New Roman" w:hAnsi="Times New Roman" w:cs="Times New Roman"/>
          <w:sz w:val="24"/>
          <w:szCs w:val="24"/>
        </w:rPr>
      </w:pPr>
      <w:r w:rsidRPr="009D0C45">
        <w:rPr>
          <w:rFonts w:ascii="Times New Roman" w:hAnsi="Times New Roman" w:cs="Times New Roman"/>
          <w:sz w:val="24"/>
          <w:szCs w:val="24"/>
        </w:rPr>
        <w:t>-</w:t>
      </w:r>
      <w:r w:rsidRPr="00D20A56">
        <w:rPr>
          <w:rFonts w:ascii="Times New Roman" w:hAnsi="Times New Roman" w:cs="Times New Roman"/>
          <w:color w:val="FF0000"/>
          <w:sz w:val="24"/>
          <w:szCs w:val="24"/>
        </w:rPr>
        <w:t>Proyección de la inflación</w:t>
      </w:r>
      <w:r w:rsidRPr="009D0C45">
        <w:rPr>
          <w:rFonts w:ascii="Times New Roman" w:hAnsi="Times New Roman" w:cs="Times New Roman"/>
          <w:sz w:val="24"/>
          <w:szCs w:val="24"/>
        </w:rPr>
        <w:t>. Con respecto a la previsión sobre la inflación, Lane asegura q</w:t>
      </w:r>
      <w:r>
        <w:rPr>
          <w:rFonts w:ascii="Times New Roman" w:hAnsi="Times New Roman" w:cs="Times New Roman"/>
          <w:sz w:val="24"/>
          <w:szCs w:val="24"/>
        </w:rPr>
        <w:t>ue se trata de tener en cuenta “</w:t>
      </w:r>
      <w:r w:rsidRPr="009D0C45">
        <w:rPr>
          <w:rFonts w:ascii="Times New Roman" w:hAnsi="Times New Roman" w:cs="Times New Roman"/>
          <w:sz w:val="24"/>
          <w:szCs w:val="24"/>
        </w:rPr>
        <w:t>la desviación acumulada del objetivo. Cualquier desviación del objetivo es costosa en términos de cumplimiento de nuestro mandato. Entonces, cuanto mayor y más larga sea la desviación material del 2%, eso es significativo, además de la velocidad pronosticada de conver</w:t>
      </w:r>
      <w:r>
        <w:rPr>
          <w:rFonts w:ascii="Times New Roman" w:hAnsi="Times New Roman" w:cs="Times New Roman"/>
          <w:sz w:val="24"/>
          <w:szCs w:val="24"/>
        </w:rPr>
        <w:t>gencia hacia nuestro objetivo”…</w:t>
      </w:r>
    </w:p>
    <w:p w:rsidR="007E3D39" w:rsidRPr="009D0C45" w:rsidRDefault="007E3D39" w:rsidP="007E3D39">
      <w:pPr>
        <w:spacing w:line="240" w:lineRule="auto"/>
        <w:jc w:val="both"/>
        <w:rPr>
          <w:rFonts w:ascii="Times New Roman" w:hAnsi="Times New Roman" w:cs="Times New Roman"/>
          <w:sz w:val="24"/>
          <w:szCs w:val="24"/>
        </w:rPr>
      </w:pPr>
      <w:r w:rsidRPr="009D0C45">
        <w:rPr>
          <w:rFonts w:ascii="Times New Roman" w:hAnsi="Times New Roman" w:cs="Times New Roman"/>
          <w:sz w:val="24"/>
          <w:szCs w:val="24"/>
        </w:rPr>
        <w:t>-</w:t>
      </w:r>
      <w:r w:rsidRPr="00D20A56">
        <w:rPr>
          <w:rFonts w:ascii="Times New Roman" w:hAnsi="Times New Roman" w:cs="Times New Roman"/>
          <w:color w:val="FF0000"/>
          <w:sz w:val="24"/>
          <w:szCs w:val="24"/>
        </w:rPr>
        <w:t>La inflación subyacente y sus componentes</w:t>
      </w:r>
      <w:r>
        <w:rPr>
          <w:rFonts w:ascii="Times New Roman" w:hAnsi="Times New Roman" w:cs="Times New Roman"/>
          <w:sz w:val="24"/>
          <w:szCs w:val="24"/>
        </w:rPr>
        <w:t>. “</w:t>
      </w:r>
      <w:r w:rsidRPr="009D0C45">
        <w:rPr>
          <w:rFonts w:ascii="Times New Roman" w:hAnsi="Times New Roman" w:cs="Times New Roman"/>
          <w:sz w:val="24"/>
          <w:szCs w:val="24"/>
        </w:rPr>
        <w:t>En cuanto a la inflación subyacente (el segundo criterio), también debemos observar los resultados reales, porque los modelos de previsión son limitados, lo que es aún más cierto ahora, dada la volatilidad y los shocks que hemos visto. Así que todos estamos suscritos al criterio de que es importante ver un progreso suficiente en la inflación subyacente. La cuestión es cómo interpreta</w:t>
      </w:r>
      <w:r>
        <w:rPr>
          <w:rFonts w:ascii="Times New Roman" w:hAnsi="Times New Roman" w:cs="Times New Roman"/>
          <w:sz w:val="24"/>
          <w:szCs w:val="24"/>
        </w:rPr>
        <w:t>r ese criterio”, destaca Lane…</w:t>
      </w:r>
    </w:p>
    <w:p w:rsidR="007E3D39" w:rsidRPr="009D0C45" w:rsidRDefault="007E3D39" w:rsidP="007E3D39">
      <w:pPr>
        <w:spacing w:line="240" w:lineRule="auto"/>
        <w:jc w:val="both"/>
        <w:rPr>
          <w:rFonts w:ascii="Times New Roman" w:hAnsi="Times New Roman" w:cs="Times New Roman"/>
          <w:sz w:val="24"/>
          <w:szCs w:val="24"/>
        </w:rPr>
      </w:pPr>
      <w:r w:rsidRPr="009D0C45">
        <w:rPr>
          <w:rFonts w:ascii="Times New Roman" w:hAnsi="Times New Roman" w:cs="Times New Roman"/>
          <w:sz w:val="24"/>
          <w:szCs w:val="24"/>
        </w:rPr>
        <w:t>-</w:t>
      </w:r>
      <w:r w:rsidRPr="00D20A56">
        <w:rPr>
          <w:rFonts w:ascii="Times New Roman" w:hAnsi="Times New Roman" w:cs="Times New Roman"/>
          <w:color w:val="FF0000"/>
          <w:sz w:val="24"/>
          <w:szCs w:val="24"/>
        </w:rPr>
        <w:t>La transmisión de la política monetaria</w:t>
      </w:r>
      <w:r w:rsidRPr="009D0C45">
        <w:rPr>
          <w:rFonts w:ascii="Times New Roman" w:hAnsi="Times New Roman" w:cs="Times New Roman"/>
          <w:sz w:val="24"/>
          <w:szCs w:val="24"/>
        </w:rPr>
        <w:t xml:space="preserve">. El último criterio para decidir qué hacer con los tipos de interés es la velocidad y la violencia con la que se están filtrando los tipos de interés a la economía real y los mercados. Por ahora, el impacto ha sido más que visible en los mercados y las curvas de tipos de los bonos soberanos. Sin embargo, en la economía real el impacto ha sido algo más ambiguo, pero desde el BCE esperan que la filtración se </w:t>
      </w:r>
      <w:r>
        <w:rPr>
          <w:rFonts w:ascii="Times New Roman" w:hAnsi="Times New Roman" w:cs="Times New Roman"/>
          <w:sz w:val="24"/>
          <w:szCs w:val="24"/>
        </w:rPr>
        <w:t>produzca en los próximos meses…</w:t>
      </w:r>
    </w:p>
    <w:p w:rsidR="007E3D39" w:rsidRDefault="007E3D39" w:rsidP="007E3D39">
      <w:pPr>
        <w:spacing w:line="240" w:lineRule="auto"/>
        <w:jc w:val="both"/>
        <w:rPr>
          <w:rFonts w:ascii="Times New Roman" w:hAnsi="Times New Roman" w:cs="Times New Roman"/>
          <w:color w:val="FF0000"/>
          <w:sz w:val="24"/>
          <w:szCs w:val="24"/>
          <w:u w:val="single"/>
        </w:rPr>
      </w:pPr>
      <w:r w:rsidRPr="00D20A56">
        <w:rPr>
          <w:rFonts w:ascii="Times New Roman" w:hAnsi="Times New Roman" w:cs="Times New Roman"/>
          <w:color w:val="FF0000"/>
          <w:sz w:val="24"/>
          <w:szCs w:val="24"/>
          <w:u w:val="single"/>
        </w:rPr>
        <w:t>De la velocidad y la potencia de esta transmisión de la política monetaria dependerá si el BCE lleva los tipos de interés más lejos; el tamaño de las próximas subidas o cuánto tiempo deberán mantenerse los tipos de interés en un nivel relativamente elevado. Si la trans</w:t>
      </w:r>
      <w:r>
        <w:rPr>
          <w:rFonts w:ascii="Times New Roman" w:hAnsi="Times New Roman" w:cs="Times New Roman"/>
          <w:color w:val="FF0000"/>
          <w:sz w:val="24"/>
          <w:szCs w:val="24"/>
          <w:u w:val="single"/>
        </w:rPr>
        <w:t>misión se produce de una forma “violenta”</w:t>
      </w:r>
      <w:r w:rsidRPr="00D20A56">
        <w:rPr>
          <w:rFonts w:ascii="Times New Roman" w:hAnsi="Times New Roman" w:cs="Times New Roman"/>
          <w:color w:val="FF0000"/>
          <w:sz w:val="24"/>
          <w:szCs w:val="24"/>
          <w:u w:val="single"/>
        </w:rPr>
        <w:t>, que golpea con intensidad la demanda de bienes y servicios; provoca grandes caídas en el precio de la vivienda y pone coto a las subidas de los salarios; el BCE podría dar por finalizadas las subidas de tipos antes de lo previsto. Si eso no sucede o sucede lo contrario, Christine Lagarde y su equipo tendrán que seguir endurecimiento la política monetaria.</w:t>
      </w:r>
    </w:p>
    <w:p w:rsidR="007E3D39" w:rsidRPr="00403074" w:rsidRDefault="007E3D39" w:rsidP="007E3D39">
      <w:pPr>
        <w:pStyle w:val="NormalWeb"/>
        <w:shd w:val="clear" w:color="auto" w:fill="FFFFFF"/>
        <w:spacing w:after="360"/>
        <w:jc w:val="both"/>
        <w:rPr>
          <w:u w:val="single"/>
        </w:rPr>
      </w:pPr>
      <w:r w:rsidRPr="00403074">
        <w:rPr>
          <w:u w:val="single"/>
        </w:rPr>
        <w:t>El gran temor del BCE se hace realidad: la mutación de la inflación es ya casi imparable</w:t>
      </w:r>
    </w:p>
    <w:p w:rsidR="007E3D39" w:rsidRPr="00E55E31" w:rsidRDefault="007E3D39" w:rsidP="007E3D39">
      <w:pPr>
        <w:pStyle w:val="NormalWeb"/>
        <w:shd w:val="clear" w:color="auto" w:fill="FFFFFF"/>
        <w:spacing w:after="360"/>
        <w:jc w:val="both"/>
        <w:rPr>
          <w:color w:val="FF0000"/>
        </w:rPr>
      </w:pPr>
      <w:r w:rsidRPr="00E55E31">
        <w:rPr>
          <w:color w:val="FF0000"/>
        </w:rPr>
        <w:t>El BCE lo admite: “Lo que comenzó siendo un “shock” de oferta ahora es de demanda”</w:t>
      </w:r>
    </w:p>
    <w:p w:rsidR="007E3D39" w:rsidRPr="00E55E31" w:rsidRDefault="007E3D39" w:rsidP="007E3D39">
      <w:pPr>
        <w:pStyle w:val="NormalWeb"/>
        <w:shd w:val="clear" w:color="auto" w:fill="FFFFFF"/>
        <w:spacing w:after="360"/>
        <w:jc w:val="both"/>
        <w:rPr>
          <w:color w:val="FF0000"/>
        </w:rPr>
      </w:pPr>
      <w:r w:rsidRPr="00E55E31">
        <w:rPr>
          <w:color w:val="FF0000"/>
        </w:rPr>
        <w:t>La inflación se ha filtrado desde los bienes hacia los servicios, mucho más “pegajosos”</w:t>
      </w:r>
    </w:p>
    <w:p w:rsidR="007E3D39" w:rsidRPr="00E55E31" w:rsidRDefault="007E3D39" w:rsidP="007E3D39">
      <w:pPr>
        <w:pStyle w:val="NormalWeb"/>
        <w:shd w:val="clear" w:color="auto" w:fill="FFFFFF"/>
        <w:spacing w:before="0" w:beforeAutospacing="0" w:after="360" w:afterAutospacing="0"/>
        <w:jc w:val="both"/>
        <w:rPr>
          <w:color w:val="FF0000"/>
        </w:rPr>
      </w:pPr>
      <w:r w:rsidRPr="00E55E31">
        <w:rPr>
          <w:color w:val="FF0000"/>
        </w:rPr>
        <w:t>El BCE tendrá que hacer más para combatir a la mutación del monstruo</w:t>
      </w:r>
    </w:p>
    <w:p w:rsidR="007E3D39" w:rsidRPr="00E55E31" w:rsidRDefault="007E3D39" w:rsidP="007E3D39">
      <w:pPr>
        <w:pStyle w:val="NormalWeb"/>
        <w:shd w:val="clear" w:color="auto" w:fill="FFFFFF"/>
        <w:spacing w:after="360"/>
        <w:jc w:val="both"/>
        <w:rPr>
          <w:color w:val="FF0000"/>
        </w:rPr>
      </w:pPr>
      <w:r w:rsidRPr="00E55E31">
        <w:rPr>
          <w:color w:val="FF0000"/>
        </w:rPr>
        <w:t>Como señala la Organización para la Cooperación y el Desarrollo Económicos, la inflación ya está por todas partes</w:t>
      </w:r>
    </w:p>
    <w:p w:rsidR="007E3D39" w:rsidRPr="00403074" w:rsidRDefault="007E3D39" w:rsidP="007E3D39">
      <w:pPr>
        <w:pStyle w:val="NormalWeb"/>
        <w:shd w:val="clear" w:color="auto" w:fill="FFFFFF"/>
        <w:spacing w:before="0" w:beforeAutospacing="0" w:after="360" w:afterAutospacing="0"/>
        <w:jc w:val="both"/>
        <w:rPr>
          <w:lang w:val="en-US"/>
        </w:rPr>
      </w:pPr>
      <w:r>
        <w:rPr>
          <w:noProof/>
        </w:rPr>
        <w:lastRenderedPageBreak/>
        <w:drawing>
          <wp:inline distT="0" distB="0" distL="0" distR="0" wp14:anchorId="13AA969E" wp14:editId="1260EE76">
            <wp:extent cx="5731510" cy="6141731"/>
            <wp:effectExtent l="0" t="0" r="2540" b="0"/>
            <wp:docPr id="61" name="Imagen 61" descr="https://s03.s3c.es/imag/_v0/2310x2475/d/b/b/Inflacion-ocd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2310x2475/d/b/b/Inflacion-ocde.gif"/>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31510" cy="6141731"/>
                    </a:xfrm>
                    <a:prstGeom prst="rect">
                      <a:avLst/>
                    </a:prstGeom>
                    <a:noFill/>
                    <a:ln>
                      <a:noFill/>
                    </a:ln>
                  </pic:spPr>
                </pic:pic>
              </a:graphicData>
            </a:graphic>
          </wp:inline>
        </w:drawing>
      </w:r>
    </w:p>
    <w:p w:rsidR="007E3D39" w:rsidRPr="002043F8" w:rsidRDefault="007E3D39" w:rsidP="007E3D39">
      <w:pPr>
        <w:pStyle w:val="NormalWeb"/>
        <w:shd w:val="clear" w:color="auto" w:fill="FFFFFF"/>
        <w:spacing w:before="0" w:beforeAutospacing="0" w:after="360" w:afterAutospacing="0"/>
        <w:jc w:val="both"/>
      </w:pPr>
      <w:r w:rsidRPr="002043F8">
        <w:t xml:space="preserve">(Fuente: El Economista - </w:t>
      </w:r>
      <w:r w:rsidRPr="002043F8">
        <w:rPr>
          <w:b/>
        </w:rPr>
        <w:t>4/3/23</w:t>
      </w:r>
      <w:r w:rsidRPr="002043F8">
        <w:t>)</w:t>
      </w:r>
    </w:p>
    <w:p w:rsidR="007E3D39" w:rsidRDefault="007E3D39" w:rsidP="007E3D39">
      <w:pPr>
        <w:pStyle w:val="NormalWeb"/>
        <w:shd w:val="clear" w:color="auto" w:fill="FFFFFF"/>
        <w:spacing w:after="360"/>
        <w:jc w:val="both"/>
      </w:pPr>
      <w:r>
        <w:t>La inflación ha “contaminado” toda la cesta del consumidor</w:t>
      </w:r>
    </w:p>
    <w:p w:rsidR="007E3D39" w:rsidRPr="00E55E31" w:rsidRDefault="007E3D39" w:rsidP="007E3D39">
      <w:pPr>
        <w:pStyle w:val="NormalWeb"/>
        <w:shd w:val="clear" w:color="auto" w:fill="FFFFFF"/>
        <w:spacing w:after="360"/>
        <w:jc w:val="both"/>
        <w:rPr>
          <w:color w:val="FF0000"/>
          <w:u w:val="single"/>
        </w:rPr>
      </w:pPr>
      <w:r w:rsidRPr="00E55E31">
        <w:rPr>
          <w:color w:val="FF0000"/>
          <w:u w:val="single"/>
        </w:rPr>
        <w:t>Esta inflación, la de los servicios y los salarios, es la que resulta más “pegajosa” (difícil de reducir). Es una inflación conducida por la demanda (más que por la oferta) y que tiene su origen en un mercado laboral fuerte y en unos salarios al alza, y su reflejo está en la subida de la inflación subyacente, que se encuentra en la zona euro en máximos históricos.</w:t>
      </w:r>
    </w:p>
    <w:p w:rsidR="007E3D39" w:rsidRDefault="007E3D39" w:rsidP="007E3D39">
      <w:pPr>
        <w:pStyle w:val="NormalWeb"/>
        <w:shd w:val="clear" w:color="auto" w:fill="FFFFFF"/>
        <w:spacing w:after="360"/>
        <w:jc w:val="both"/>
      </w:pPr>
      <w:r>
        <w:t>La inflación subyacente se dispara</w:t>
      </w:r>
    </w:p>
    <w:p w:rsidR="007E3D39" w:rsidRDefault="007E3D39" w:rsidP="007E3D39">
      <w:pPr>
        <w:pStyle w:val="NormalWeb"/>
        <w:shd w:val="clear" w:color="auto" w:fill="FFFFFF"/>
        <w:spacing w:after="360"/>
        <w:jc w:val="both"/>
      </w:pPr>
      <w:r>
        <w:t xml:space="preserve">Cuando se conoció el dato de inflación preliminar de febrero en la eurozona, se constató que el índice de precios al consumidor (IPC) se relajó menos de lo esperado, apenas una décima </w:t>
      </w:r>
      <w:r>
        <w:lastRenderedPageBreak/>
        <w:t>en comparación con enero, al 8,5% interanual. Por tanto, la referencia fue peor de lo anticipado por los analistas. Lo mismo sucedió en los días anteriores en tres de las mayores potencias de la región (Alemania, Francia y España), y es que solo Italia dio una agradable sorpresa con la reducción de su IPC armonizado con la zona euro.</w:t>
      </w:r>
    </w:p>
    <w:p w:rsidR="007E3D39" w:rsidRDefault="007E3D39" w:rsidP="007E3D39">
      <w:pPr>
        <w:pStyle w:val="NormalWeb"/>
        <w:shd w:val="clear" w:color="auto" w:fill="FFFFFF"/>
        <w:spacing w:after="360"/>
        <w:jc w:val="both"/>
      </w:pPr>
      <w:r w:rsidRPr="00403074">
        <w:rPr>
          <w:noProof/>
        </w:rPr>
        <w:drawing>
          <wp:inline distT="0" distB="0" distL="0" distR="0" wp14:anchorId="0D6615CA" wp14:editId="205EA540">
            <wp:extent cx="5727700" cy="3981450"/>
            <wp:effectExtent l="0" t="0" r="6350" b="0"/>
            <wp:docPr id="75" name="Imagen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731510" cy="3984098"/>
                    </a:xfrm>
                    <a:prstGeom prst="rect">
                      <a:avLst/>
                    </a:prstGeom>
                  </pic:spPr>
                </pic:pic>
              </a:graphicData>
            </a:graphic>
          </wp:inline>
        </w:drawing>
      </w:r>
    </w:p>
    <w:p w:rsidR="007E3D39" w:rsidRPr="00D47825" w:rsidRDefault="007E3D39" w:rsidP="007E3D39">
      <w:pPr>
        <w:pStyle w:val="NormalWeb"/>
        <w:shd w:val="clear" w:color="auto" w:fill="FFFFFF"/>
        <w:spacing w:after="360"/>
        <w:jc w:val="both"/>
      </w:pPr>
      <w:r w:rsidRPr="00E55E31">
        <w:rPr>
          <w:color w:val="FF0000"/>
          <w:u w:val="single"/>
        </w:rPr>
        <w:t>En todo caso, los precios siguen subiendo en Europa y se resisten a ceder, afectando de forma directa a los bolsillos de las familias del Viejo Continente. Y no parece que la situación vaya a cambiar pronto</w:t>
      </w:r>
      <w:r w:rsidRPr="00D47825">
        <w:t>. El presidente del banco central de Alemania (Bundesbank), Joachim Nagel, advirtió el miércoles en declaraciones a CNBC que la inflación en el país germano se mantendrá “en niveles muy elevados” al menos “durante los dos próximos meses”, con la perspectiva de que “pueda bajar hasta cierto punto” en la segunda mitad del año.</w:t>
      </w:r>
    </w:p>
    <w:p w:rsidR="007E3D39" w:rsidRPr="00E55E31" w:rsidRDefault="007E3D39" w:rsidP="007E3D39">
      <w:pPr>
        <w:pStyle w:val="NormalWeb"/>
        <w:shd w:val="clear" w:color="auto" w:fill="FFFFFF"/>
        <w:spacing w:after="360"/>
        <w:jc w:val="both"/>
        <w:rPr>
          <w:color w:val="FF0000"/>
          <w:u w:val="single"/>
        </w:rPr>
      </w:pPr>
      <w:r w:rsidRPr="00E55E31">
        <w:rPr>
          <w:color w:val="FF0000"/>
          <w:u w:val="single"/>
        </w:rPr>
        <w:t>El BCE admite ya abiertamente este cambio de la inflación, como se puede comprobar en las actas del propio banco central: “Se está viendo una mayor demanda de actividades de ocio. El aumento de los salarios y la reciente caída en la inflación de los precios de la energía están aliviando la pérdida de poder adquisitivo que muchas personas habían experimentado debido a la alta inflación. Esto, a su vez, está apoyando el consumo”.</w:t>
      </w:r>
    </w:p>
    <w:p w:rsidR="007E3D39" w:rsidRPr="00D47825" w:rsidRDefault="007E3D39" w:rsidP="007E3D39">
      <w:pPr>
        <w:pStyle w:val="NormalWeb"/>
        <w:shd w:val="clear" w:color="auto" w:fill="FFFFFF"/>
        <w:spacing w:after="360"/>
        <w:jc w:val="both"/>
      </w:pPr>
      <w:r w:rsidRPr="00D47825">
        <w:t>La economía parece estar acelerándose gracias a unos salarios al alza y a un mercado laboral muy fuerte, lo que está transformando el fenómeno de la inflación que está dejando de ser de oferta para ser una inflación conducida por la demanda.</w:t>
      </w:r>
    </w:p>
    <w:p w:rsidR="007E3D39" w:rsidRPr="00E55E31" w:rsidRDefault="007E3D39" w:rsidP="007E3D39">
      <w:pPr>
        <w:pStyle w:val="NormalWeb"/>
        <w:shd w:val="clear" w:color="auto" w:fill="FFFFFF"/>
        <w:spacing w:after="360"/>
        <w:jc w:val="both"/>
        <w:rPr>
          <w:color w:val="FF0000"/>
          <w:u w:val="single"/>
        </w:rPr>
      </w:pPr>
      <w:r w:rsidRPr="00E55E31">
        <w:rPr>
          <w:color w:val="FF0000"/>
          <w:u w:val="single"/>
        </w:rPr>
        <w:t xml:space="preserve">El Banco Central Europeo reconoce que “las presiones de la demanda han aumentado y las presiones salariales también se incrementan a raíz de las negociaciones salariales que están cada vez más influenciadas por las altas tasas de inflación actuales o pasadas y la continua escasez de mano de obra. Además, la mayor duración de los contratos salariales, el aumento </w:t>
      </w:r>
      <w:r w:rsidRPr="00E55E31">
        <w:rPr>
          <w:color w:val="FF0000"/>
          <w:u w:val="single"/>
        </w:rPr>
        <w:lastRenderedPageBreak/>
        <w:t>de los salarios mínimos y la fijación escalonada de salarios podrían conducir a una mayor persistencia del crecimiento de los salarios. En este sentido, el BCE subrayó en su última reunión que las presiones inflacionarias se venían ampliando desde hace algún tiempo, por lo que el motor del proceso inflacionario ya no era un shock inflacionario puro del lado de la oferta. Aunque el aumento de la inflación comenzó con un shock de oferta, se ha convertido en un tipo de inflación más del lado de la demanda, lo que hizo que la inflación fuera más persistente”…</w:t>
      </w:r>
    </w:p>
    <w:p w:rsidR="007E3D39" w:rsidRDefault="007E3D39" w:rsidP="007E3D39">
      <w:pPr>
        <w:spacing w:line="240" w:lineRule="auto"/>
        <w:jc w:val="both"/>
        <w:rPr>
          <w:rFonts w:ascii="Times New Roman" w:hAnsi="Times New Roman" w:cs="Times New Roman"/>
          <w:sz w:val="24"/>
          <w:szCs w:val="24"/>
          <w:lang w:val="en-US"/>
        </w:rPr>
      </w:pPr>
      <w:r w:rsidRPr="007F4F22">
        <w:rPr>
          <w:rFonts w:ascii="Times New Roman" w:hAnsi="Times New Roman" w:cs="Times New Roman"/>
          <w:noProof/>
          <w:sz w:val="24"/>
          <w:szCs w:val="24"/>
          <w:lang w:eastAsia="es-ES"/>
        </w:rPr>
        <w:drawing>
          <wp:inline distT="0" distB="0" distL="0" distR="0" wp14:anchorId="05B3C615" wp14:editId="5CC2C6A7">
            <wp:extent cx="4572000" cy="533400"/>
            <wp:effectExtent l="0" t="0" r="0" b="0"/>
            <wp:docPr id="62" name="Imagen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4572639" cy="533474"/>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lang w:val="en-US"/>
        </w:rPr>
      </w:pPr>
      <w:r w:rsidRPr="007F4F22">
        <w:rPr>
          <w:rFonts w:ascii="Times New Roman" w:hAnsi="Times New Roman" w:cs="Times New Roman"/>
          <w:noProof/>
          <w:sz w:val="24"/>
          <w:szCs w:val="24"/>
          <w:lang w:eastAsia="es-ES"/>
        </w:rPr>
        <w:drawing>
          <wp:inline distT="0" distB="0" distL="0" distR="0" wp14:anchorId="764054BA" wp14:editId="1CFF55EA">
            <wp:extent cx="5010150" cy="5314950"/>
            <wp:effectExtent l="0" t="0" r="0" b="0"/>
            <wp:docPr id="63" name="Imagen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010850" cy="5315693"/>
                    </a:xfrm>
                    <a:prstGeom prst="rect">
                      <a:avLst/>
                    </a:prstGeom>
                  </pic:spPr>
                </pic:pic>
              </a:graphicData>
            </a:graphic>
          </wp:inline>
        </w:drawing>
      </w:r>
      <w:r w:rsidRPr="007F4F22">
        <w:rPr>
          <w:rFonts w:ascii="Times New Roman" w:hAnsi="Times New Roman" w:cs="Times New Roman"/>
          <w:noProof/>
          <w:sz w:val="24"/>
          <w:szCs w:val="24"/>
          <w:lang w:eastAsia="es-ES"/>
        </w:rPr>
        <w:drawing>
          <wp:inline distT="0" distB="0" distL="0" distR="0" wp14:anchorId="0A8FACAE" wp14:editId="44E04B4E">
            <wp:extent cx="5295900" cy="1244600"/>
            <wp:effectExtent l="0" t="0" r="0" b="0"/>
            <wp:docPr id="131" name="Imagen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5302262" cy="1246095"/>
                    </a:xfrm>
                    <a:prstGeom prst="rect">
                      <a:avLst/>
                    </a:prstGeom>
                  </pic:spPr>
                </pic:pic>
              </a:graphicData>
            </a:graphic>
          </wp:inline>
        </w:drawing>
      </w:r>
    </w:p>
    <w:p w:rsidR="007E3D39" w:rsidRPr="00E55E31" w:rsidRDefault="007E3D39" w:rsidP="007E3D39">
      <w:pPr>
        <w:spacing w:line="240" w:lineRule="auto"/>
        <w:jc w:val="both"/>
        <w:rPr>
          <w:rFonts w:ascii="Times New Roman" w:hAnsi="Times New Roman" w:cs="Times New Roman"/>
          <w:color w:val="FF0000"/>
          <w:sz w:val="24"/>
          <w:szCs w:val="24"/>
        </w:rPr>
      </w:pPr>
      <w:r w:rsidRPr="00E55E31">
        <w:rPr>
          <w:rFonts w:ascii="Times New Roman" w:hAnsi="Times New Roman" w:cs="Times New Roman"/>
          <w:color w:val="FF0000"/>
          <w:sz w:val="24"/>
          <w:szCs w:val="24"/>
        </w:rPr>
        <w:lastRenderedPageBreak/>
        <w:t>El gasto público de los países de la UE creció 363.000 millones en 2021</w:t>
      </w:r>
    </w:p>
    <w:p w:rsidR="007E3D39" w:rsidRPr="00E55E31" w:rsidRDefault="007E3D39" w:rsidP="007E3D39">
      <w:pPr>
        <w:spacing w:line="240" w:lineRule="auto"/>
        <w:jc w:val="both"/>
        <w:rPr>
          <w:rFonts w:ascii="Times New Roman" w:hAnsi="Times New Roman" w:cs="Times New Roman"/>
          <w:color w:val="FF0000"/>
          <w:sz w:val="24"/>
          <w:szCs w:val="24"/>
        </w:rPr>
      </w:pPr>
      <w:r w:rsidRPr="00E55E31">
        <w:rPr>
          <w:rFonts w:ascii="Times New Roman" w:hAnsi="Times New Roman" w:cs="Times New Roman"/>
          <w:color w:val="FF0000"/>
          <w:sz w:val="24"/>
          <w:szCs w:val="24"/>
        </w:rPr>
        <w:t>Los datos de Eurostat reflejan una caída en la inversión con respecto al PIB</w:t>
      </w:r>
    </w:p>
    <w:p w:rsidR="007E3D39" w:rsidRPr="00E55E31" w:rsidRDefault="007E3D39" w:rsidP="007E3D39">
      <w:pPr>
        <w:spacing w:line="240" w:lineRule="auto"/>
        <w:jc w:val="both"/>
        <w:rPr>
          <w:rFonts w:ascii="Times New Roman" w:hAnsi="Times New Roman" w:cs="Times New Roman"/>
          <w:color w:val="FF0000"/>
          <w:sz w:val="24"/>
          <w:szCs w:val="24"/>
        </w:rPr>
      </w:pPr>
      <w:r w:rsidRPr="00E55E31">
        <w:rPr>
          <w:rFonts w:ascii="Times New Roman" w:hAnsi="Times New Roman" w:cs="Times New Roman"/>
          <w:color w:val="FF0000"/>
          <w:sz w:val="24"/>
          <w:szCs w:val="24"/>
        </w:rPr>
        <w:t>La Protección Social y la Sanidad suponen el 55,7% del gasto total de la Unión Europea</w:t>
      </w:r>
    </w:p>
    <w:p w:rsidR="007E3D39" w:rsidRPr="007F4F22" w:rsidRDefault="007E3D39" w:rsidP="007E3D39">
      <w:pPr>
        <w:spacing w:line="240" w:lineRule="auto"/>
        <w:jc w:val="both"/>
        <w:rPr>
          <w:rFonts w:ascii="Times New Roman" w:hAnsi="Times New Roman" w:cs="Times New Roman"/>
          <w:sz w:val="24"/>
          <w:szCs w:val="24"/>
        </w:rPr>
      </w:pPr>
      <w:r w:rsidRPr="007F4F22">
        <w:rPr>
          <w:rFonts w:ascii="Times New Roman" w:hAnsi="Times New Roman" w:cs="Times New Roman"/>
          <w:sz w:val="24"/>
          <w:szCs w:val="24"/>
        </w:rPr>
        <w:t>Según los datos de la Agencia Europea de Estadística (Eurostat), En 2021, el gasto total de las administraciones públicas de la Unión Europ</w:t>
      </w:r>
      <w:r>
        <w:rPr>
          <w:rFonts w:ascii="Times New Roman" w:hAnsi="Times New Roman" w:cs="Times New Roman"/>
          <w:sz w:val="24"/>
          <w:szCs w:val="24"/>
        </w:rPr>
        <w:t>ea se situó en el 51,5% del PIB</w:t>
      </w:r>
      <w:r w:rsidRPr="007F4F22">
        <w:rPr>
          <w:rFonts w:ascii="Times New Roman" w:hAnsi="Times New Roman" w:cs="Times New Roman"/>
          <w:sz w:val="24"/>
          <w:szCs w:val="24"/>
        </w:rPr>
        <w:t>, un gran aumento en comparación con 2019, cuando se situó en el 46,6% del PIB, pero una disminución en comparación con 2020, cuando se situó en el 52,8% del Producto Interior Bruto (PIB). En 2021, la relación entre el gasto total del gobierno general y el PIB aún se vio influenciada por la pandemia de la pandemia y las medidas gubernamentales para mitigar sus efectos. La disminución de la ratio en comparación con el año anterior (52,8%) se debió principalmente a los aumentos del PIB, mientras que se siguió observando un crecimiento del gasto total (7.475 mil millones de euros en 2021 frente a 7.111 mil millones en 2020; un aumento de 364 mil millones, creci</w:t>
      </w:r>
      <w:r>
        <w:rPr>
          <w:rFonts w:ascii="Times New Roman" w:hAnsi="Times New Roman" w:cs="Times New Roman"/>
          <w:sz w:val="24"/>
          <w:szCs w:val="24"/>
        </w:rPr>
        <w:t>endo 5,1% con respecto a 2020).</w:t>
      </w:r>
    </w:p>
    <w:p w:rsidR="007E3D39" w:rsidRPr="007F4F22" w:rsidRDefault="007E3D39" w:rsidP="007E3D39">
      <w:pPr>
        <w:spacing w:line="240" w:lineRule="auto"/>
        <w:jc w:val="both"/>
        <w:rPr>
          <w:rFonts w:ascii="Times New Roman" w:hAnsi="Times New Roman" w:cs="Times New Roman"/>
          <w:sz w:val="24"/>
          <w:szCs w:val="24"/>
        </w:rPr>
      </w:pPr>
      <w:r w:rsidRPr="007F4F22">
        <w:rPr>
          <w:rFonts w:ascii="Times New Roman" w:hAnsi="Times New Roman" w:cs="Times New Roman"/>
          <w:sz w:val="24"/>
          <w:szCs w:val="24"/>
        </w:rPr>
        <w:t>Según los último datos disponibles de 2021, más de la mitad del gasto por función económica se destinó a Protección Social (39,9% del gasto total) y Sanidad (15,8%), lo que supuso un 20,5% y un 8,1% del PIB respectivamente. Las otras funciones del gasto público con una gran proporción del gasto público son Asuntos Económicos (12,3% del gasto total o 6,3% del PIB), Servicios Públicos Generales (11,7% del gasto total o 6,0% del PIB) y Educación (9,4% d</w:t>
      </w:r>
      <w:r>
        <w:rPr>
          <w:rFonts w:ascii="Times New Roman" w:hAnsi="Times New Roman" w:cs="Times New Roman"/>
          <w:sz w:val="24"/>
          <w:szCs w:val="24"/>
        </w:rPr>
        <w:t>el gasto total o 4,8% del PIB).</w:t>
      </w:r>
    </w:p>
    <w:p w:rsidR="007E3D39" w:rsidRPr="007F4F22" w:rsidRDefault="007E3D39" w:rsidP="007E3D39">
      <w:pPr>
        <w:spacing w:line="240" w:lineRule="auto"/>
        <w:jc w:val="both"/>
        <w:rPr>
          <w:rFonts w:ascii="Times New Roman" w:hAnsi="Times New Roman" w:cs="Times New Roman"/>
          <w:sz w:val="24"/>
          <w:szCs w:val="24"/>
        </w:rPr>
      </w:pPr>
      <w:r w:rsidRPr="007F4F22">
        <w:rPr>
          <w:rFonts w:ascii="Times New Roman" w:hAnsi="Times New Roman" w:cs="Times New Roman"/>
          <w:sz w:val="24"/>
          <w:szCs w:val="24"/>
        </w:rPr>
        <w:t>Entre los Veintisiet</w:t>
      </w:r>
      <w:r>
        <w:rPr>
          <w:rFonts w:ascii="Times New Roman" w:hAnsi="Times New Roman" w:cs="Times New Roman"/>
          <w:sz w:val="24"/>
          <w:szCs w:val="24"/>
        </w:rPr>
        <w:t xml:space="preserve">e, los niveles más altos de </w:t>
      </w:r>
      <w:r w:rsidRPr="007F4F22">
        <w:rPr>
          <w:rFonts w:ascii="Times New Roman" w:hAnsi="Times New Roman" w:cs="Times New Roman"/>
          <w:sz w:val="24"/>
          <w:szCs w:val="24"/>
        </w:rPr>
        <w:t>gasto p</w:t>
      </w:r>
      <w:r w:rsidR="00E92717">
        <w:rPr>
          <w:rFonts w:ascii="Times New Roman" w:hAnsi="Times New Roman" w:cs="Times New Roman"/>
          <w:sz w:val="24"/>
          <w:szCs w:val="24"/>
        </w:rPr>
        <w:t xml:space="preserve">úblico con respecto al PIB se </w:t>
      </w:r>
      <w:r w:rsidRPr="007F4F22">
        <w:rPr>
          <w:rFonts w:ascii="Times New Roman" w:hAnsi="Times New Roman" w:cs="Times New Roman"/>
          <w:sz w:val="24"/>
          <w:szCs w:val="24"/>
        </w:rPr>
        <w:t xml:space="preserve"> encontraron en Francia (59,0% del PIB), seguida de Grecia (57,4%), Austria (56,0%), Finlandia (55,6%) , Bélgica (55,5%) e Italia (55,3%), mientras que los niveles más bajos se encuentran en Irlanda (24,8% del PIB), Lituania (37,5%), Rumanía (39,8%) y Bulgaria (40,6%).</w:t>
      </w:r>
    </w:p>
    <w:p w:rsidR="007E3D39" w:rsidRPr="00C77DE9" w:rsidRDefault="007E3D39" w:rsidP="007E3D39">
      <w:pPr>
        <w:spacing w:line="240" w:lineRule="auto"/>
        <w:jc w:val="both"/>
        <w:rPr>
          <w:rFonts w:ascii="Times New Roman" w:hAnsi="Times New Roman" w:cs="Times New Roman"/>
          <w:sz w:val="24"/>
          <w:szCs w:val="24"/>
        </w:rPr>
      </w:pPr>
      <w:r w:rsidRPr="00C77DE9">
        <w:rPr>
          <w:rFonts w:ascii="Times New Roman" w:hAnsi="Times New Roman" w:cs="Times New Roman"/>
          <w:sz w:val="24"/>
          <w:szCs w:val="24"/>
        </w:rPr>
        <w:t xml:space="preserve">(Fuente: El Economista - </w:t>
      </w:r>
      <w:r w:rsidRPr="00C77DE9">
        <w:rPr>
          <w:rFonts w:ascii="Times New Roman" w:hAnsi="Times New Roman" w:cs="Times New Roman"/>
          <w:b/>
          <w:sz w:val="24"/>
          <w:szCs w:val="24"/>
        </w:rPr>
        <w:t>6/3/23</w:t>
      </w:r>
      <w:r w:rsidRPr="00C77DE9">
        <w:rPr>
          <w:rFonts w:ascii="Times New Roman" w:hAnsi="Times New Roman" w:cs="Times New Roman"/>
          <w:sz w:val="24"/>
          <w:szCs w:val="24"/>
        </w:rPr>
        <w:t>)</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429C9">
        <w:rPr>
          <w:rFonts w:ascii="Times New Roman" w:hAnsi="Times New Roman" w:cs="Times New Roman"/>
          <w:sz w:val="24"/>
          <w:szCs w:val="24"/>
        </w:rPr>
        <w:t>¿</w:t>
      </w:r>
      <w:r w:rsidRPr="00B429C9">
        <w:rPr>
          <w:rFonts w:ascii="Times New Roman" w:hAnsi="Times New Roman" w:cs="Times New Roman"/>
          <w:sz w:val="24"/>
          <w:szCs w:val="24"/>
          <w:u w:val="single"/>
        </w:rPr>
        <w:t>Unos tipos al 8%? Powell pone en duda su hoja de ruta: estas son las previsiones de los expertos</w:t>
      </w:r>
      <w:r>
        <w:rPr>
          <w:rFonts w:ascii="Times New Roman" w:hAnsi="Times New Roman" w:cs="Times New Roman"/>
          <w:sz w:val="24"/>
          <w:szCs w:val="24"/>
        </w:rPr>
        <w:t xml:space="preserve"> (El Economista - </w:t>
      </w:r>
      <w:r w:rsidRPr="00B429C9">
        <w:rPr>
          <w:rFonts w:ascii="Times New Roman" w:hAnsi="Times New Roman" w:cs="Times New Roman"/>
          <w:b/>
          <w:sz w:val="24"/>
          <w:szCs w:val="24"/>
        </w:rPr>
        <w:t>9/3/23</w:t>
      </w:r>
      <w:r>
        <w:rPr>
          <w:rFonts w:ascii="Times New Roman" w:hAnsi="Times New Roman" w:cs="Times New Roman"/>
          <w:sz w:val="24"/>
          <w:szCs w:val="24"/>
        </w:rPr>
        <w:t>)</w:t>
      </w:r>
    </w:p>
    <w:p w:rsidR="007E3D39" w:rsidRDefault="007E3D39" w:rsidP="007E3D39">
      <w:pPr>
        <w:spacing w:line="240" w:lineRule="auto"/>
        <w:jc w:val="both"/>
        <w:rPr>
          <w:rFonts w:ascii="Times New Roman" w:hAnsi="Times New Roman" w:cs="Times New Roman"/>
          <w:sz w:val="24"/>
          <w:szCs w:val="24"/>
        </w:rPr>
      </w:pPr>
      <w:r w:rsidRPr="00620BC4">
        <w:rPr>
          <w:rFonts w:ascii="Times New Roman" w:hAnsi="Times New Roman" w:cs="Times New Roman"/>
          <w:sz w:val="24"/>
          <w:szCs w:val="24"/>
        </w:rPr>
        <w:t>Los expertos apuntan a un 6%</w:t>
      </w:r>
    </w:p>
    <w:p w:rsidR="007E3D39" w:rsidRPr="00620BC4"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7E3D39" w:rsidRPr="00E55E31" w:rsidRDefault="007E3D39" w:rsidP="007E3D39">
      <w:pPr>
        <w:spacing w:line="240" w:lineRule="auto"/>
        <w:jc w:val="both"/>
        <w:rPr>
          <w:rFonts w:ascii="Times New Roman" w:hAnsi="Times New Roman" w:cs="Times New Roman"/>
          <w:color w:val="FF0000"/>
          <w:sz w:val="24"/>
          <w:szCs w:val="24"/>
          <w:u w:val="single"/>
        </w:rPr>
      </w:pPr>
      <w:r w:rsidRPr="00E55E31">
        <w:rPr>
          <w:rFonts w:ascii="Times New Roman" w:hAnsi="Times New Roman" w:cs="Times New Roman"/>
          <w:color w:val="FF0000"/>
          <w:sz w:val="24"/>
          <w:szCs w:val="24"/>
          <w:u w:val="single"/>
        </w:rPr>
        <w:t>En la jornada del jueves, BlackRock ya ha salido a la palestra para defender que este mismo año veremos unos tipos al 6%. De hecho, el analista Rock Rieder ha avisado que toca acostumbrarse a este nuevo techo porque “hay una posibilidad razonable de que los suban a esos niveles y los mantengan durante un periodo prolongado”.</w:t>
      </w:r>
    </w:p>
    <w:p w:rsidR="007E3D39" w:rsidRDefault="007E3D39" w:rsidP="007E3D39">
      <w:pPr>
        <w:spacing w:line="240" w:lineRule="auto"/>
        <w:jc w:val="both"/>
        <w:rPr>
          <w:rFonts w:ascii="Times New Roman" w:hAnsi="Times New Roman" w:cs="Times New Roman"/>
          <w:sz w:val="24"/>
          <w:szCs w:val="24"/>
        </w:rPr>
      </w:pPr>
      <w:r w:rsidRPr="00E55E31">
        <w:rPr>
          <w:rFonts w:ascii="Times New Roman" w:hAnsi="Times New Roman" w:cs="Times New Roman"/>
          <w:color w:val="FF0000"/>
          <w:sz w:val="24"/>
          <w:szCs w:val="24"/>
          <w:u w:val="single"/>
        </w:rPr>
        <w:t>El experto defendió que “esto se debe en parte al hecho de que la economía actual ya no es tan sensible a las tasas de interés como la de décadas pasadas, y su resiliencia, aunque es una virtud, complica las cosas para la Fed”.</w:t>
      </w:r>
      <w:r w:rsidRPr="00620BC4">
        <w:rPr>
          <w:rFonts w:ascii="Times New Roman" w:hAnsi="Times New Roman" w:cs="Times New Roman"/>
          <w:sz w:val="24"/>
          <w:szCs w:val="24"/>
        </w:rPr>
        <w:t xml:space="preserve">  Respecto al camino para llegar a este punto, dan por hecho que habrá una subida de 50 puntos básicos esta misma reunión de marzo que</w:t>
      </w:r>
      <w:r>
        <w:rPr>
          <w:rFonts w:ascii="Times New Roman" w:hAnsi="Times New Roman" w:cs="Times New Roman"/>
          <w:sz w:val="24"/>
          <w:szCs w:val="24"/>
        </w:rPr>
        <w:t xml:space="preserve"> se producirá los días 21 y 22.</w:t>
      </w:r>
    </w:p>
    <w:p w:rsidR="007E3D39" w:rsidRPr="00620BC4" w:rsidRDefault="007E3D39" w:rsidP="007E3D39">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66297869" wp14:editId="5FFD346D">
            <wp:extent cx="5731510" cy="6764020"/>
            <wp:effectExtent l="0" t="0" r="2540" b="0"/>
            <wp:docPr id="65" name="Imagen 65" descr="https://s03.s3c.es/imag/_v0/1431x1689/0/4/f/dot-plot-fe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1431x1689/0/4/f/dot-plot-fed.gif"/>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31510" cy="6764020"/>
                    </a:xfrm>
                    <a:prstGeom prst="rect">
                      <a:avLst/>
                    </a:prstGeom>
                    <a:noFill/>
                    <a:ln>
                      <a:noFill/>
                    </a:ln>
                  </pic:spPr>
                </pic:pic>
              </a:graphicData>
            </a:graphic>
          </wp:inline>
        </w:drawing>
      </w:r>
    </w:p>
    <w:p w:rsidR="007E3D39" w:rsidRPr="00E55E31" w:rsidRDefault="007E3D39" w:rsidP="007E3D39">
      <w:pPr>
        <w:spacing w:line="240" w:lineRule="auto"/>
        <w:jc w:val="both"/>
        <w:rPr>
          <w:rFonts w:ascii="Times New Roman" w:hAnsi="Times New Roman" w:cs="Times New Roman"/>
          <w:color w:val="FF0000"/>
          <w:sz w:val="24"/>
          <w:szCs w:val="24"/>
          <w:u w:val="single"/>
        </w:rPr>
      </w:pPr>
      <w:r w:rsidRPr="00E55E31">
        <w:rPr>
          <w:rFonts w:ascii="Times New Roman" w:hAnsi="Times New Roman" w:cs="Times New Roman"/>
          <w:color w:val="FF0000"/>
          <w:sz w:val="24"/>
          <w:szCs w:val="24"/>
          <w:u w:val="single"/>
        </w:rPr>
        <w:t>Por su parte, la analista Dominique Dwor-Frecaut, antigua asociada de la Reserva Federal de Nueva York, se mantiene firme en su audaz postura de hace un año: según ella, la Fed necesita subir su tipo de interés de referencia al 8%, frente al nivel actual del 4,5%-4,75%, para estabilizar la inflación, y aún podría conseguirlo.</w:t>
      </w:r>
    </w:p>
    <w:p w:rsidR="007E3D39" w:rsidRPr="00E55E31" w:rsidRDefault="007E3D39" w:rsidP="007E3D39">
      <w:pPr>
        <w:spacing w:line="240" w:lineRule="auto"/>
        <w:jc w:val="both"/>
        <w:rPr>
          <w:rFonts w:ascii="Times New Roman" w:hAnsi="Times New Roman" w:cs="Times New Roman"/>
          <w:color w:val="FF0000"/>
          <w:sz w:val="24"/>
          <w:szCs w:val="24"/>
          <w:u w:val="single"/>
        </w:rPr>
      </w:pPr>
      <w:r w:rsidRPr="00E55E31">
        <w:rPr>
          <w:rFonts w:ascii="Times New Roman" w:hAnsi="Times New Roman" w:cs="Times New Roman"/>
          <w:color w:val="FF0000"/>
          <w:sz w:val="24"/>
          <w:szCs w:val="24"/>
          <w:u w:val="single"/>
        </w:rPr>
        <w:t>Goldman, por su parte, dejó claro antes de las palabras del presidente que su escenario es el 5,5%. “Así que creemos que otros 75 puntos básicos (hasta el rango 5,25%-5,5%) a partir de aquí sin recortes hasta 2024 parece un resultado más probable”. El economista de Bank of America Michael Gapen, a pesar de que no daba una cifra concreta apuntaba a que “el techo será más alto de lo que apuntan las estimaciones del mercado”…</w:t>
      </w:r>
    </w:p>
    <w:p w:rsidR="007E3D39" w:rsidRDefault="007E3D39" w:rsidP="007E3D39">
      <w:pPr>
        <w:spacing w:line="240" w:lineRule="auto"/>
        <w:jc w:val="both"/>
        <w:rPr>
          <w:rFonts w:ascii="Times New Roman" w:hAnsi="Times New Roman" w:cs="Times New Roman"/>
          <w:sz w:val="24"/>
          <w:szCs w:val="24"/>
        </w:rPr>
      </w:pPr>
      <w:r w:rsidRPr="00620BC4">
        <w:rPr>
          <w:rFonts w:ascii="Times New Roman" w:hAnsi="Times New Roman" w:cs="Times New Roman"/>
          <w:sz w:val="24"/>
          <w:szCs w:val="24"/>
        </w:rPr>
        <w:lastRenderedPageBreak/>
        <w:t>Todo depende de la solidez con la que aguante la economía de EEUU. Un ejemplo de esto son las cifras de vacantes de empleo publicadas en el día de hoy. Estas han bajado, pero han sido mejores de lo esperando con 10.824 millones de ofertas de empleo. Si esta clase de datos se siguen sucediendo, la Fed tendrá vía libre para pisar el acelerador frente a la inflación, mientras que un eventual golpe en el mercado laboral, los salarios o una amenaza de recesión pueden obligar a dar marcha atrás y limitar las alzas.</w:t>
      </w:r>
    </w:p>
    <w:p w:rsidR="007E3D39" w:rsidRPr="00D447B7"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447B7">
        <w:rPr>
          <w:rFonts w:ascii="Times New Roman" w:hAnsi="Times New Roman" w:cs="Times New Roman"/>
          <w:sz w:val="24"/>
          <w:szCs w:val="24"/>
          <w:u w:val="single"/>
        </w:rPr>
        <w:t>Buenas noticias de Jerome Powell</w:t>
      </w:r>
      <w:r>
        <w:rPr>
          <w:rFonts w:ascii="Times New Roman" w:hAnsi="Times New Roman" w:cs="Times New Roman"/>
          <w:sz w:val="24"/>
          <w:szCs w:val="24"/>
        </w:rPr>
        <w:t xml:space="preserve"> (El Confidencial - </w:t>
      </w:r>
      <w:r w:rsidRPr="00D447B7">
        <w:rPr>
          <w:rFonts w:ascii="Times New Roman" w:hAnsi="Times New Roman" w:cs="Times New Roman"/>
          <w:b/>
          <w:sz w:val="24"/>
          <w:szCs w:val="24"/>
        </w:rPr>
        <w:t>9/3/23</w:t>
      </w:r>
      <w:r>
        <w:rPr>
          <w:rFonts w:ascii="Times New Roman" w:hAnsi="Times New Roman" w:cs="Times New Roman"/>
          <w:sz w:val="24"/>
          <w:szCs w:val="24"/>
        </w:rPr>
        <w:t>)</w:t>
      </w:r>
    </w:p>
    <w:p w:rsidR="007E3D39" w:rsidRDefault="007E3D39" w:rsidP="007E3D39">
      <w:pPr>
        <w:spacing w:line="240" w:lineRule="auto"/>
        <w:jc w:val="both"/>
        <w:rPr>
          <w:rFonts w:ascii="Times New Roman" w:hAnsi="Times New Roman" w:cs="Times New Roman"/>
          <w:sz w:val="24"/>
          <w:szCs w:val="24"/>
        </w:rPr>
      </w:pPr>
      <w:r w:rsidRPr="00D447B7">
        <w:rPr>
          <w:rFonts w:ascii="Times New Roman" w:hAnsi="Times New Roman" w:cs="Times New Roman"/>
          <w:sz w:val="24"/>
          <w:szCs w:val="24"/>
        </w:rPr>
        <w:t>Salvo que se quiera ir al desastre de la hiperinflación, habrá que tomar medidas más duras y por más tiempo, con mayor subida de tipos y contracción monetaria</w:t>
      </w:r>
    </w:p>
    <w:p w:rsidR="007E3D39" w:rsidRPr="00D447B7"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(Por Luis Riestra)</w:t>
      </w:r>
    </w:p>
    <w:p w:rsidR="007E3D39" w:rsidRPr="00E55E31" w:rsidRDefault="007E3D39" w:rsidP="007E3D39">
      <w:pPr>
        <w:spacing w:line="240" w:lineRule="auto"/>
        <w:jc w:val="both"/>
        <w:rPr>
          <w:rFonts w:ascii="Times New Roman" w:hAnsi="Times New Roman" w:cs="Times New Roman"/>
          <w:sz w:val="24"/>
          <w:szCs w:val="24"/>
          <w:u w:val="single"/>
        </w:rPr>
      </w:pPr>
      <w:r w:rsidRPr="00E55E31">
        <w:rPr>
          <w:rFonts w:ascii="Times New Roman" w:hAnsi="Times New Roman" w:cs="Times New Roman"/>
          <w:color w:val="FF0000"/>
          <w:sz w:val="24"/>
          <w:szCs w:val="24"/>
          <w:u w:val="single"/>
        </w:rPr>
        <w:t>En su última comparecencia tras la reunión del Comité Federal de Mercados Abiertos (FOMC), Jerome Powell, el presidente del banco central estadounidense (la Fed), alegró la mañana a los inversores en bolsa con una sola palabra: desinflación. ¿Y eso de la desinflación qué es?¿Acaso ya se ve la luz al final del túnel?¿Será posible que el tema de la inflación vaya bien encarrilado? Esas son las cuestiones que intentaremos dilucidar hoy, aprovechando la ocasión pa</w:t>
      </w:r>
      <w:r>
        <w:rPr>
          <w:rFonts w:ascii="Times New Roman" w:hAnsi="Times New Roman" w:cs="Times New Roman"/>
          <w:color w:val="FF0000"/>
          <w:sz w:val="24"/>
          <w:szCs w:val="24"/>
          <w:u w:val="single"/>
        </w:rPr>
        <w:t>ra analizar también cómo va lo “nuestro”</w:t>
      </w:r>
      <w:r w:rsidRPr="00E55E31">
        <w:rPr>
          <w:rFonts w:ascii="Times New Roman" w:hAnsi="Times New Roman" w:cs="Times New Roman"/>
          <w:color w:val="FF0000"/>
          <w:sz w:val="24"/>
          <w:szCs w:val="24"/>
          <w:u w:val="single"/>
        </w:rPr>
        <w:t xml:space="preserve"> y si se está trabajando para resolverlo</w:t>
      </w:r>
      <w:r w:rsidRPr="00E55E31">
        <w:rPr>
          <w:rFonts w:ascii="Times New Roman" w:hAnsi="Times New Roman" w:cs="Times New Roman"/>
          <w:sz w:val="24"/>
          <w:szCs w:val="24"/>
          <w:u w:val="single"/>
        </w:rPr>
        <w:t>.</w:t>
      </w:r>
    </w:p>
    <w:p w:rsidR="007E3D39" w:rsidRPr="00D447B7" w:rsidRDefault="007E3D39" w:rsidP="007E3D39">
      <w:pPr>
        <w:spacing w:line="240" w:lineRule="auto"/>
        <w:jc w:val="both"/>
        <w:rPr>
          <w:rFonts w:ascii="Times New Roman" w:hAnsi="Times New Roman" w:cs="Times New Roman"/>
          <w:sz w:val="24"/>
          <w:szCs w:val="24"/>
        </w:rPr>
      </w:pPr>
      <w:r w:rsidRPr="00D447B7">
        <w:rPr>
          <w:rFonts w:ascii="Times New Roman" w:hAnsi="Times New Roman" w:cs="Times New Roman"/>
          <w:sz w:val="24"/>
          <w:szCs w:val="24"/>
        </w:rPr>
        <w:t>Burbujas de activos</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447B7">
        <w:rPr>
          <w:rFonts w:ascii="Times New Roman" w:hAnsi="Times New Roman" w:cs="Times New Roman"/>
          <w:sz w:val="24"/>
          <w:szCs w:val="24"/>
        </w:rPr>
        <w:t>¿Cómo es posible que se esté desinf</w:t>
      </w:r>
      <w:r>
        <w:rPr>
          <w:rFonts w:ascii="Times New Roman" w:hAnsi="Times New Roman" w:cs="Times New Roman"/>
          <w:sz w:val="24"/>
          <w:szCs w:val="24"/>
        </w:rPr>
        <w:t>lando si todavía hay inflación?”</w:t>
      </w:r>
      <w:r w:rsidRPr="00D447B7">
        <w:rPr>
          <w:rFonts w:ascii="Times New Roman" w:hAnsi="Times New Roman" w:cs="Times New Roman"/>
          <w:sz w:val="24"/>
          <w:szCs w:val="24"/>
        </w:rPr>
        <w:t xml:space="preserve"> La respuesta a esa pregunta la encontraremos en el origen del término, uno que viene de las fases del ciclo largo (siguiente gráfica), que son cuatro: la primera, o reflacionaria, cuando el ciclo despega y se vive una primavera económica, el crecimiento nominal</w:t>
      </w:r>
      <w:r>
        <w:rPr>
          <w:rFonts w:ascii="Times New Roman" w:hAnsi="Times New Roman" w:cs="Times New Roman"/>
          <w:sz w:val="24"/>
          <w:szCs w:val="24"/>
        </w:rPr>
        <w:t xml:space="preserve"> (línea azul) medio anual en EEUU</w:t>
      </w:r>
      <w:r w:rsidRPr="00D447B7">
        <w:rPr>
          <w:rFonts w:ascii="Times New Roman" w:hAnsi="Times New Roman" w:cs="Times New Roman"/>
          <w:sz w:val="24"/>
          <w:szCs w:val="24"/>
        </w:rPr>
        <w:t>, para esa fase, fue del 6,3% y el real (desc</w:t>
      </w:r>
      <w:r>
        <w:rPr>
          <w:rFonts w:ascii="Times New Roman" w:hAnsi="Times New Roman" w:cs="Times New Roman"/>
          <w:sz w:val="24"/>
          <w:szCs w:val="24"/>
        </w:rPr>
        <w:t>ontada la inflación sistémica, “is”</w:t>
      </w:r>
      <w:r w:rsidRPr="00D447B7">
        <w:rPr>
          <w:rFonts w:ascii="Times New Roman" w:hAnsi="Times New Roman" w:cs="Times New Roman"/>
          <w:sz w:val="24"/>
          <w:szCs w:val="24"/>
        </w:rPr>
        <w:t>) el 4,2% (is=2,1%). La segunda es la inflacionaria, un verano infernal donde el crecimiento nominal fue 9,2% y el real 2,8% (is=6,4%). La tercera es la desinflacionaria, con 6,3% y 3,7% (is=2,6%) respectivamente, una fase de prosperidad pero con grandes burbujas de activos y que es lo que pretende vender Powell.</w:t>
      </w:r>
    </w:p>
    <w:p w:rsidR="007E3D39" w:rsidRPr="00D447B7" w:rsidRDefault="007E3D39" w:rsidP="007E3D39">
      <w:pPr>
        <w:spacing w:line="240" w:lineRule="auto"/>
        <w:jc w:val="both"/>
        <w:rPr>
          <w:rFonts w:ascii="Times New Roman" w:hAnsi="Times New Roman" w:cs="Times New Roman"/>
          <w:sz w:val="24"/>
          <w:szCs w:val="24"/>
        </w:rPr>
      </w:pPr>
      <w:r>
        <w:rPr>
          <w:noProof/>
          <w:lang w:eastAsia="es-ES"/>
        </w:rPr>
        <w:drawing>
          <wp:inline distT="0" distB="0" distL="0" distR="0" wp14:anchorId="5889A7F2" wp14:editId="33FCE60D">
            <wp:extent cx="5638800" cy="3028950"/>
            <wp:effectExtent l="0" t="0" r="0" b="0"/>
            <wp:docPr id="66" name="Imagen 66" descr="1 -US GDP and Long Cycle - Luis Riestra Delgado - www-macromatter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 -US GDP and Long Cycle - Luis Riestra Delgado - www-macromatters-es.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638800" cy="3028950"/>
                    </a:xfrm>
                    <a:prstGeom prst="rect">
                      <a:avLst/>
                    </a:prstGeom>
                    <a:noFill/>
                    <a:ln>
                      <a:noFill/>
                    </a:ln>
                  </pic:spPr>
                </pic:pic>
              </a:graphicData>
            </a:graphic>
          </wp:inline>
        </w:drawing>
      </w:r>
    </w:p>
    <w:p w:rsidR="007E3D39" w:rsidRPr="00D447B7" w:rsidRDefault="007E3D39" w:rsidP="007E3D39">
      <w:pPr>
        <w:spacing w:line="240" w:lineRule="auto"/>
        <w:jc w:val="both"/>
        <w:rPr>
          <w:rFonts w:ascii="Times New Roman" w:hAnsi="Times New Roman" w:cs="Times New Roman"/>
          <w:sz w:val="24"/>
          <w:szCs w:val="24"/>
          <w:lang w:val="en-US"/>
        </w:rPr>
      </w:pPr>
      <w:r w:rsidRPr="00D447B7">
        <w:rPr>
          <w:rFonts w:ascii="Times New Roman" w:hAnsi="Times New Roman" w:cs="Times New Roman"/>
          <w:sz w:val="24"/>
          <w:szCs w:val="24"/>
          <w:lang w:val="en-US"/>
        </w:rPr>
        <w:t>1 -US GDP and Long Cycle - Luis Riestra De</w:t>
      </w:r>
      <w:r>
        <w:rPr>
          <w:rFonts w:ascii="Times New Roman" w:hAnsi="Times New Roman" w:cs="Times New Roman"/>
          <w:sz w:val="24"/>
          <w:szCs w:val="24"/>
          <w:lang w:val="en-US"/>
        </w:rPr>
        <w:t>lgado - www-macromatters-es.jpg</w:t>
      </w:r>
    </w:p>
    <w:p w:rsidR="007E3D39" w:rsidRPr="00D447B7" w:rsidRDefault="007E3D39" w:rsidP="007E3D39">
      <w:pPr>
        <w:spacing w:line="240" w:lineRule="auto"/>
        <w:jc w:val="both"/>
        <w:rPr>
          <w:rFonts w:ascii="Times New Roman" w:hAnsi="Times New Roman" w:cs="Times New Roman"/>
          <w:sz w:val="24"/>
          <w:szCs w:val="24"/>
        </w:rPr>
      </w:pPr>
      <w:r w:rsidRPr="00D447B7">
        <w:rPr>
          <w:rFonts w:ascii="Times New Roman" w:hAnsi="Times New Roman" w:cs="Times New Roman"/>
          <w:sz w:val="24"/>
          <w:szCs w:val="24"/>
        </w:rPr>
        <w:lastRenderedPageBreak/>
        <w:t>Finalmente, está la cuarta fase, la deflacionaria, o invernal, la actual, con 4,3% de crecimiento nominal y un mísero real del 2,1% (is=1,9%) de promedio anual, que es lo que han conseguido quienes nos mal gobiernan que solo saben crear más burbujas, saquear a empresas y ciudadanos (tema viejo ya, aunque conviene mucho repasarlo) y contraer más deuda pública, pues no entienden la deflación, de modo que seguirán pifiándola hasta que reviente</w:t>
      </w:r>
      <w:r>
        <w:rPr>
          <w:rFonts w:ascii="Times New Roman" w:hAnsi="Times New Roman" w:cs="Times New Roman"/>
          <w:sz w:val="24"/>
          <w:szCs w:val="24"/>
        </w:rPr>
        <w:t xml:space="preserve"> el invento.</w:t>
      </w:r>
    </w:p>
    <w:p w:rsidR="007E3D39" w:rsidRPr="00D447B7" w:rsidRDefault="007E3D39" w:rsidP="007E3D39">
      <w:pPr>
        <w:spacing w:line="240" w:lineRule="auto"/>
        <w:jc w:val="both"/>
        <w:rPr>
          <w:rFonts w:ascii="Times New Roman" w:hAnsi="Times New Roman" w:cs="Times New Roman"/>
          <w:sz w:val="24"/>
          <w:szCs w:val="24"/>
        </w:rPr>
      </w:pPr>
      <w:r w:rsidRPr="00D447B7">
        <w:rPr>
          <w:rFonts w:ascii="Times New Roman" w:hAnsi="Times New Roman" w:cs="Times New Roman"/>
          <w:sz w:val="24"/>
          <w:szCs w:val="24"/>
        </w:rPr>
        <w:t>¿Ya, pero qué es lo que desinfla? El crecimiento nominal esperado; por ejemplo, imaginen que en enero la previsión era de 7% nominal y 2% real y, al cerrar el año tienen 5% y 2% respectivamente. Parece una tontería, tiquismiquis de académicos y teóricos, pero no lo es, pues es un indicador de, por ejemplo, cómo serán los costes y la facturación de las empresas, lo que a su vez tiene implicaciones financieras, en recaudación, etc. Por supuesto que detrás de cada fase del ciclo largo hay mucho más (fases de la bolsa, etc.), pero el anterior es el mejor resumen que les puedo hacer de casi 80 años de historia económica reciente y 200 desde que</w:t>
      </w:r>
      <w:r>
        <w:rPr>
          <w:rFonts w:ascii="Times New Roman" w:hAnsi="Times New Roman" w:cs="Times New Roman"/>
          <w:sz w:val="24"/>
          <w:szCs w:val="24"/>
        </w:rPr>
        <w:t xml:space="preserve"> hay estadística fiable y útil.</w:t>
      </w:r>
    </w:p>
    <w:p w:rsidR="007E3D39" w:rsidRPr="00D447B7" w:rsidRDefault="007E3D39" w:rsidP="007E3D39">
      <w:pPr>
        <w:spacing w:line="240" w:lineRule="auto"/>
        <w:jc w:val="both"/>
        <w:rPr>
          <w:rFonts w:ascii="Times New Roman" w:hAnsi="Times New Roman" w:cs="Times New Roman"/>
          <w:sz w:val="24"/>
          <w:szCs w:val="24"/>
        </w:rPr>
      </w:pPr>
      <w:r w:rsidRPr="00D447B7">
        <w:rPr>
          <w:rFonts w:ascii="Times New Roman" w:hAnsi="Times New Roman" w:cs="Times New Roman"/>
          <w:sz w:val="24"/>
          <w:szCs w:val="24"/>
        </w:rPr>
        <w:t xml:space="preserve">Lo primero que se observa en la gráfica anterior es que la diferencia entre la línea azul y la roja, la inflación sistémica o implícita, se agranda y, en concreto, pasa de 4,8% en 2021 a 7,2% en 2022, de forma que, según esa métrica no hay desinflación ni de lejos; de hecho, estamos en un lío bien gordo. Para demostrar esa gravedad solo tienen que compararla con la tasa de la fase inflacionaria </w:t>
      </w:r>
      <w:r>
        <w:rPr>
          <w:rFonts w:ascii="Times New Roman" w:hAnsi="Times New Roman" w:cs="Times New Roman"/>
          <w:sz w:val="24"/>
          <w:szCs w:val="24"/>
        </w:rPr>
        <w:t>anterior.</w:t>
      </w:r>
    </w:p>
    <w:p w:rsidR="007E3D39" w:rsidRDefault="007E3D39" w:rsidP="007E3D39">
      <w:pPr>
        <w:spacing w:line="240" w:lineRule="auto"/>
        <w:jc w:val="both"/>
        <w:rPr>
          <w:rFonts w:ascii="Times New Roman" w:hAnsi="Times New Roman" w:cs="Times New Roman"/>
          <w:sz w:val="24"/>
          <w:szCs w:val="24"/>
        </w:rPr>
      </w:pPr>
      <w:r w:rsidRPr="00D447B7">
        <w:rPr>
          <w:rFonts w:ascii="Times New Roman" w:hAnsi="Times New Roman" w:cs="Times New Roman"/>
          <w:sz w:val="24"/>
          <w:szCs w:val="24"/>
        </w:rPr>
        <w:t>¿Entonces en qué se basa Jerome Powell? Durante su comparecencia hizo una serie de matizaciones, pero lo cierto es que Jerónimo solo tiene a su favor la disminución del Índice General de Precios al Consumo, de famoso IPC (siguiente gráfica; la última línea vertical amarilla señala cuando empezó la guerra en Ucrania), que ciertamente se ha moderado un poco pero, ha parado su descenso. Casi se podría decir que sí e iríamos 1 a 1 siendo gener</w:t>
      </w:r>
      <w:r>
        <w:rPr>
          <w:rFonts w:ascii="Times New Roman" w:hAnsi="Times New Roman" w:cs="Times New Roman"/>
          <w:sz w:val="24"/>
          <w:szCs w:val="24"/>
        </w:rPr>
        <w:t>osos, algo que no se merece el “señorito”</w:t>
      </w:r>
      <w:r w:rsidRPr="00D447B7">
        <w:rPr>
          <w:rFonts w:ascii="Times New Roman" w:hAnsi="Times New Roman" w:cs="Times New Roman"/>
          <w:sz w:val="24"/>
          <w:szCs w:val="24"/>
        </w:rPr>
        <w:t xml:space="preserve"> este</w:t>
      </w:r>
      <w:r>
        <w:rPr>
          <w:rFonts w:ascii="Times New Roman" w:hAnsi="Times New Roman" w:cs="Times New Roman"/>
          <w:sz w:val="24"/>
          <w:szCs w:val="24"/>
        </w:rPr>
        <w:t>.</w:t>
      </w:r>
    </w:p>
    <w:p w:rsidR="007E3D39" w:rsidRPr="00D447B7" w:rsidRDefault="007E3D39" w:rsidP="007E3D39">
      <w:pPr>
        <w:spacing w:line="240" w:lineRule="auto"/>
        <w:jc w:val="both"/>
        <w:rPr>
          <w:rFonts w:ascii="Times New Roman" w:hAnsi="Times New Roman" w:cs="Times New Roman"/>
          <w:sz w:val="24"/>
          <w:szCs w:val="24"/>
        </w:rPr>
      </w:pPr>
      <w:r>
        <w:rPr>
          <w:noProof/>
          <w:lang w:eastAsia="es-ES"/>
        </w:rPr>
        <w:drawing>
          <wp:inline distT="0" distB="0" distL="0" distR="0" wp14:anchorId="0E14310C" wp14:editId="37AA42A5">
            <wp:extent cx="5505450" cy="3346450"/>
            <wp:effectExtent l="0" t="0" r="0" b="6350"/>
            <wp:docPr id="67" name="Imagen 67" descr="2 -IPC CPI US &amp; SPAIN- Luis Riestra Delgado - www-macromatter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 -IPC CPI US &amp; SPAIN- Luis Riestra Delgado - www-macromatters-es.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05450" cy="3346450"/>
                    </a:xfrm>
                    <a:prstGeom prst="rect">
                      <a:avLst/>
                    </a:prstGeom>
                    <a:noFill/>
                    <a:ln>
                      <a:noFill/>
                    </a:ln>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sidRPr="00D447B7">
        <w:rPr>
          <w:rFonts w:ascii="Times New Roman" w:hAnsi="Times New Roman" w:cs="Times New Roman"/>
          <w:sz w:val="24"/>
          <w:szCs w:val="24"/>
        </w:rPr>
        <w:t>2 -IPC CPI US &amp; SPAIN- Luis Riestra De</w:t>
      </w:r>
      <w:r>
        <w:rPr>
          <w:rFonts w:ascii="Times New Roman" w:hAnsi="Times New Roman" w:cs="Times New Roman"/>
          <w:sz w:val="24"/>
          <w:szCs w:val="24"/>
        </w:rPr>
        <w:t>lgado - www-macromatters-es.jpg</w:t>
      </w:r>
    </w:p>
    <w:p w:rsidR="007E3D39" w:rsidRPr="00D447B7"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w:t>
      </w:r>
    </w:p>
    <w:p w:rsidR="007E3D39" w:rsidRPr="00D447B7" w:rsidRDefault="007E3D39" w:rsidP="007E3D39">
      <w:pPr>
        <w:spacing w:line="240" w:lineRule="auto"/>
        <w:jc w:val="both"/>
        <w:rPr>
          <w:rFonts w:ascii="Times New Roman" w:hAnsi="Times New Roman" w:cs="Times New Roman"/>
          <w:sz w:val="24"/>
          <w:szCs w:val="24"/>
        </w:rPr>
      </w:pPr>
      <w:r w:rsidRPr="00D447B7">
        <w:rPr>
          <w:rFonts w:ascii="Times New Roman" w:hAnsi="Times New Roman" w:cs="Times New Roman"/>
          <w:sz w:val="24"/>
          <w:szCs w:val="24"/>
        </w:rPr>
        <w:lastRenderedPageBreak/>
        <w:t>Inflación estructural</w:t>
      </w:r>
    </w:p>
    <w:p w:rsidR="007E3D39" w:rsidRDefault="007E3D39" w:rsidP="007E3D39">
      <w:pPr>
        <w:spacing w:line="240" w:lineRule="auto"/>
        <w:jc w:val="both"/>
        <w:rPr>
          <w:rFonts w:ascii="Times New Roman" w:hAnsi="Times New Roman" w:cs="Times New Roman"/>
          <w:sz w:val="24"/>
          <w:szCs w:val="24"/>
        </w:rPr>
      </w:pPr>
      <w:r w:rsidRPr="00D447B7">
        <w:rPr>
          <w:rFonts w:ascii="Times New Roman" w:hAnsi="Times New Roman" w:cs="Times New Roman"/>
          <w:sz w:val="24"/>
          <w:szCs w:val="24"/>
        </w:rPr>
        <w:t>Como el IPC está sujeto a malas cosechas, shock geopolíticos petroleros y cambios fiscales, se utiliza otro indicador que elimina buena parte de esos efectos, es la llamada inflación subyace</w:t>
      </w:r>
      <w:r>
        <w:rPr>
          <w:rFonts w:ascii="Times New Roman" w:hAnsi="Times New Roman" w:cs="Times New Roman"/>
          <w:sz w:val="24"/>
          <w:szCs w:val="24"/>
        </w:rPr>
        <w:t>nte, que se calcula sin contar “</w:t>
      </w:r>
      <w:r w:rsidRPr="00D447B7">
        <w:rPr>
          <w:rFonts w:ascii="Times New Roman" w:hAnsi="Times New Roman" w:cs="Times New Roman"/>
          <w:sz w:val="24"/>
          <w:szCs w:val="24"/>
        </w:rPr>
        <w:t>alimentos no elab</w:t>
      </w:r>
      <w:r>
        <w:rPr>
          <w:rFonts w:ascii="Times New Roman" w:hAnsi="Times New Roman" w:cs="Times New Roman"/>
          <w:sz w:val="24"/>
          <w:szCs w:val="24"/>
        </w:rPr>
        <w:t>orados ni productos energéticos”</w:t>
      </w:r>
      <w:r w:rsidRPr="00D447B7">
        <w:rPr>
          <w:rFonts w:ascii="Times New Roman" w:hAnsi="Times New Roman" w:cs="Times New Roman"/>
          <w:sz w:val="24"/>
          <w:szCs w:val="24"/>
        </w:rPr>
        <w:t xml:space="preserve"> (siguiente gráfic</w:t>
      </w:r>
      <w:r>
        <w:rPr>
          <w:rFonts w:ascii="Times New Roman" w:hAnsi="Times New Roman" w:cs="Times New Roman"/>
          <w:sz w:val="24"/>
          <w:szCs w:val="24"/>
        </w:rPr>
        <w:t>a). Como pueden observar, en EEUU</w:t>
      </w:r>
      <w:r w:rsidRPr="00D447B7">
        <w:rPr>
          <w:rFonts w:ascii="Times New Roman" w:hAnsi="Times New Roman" w:cs="Times New Roman"/>
          <w:sz w:val="24"/>
          <w:szCs w:val="24"/>
        </w:rPr>
        <w:t>, en eso, no hay desinflación; o sea, Jerónimo, 2 a 1 que no. ¿Y por qué lo dijo? Respuestas hay varias y van desde que quería afectar las expectativas (si no se confirman lo pone peor) a que le interesaba alegrar la bolsa por intereses personales; ellos sabrán</w:t>
      </w:r>
      <w:r>
        <w:rPr>
          <w:rFonts w:ascii="Times New Roman" w:hAnsi="Times New Roman" w:cs="Times New Roman"/>
          <w:sz w:val="24"/>
          <w:szCs w:val="24"/>
        </w:rPr>
        <w:t>…</w:t>
      </w:r>
    </w:p>
    <w:p w:rsidR="007E3D39" w:rsidRPr="00D447B7" w:rsidRDefault="007E3D39" w:rsidP="007E3D39">
      <w:pPr>
        <w:spacing w:line="240" w:lineRule="auto"/>
        <w:jc w:val="both"/>
        <w:rPr>
          <w:rFonts w:ascii="Times New Roman" w:hAnsi="Times New Roman" w:cs="Times New Roman"/>
          <w:sz w:val="24"/>
          <w:szCs w:val="24"/>
        </w:rPr>
      </w:pPr>
      <w:r>
        <w:rPr>
          <w:noProof/>
          <w:lang w:eastAsia="es-ES"/>
        </w:rPr>
        <w:drawing>
          <wp:inline distT="0" distB="0" distL="0" distR="0" wp14:anchorId="0A0A5424" wp14:editId="494AA76B">
            <wp:extent cx="5505450" cy="3346450"/>
            <wp:effectExtent l="0" t="0" r="0" b="6350"/>
            <wp:docPr id="68" name="Imagen 68" descr="3 -IPC subyacente core CPI US &amp; SPAIN- Luis Riestra Delgado - www-macromatter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3 -IPC subyacente core CPI US &amp; SPAIN- Luis Riestra Delgado - www-macromatters-es.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505450" cy="3346450"/>
                    </a:xfrm>
                    <a:prstGeom prst="rect">
                      <a:avLst/>
                    </a:prstGeom>
                    <a:noFill/>
                    <a:ln>
                      <a:noFill/>
                    </a:ln>
                  </pic:spPr>
                </pic:pic>
              </a:graphicData>
            </a:graphic>
          </wp:inline>
        </w:drawing>
      </w:r>
    </w:p>
    <w:p w:rsidR="007E3D39" w:rsidRPr="00D447B7" w:rsidRDefault="007E3D39" w:rsidP="007E3D39">
      <w:pPr>
        <w:spacing w:line="240" w:lineRule="auto"/>
        <w:jc w:val="both"/>
        <w:rPr>
          <w:rFonts w:ascii="Times New Roman" w:hAnsi="Times New Roman" w:cs="Times New Roman"/>
          <w:sz w:val="24"/>
          <w:szCs w:val="24"/>
        </w:rPr>
      </w:pPr>
      <w:r w:rsidRPr="00D447B7">
        <w:rPr>
          <w:rFonts w:ascii="Times New Roman" w:hAnsi="Times New Roman" w:cs="Times New Roman"/>
          <w:sz w:val="24"/>
          <w:szCs w:val="24"/>
        </w:rPr>
        <w:t>3 -IPC subyacente core CPI US &amp; SPAIN- Luis Riestra De</w:t>
      </w:r>
      <w:r>
        <w:rPr>
          <w:rFonts w:ascii="Times New Roman" w:hAnsi="Times New Roman" w:cs="Times New Roman"/>
          <w:sz w:val="24"/>
          <w:szCs w:val="24"/>
        </w:rPr>
        <w:t>lgado - www-macromatters-es.jpg</w:t>
      </w:r>
    </w:p>
    <w:p w:rsidR="007E3D39" w:rsidRPr="00D447B7" w:rsidRDefault="007E3D39" w:rsidP="007E3D39">
      <w:pPr>
        <w:spacing w:line="240" w:lineRule="auto"/>
        <w:jc w:val="both"/>
        <w:rPr>
          <w:rFonts w:ascii="Times New Roman" w:hAnsi="Times New Roman" w:cs="Times New Roman"/>
          <w:sz w:val="24"/>
          <w:szCs w:val="24"/>
        </w:rPr>
      </w:pPr>
      <w:r w:rsidRPr="00D447B7">
        <w:rPr>
          <w:rFonts w:ascii="Times New Roman" w:hAnsi="Times New Roman" w:cs="Times New Roman"/>
          <w:sz w:val="24"/>
          <w:szCs w:val="24"/>
        </w:rPr>
        <w:t>Hacia una recesión monetaria</w:t>
      </w:r>
    </w:p>
    <w:p w:rsidR="007E3D39" w:rsidRPr="00D447B7" w:rsidRDefault="007E3D39" w:rsidP="007E3D39">
      <w:pPr>
        <w:spacing w:line="240" w:lineRule="auto"/>
        <w:jc w:val="both"/>
        <w:rPr>
          <w:rFonts w:ascii="Times New Roman" w:hAnsi="Times New Roman" w:cs="Times New Roman"/>
          <w:sz w:val="24"/>
          <w:szCs w:val="24"/>
        </w:rPr>
      </w:pPr>
      <w:r w:rsidRPr="00E55E31">
        <w:rPr>
          <w:rFonts w:ascii="Times New Roman" w:hAnsi="Times New Roman" w:cs="Times New Roman"/>
          <w:sz w:val="24"/>
          <w:szCs w:val="24"/>
          <w:u w:val="single"/>
        </w:rPr>
        <w:t xml:space="preserve">Como en temas sectoriales no se hace nada relevante, salvo un susurro sobre la cadena de valor, solo queda la opción monetaria, que la lidera Powell, a quién le queda año y medio de contracción para normalizar la cantidad de dinero. En Europa tenemos a la numeróloga del BCE, Doña Christine Lagarde, muy ocupada dar entrevistas a programas frívolos mientras el oligopolio bancario español expolia al ahorrador, especie de cártel que no necesita hacer bien su trabajo (dar bien préstamos, etc.) pues siempre puede trasladar sus pifias al sufrido españolito, ¿no?; a ella esa mala gestión bancaria y nuestro perjuicio le da igual mientras pueda seguir teniendo acceso a trapitos y complementos nivel Hermes. ¿Qué solución da Lagarde a la mala “transmisión” de su política, a que no se remunere el </w:t>
      </w:r>
      <w:r w:rsidR="0062569D">
        <w:rPr>
          <w:rFonts w:ascii="Times New Roman" w:hAnsi="Times New Roman" w:cs="Times New Roman"/>
          <w:sz w:val="24"/>
          <w:szCs w:val="24"/>
          <w:u w:val="single"/>
        </w:rPr>
        <w:t>ahorro como, por ejemplo, en EEUU</w:t>
      </w:r>
      <w:r w:rsidRPr="00E55E31">
        <w:rPr>
          <w:rFonts w:ascii="Times New Roman" w:hAnsi="Times New Roman" w:cs="Times New Roman"/>
          <w:sz w:val="24"/>
          <w:szCs w:val="24"/>
          <w:u w:val="single"/>
        </w:rPr>
        <w:t>? Pues sermonear</w:t>
      </w:r>
      <w:r w:rsidRPr="00D447B7">
        <w:rPr>
          <w:rFonts w:ascii="Times New Roman" w:hAnsi="Times New Roman" w:cs="Times New Roman"/>
          <w:sz w:val="24"/>
          <w:szCs w:val="24"/>
        </w:rPr>
        <w:t>, cosa que produce carcajadas en el oligopolio bancario español, pues saben que el Banco de España será cómpli</w:t>
      </w:r>
      <w:r>
        <w:rPr>
          <w:rFonts w:ascii="Times New Roman" w:hAnsi="Times New Roman" w:cs="Times New Roman"/>
          <w:sz w:val="24"/>
          <w:szCs w:val="24"/>
        </w:rPr>
        <w:t>ce y defensor de sus tropelías.</w:t>
      </w:r>
    </w:p>
    <w:p w:rsidR="007E3D39" w:rsidRPr="00D447B7" w:rsidRDefault="007E3D39" w:rsidP="007E3D39">
      <w:pPr>
        <w:spacing w:line="240" w:lineRule="auto"/>
        <w:jc w:val="both"/>
        <w:rPr>
          <w:rFonts w:ascii="Times New Roman" w:hAnsi="Times New Roman" w:cs="Times New Roman"/>
          <w:sz w:val="24"/>
          <w:szCs w:val="24"/>
        </w:rPr>
      </w:pPr>
      <w:r w:rsidRPr="00D447B7">
        <w:rPr>
          <w:rFonts w:ascii="Times New Roman" w:hAnsi="Times New Roman" w:cs="Times New Roman"/>
          <w:sz w:val="24"/>
          <w:szCs w:val="24"/>
        </w:rPr>
        <w:t>Lagarde lo tiene muy fácil, solo tiene que permitir cuentas en la banca central a particulares que, al ser minoristas, recibirían una remuneración algo menor que las del oligopolio cuentas que además deberían ser automáticas y receptoras de los fondos de cuentas  inactivas cuyo saldo hoy se apropia la banca. No lo harán pues estos globalistas están a otros intereses, como con la inflacionaria banca progre que encarece la energía y toda una serie de activid</w:t>
      </w:r>
      <w:r>
        <w:rPr>
          <w:rFonts w:ascii="Times New Roman" w:hAnsi="Times New Roman" w:cs="Times New Roman"/>
          <w:sz w:val="24"/>
          <w:szCs w:val="24"/>
        </w:rPr>
        <w:t>ades produciendo más inflación.</w:t>
      </w:r>
    </w:p>
    <w:p w:rsidR="007E3D39" w:rsidRPr="00E55E31" w:rsidRDefault="007E3D39" w:rsidP="007E3D39">
      <w:pPr>
        <w:spacing w:line="240" w:lineRule="auto"/>
        <w:jc w:val="both"/>
        <w:rPr>
          <w:rFonts w:ascii="Times New Roman" w:hAnsi="Times New Roman" w:cs="Times New Roman"/>
          <w:color w:val="FF0000"/>
          <w:sz w:val="24"/>
          <w:szCs w:val="24"/>
          <w:u w:val="single"/>
        </w:rPr>
      </w:pPr>
      <w:r w:rsidRPr="00E55E31">
        <w:rPr>
          <w:rFonts w:ascii="Times New Roman" w:hAnsi="Times New Roman" w:cs="Times New Roman"/>
          <w:color w:val="FF0000"/>
          <w:sz w:val="24"/>
          <w:szCs w:val="24"/>
          <w:u w:val="single"/>
        </w:rPr>
        <w:lastRenderedPageBreak/>
        <w:t>Padecemos una combinación de incompetencia, corrupción, malas políticas sectoriales, inacción, dogmatismo y despilfarro, con políticas que destruyen capital y fuerzan malas inversiones haciendo casi imposible que la oferta se adapte a la demanda. Así es imposible que haya desinflación -qué más quisiéramos-, de forma que, salvo que se quiera ir al desastre de la hiperinflación, habrá que tomar medidas más duras y por más tiempo, con mayor subida de tipos y contracción monetaria y eso, al menos, Lagarde lo sabe. No queda pues otra que prepararse para tipos más altos, más caída del crédito, un aumento de las quiebras empresariales y, por supuesto, para una recesión. Ese es el resultado de la mala gestión que se está haciendo y que no es una buena noticia para nadie.</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noProof/>
          <w:lang w:eastAsia="es-ES"/>
        </w:rPr>
        <w:drawing>
          <wp:inline distT="0" distB="0" distL="0" distR="0" wp14:anchorId="0B79B736" wp14:editId="57763E39">
            <wp:extent cx="4933950" cy="4927600"/>
            <wp:effectExtent l="0" t="0" r="0" b="6350"/>
            <wp:docPr id="94" name="Imagen 94" descr="https://s03.s3c.es/imag/_v0/948x1542/8/6/4/100323-FED-B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03.s3c.es/imag/_v0/948x1542/8/6/4/100323-FED-BCE.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937232" cy="4930878"/>
                    </a:xfrm>
                    <a:prstGeom prst="rect">
                      <a:avLst/>
                    </a:prstGeom>
                    <a:noFill/>
                    <a:ln>
                      <a:noFill/>
                    </a:ln>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sidRPr="00011F71">
        <w:rPr>
          <w:rFonts w:ascii="Times New Roman" w:hAnsi="Times New Roman" w:cs="Times New Roman"/>
          <w:sz w:val="24"/>
          <w:szCs w:val="24"/>
        </w:rPr>
        <w:t>La inflación prevista a largo plazo en Europa y EEUU se equipara por primera vez desde 2008</w:t>
      </w:r>
      <w:r>
        <w:rPr>
          <w:rFonts w:ascii="Times New Roman" w:hAnsi="Times New Roman" w:cs="Times New Roman"/>
          <w:sz w:val="24"/>
          <w:szCs w:val="24"/>
        </w:rPr>
        <w:t xml:space="preserve"> (Fuente: El Economista - </w:t>
      </w:r>
      <w:r w:rsidRPr="00F946B4">
        <w:rPr>
          <w:rFonts w:ascii="Times New Roman" w:hAnsi="Times New Roman" w:cs="Times New Roman"/>
          <w:b/>
          <w:sz w:val="24"/>
          <w:szCs w:val="24"/>
        </w:rPr>
        <w:t>10/3/23</w:t>
      </w:r>
      <w:r>
        <w:rPr>
          <w:rFonts w:ascii="Times New Roman" w:hAnsi="Times New Roman" w:cs="Times New Roman"/>
          <w:sz w:val="24"/>
          <w:szCs w:val="24"/>
        </w:rPr>
        <w:t>)</w:t>
      </w:r>
    </w:p>
    <w:p w:rsidR="007E3D39" w:rsidRPr="004300F5"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300F5">
        <w:rPr>
          <w:rFonts w:ascii="Times New Roman" w:hAnsi="Times New Roman" w:cs="Times New Roman"/>
          <w:sz w:val="24"/>
          <w:szCs w:val="24"/>
          <w:u w:val="single"/>
        </w:rPr>
        <w:t>El-Erian,</w:t>
      </w:r>
      <w:r>
        <w:rPr>
          <w:rFonts w:ascii="Times New Roman" w:hAnsi="Times New Roman" w:cs="Times New Roman"/>
          <w:sz w:val="24"/>
          <w:szCs w:val="24"/>
          <w:u w:val="single"/>
        </w:rPr>
        <w:t xml:space="preserve"> sobre los mensajes de la Fed: “</w:t>
      </w:r>
      <w:r w:rsidRPr="004300F5">
        <w:rPr>
          <w:rFonts w:ascii="Times New Roman" w:hAnsi="Times New Roman" w:cs="Times New Roman"/>
          <w:sz w:val="24"/>
          <w:szCs w:val="24"/>
          <w:u w:val="single"/>
        </w:rPr>
        <w:t>Son una amenaz</w:t>
      </w:r>
      <w:r>
        <w:rPr>
          <w:rFonts w:ascii="Times New Roman" w:hAnsi="Times New Roman" w:cs="Times New Roman"/>
          <w:sz w:val="24"/>
          <w:szCs w:val="24"/>
          <w:u w:val="single"/>
        </w:rPr>
        <w:t>a para la estabilidad económica”</w:t>
      </w:r>
      <w:r>
        <w:rPr>
          <w:rFonts w:ascii="Times New Roman" w:hAnsi="Times New Roman" w:cs="Times New Roman"/>
          <w:sz w:val="24"/>
          <w:szCs w:val="24"/>
        </w:rPr>
        <w:t xml:space="preserve"> (El Economista - </w:t>
      </w:r>
      <w:r w:rsidRPr="004300F5">
        <w:rPr>
          <w:rFonts w:ascii="Times New Roman" w:hAnsi="Times New Roman" w:cs="Times New Roman"/>
          <w:b/>
          <w:sz w:val="24"/>
          <w:szCs w:val="24"/>
        </w:rPr>
        <w:t>11/3/23</w:t>
      </w:r>
      <w:r>
        <w:rPr>
          <w:rFonts w:ascii="Times New Roman" w:hAnsi="Times New Roman" w:cs="Times New Roman"/>
          <w:sz w:val="24"/>
          <w:szCs w:val="24"/>
        </w:rPr>
        <w:t>)</w:t>
      </w:r>
    </w:p>
    <w:p w:rsidR="007E3D39" w:rsidRPr="00912FEF" w:rsidRDefault="007E3D39" w:rsidP="007E3D39">
      <w:pPr>
        <w:spacing w:line="240" w:lineRule="auto"/>
        <w:jc w:val="both"/>
        <w:rPr>
          <w:rFonts w:ascii="Times New Roman" w:hAnsi="Times New Roman" w:cs="Times New Roman"/>
          <w:color w:val="FF0000"/>
          <w:sz w:val="24"/>
          <w:szCs w:val="24"/>
        </w:rPr>
      </w:pPr>
      <w:r w:rsidRPr="00912FEF">
        <w:rPr>
          <w:rFonts w:ascii="Times New Roman" w:hAnsi="Times New Roman" w:cs="Times New Roman"/>
          <w:color w:val="FF0000"/>
          <w:sz w:val="24"/>
          <w:szCs w:val="24"/>
        </w:rPr>
        <w:t>El economista cree que la credibilidad de la entidad está muy dañada</w:t>
      </w:r>
    </w:p>
    <w:p w:rsidR="007E3D39" w:rsidRPr="00912FEF" w:rsidRDefault="007E3D39" w:rsidP="007E3D39">
      <w:pPr>
        <w:spacing w:line="240" w:lineRule="auto"/>
        <w:jc w:val="both"/>
        <w:rPr>
          <w:rFonts w:ascii="Times New Roman" w:hAnsi="Times New Roman" w:cs="Times New Roman"/>
          <w:color w:val="FF0000"/>
          <w:sz w:val="24"/>
          <w:szCs w:val="24"/>
        </w:rPr>
      </w:pPr>
      <w:r w:rsidRPr="00912FEF">
        <w:rPr>
          <w:rFonts w:ascii="Times New Roman" w:hAnsi="Times New Roman" w:cs="Times New Roman"/>
          <w:color w:val="FF0000"/>
          <w:sz w:val="24"/>
          <w:szCs w:val="24"/>
        </w:rPr>
        <w:t>Por su part</w:t>
      </w:r>
      <w:r>
        <w:rPr>
          <w:rFonts w:ascii="Times New Roman" w:hAnsi="Times New Roman" w:cs="Times New Roman"/>
          <w:color w:val="FF0000"/>
          <w:sz w:val="24"/>
          <w:szCs w:val="24"/>
        </w:rPr>
        <w:t>e, Siegel considera que la Fed “está muy equivocada”</w:t>
      </w:r>
    </w:p>
    <w:p w:rsidR="007E3D39" w:rsidRPr="00912FEF" w:rsidRDefault="007E3D39" w:rsidP="007E3D39">
      <w:pPr>
        <w:spacing w:line="240" w:lineRule="auto"/>
        <w:jc w:val="both"/>
        <w:rPr>
          <w:rFonts w:ascii="Times New Roman" w:hAnsi="Times New Roman" w:cs="Times New Roman"/>
          <w:sz w:val="24"/>
          <w:szCs w:val="24"/>
          <w:u w:val="single"/>
        </w:rPr>
      </w:pPr>
      <w:r w:rsidRPr="004300F5">
        <w:rPr>
          <w:rFonts w:ascii="Times New Roman" w:hAnsi="Times New Roman" w:cs="Times New Roman"/>
          <w:sz w:val="24"/>
          <w:szCs w:val="24"/>
        </w:rPr>
        <w:t>Con el objetivo de devolver esta tasa al 2%, la Reserva Federal de EEUU (Fed) ha subido los tipos de interés ocho veces desde febrero de 2022, la última de ellas de solo 25 puntos básicos ante los primeros signos de una reducción de los datos macroeconóm</w:t>
      </w:r>
      <w:r>
        <w:rPr>
          <w:rFonts w:ascii="Times New Roman" w:hAnsi="Times New Roman" w:cs="Times New Roman"/>
          <w:sz w:val="24"/>
          <w:szCs w:val="24"/>
        </w:rPr>
        <w:t xml:space="preserve">icos clave. El principio </w:t>
      </w:r>
      <w:r>
        <w:rPr>
          <w:rFonts w:ascii="Times New Roman" w:hAnsi="Times New Roman" w:cs="Times New Roman"/>
          <w:sz w:val="24"/>
          <w:szCs w:val="24"/>
        </w:rPr>
        <w:lastRenderedPageBreak/>
        <w:t>de un “proceso desinflacionista”</w:t>
      </w:r>
      <w:r w:rsidRPr="004300F5">
        <w:rPr>
          <w:rFonts w:ascii="Times New Roman" w:hAnsi="Times New Roman" w:cs="Times New Roman"/>
          <w:sz w:val="24"/>
          <w:szCs w:val="24"/>
        </w:rPr>
        <w:t xml:space="preserve">, lo clasificó Jerome Powell. Poco después, se supo que el IPC estadounidense se había situado en enero en el 6,4%, mientras que el mercado laboral sigue manteniéndose fuerte, lo que ha obligado a la institución a volver a la línea dura. Tal es así, que muchos ven ya los tipos de interés por encima del 5% a finales de año o, incluso, en torno al 6%, como es el caso de BlackRock. </w:t>
      </w:r>
      <w:r w:rsidRPr="00912FEF">
        <w:rPr>
          <w:rFonts w:ascii="Times New Roman" w:hAnsi="Times New Roman" w:cs="Times New Roman"/>
          <w:sz w:val="24"/>
          <w:szCs w:val="24"/>
          <w:u w:val="single"/>
        </w:rPr>
        <w:t>El problema es que estas idas y venidas de la entidad, enmarcadas en un objetivo poco realista, suponen una amenaza para la estabilidad financiera y económica.</w:t>
      </w:r>
    </w:p>
    <w:p w:rsidR="007E3D39" w:rsidRPr="00211C66" w:rsidRDefault="007E3D39" w:rsidP="007E3D39">
      <w:pPr>
        <w:spacing w:line="240" w:lineRule="auto"/>
        <w:jc w:val="both"/>
        <w:rPr>
          <w:rFonts w:ascii="Times New Roman" w:hAnsi="Times New Roman" w:cs="Times New Roman"/>
          <w:color w:val="FF0000"/>
          <w:sz w:val="24"/>
          <w:szCs w:val="24"/>
          <w:u w:val="single"/>
        </w:rPr>
      </w:pPr>
      <w:r w:rsidRPr="00211C66">
        <w:rPr>
          <w:rFonts w:ascii="Times New Roman" w:hAnsi="Times New Roman" w:cs="Times New Roman"/>
          <w:color w:val="FF0000"/>
          <w:sz w:val="24"/>
          <w:szCs w:val="24"/>
          <w:u w:val="single"/>
        </w:rPr>
        <w:t>Así lo cree Mohamed El-Erian, el presidente del Queens College de la Universidad de Cambridge y asesor económico jefe de Allianz, quien asegura</w:t>
      </w:r>
      <w:r>
        <w:rPr>
          <w:rFonts w:ascii="Times New Roman" w:hAnsi="Times New Roman" w:cs="Times New Roman"/>
          <w:color w:val="FF0000"/>
          <w:sz w:val="24"/>
          <w:szCs w:val="24"/>
          <w:u w:val="single"/>
        </w:rPr>
        <w:t xml:space="preserve"> que los comentarios de Powell “</w:t>
      </w:r>
      <w:r w:rsidRPr="00211C66">
        <w:rPr>
          <w:rFonts w:ascii="Times New Roman" w:hAnsi="Times New Roman" w:cs="Times New Roman"/>
          <w:color w:val="FF0000"/>
          <w:sz w:val="24"/>
          <w:szCs w:val="24"/>
          <w:u w:val="single"/>
        </w:rPr>
        <w:t>alimentan una considera</w:t>
      </w:r>
      <w:r>
        <w:rPr>
          <w:rFonts w:ascii="Times New Roman" w:hAnsi="Times New Roman" w:cs="Times New Roman"/>
          <w:color w:val="FF0000"/>
          <w:sz w:val="24"/>
          <w:szCs w:val="24"/>
          <w:u w:val="single"/>
        </w:rPr>
        <w:t>ble volatilidad en los mercados”</w:t>
      </w:r>
      <w:r w:rsidRPr="00211C66">
        <w:rPr>
          <w:rFonts w:ascii="Times New Roman" w:hAnsi="Times New Roman" w:cs="Times New Roman"/>
          <w:color w:val="FF0000"/>
          <w:sz w:val="24"/>
          <w:szCs w:val="24"/>
          <w:u w:val="single"/>
        </w:rPr>
        <w:t>. En su opini</w:t>
      </w:r>
      <w:r>
        <w:rPr>
          <w:rFonts w:ascii="Times New Roman" w:hAnsi="Times New Roman" w:cs="Times New Roman"/>
          <w:color w:val="FF0000"/>
          <w:sz w:val="24"/>
          <w:szCs w:val="24"/>
          <w:u w:val="single"/>
        </w:rPr>
        <w:t>ón, la Reserva Federal de EEUU “</w:t>
      </w:r>
      <w:r w:rsidRPr="00211C66">
        <w:rPr>
          <w:rFonts w:ascii="Times New Roman" w:hAnsi="Times New Roman" w:cs="Times New Roman"/>
          <w:color w:val="FF0000"/>
          <w:sz w:val="24"/>
          <w:szCs w:val="24"/>
          <w:u w:val="single"/>
        </w:rPr>
        <w:t>fue demasiado optimista en su última reunión de política monetaria al sugerir que la desinflación se estaba convirtiendo en l</w:t>
      </w:r>
      <w:r>
        <w:rPr>
          <w:rFonts w:ascii="Times New Roman" w:hAnsi="Times New Roman" w:cs="Times New Roman"/>
          <w:color w:val="FF0000"/>
          <w:sz w:val="24"/>
          <w:szCs w:val="24"/>
          <w:u w:val="single"/>
        </w:rPr>
        <w:t>a narrativa económica dominante”</w:t>
      </w:r>
      <w:r w:rsidRPr="00211C66">
        <w:rPr>
          <w:rFonts w:ascii="Times New Roman" w:hAnsi="Times New Roman" w:cs="Times New Roman"/>
          <w:color w:val="FF0000"/>
          <w:sz w:val="24"/>
          <w:szCs w:val="24"/>
          <w:u w:val="single"/>
        </w:rPr>
        <w:t>.</w:t>
      </w:r>
      <w:r>
        <w:rPr>
          <w:rFonts w:ascii="Times New Roman" w:hAnsi="Times New Roman" w:cs="Times New Roman"/>
          <w:color w:val="FF0000"/>
          <w:sz w:val="24"/>
          <w:szCs w:val="24"/>
          <w:u w:val="single"/>
        </w:rPr>
        <w:t xml:space="preserve"> A lo que añade que la entidad “</w:t>
      </w:r>
      <w:r w:rsidRPr="00211C66">
        <w:rPr>
          <w:rFonts w:ascii="Times New Roman" w:hAnsi="Times New Roman" w:cs="Times New Roman"/>
          <w:color w:val="FF0000"/>
          <w:sz w:val="24"/>
          <w:szCs w:val="24"/>
          <w:u w:val="single"/>
        </w:rPr>
        <w:t>se está quedando atrás en su lucha contra la inflación por tercera vez en solo dos año</w:t>
      </w:r>
      <w:r>
        <w:rPr>
          <w:rFonts w:ascii="Times New Roman" w:hAnsi="Times New Roman" w:cs="Times New Roman"/>
          <w:color w:val="FF0000"/>
          <w:sz w:val="24"/>
          <w:szCs w:val="24"/>
          <w:u w:val="single"/>
        </w:rPr>
        <w:t>s”</w:t>
      </w:r>
      <w:r w:rsidRPr="00211C66">
        <w:rPr>
          <w:rFonts w:ascii="Times New Roman" w:hAnsi="Times New Roman" w:cs="Times New Roman"/>
          <w:color w:val="FF0000"/>
          <w:sz w:val="24"/>
          <w:szCs w:val="24"/>
          <w:u w:val="single"/>
        </w:rPr>
        <w:t>.</w:t>
      </w:r>
    </w:p>
    <w:p w:rsidR="007E3D39" w:rsidRPr="004300F5" w:rsidRDefault="007E3D39" w:rsidP="007E3D39">
      <w:pPr>
        <w:spacing w:line="240" w:lineRule="auto"/>
        <w:jc w:val="both"/>
        <w:rPr>
          <w:rFonts w:ascii="Times New Roman" w:hAnsi="Times New Roman" w:cs="Times New Roman"/>
          <w:sz w:val="24"/>
          <w:szCs w:val="24"/>
        </w:rPr>
      </w:pPr>
      <w:r w:rsidRPr="004300F5">
        <w:rPr>
          <w:rFonts w:ascii="Times New Roman" w:hAnsi="Times New Roman" w:cs="Times New Roman"/>
          <w:sz w:val="24"/>
          <w:szCs w:val="24"/>
        </w:rPr>
        <w:t>La institución que preside Jerome Powell tiene hasta su próxima reunión -que se celebrará entre el 21 y 22 de marzo- para decidir si finalmente anuncia un alza de 50 puntos básicos o sigue reduciendo el ritmo, pero manteniendo las tipos más altos por más tiempo, señala el economista.</w:t>
      </w:r>
    </w:p>
    <w:p w:rsidR="007E3D39" w:rsidRPr="00211C66" w:rsidRDefault="007E3D39" w:rsidP="007E3D39">
      <w:pPr>
        <w:spacing w:line="240" w:lineRule="auto"/>
        <w:jc w:val="both"/>
        <w:rPr>
          <w:rFonts w:ascii="Times New Roman" w:hAnsi="Times New Roman" w:cs="Times New Roman"/>
          <w:color w:val="FF0000"/>
          <w:sz w:val="24"/>
          <w:szCs w:val="24"/>
          <w:u w:val="single"/>
        </w:rPr>
      </w:pPr>
      <w:r w:rsidRPr="004300F5">
        <w:rPr>
          <w:rFonts w:ascii="Times New Roman" w:hAnsi="Times New Roman" w:cs="Times New Roman"/>
          <w:sz w:val="24"/>
          <w:szCs w:val="24"/>
        </w:rPr>
        <w:t xml:space="preserve">En el supuesto de que opte por no continuar como hasta ahora, la Fed conseguiría algo de tiempo para evaluar el impacto de sus políticas monetarias, lo que contribuiría a reducir el riesgo de desestabilizar los mercados y la economía. No obstante, también podría derivar en un incrustamiento más profundo de la inflación en el sistema económico. </w:t>
      </w:r>
      <w:r w:rsidRPr="00211C66">
        <w:rPr>
          <w:rFonts w:ascii="Times New Roman" w:hAnsi="Times New Roman" w:cs="Times New Roman"/>
          <w:color w:val="FF0000"/>
          <w:sz w:val="24"/>
          <w:szCs w:val="24"/>
          <w:u w:val="single"/>
        </w:rPr>
        <w:t>Tome la decisión que tome la institución, su credibilidad se verá aún más dañada, destaca El-Erian.</w:t>
      </w:r>
    </w:p>
    <w:p w:rsidR="007E3D39" w:rsidRPr="004300F5"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“La Fed está muy equivocada”</w:t>
      </w:r>
    </w:p>
    <w:p w:rsidR="007E3D39" w:rsidRPr="00211C66" w:rsidRDefault="007E3D39" w:rsidP="007E3D39">
      <w:pPr>
        <w:spacing w:line="240" w:lineRule="auto"/>
        <w:jc w:val="both"/>
        <w:rPr>
          <w:rFonts w:ascii="Times New Roman" w:hAnsi="Times New Roman" w:cs="Times New Roman"/>
          <w:color w:val="FF0000"/>
          <w:sz w:val="24"/>
          <w:szCs w:val="24"/>
          <w:u w:val="single"/>
        </w:rPr>
      </w:pPr>
      <w:r w:rsidRPr="00211C66">
        <w:rPr>
          <w:rFonts w:ascii="Times New Roman" w:hAnsi="Times New Roman" w:cs="Times New Roman"/>
          <w:color w:val="FF0000"/>
          <w:sz w:val="24"/>
          <w:szCs w:val="24"/>
          <w:u w:val="single"/>
        </w:rPr>
        <w:t>Los vaivenes de la Fed tampoco convencen a Jeremy Siegel. El profesor de la Wharton School de la Universidad de Pensilvania cree que la política de la Reserva Federal de EEU</w:t>
      </w:r>
      <w:r>
        <w:rPr>
          <w:rFonts w:ascii="Times New Roman" w:hAnsi="Times New Roman" w:cs="Times New Roman"/>
          <w:color w:val="FF0000"/>
          <w:sz w:val="24"/>
          <w:szCs w:val="24"/>
          <w:u w:val="single"/>
        </w:rPr>
        <w:t>U “está muy equivocada” porque “</w:t>
      </w:r>
      <w:r w:rsidRPr="00211C66">
        <w:rPr>
          <w:rFonts w:ascii="Times New Roman" w:hAnsi="Times New Roman" w:cs="Times New Roman"/>
          <w:color w:val="FF0000"/>
          <w:sz w:val="24"/>
          <w:szCs w:val="24"/>
          <w:u w:val="single"/>
        </w:rPr>
        <w:t>es difícil argumentar que los salarios están causando inflación cuando</w:t>
      </w:r>
      <w:r>
        <w:rPr>
          <w:rFonts w:ascii="Times New Roman" w:hAnsi="Times New Roman" w:cs="Times New Roman"/>
          <w:color w:val="FF0000"/>
          <w:sz w:val="24"/>
          <w:szCs w:val="24"/>
          <w:u w:val="single"/>
        </w:rPr>
        <w:t xml:space="preserve"> han subido menos que esta tasa”</w:t>
      </w:r>
      <w:r w:rsidRPr="00211C66">
        <w:rPr>
          <w:rFonts w:ascii="Times New Roman" w:hAnsi="Times New Roman" w:cs="Times New Roman"/>
          <w:color w:val="FF0000"/>
          <w:sz w:val="24"/>
          <w:szCs w:val="24"/>
          <w:u w:val="single"/>
        </w:rPr>
        <w:t xml:space="preserve"> desde el inicio de la pandemia.</w:t>
      </w:r>
    </w:p>
    <w:p w:rsidR="007E3D39" w:rsidRPr="004300F5" w:rsidRDefault="007E3D39" w:rsidP="007E3D39">
      <w:pPr>
        <w:spacing w:line="240" w:lineRule="auto"/>
        <w:jc w:val="both"/>
        <w:rPr>
          <w:rFonts w:ascii="Times New Roman" w:hAnsi="Times New Roman" w:cs="Times New Roman"/>
          <w:sz w:val="24"/>
          <w:szCs w:val="24"/>
        </w:rPr>
      </w:pPr>
      <w:r w:rsidRPr="004300F5">
        <w:rPr>
          <w:rFonts w:ascii="Times New Roman" w:hAnsi="Times New Roman" w:cs="Times New Roman"/>
          <w:sz w:val="24"/>
          <w:szCs w:val="24"/>
        </w:rPr>
        <w:t>Históricamente, los salarios de los trabajadores en EEUU suelen subir entre un 1% y un</w:t>
      </w:r>
      <w:r>
        <w:rPr>
          <w:rFonts w:ascii="Times New Roman" w:hAnsi="Times New Roman" w:cs="Times New Roman"/>
          <w:sz w:val="24"/>
          <w:szCs w:val="24"/>
        </w:rPr>
        <w:t xml:space="preserve"> 2% más que la inflación, pero “están muy por detrás”</w:t>
      </w:r>
      <w:r w:rsidRPr="004300F5">
        <w:rPr>
          <w:rFonts w:ascii="Times New Roman" w:hAnsi="Times New Roman" w:cs="Times New Roman"/>
          <w:sz w:val="24"/>
          <w:szCs w:val="24"/>
        </w:rPr>
        <w:t xml:space="preserve"> en este escenario, explica el profesor y publica Fortune. Según sus cálculos, la mediana de los ingresos semanales reales en ese país -los cuales tienen en cuenta el impacto de la inflación- descendió más de un 7% entre el segundo trime</w:t>
      </w:r>
      <w:r>
        <w:rPr>
          <w:rFonts w:ascii="Times New Roman" w:hAnsi="Times New Roman" w:cs="Times New Roman"/>
          <w:sz w:val="24"/>
          <w:szCs w:val="24"/>
        </w:rPr>
        <w:t>stre de 2020 y finales de 2022.</w:t>
      </w:r>
    </w:p>
    <w:p w:rsidR="007E3D39" w:rsidRPr="00211C66" w:rsidRDefault="007E3D39" w:rsidP="007E3D39">
      <w:pPr>
        <w:spacing w:line="240" w:lineRule="auto"/>
        <w:jc w:val="both"/>
        <w:rPr>
          <w:rFonts w:ascii="Times New Roman" w:hAnsi="Times New Roman" w:cs="Times New Roman"/>
          <w:sz w:val="24"/>
          <w:szCs w:val="24"/>
          <w:u w:val="single"/>
        </w:rPr>
      </w:pPr>
      <w:r w:rsidRPr="004300F5">
        <w:rPr>
          <w:rFonts w:ascii="Times New Roman" w:hAnsi="Times New Roman" w:cs="Times New Roman"/>
          <w:sz w:val="24"/>
          <w:szCs w:val="24"/>
        </w:rPr>
        <w:t xml:space="preserve">Asimismo, apunta que la subida de los salarios se debe a la falta de empleados disponibles. Una situación que </w:t>
      </w:r>
      <w:r w:rsidRPr="00211C66">
        <w:rPr>
          <w:rFonts w:ascii="Times New Roman" w:hAnsi="Times New Roman" w:cs="Times New Roman"/>
          <w:sz w:val="24"/>
          <w:szCs w:val="24"/>
          <w:u w:val="single"/>
        </w:rPr>
        <w:t>Siegel</w:t>
      </w:r>
      <w:r w:rsidRPr="004300F5">
        <w:rPr>
          <w:rFonts w:ascii="Times New Roman" w:hAnsi="Times New Roman" w:cs="Times New Roman"/>
          <w:sz w:val="24"/>
          <w:szCs w:val="24"/>
        </w:rPr>
        <w:t xml:space="preserve"> no ve que se vaya a solucionar subiendo los tipos de interés, tal y como pretende la Fed. En su lugar, </w:t>
      </w:r>
      <w:r w:rsidRPr="00211C66">
        <w:rPr>
          <w:rFonts w:ascii="Times New Roman" w:hAnsi="Times New Roman" w:cs="Times New Roman"/>
          <w:sz w:val="24"/>
          <w:szCs w:val="24"/>
          <w:u w:val="single"/>
        </w:rPr>
        <w:t>sugiere que la institución que preside Jerome Powell renuncie a su política monetaria actual para esperar a que las alzas anteriores se dejen sentir en la economía.</w:t>
      </w:r>
    </w:p>
    <w:p w:rsidR="007E3D39" w:rsidRPr="006266FF"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266FF">
        <w:rPr>
          <w:rFonts w:ascii="Times New Roman" w:hAnsi="Times New Roman" w:cs="Times New Roman"/>
          <w:sz w:val="24"/>
          <w:szCs w:val="24"/>
          <w:u w:val="single"/>
        </w:rPr>
        <w:t>L</w:t>
      </w:r>
      <w:r>
        <w:rPr>
          <w:rFonts w:ascii="Times New Roman" w:hAnsi="Times New Roman" w:cs="Times New Roman"/>
          <w:sz w:val="24"/>
          <w:szCs w:val="24"/>
          <w:u w:val="single"/>
        </w:rPr>
        <w:t>as turbulencias bancarias en EE</w:t>
      </w:r>
      <w:r w:rsidRPr="006266FF">
        <w:rPr>
          <w:rFonts w:ascii="Times New Roman" w:hAnsi="Times New Roman" w:cs="Times New Roman"/>
          <w:sz w:val="24"/>
          <w:szCs w:val="24"/>
          <w:u w:val="single"/>
        </w:rPr>
        <w:t>UU disparan las alarmas en el mundo</w:t>
      </w:r>
      <w:r>
        <w:rPr>
          <w:rFonts w:ascii="Times New Roman" w:hAnsi="Times New Roman" w:cs="Times New Roman"/>
          <w:sz w:val="24"/>
          <w:szCs w:val="24"/>
        </w:rPr>
        <w:t xml:space="preserve"> (Cinco Días - </w:t>
      </w:r>
      <w:r w:rsidRPr="006266FF">
        <w:rPr>
          <w:rFonts w:ascii="Times New Roman" w:hAnsi="Times New Roman" w:cs="Times New Roman"/>
          <w:b/>
          <w:sz w:val="24"/>
          <w:szCs w:val="24"/>
        </w:rPr>
        <w:t>14/3/23</w:t>
      </w:r>
      <w:r>
        <w:rPr>
          <w:rFonts w:ascii="Times New Roman" w:hAnsi="Times New Roman" w:cs="Times New Roman"/>
          <w:sz w:val="24"/>
          <w:szCs w:val="24"/>
        </w:rPr>
        <w:t>)</w:t>
      </w:r>
    </w:p>
    <w:p w:rsidR="007E3D39" w:rsidRDefault="007E3D39" w:rsidP="007E3D39">
      <w:pPr>
        <w:spacing w:line="240" w:lineRule="auto"/>
        <w:jc w:val="both"/>
        <w:rPr>
          <w:rFonts w:ascii="Times New Roman" w:hAnsi="Times New Roman" w:cs="Times New Roman"/>
          <w:sz w:val="24"/>
          <w:szCs w:val="24"/>
        </w:rPr>
      </w:pPr>
      <w:r w:rsidRPr="006266FF">
        <w:rPr>
          <w:rFonts w:ascii="Times New Roman" w:hAnsi="Times New Roman" w:cs="Times New Roman"/>
          <w:sz w:val="24"/>
          <w:szCs w:val="24"/>
        </w:rPr>
        <w:t>La banca mediana del país se derrumba en Bolsa pese a las llamadas a la calma de Biden y la Fed</w:t>
      </w:r>
    </w:p>
    <w:p w:rsidR="007E3D39" w:rsidRDefault="007E3D39" w:rsidP="007E3D39">
      <w:pPr>
        <w:spacing w:line="240" w:lineRule="auto"/>
        <w:jc w:val="both"/>
        <w:rPr>
          <w:rFonts w:ascii="Times New Roman" w:hAnsi="Times New Roman" w:cs="Times New Roman"/>
          <w:sz w:val="24"/>
          <w:szCs w:val="24"/>
        </w:rPr>
      </w:pPr>
      <w:r w:rsidRPr="006266FF">
        <w:rPr>
          <w:rFonts w:ascii="Times New Roman" w:hAnsi="Times New Roman" w:cs="Times New Roman"/>
          <w:noProof/>
          <w:sz w:val="24"/>
          <w:szCs w:val="24"/>
          <w:lang w:eastAsia="es-ES"/>
        </w:rPr>
        <w:lastRenderedPageBreak/>
        <w:drawing>
          <wp:inline distT="0" distB="0" distL="0" distR="0" wp14:anchorId="628C04A7" wp14:editId="309B5392">
            <wp:extent cx="5731510" cy="3794064"/>
            <wp:effectExtent l="0" t="0" r="2540" b="0"/>
            <wp:docPr id="95" name="Imagen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31510" cy="3794064"/>
                    </a:xfrm>
                    <a:prstGeom prst="rect">
                      <a:avLst/>
                    </a:prstGeom>
                  </pic:spPr>
                </pic:pic>
              </a:graphicData>
            </a:graphic>
          </wp:inline>
        </w:drawing>
      </w:r>
    </w:p>
    <w:p w:rsidR="007E3D39" w:rsidRPr="006266FF"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WSJ - </w:t>
      </w:r>
      <w:r w:rsidRPr="00F946B4">
        <w:rPr>
          <w:rFonts w:ascii="Times New Roman" w:hAnsi="Times New Roman" w:cs="Times New Roman"/>
          <w:b/>
          <w:sz w:val="24"/>
          <w:szCs w:val="24"/>
        </w:rPr>
        <w:t>14/3/23</w:t>
      </w:r>
      <w:r>
        <w:rPr>
          <w:rFonts w:ascii="Times New Roman" w:hAnsi="Times New Roman" w:cs="Times New Roman"/>
          <w:sz w:val="24"/>
          <w:szCs w:val="24"/>
        </w:rPr>
        <w:t>)</w:t>
      </w:r>
    </w:p>
    <w:p w:rsidR="007E3D39" w:rsidRPr="006266FF"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266FF">
        <w:rPr>
          <w:rFonts w:ascii="Times New Roman" w:hAnsi="Times New Roman" w:cs="Times New Roman"/>
          <w:sz w:val="24"/>
          <w:szCs w:val="24"/>
        </w:rPr>
        <w:t>Nuria Salobral</w:t>
      </w:r>
      <w:r>
        <w:rPr>
          <w:rFonts w:ascii="Times New Roman" w:hAnsi="Times New Roman" w:cs="Times New Roman"/>
          <w:sz w:val="24"/>
          <w:szCs w:val="24"/>
        </w:rPr>
        <w:t>)</w:t>
      </w:r>
    </w:p>
    <w:p w:rsidR="007E3D39" w:rsidRPr="00543EE2" w:rsidRDefault="007E3D39" w:rsidP="007E3D39">
      <w:pPr>
        <w:spacing w:line="240" w:lineRule="auto"/>
        <w:jc w:val="both"/>
        <w:rPr>
          <w:rFonts w:ascii="Times New Roman" w:hAnsi="Times New Roman" w:cs="Times New Roman"/>
          <w:sz w:val="24"/>
          <w:szCs w:val="24"/>
          <w:u w:val="single"/>
        </w:rPr>
      </w:pPr>
      <w:r w:rsidRPr="00543EE2">
        <w:rPr>
          <w:rFonts w:ascii="Times New Roman" w:hAnsi="Times New Roman" w:cs="Times New Roman"/>
          <w:sz w:val="24"/>
          <w:szCs w:val="24"/>
          <w:u w:val="single"/>
        </w:rPr>
        <w:t xml:space="preserve">Tambores de crisis bancaria en Estados Unidos. El colapso del Silicon Valley Bank, banco de cabecera del sector tecnológico, ha desatado el temor a un contagio generalizado entre la banca pequeña y mediana del país y obligado a actuar de urgencia a la Reserva Federal. La caída del SVB es la mayor </w:t>
      </w:r>
      <w:r>
        <w:rPr>
          <w:rFonts w:ascii="Times New Roman" w:hAnsi="Times New Roman" w:cs="Times New Roman"/>
          <w:sz w:val="24"/>
          <w:szCs w:val="24"/>
          <w:u w:val="single"/>
        </w:rPr>
        <w:t>de una entidad financiera en EE</w:t>
      </w:r>
      <w:r w:rsidRPr="00543EE2">
        <w:rPr>
          <w:rFonts w:ascii="Times New Roman" w:hAnsi="Times New Roman" w:cs="Times New Roman"/>
          <w:sz w:val="24"/>
          <w:szCs w:val="24"/>
          <w:u w:val="single"/>
        </w:rPr>
        <w:t>UU desde 2008 y ha despertado los peores fantasmas de la crisis de Lehman Brothers, llevándose por delante las cotizaciones de la banca a nivel global y frenando en seco toda expectativa de una próxima subida de tipos por parte de la Fed.</w:t>
      </w:r>
    </w:p>
    <w:p w:rsidR="007E3D39" w:rsidRPr="00543EE2" w:rsidRDefault="007E3D39" w:rsidP="007E3D39">
      <w:pPr>
        <w:spacing w:line="240" w:lineRule="auto"/>
        <w:jc w:val="both"/>
        <w:rPr>
          <w:rFonts w:ascii="Times New Roman" w:hAnsi="Times New Roman" w:cs="Times New Roman"/>
          <w:color w:val="FF0000"/>
          <w:sz w:val="24"/>
          <w:szCs w:val="24"/>
          <w:u w:val="single"/>
        </w:rPr>
      </w:pPr>
      <w:r w:rsidRPr="00543EE2">
        <w:rPr>
          <w:rFonts w:ascii="Times New Roman" w:hAnsi="Times New Roman" w:cs="Times New Roman"/>
          <w:color w:val="FF0000"/>
          <w:sz w:val="24"/>
          <w:szCs w:val="24"/>
          <w:u w:val="single"/>
        </w:rPr>
        <w:t xml:space="preserve">Cuando toda la atención parecía puesta en la inflación y en la cuantía de las próximas alzas de tipos de interés, el gran temor sobre la economía global se sitúa ahora en la solvencia de la banca, epicentro de pasadas y dolorosas crisis. En solo unos días, </w:t>
      </w:r>
      <w:r>
        <w:rPr>
          <w:rFonts w:ascii="Times New Roman" w:hAnsi="Times New Roman" w:cs="Times New Roman"/>
          <w:color w:val="FF0000"/>
          <w:sz w:val="24"/>
          <w:szCs w:val="24"/>
          <w:u w:val="single"/>
        </w:rPr>
        <w:t>han colapsado tres bancos en EE</w:t>
      </w:r>
      <w:r w:rsidRPr="00543EE2">
        <w:rPr>
          <w:rFonts w:ascii="Times New Roman" w:hAnsi="Times New Roman" w:cs="Times New Roman"/>
          <w:color w:val="FF0000"/>
          <w:sz w:val="24"/>
          <w:szCs w:val="24"/>
          <w:u w:val="single"/>
        </w:rPr>
        <w:t>UU. Además de SVB, han caído también Silvergate, especializado en criptomonedas, y Signature, presa del contagio de SVB e intervenido este domingo.</w:t>
      </w:r>
    </w:p>
    <w:p w:rsidR="007E3D39" w:rsidRPr="006266FF" w:rsidRDefault="007E3D39" w:rsidP="007E3D39">
      <w:pPr>
        <w:spacing w:line="240" w:lineRule="auto"/>
        <w:jc w:val="both"/>
        <w:rPr>
          <w:rFonts w:ascii="Times New Roman" w:hAnsi="Times New Roman" w:cs="Times New Roman"/>
          <w:sz w:val="24"/>
          <w:szCs w:val="24"/>
        </w:rPr>
      </w:pPr>
      <w:r w:rsidRPr="006266FF">
        <w:rPr>
          <w:rFonts w:ascii="Times New Roman" w:hAnsi="Times New Roman" w:cs="Times New Roman"/>
          <w:sz w:val="24"/>
          <w:szCs w:val="24"/>
        </w:rPr>
        <w:t xml:space="preserve">Con tal de evitar un lunes negro en los mercados y la continuidad en la estampida de depósitos en la banca mediana del país, el presidente estadounidense Joe Biden realizó este lunes una breve intervención televisiva poco antes de la apertura de Wall Street. Recalcó que </w:t>
      </w:r>
      <w:r>
        <w:rPr>
          <w:rFonts w:ascii="Times New Roman" w:hAnsi="Times New Roman" w:cs="Times New Roman"/>
          <w:sz w:val="24"/>
          <w:szCs w:val="24"/>
        </w:rPr>
        <w:t>el sistema bancario de EE</w:t>
      </w:r>
      <w:r w:rsidRPr="006266FF">
        <w:rPr>
          <w:rFonts w:ascii="Times New Roman" w:hAnsi="Times New Roman" w:cs="Times New Roman"/>
          <w:sz w:val="24"/>
          <w:szCs w:val="24"/>
        </w:rPr>
        <w:t>UU es seguro y lanzó un mensaje de tranquilidad a los ahorradores. “Vuestros depósitos estarán ahí cuando los necesitéis”, aseguró.</w:t>
      </w:r>
    </w:p>
    <w:p w:rsidR="007E3D39" w:rsidRPr="00543EE2" w:rsidRDefault="007E3D39" w:rsidP="007E3D39">
      <w:pPr>
        <w:spacing w:line="240" w:lineRule="auto"/>
        <w:jc w:val="both"/>
        <w:rPr>
          <w:rFonts w:ascii="Times New Roman" w:hAnsi="Times New Roman" w:cs="Times New Roman"/>
          <w:sz w:val="24"/>
          <w:szCs w:val="24"/>
          <w:u w:val="single"/>
        </w:rPr>
      </w:pPr>
      <w:r w:rsidRPr="00543EE2">
        <w:rPr>
          <w:rFonts w:ascii="Times New Roman" w:hAnsi="Times New Roman" w:cs="Times New Roman"/>
          <w:sz w:val="24"/>
          <w:szCs w:val="24"/>
          <w:u w:val="single"/>
        </w:rPr>
        <w:t>El mensaje de Biden insistía en la decisión que ya habían tomado el domingo l</w:t>
      </w:r>
      <w:r>
        <w:rPr>
          <w:rFonts w:ascii="Times New Roman" w:hAnsi="Times New Roman" w:cs="Times New Roman"/>
          <w:sz w:val="24"/>
          <w:szCs w:val="24"/>
          <w:u w:val="single"/>
        </w:rPr>
        <w:t>as autoridades económicas de EE</w:t>
      </w:r>
      <w:r w:rsidRPr="00543EE2">
        <w:rPr>
          <w:rFonts w:ascii="Times New Roman" w:hAnsi="Times New Roman" w:cs="Times New Roman"/>
          <w:sz w:val="24"/>
          <w:szCs w:val="24"/>
          <w:u w:val="single"/>
        </w:rPr>
        <w:t xml:space="preserve">UU, por la que quedan protegidos la totalidad de los depósitos. Además, se adoptó una medida dirigida directamente a ayudar de forma preventiva a otras entidades que empiezan a estar en la cuerda floja y que podrían despeñarse por el mismo camino que SVB. Así, la Fed ha habilitado una línea de financiación a bajo coste por 25.000 millones de </w:t>
      </w:r>
      <w:r w:rsidRPr="00543EE2">
        <w:rPr>
          <w:rFonts w:ascii="Times New Roman" w:hAnsi="Times New Roman" w:cs="Times New Roman"/>
          <w:sz w:val="24"/>
          <w:szCs w:val="24"/>
          <w:u w:val="single"/>
        </w:rPr>
        <w:lastRenderedPageBreak/>
        <w:t>dólares a un año para las entidades financieras, de modo que en caso de problemas de liquidez, no tengan que vender a pérdida su cartera de deuda. No correrán así la suerte de SVB, que vendió bonos de forma apresurada para atender la retirada de depósitos de sus clientes, activando un efecto bola de nieve que condujo a su colapso.</w:t>
      </w:r>
    </w:p>
    <w:p w:rsidR="007E3D39" w:rsidRPr="00543EE2" w:rsidRDefault="007E3D39" w:rsidP="007E3D39">
      <w:pPr>
        <w:spacing w:line="240" w:lineRule="auto"/>
        <w:jc w:val="both"/>
        <w:rPr>
          <w:rFonts w:ascii="Times New Roman" w:hAnsi="Times New Roman" w:cs="Times New Roman"/>
          <w:sz w:val="24"/>
          <w:szCs w:val="24"/>
          <w:u w:val="single"/>
        </w:rPr>
      </w:pPr>
      <w:r w:rsidRPr="006266FF">
        <w:rPr>
          <w:rFonts w:ascii="Times New Roman" w:hAnsi="Times New Roman" w:cs="Times New Roman"/>
          <w:sz w:val="24"/>
          <w:szCs w:val="24"/>
        </w:rPr>
        <w:t xml:space="preserve">Otra de las medidas preventivas la ha puesto en marcha el sistema de Bancos Federales de Préstamos para la Vivienda, una agencia federal que brinda liquidez a las entidades para la financiación de la compra de una casa y que aspira a crear un fondo de 64.000 millones de dólares. </w:t>
      </w:r>
      <w:r w:rsidRPr="00543EE2">
        <w:rPr>
          <w:rFonts w:ascii="Times New Roman" w:hAnsi="Times New Roman" w:cs="Times New Roman"/>
          <w:sz w:val="24"/>
          <w:szCs w:val="24"/>
          <w:u w:val="single"/>
        </w:rPr>
        <w:t>Pero todas esas actuaciones no han logrado cerrar la sangría bursátil desatada en la banca estadounidense ni aplacar el temor a que los problemas de liquidez de algunas entidades acaben en problemas de solvencia, inquietud que ayer alcanzó una dimensión global.</w:t>
      </w:r>
    </w:p>
    <w:p w:rsidR="007E3D39" w:rsidRPr="00543EE2" w:rsidRDefault="007E3D39" w:rsidP="007E3D39">
      <w:pPr>
        <w:spacing w:line="240" w:lineRule="auto"/>
        <w:jc w:val="both"/>
        <w:rPr>
          <w:rFonts w:ascii="Times New Roman" w:hAnsi="Times New Roman" w:cs="Times New Roman"/>
          <w:color w:val="FF0000"/>
          <w:sz w:val="24"/>
          <w:szCs w:val="24"/>
          <w:u w:val="single"/>
        </w:rPr>
      </w:pPr>
      <w:r w:rsidRPr="00543EE2">
        <w:rPr>
          <w:rFonts w:ascii="Times New Roman" w:hAnsi="Times New Roman" w:cs="Times New Roman"/>
          <w:color w:val="FF0000"/>
          <w:sz w:val="24"/>
          <w:szCs w:val="24"/>
          <w:u w:val="single"/>
        </w:rPr>
        <w:t>La jornada de ayer comenzó con derrumbes estrepitosos para un puñado de bancos medianos que el mercado ha puesto en el disparadero. First Republic Bank llegó a desplomarse el 70%; Wester Alliance sufrió el mayor descenso de su historia, que llegó al 76%, y PacWest Bancorp se desfondó más del 40%, hasta nuevo mínimos. El índice Nasdaq KBW, compuesto de los principales bancos comerciales, se hundía un 13% al comienzo del día.</w:t>
      </w:r>
    </w:p>
    <w:p w:rsidR="007E3D39" w:rsidRPr="00543EE2" w:rsidRDefault="007E3D39" w:rsidP="007E3D39">
      <w:pPr>
        <w:spacing w:line="240" w:lineRule="auto"/>
        <w:jc w:val="both"/>
        <w:rPr>
          <w:rFonts w:ascii="Times New Roman" w:hAnsi="Times New Roman" w:cs="Times New Roman"/>
          <w:color w:val="FF0000"/>
          <w:sz w:val="24"/>
          <w:szCs w:val="24"/>
          <w:u w:val="single"/>
        </w:rPr>
      </w:pPr>
      <w:r w:rsidRPr="00543EE2">
        <w:rPr>
          <w:rFonts w:ascii="Times New Roman" w:hAnsi="Times New Roman" w:cs="Times New Roman"/>
          <w:color w:val="FF0000"/>
          <w:sz w:val="24"/>
          <w:szCs w:val="24"/>
          <w:u w:val="single"/>
        </w:rPr>
        <w:t>Un análisis de Citi reconoce que sigue habiendo dudas sobre los pequeños bancos regionales, aunque la interv</w:t>
      </w:r>
      <w:r>
        <w:rPr>
          <w:rFonts w:ascii="Times New Roman" w:hAnsi="Times New Roman" w:cs="Times New Roman"/>
          <w:color w:val="FF0000"/>
          <w:sz w:val="24"/>
          <w:szCs w:val="24"/>
          <w:u w:val="single"/>
        </w:rPr>
        <w:t>ención de las autoridades de EE</w:t>
      </w:r>
      <w:r w:rsidRPr="00543EE2">
        <w:rPr>
          <w:rFonts w:ascii="Times New Roman" w:hAnsi="Times New Roman" w:cs="Times New Roman"/>
          <w:color w:val="FF0000"/>
          <w:sz w:val="24"/>
          <w:szCs w:val="24"/>
          <w:u w:val="single"/>
        </w:rPr>
        <w:t>UU para proteger la totalidad de los depósitos de clientes sea sin duda una buena noticia.</w:t>
      </w:r>
    </w:p>
    <w:p w:rsidR="007E3D39" w:rsidRPr="00C67383" w:rsidRDefault="007E3D39" w:rsidP="007E3D39">
      <w:pPr>
        <w:spacing w:line="240" w:lineRule="auto"/>
        <w:jc w:val="both"/>
        <w:rPr>
          <w:rFonts w:ascii="Times New Roman" w:hAnsi="Times New Roman" w:cs="Times New Roman"/>
          <w:sz w:val="24"/>
          <w:szCs w:val="24"/>
          <w:u w:val="single"/>
        </w:rPr>
      </w:pPr>
      <w:r w:rsidRPr="006266FF">
        <w:rPr>
          <w:rFonts w:ascii="Times New Roman" w:hAnsi="Times New Roman" w:cs="Times New Roman"/>
          <w:sz w:val="24"/>
          <w:szCs w:val="24"/>
        </w:rPr>
        <w:t>First Republic incluso anunció el domingo que había pactado con el gigante financiero JP Morgan una línea de crédito por 70.000 millones de dólares para asegurar su liquidez y sus operaciones, lo que no evitó el lunes su derrumbe en Bolsa. “La confianza está disminuyendo en el mercado, en especial en los bancos regionales”, detallaba ayer una nota de la firma de análisis LPL Financial</w:t>
      </w:r>
      <w:r w:rsidRPr="00C67383">
        <w:rPr>
          <w:rFonts w:ascii="Times New Roman" w:hAnsi="Times New Roman" w:cs="Times New Roman"/>
          <w:sz w:val="24"/>
          <w:szCs w:val="24"/>
          <w:u w:val="single"/>
        </w:rPr>
        <w:t>. Cualquier conexión con SVB preocupa a los inversores, en alerta ante el hecho de que los bancos regionales no pasan los mismos controles regulatorios que los gigantes financieros estadounidenses. Así, los descensos para JP Morgan apenas rondaban el 2%. “La verdadera dificultad para el sector es que hay una crisis de confianza respecto a los depósitos y, cuando esto se disloca, las cosas pueden alterarse rápidamente”, explica Christopher McGratty, jefe de Investigación de KBW.</w:t>
      </w:r>
    </w:p>
    <w:p w:rsidR="007E3D39" w:rsidRPr="00C67383" w:rsidRDefault="007E3D39" w:rsidP="007E3D39">
      <w:pPr>
        <w:spacing w:line="240" w:lineRule="auto"/>
        <w:jc w:val="both"/>
        <w:rPr>
          <w:rFonts w:ascii="Times New Roman" w:hAnsi="Times New Roman" w:cs="Times New Roman"/>
          <w:sz w:val="24"/>
          <w:szCs w:val="24"/>
          <w:u w:val="single"/>
        </w:rPr>
      </w:pPr>
      <w:r w:rsidRPr="006266FF">
        <w:rPr>
          <w:rFonts w:ascii="Times New Roman" w:hAnsi="Times New Roman" w:cs="Times New Roman"/>
          <w:sz w:val="24"/>
          <w:szCs w:val="24"/>
        </w:rPr>
        <w:t>La desconfian</w:t>
      </w:r>
      <w:r>
        <w:rPr>
          <w:rFonts w:ascii="Times New Roman" w:hAnsi="Times New Roman" w:cs="Times New Roman"/>
          <w:sz w:val="24"/>
          <w:szCs w:val="24"/>
        </w:rPr>
        <w:t>za hacia la banca mediana de EE</w:t>
      </w:r>
      <w:r w:rsidRPr="006266FF">
        <w:rPr>
          <w:rFonts w:ascii="Times New Roman" w:hAnsi="Times New Roman" w:cs="Times New Roman"/>
          <w:sz w:val="24"/>
          <w:szCs w:val="24"/>
        </w:rPr>
        <w:t xml:space="preserve">UU que muestra el mercado se refleja también en el repunte de los termómetros del riesgo financiero. Uno especialmente representativo de la tensión del momento es el diferencial que compara el tipo de interés al que se prestan dinero los bancos en el interbancario frente a los tipos de interés de la Fed: la brecha entre el líbor y el tipo de interés a un día de la Reserva Federal se ha ensanchado a niveles que no se veían desde 2009. </w:t>
      </w:r>
      <w:r w:rsidRPr="00C67383">
        <w:rPr>
          <w:rFonts w:ascii="Times New Roman" w:hAnsi="Times New Roman" w:cs="Times New Roman"/>
          <w:sz w:val="24"/>
          <w:szCs w:val="24"/>
          <w:u w:val="single"/>
        </w:rPr>
        <w:t>“Habrá una búsqueda de la próxima víctima y la probabilidad de una recesión va a incrementarse en las próximas semanas”, señala Alberto Tocchio, gestor de Kairos Partners.</w:t>
      </w:r>
    </w:p>
    <w:p w:rsidR="007E3D39" w:rsidRPr="006266FF" w:rsidRDefault="007E3D39" w:rsidP="007E3D39">
      <w:pPr>
        <w:spacing w:line="240" w:lineRule="auto"/>
        <w:jc w:val="both"/>
        <w:rPr>
          <w:rFonts w:ascii="Times New Roman" w:hAnsi="Times New Roman" w:cs="Times New Roman"/>
          <w:sz w:val="24"/>
          <w:szCs w:val="24"/>
        </w:rPr>
      </w:pPr>
      <w:r w:rsidRPr="00C67383">
        <w:rPr>
          <w:rFonts w:ascii="Times New Roman" w:hAnsi="Times New Roman" w:cs="Times New Roman"/>
          <w:sz w:val="24"/>
          <w:szCs w:val="24"/>
          <w:u w:val="single"/>
        </w:rPr>
        <w:t>La caída de SVB y su efecto contagio es además un severo toque de atención sobre los efectos adversos que las alzas de tipos pueden tener sobre la banca, no solo por el potencial incremento de riesgo de crédito</w:t>
      </w:r>
      <w:r w:rsidRPr="006266FF">
        <w:rPr>
          <w:rFonts w:ascii="Times New Roman" w:hAnsi="Times New Roman" w:cs="Times New Roman"/>
          <w:sz w:val="24"/>
          <w:szCs w:val="24"/>
        </w:rPr>
        <w:t xml:space="preserve">. </w:t>
      </w:r>
      <w:r w:rsidRPr="00C67383">
        <w:rPr>
          <w:rFonts w:ascii="Times New Roman" w:hAnsi="Times New Roman" w:cs="Times New Roman"/>
          <w:color w:val="FF0000"/>
          <w:sz w:val="24"/>
          <w:szCs w:val="24"/>
          <w:u w:val="single"/>
        </w:rPr>
        <w:t>Según explica Filippo Alloatti, responsable de crédito financiero de la gestora estadounidense Federated Hermes, “el SVB quedó exento de los estrictos coeficientes de liquidez de Basilea 3 y, en su lugar, solo se le exigió un informe trimestral de liquidez. Los bancos pequeños como el SVB pueden evitar la valoración negativa a precios de mercado de la cartera de bonos contra su ratio de solvencia CET1, reforzando artificialmente su capital”.</w:t>
      </w:r>
      <w:r w:rsidRPr="006266FF">
        <w:rPr>
          <w:rFonts w:ascii="Times New Roman" w:hAnsi="Times New Roman" w:cs="Times New Roman"/>
          <w:sz w:val="24"/>
          <w:szCs w:val="24"/>
        </w:rPr>
        <w:t xml:space="preserve"> Joe Biden apeló ayer precisamente a reforzar la regulación financiera, que “desafortunadamente”, según señaló, se relajó durante el mandato </w:t>
      </w:r>
      <w:r w:rsidRPr="006266FF">
        <w:rPr>
          <w:rFonts w:ascii="Times New Roman" w:hAnsi="Times New Roman" w:cs="Times New Roman"/>
          <w:sz w:val="24"/>
          <w:szCs w:val="24"/>
        </w:rPr>
        <w:lastRenderedPageBreak/>
        <w:t>de Donald Trump y sin perder de vista que los bancos de E</w:t>
      </w:r>
      <w:r>
        <w:rPr>
          <w:rFonts w:ascii="Times New Roman" w:hAnsi="Times New Roman" w:cs="Times New Roman"/>
          <w:sz w:val="24"/>
          <w:szCs w:val="24"/>
        </w:rPr>
        <w:t>E</w:t>
      </w:r>
      <w:r w:rsidRPr="006266FF">
        <w:rPr>
          <w:rFonts w:ascii="Times New Roman" w:hAnsi="Times New Roman" w:cs="Times New Roman"/>
          <w:sz w:val="24"/>
          <w:szCs w:val="24"/>
        </w:rPr>
        <w:t>UU tienen minusvalías latentes en su cartera de deuda p</w:t>
      </w:r>
      <w:r>
        <w:rPr>
          <w:rFonts w:ascii="Times New Roman" w:hAnsi="Times New Roman" w:cs="Times New Roman"/>
          <w:sz w:val="24"/>
          <w:szCs w:val="24"/>
        </w:rPr>
        <w:t>or 620.000 millones de dólares.</w:t>
      </w:r>
    </w:p>
    <w:p w:rsidR="007E3D39" w:rsidRPr="00C67383" w:rsidRDefault="007E3D39" w:rsidP="007E3D3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Las autoridades de EE</w:t>
      </w:r>
      <w:r w:rsidRPr="00C67383">
        <w:rPr>
          <w:rFonts w:ascii="Times New Roman" w:hAnsi="Times New Roman" w:cs="Times New Roman"/>
          <w:color w:val="FF0000"/>
          <w:sz w:val="24"/>
          <w:szCs w:val="24"/>
          <w:u w:val="single"/>
        </w:rPr>
        <w:t>UU han invocado el riesgo sistémico a la hora de proteger a los depositantes de SVB, si bien la entidad no tenía la consideración de sistémica pese al tamaño de su balance, superior a los 200.000 millones de dólares. Quedó al margen de esa consideración cuando la administración Trump elevó el umbral de banco sistémico de 50.000 a 250.000 millones de dólares de activos. “Hay que tratar de que no se repita”, insistió Biden, quien aseguró que la intervención de SVB no tendrá coste para el contribuyente. Sus depósitos los cubrirá el fondo</w:t>
      </w:r>
      <w:r>
        <w:rPr>
          <w:rFonts w:ascii="Times New Roman" w:hAnsi="Times New Roman" w:cs="Times New Roman"/>
          <w:color w:val="FF0000"/>
          <w:sz w:val="24"/>
          <w:szCs w:val="24"/>
          <w:u w:val="single"/>
        </w:rPr>
        <w:t xml:space="preserve"> de garantía de depósitos de EE</w:t>
      </w:r>
      <w:r w:rsidRPr="00C67383">
        <w:rPr>
          <w:rFonts w:ascii="Times New Roman" w:hAnsi="Times New Roman" w:cs="Times New Roman"/>
          <w:color w:val="FF0000"/>
          <w:sz w:val="24"/>
          <w:szCs w:val="24"/>
          <w:u w:val="single"/>
        </w:rPr>
        <w:t>UU, pero accionistas y bonistas del banco deberán asumir las pérdidas. Todo un aviso del que ayer tomó buena nota.</w:t>
      </w:r>
    </w:p>
    <w:p w:rsidR="007E3D39" w:rsidRPr="006266FF"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266FF">
        <w:rPr>
          <w:rFonts w:ascii="Times New Roman" w:hAnsi="Times New Roman" w:cs="Times New Roman"/>
          <w:sz w:val="24"/>
          <w:szCs w:val="24"/>
          <w:u w:val="single"/>
        </w:rPr>
        <w:t>La banca europea, entre la solidez del balance y el riesgo de una crisis a gran escala</w:t>
      </w:r>
      <w:r>
        <w:rPr>
          <w:rFonts w:ascii="Times New Roman" w:hAnsi="Times New Roman" w:cs="Times New Roman"/>
          <w:sz w:val="24"/>
          <w:szCs w:val="24"/>
        </w:rPr>
        <w:t xml:space="preserve"> (Cinco Días - </w:t>
      </w:r>
      <w:r w:rsidRPr="006266FF">
        <w:rPr>
          <w:rFonts w:ascii="Times New Roman" w:hAnsi="Times New Roman" w:cs="Times New Roman"/>
          <w:b/>
          <w:sz w:val="24"/>
          <w:szCs w:val="24"/>
        </w:rPr>
        <w:t>14/3/23</w:t>
      </w:r>
      <w:r>
        <w:rPr>
          <w:rFonts w:ascii="Times New Roman" w:hAnsi="Times New Roman" w:cs="Times New Roman"/>
          <w:sz w:val="24"/>
          <w:szCs w:val="24"/>
        </w:rPr>
        <w:t>)</w:t>
      </w:r>
    </w:p>
    <w:p w:rsidR="007E3D39" w:rsidRPr="006266FF" w:rsidRDefault="007E3D39" w:rsidP="007E3D39">
      <w:pPr>
        <w:spacing w:line="240" w:lineRule="auto"/>
        <w:jc w:val="both"/>
        <w:rPr>
          <w:rFonts w:ascii="Times New Roman" w:hAnsi="Times New Roman" w:cs="Times New Roman"/>
          <w:sz w:val="24"/>
          <w:szCs w:val="24"/>
        </w:rPr>
      </w:pPr>
      <w:r w:rsidRPr="006266FF">
        <w:rPr>
          <w:rFonts w:ascii="Times New Roman" w:hAnsi="Times New Roman" w:cs="Times New Roman"/>
          <w:sz w:val="24"/>
          <w:szCs w:val="24"/>
        </w:rPr>
        <w:t>Los expertos no ven extrapolables los problemas de SVB a un sector más capitalizado pero</w:t>
      </w:r>
      <w:r>
        <w:rPr>
          <w:rFonts w:ascii="Times New Roman" w:hAnsi="Times New Roman" w:cs="Times New Roman"/>
          <w:sz w:val="24"/>
          <w:szCs w:val="24"/>
        </w:rPr>
        <w:t xml:space="preserve"> castigado por las turbulencias</w:t>
      </w:r>
    </w:p>
    <w:p w:rsidR="007E3D39" w:rsidRPr="006266FF"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6266FF">
        <w:rPr>
          <w:rFonts w:ascii="Times New Roman" w:hAnsi="Times New Roman" w:cs="Times New Roman"/>
          <w:sz w:val="24"/>
          <w:szCs w:val="24"/>
        </w:rPr>
        <w:t>Miguel M. Mendieta</w:t>
      </w:r>
      <w:r>
        <w:rPr>
          <w:rFonts w:ascii="Times New Roman" w:hAnsi="Times New Roman" w:cs="Times New Roman"/>
          <w:sz w:val="24"/>
          <w:szCs w:val="24"/>
        </w:rPr>
        <w:t>)</w:t>
      </w:r>
    </w:p>
    <w:p w:rsidR="007E3D39" w:rsidRPr="00C67383" w:rsidRDefault="007E3D39" w:rsidP="007E3D39">
      <w:pPr>
        <w:spacing w:line="240" w:lineRule="auto"/>
        <w:jc w:val="both"/>
        <w:rPr>
          <w:rFonts w:ascii="Times New Roman" w:hAnsi="Times New Roman" w:cs="Times New Roman"/>
          <w:color w:val="FF0000"/>
          <w:sz w:val="24"/>
          <w:szCs w:val="24"/>
          <w:u w:val="single"/>
        </w:rPr>
      </w:pPr>
      <w:r w:rsidRPr="00C67383">
        <w:rPr>
          <w:rFonts w:ascii="Times New Roman" w:hAnsi="Times New Roman" w:cs="Times New Roman"/>
          <w:color w:val="FF0000"/>
          <w:sz w:val="24"/>
          <w:szCs w:val="24"/>
          <w:u w:val="single"/>
        </w:rPr>
        <w:t>¿La crisis de SVB puede cruzar el Atlántico, como ya ocurrió en 2008 con la Lehman Brothers? A decir de las cotizaciones bursátiles, el miedo a que eso ocurra ya es una realidad. El índice bursátil de banca europea ha caído casi un 11% en las cinco últimas sesiones. Pero, de acuerdo con todos los expertos consultados, la situación de SVB y la banca estadounidense no es extrapolable en absoluto a lo que ocurre en el Viejo Continente.</w:t>
      </w:r>
    </w:p>
    <w:p w:rsidR="007E3D39" w:rsidRPr="00C67383" w:rsidRDefault="007E3D39" w:rsidP="007E3D39">
      <w:pPr>
        <w:spacing w:line="240" w:lineRule="auto"/>
        <w:jc w:val="both"/>
        <w:rPr>
          <w:rFonts w:ascii="Times New Roman" w:hAnsi="Times New Roman" w:cs="Times New Roman"/>
          <w:sz w:val="24"/>
          <w:szCs w:val="24"/>
          <w:u w:val="single"/>
        </w:rPr>
      </w:pPr>
      <w:r w:rsidRPr="00C67383">
        <w:rPr>
          <w:rFonts w:ascii="Times New Roman" w:hAnsi="Times New Roman" w:cs="Times New Roman"/>
          <w:sz w:val="24"/>
          <w:szCs w:val="24"/>
          <w:u w:val="single"/>
        </w:rPr>
        <w:t>Cuando los analistas ponen el foco en el sector bancario comprueban cuáles son sus ratios de solvencia (cuánto dinero tienen para hacer frente a futuras pérdidas), sus fuentes de financiación (en qué medida se compone de depósitos o de financiación mayorista) y cómo podría reaccionar ante una crisis de liquidez.</w:t>
      </w:r>
    </w:p>
    <w:p w:rsidR="007E3D39" w:rsidRPr="00C67383" w:rsidRDefault="007E3D39" w:rsidP="007E3D39">
      <w:pPr>
        <w:spacing w:line="240" w:lineRule="auto"/>
        <w:jc w:val="both"/>
        <w:rPr>
          <w:rFonts w:ascii="Times New Roman" w:hAnsi="Times New Roman" w:cs="Times New Roman"/>
          <w:sz w:val="24"/>
          <w:szCs w:val="24"/>
          <w:u w:val="single"/>
        </w:rPr>
      </w:pPr>
      <w:r w:rsidRPr="00C67383">
        <w:rPr>
          <w:rFonts w:ascii="Times New Roman" w:hAnsi="Times New Roman" w:cs="Times New Roman"/>
          <w:sz w:val="24"/>
          <w:szCs w:val="24"/>
          <w:u w:val="single"/>
        </w:rPr>
        <w:t>De acuerdo con la firma Goldman Sachs, la banca europea sale muy bien parada en estas métricas. “Los ratios de capital de máxima calidad rozan el 15%, un nivel muy superior al mínimo legal, y las posiciones de liquidez y de financiación están muy bien cubiertas, tanto en términos sectoriales como mirando banco a banco”, apunta la firma en una nota divulgada ayer.</w:t>
      </w:r>
    </w:p>
    <w:p w:rsidR="007E3D39" w:rsidRPr="00C67383" w:rsidRDefault="007E3D39" w:rsidP="007E3D39">
      <w:pPr>
        <w:spacing w:line="240" w:lineRule="auto"/>
        <w:jc w:val="both"/>
        <w:rPr>
          <w:rFonts w:ascii="Times New Roman" w:hAnsi="Times New Roman" w:cs="Times New Roman"/>
          <w:color w:val="FF0000"/>
          <w:sz w:val="24"/>
          <w:szCs w:val="24"/>
          <w:u w:val="single"/>
        </w:rPr>
      </w:pPr>
      <w:r w:rsidRPr="00C67383">
        <w:rPr>
          <w:rFonts w:ascii="Times New Roman" w:hAnsi="Times New Roman" w:cs="Times New Roman"/>
          <w:color w:val="FF0000"/>
          <w:sz w:val="24"/>
          <w:szCs w:val="24"/>
          <w:u w:val="single"/>
        </w:rPr>
        <w:t>Desde Goldman recuerdan que el ratio de préstamos-depósitos es del 86%, frente al 43% del recién rescatado Silicon Valley Bank. Y que la base de clientes en cualquiera de los bancos europeos cotizados es más diversa y está menos concentrada en grandes compañías.</w:t>
      </w:r>
    </w:p>
    <w:p w:rsidR="007E3D39" w:rsidRDefault="007E3D39" w:rsidP="007E3D39">
      <w:pPr>
        <w:spacing w:line="240" w:lineRule="auto"/>
        <w:jc w:val="both"/>
        <w:rPr>
          <w:rFonts w:ascii="Times New Roman" w:hAnsi="Times New Roman" w:cs="Times New Roman"/>
          <w:sz w:val="24"/>
          <w:szCs w:val="24"/>
        </w:rPr>
      </w:pPr>
      <w:r w:rsidRPr="006266FF">
        <w:rPr>
          <w:rFonts w:ascii="Times New Roman" w:hAnsi="Times New Roman" w:cs="Times New Roman"/>
          <w:sz w:val="24"/>
          <w:szCs w:val="24"/>
        </w:rPr>
        <w:t>Javier Herreros de Tejada, director de inversiones de la firma Brightgate, explica que “lo que le ha pasado a SVB es que tenía el negocio muy concentrado en el ecosistema de startups. Cuando empezaron a dudar, se fueron todos en masa”. La retirada de dinero y la concentración de su balance en deuda pública provocaron el colapso, por la pérdida de valor de este activo. Los bancos europeos también tienen en cartera deuda soberana y deuda emitida por otros bancos, “tanto como inversión como para hacer frente a reembolsos si se seca la liquidez”, apuntan los expertos de la agencia de calificación crediticia Moody’s</w:t>
      </w:r>
      <w:r>
        <w:rPr>
          <w:rFonts w:ascii="Times New Roman" w:hAnsi="Times New Roman" w:cs="Times New Roman"/>
          <w:sz w:val="24"/>
          <w:szCs w:val="24"/>
        </w:rPr>
        <w:t>…</w:t>
      </w:r>
    </w:p>
    <w:p w:rsidR="007E3D39" w:rsidRPr="006266FF" w:rsidRDefault="007E3D39" w:rsidP="007E3D39">
      <w:pPr>
        <w:spacing w:line="240" w:lineRule="auto"/>
        <w:jc w:val="both"/>
        <w:rPr>
          <w:rFonts w:ascii="Times New Roman" w:hAnsi="Times New Roman" w:cs="Times New Roman"/>
          <w:sz w:val="24"/>
          <w:szCs w:val="24"/>
        </w:rPr>
      </w:pPr>
      <w:r w:rsidRPr="006266FF">
        <w:rPr>
          <w:rFonts w:ascii="Times New Roman" w:hAnsi="Times New Roman" w:cs="Times New Roman"/>
          <w:sz w:val="24"/>
          <w:szCs w:val="24"/>
        </w:rPr>
        <w:t xml:space="preserve">Ahora, ello no quiere decir que las entidades sean inmunes al huracán financiero que está atravesando Estados Unidos. Más allá de la caída en Bolsa, entidades financieras o fondos pueden estar expuestos a activos castigados por la crisis de las entidades regionales. Y la </w:t>
      </w:r>
      <w:r w:rsidRPr="006266FF">
        <w:rPr>
          <w:rFonts w:ascii="Times New Roman" w:hAnsi="Times New Roman" w:cs="Times New Roman"/>
          <w:sz w:val="24"/>
          <w:szCs w:val="24"/>
        </w:rPr>
        <w:lastRenderedPageBreak/>
        <w:t>desconfianza del mercado elevará el coste de la financiación para el sector, algo que ya r</w:t>
      </w:r>
      <w:r>
        <w:rPr>
          <w:rFonts w:ascii="Times New Roman" w:hAnsi="Times New Roman" w:cs="Times New Roman"/>
          <w:sz w:val="24"/>
          <w:szCs w:val="24"/>
        </w:rPr>
        <w:t>eflejan los seguros de crédito.</w:t>
      </w:r>
    </w:p>
    <w:p w:rsidR="007E3D39" w:rsidRDefault="007E3D39" w:rsidP="007E3D39">
      <w:pPr>
        <w:spacing w:line="240" w:lineRule="auto"/>
        <w:jc w:val="both"/>
        <w:rPr>
          <w:rFonts w:ascii="Times New Roman" w:hAnsi="Times New Roman" w:cs="Times New Roman"/>
          <w:color w:val="FF0000"/>
          <w:sz w:val="24"/>
          <w:szCs w:val="24"/>
          <w:u w:val="single"/>
        </w:rPr>
      </w:pPr>
      <w:r w:rsidRPr="00C67383">
        <w:rPr>
          <w:rFonts w:ascii="Times New Roman" w:hAnsi="Times New Roman" w:cs="Times New Roman"/>
          <w:color w:val="FF0000"/>
          <w:sz w:val="24"/>
          <w:szCs w:val="24"/>
          <w:u w:val="single"/>
        </w:rPr>
        <w:t>Pero, principalmente, el riesgo no está en lo que ha ocurrido sino en lo que pueda venir. Son las comparaciones de la situación de estos días con algunos de los episodios de los años que fueron de 2007 a 2009 las que ponen en guardia a banqueros e inversores. Aunque una buena posición de partida en solvencia y liquidez es una gran ventaja, la estrechísima interrelación de los mercados hace que ninguna plaza financiera mundial pueda salir indemne de una eventual crisis bancaria en la primera economía del mundo…</w:t>
      </w:r>
    </w:p>
    <w:p w:rsidR="007E3D39" w:rsidRPr="00C67383" w:rsidRDefault="007E3D39" w:rsidP="007E3D39">
      <w:pPr>
        <w:spacing w:line="240" w:lineRule="auto"/>
        <w:jc w:val="both"/>
        <w:rPr>
          <w:rFonts w:ascii="Times New Roman" w:hAnsi="Times New Roman" w:cs="Times New Roman"/>
          <w:color w:val="FF0000"/>
          <w:sz w:val="24"/>
          <w:szCs w:val="24"/>
          <w:u w:val="single"/>
        </w:rPr>
      </w:pPr>
    </w:p>
    <w:p w:rsidR="007E3D39" w:rsidRDefault="007E3D39" w:rsidP="007E3D39">
      <w:pPr>
        <w:spacing w:line="240" w:lineRule="auto"/>
        <w:jc w:val="both"/>
        <w:rPr>
          <w:rFonts w:ascii="Times New Roman" w:hAnsi="Times New Roman" w:cs="Times New Roman"/>
          <w:sz w:val="24"/>
          <w:szCs w:val="24"/>
        </w:rPr>
      </w:pPr>
      <w:r>
        <w:rPr>
          <w:noProof/>
          <w:lang w:eastAsia="es-ES"/>
        </w:rPr>
        <w:drawing>
          <wp:inline distT="0" distB="0" distL="0" distR="0" wp14:anchorId="685BB8FA" wp14:editId="21D44E5A">
            <wp:extent cx="5731802" cy="4641850"/>
            <wp:effectExtent l="0" t="0" r="2540" b="6350"/>
            <wp:docPr id="96" name="Imagen 96" descr="https://s03.s3c.es/imag/_v0/1839x1212/8/b/3/140323-Fed-b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1839x1212/8/b/3/140323-Fed-bce.gif"/>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31510" cy="4641614"/>
                    </a:xfrm>
                    <a:prstGeom prst="rect">
                      <a:avLst/>
                    </a:prstGeom>
                    <a:noFill/>
                    <a:ln>
                      <a:noFill/>
                    </a:ln>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El Economista - </w:t>
      </w:r>
      <w:r w:rsidRPr="00F946B4">
        <w:rPr>
          <w:rFonts w:ascii="Times New Roman" w:hAnsi="Times New Roman" w:cs="Times New Roman"/>
          <w:b/>
          <w:sz w:val="24"/>
          <w:szCs w:val="24"/>
        </w:rPr>
        <w:t>14/3/23</w:t>
      </w:r>
      <w:r>
        <w:rPr>
          <w:rFonts w:ascii="Times New Roman" w:hAnsi="Times New Roman" w:cs="Times New Roman"/>
          <w:sz w:val="24"/>
          <w:szCs w:val="24"/>
        </w:rPr>
        <w:t>)</w:t>
      </w:r>
    </w:p>
    <w:p w:rsidR="007E3D39" w:rsidRDefault="007E3D39" w:rsidP="007E3D39">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2952A4E5" wp14:editId="628CAA46">
            <wp:extent cx="5731510" cy="4465955"/>
            <wp:effectExtent l="0" t="0" r="2540" b="0"/>
            <wp:docPr id="97" name="Imagen 97" descr="https://s03.s3c.es/imag/_v0/2310x1800/7/d/4/subidas_tipo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03.s3c.es/imag/_v0/2310x1800/7/d/4/subidas_tipos.gif"/>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31510" cy="4465955"/>
                    </a:xfrm>
                    <a:prstGeom prst="rect">
                      <a:avLst/>
                    </a:prstGeom>
                    <a:noFill/>
                    <a:ln>
                      <a:noFill/>
                    </a:ln>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El Economista - </w:t>
      </w:r>
      <w:r w:rsidRPr="00F946B4">
        <w:rPr>
          <w:rFonts w:ascii="Times New Roman" w:hAnsi="Times New Roman" w:cs="Times New Roman"/>
          <w:b/>
          <w:sz w:val="24"/>
          <w:szCs w:val="24"/>
        </w:rPr>
        <w:t>14/3/23</w:t>
      </w:r>
      <w:r>
        <w:rPr>
          <w:rFonts w:ascii="Times New Roman" w:hAnsi="Times New Roman" w:cs="Times New Roman"/>
          <w:sz w:val="24"/>
          <w:szCs w:val="24"/>
        </w:rPr>
        <w:t>)</w:t>
      </w:r>
    </w:p>
    <w:p w:rsidR="007E3D39" w:rsidRPr="00834B36"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34B36">
        <w:rPr>
          <w:rFonts w:ascii="Times New Roman" w:hAnsi="Times New Roman" w:cs="Times New Roman"/>
          <w:sz w:val="24"/>
          <w:szCs w:val="24"/>
          <w:u w:val="single"/>
        </w:rPr>
        <w:t>Stiglitz critica el rol de los bancos centrales y los acusa de empeorar la inflación</w:t>
      </w:r>
      <w:r>
        <w:rPr>
          <w:rFonts w:ascii="Times New Roman" w:hAnsi="Times New Roman" w:cs="Times New Roman"/>
          <w:sz w:val="24"/>
          <w:szCs w:val="24"/>
        </w:rPr>
        <w:t xml:space="preserve"> (Cinco Días - </w:t>
      </w:r>
      <w:r w:rsidRPr="00834B36">
        <w:rPr>
          <w:rFonts w:ascii="Times New Roman" w:hAnsi="Times New Roman" w:cs="Times New Roman"/>
          <w:b/>
          <w:sz w:val="24"/>
          <w:szCs w:val="24"/>
        </w:rPr>
        <w:t>15/3/23</w:t>
      </w:r>
      <w:r>
        <w:rPr>
          <w:rFonts w:ascii="Times New Roman" w:hAnsi="Times New Roman" w:cs="Times New Roman"/>
          <w:sz w:val="24"/>
          <w:szCs w:val="24"/>
        </w:rPr>
        <w:t>)</w:t>
      </w:r>
    </w:p>
    <w:p w:rsidR="007E3D39" w:rsidRPr="00FE49DC" w:rsidRDefault="007E3D39" w:rsidP="007E3D39">
      <w:pPr>
        <w:spacing w:line="240" w:lineRule="auto"/>
        <w:jc w:val="both"/>
        <w:rPr>
          <w:rFonts w:ascii="Times New Roman" w:hAnsi="Times New Roman" w:cs="Times New Roman"/>
          <w:color w:val="FF0000"/>
          <w:sz w:val="24"/>
          <w:szCs w:val="24"/>
        </w:rPr>
      </w:pPr>
      <w:r w:rsidRPr="00FE49DC">
        <w:rPr>
          <w:rFonts w:ascii="Times New Roman" w:hAnsi="Times New Roman" w:cs="Times New Roman"/>
          <w:color w:val="FF0000"/>
          <w:sz w:val="24"/>
          <w:szCs w:val="24"/>
        </w:rPr>
        <w:t>El veterano premio Nobel afirma que los problemas inflacionarios son sectoriales y temporales</w:t>
      </w:r>
    </w:p>
    <w:p w:rsidR="007E3D39" w:rsidRPr="00834B36"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834B36">
        <w:rPr>
          <w:rFonts w:ascii="Times New Roman" w:hAnsi="Times New Roman" w:cs="Times New Roman"/>
          <w:sz w:val="24"/>
          <w:szCs w:val="24"/>
        </w:rPr>
        <w:t>Pepe García</w:t>
      </w:r>
      <w:r>
        <w:rPr>
          <w:rFonts w:ascii="Times New Roman" w:hAnsi="Times New Roman" w:cs="Times New Roman"/>
          <w:sz w:val="24"/>
          <w:szCs w:val="24"/>
        </w:rPr>
        <w:t>)</w:t>
      </w:r>
    </w:p>
    <w:p w:rsidR="007E3D39" w:rsidRPr="00FE49DC" w:rsidRDefault="007E3D39" w:rsidP="007E3D39">
      <w:pPr>
        <w:spacing w:line="240" w:lineRule="auto"/>
        <w:jc w:val="both"/>
        <w:rPr>
          <w:rFonts w:ascii="Times New Roman" w:hAnsi="Times New Roman" w:cs="Times New Roman"/>
          <w:sz w:val="24"/>
          <w:szCs w:val="24"/>
          <w:u w:val="single"/>
        </w:rPr>
      </w:pPr>
      <w:r w:rsidRPr="00834B36">
        <w:rPr>
          <w:rFonts w:ascii="Times New Roman" w:hAnsi="Times New Roman" w:cs="Times New Roman"/>
          <w:sz w:val="24"/>
          <w:szCs w:val="24"/>
        </w:rPr>
        <w:t xml:space="preserve">Rodeado de expertos con los ojos bien abiertos de la OCDE y del TUAC, el comité sindical de la organización. Así explicó ayer </w:t>
      </w:r>
      <w:r w:rsidRPr="00FE49DC">
        <w:rPr>
          <w:rFonts w:ascii="Times New Roman" w:hAnsi="Times New Roman" w:cs="Times New Roman"/>
          <w:sz w:val="24"/>
          <w:szCs w:val="24"/>
          <w:u w:val="single"/>
        </w:rPr>
        <w:t>el veterano profesor de la Universidad de Columbia y ganador del Nobel, Joseph Stiglitz, que el papel de las subidas de tipos de interés en vertical por parte de los principales bancos centrales ha sido “contraproducente” para frenar la inflación.</w:t>
      </w:r>
    </w:p>
    <w:p w:rsidR="007E3D39" w:rsidRPr="00FE49DC" w:rsidRDefault="007E3D39" w:rsidP="007E3D39">
      <w:pPr>
        <w:spacing w:line="240" w:lineRule="auto"/>
        <w:jc w:val="both"/>
        <w:rPr>
          <w:rFonts w:ascii="Times New Roman" w:hAnsi="Times New Roman" w:cs="Times New Roman"/>
          <w:color w:val="FF0000"/>
          <w:sz w:val="24"/>
          <w:szCs w:val="24"/>
          <w:u w:val="single"/>
        </w:rPr>
      </w:pPr>
      <w:r w:rsidRPr="00FE49DC">
        <w:rPr>
          <w:rFonts w:ascii="Times New Roman" w:hAnsi="Times New Roman" w:cs="Times New Roman"/>
          <w:color w:val="FF0000"/>
          <w:sz w:val="24"/>
          <w:szCs w:val="24"/>
          <w:u w:val="single"/>
        </w:rPr>
        <w:t>Stiglitz afirmó que el problema inflacionista, aunque haya provocado los aumentos de precios más altos desde los años 70, proviene de causas diferentes a lo que se vio tras la crisis del petróleo. Stiglitz explicó que la pandemia era un “shock sectorial” y temporal. “La raíz de la inflación vino derivada de las interrupciones en las cadenas de valor y la escasez de chips. La subida de tipos no iba a solucionar esa escasez”, indicó Stiglitz. El economista defendió que el comportamiento de los precios sigue derivándose de esos choques iniciales de oferta, provocados por la pandemia, y no por la evolución de la demanda agregada.</w:t>
      </w:r>
    </w:p>
    <w:p w:rsidR="007E3D39" w:rsidRPr="00FE49DC" w:rsidRDefault="007E3D39" w:rsidP="007E3D39">
      <w:pPr>
        <w:spacing w:line="240" w:lineRule="auto"/>
        <w:jc w:val="both"/>
        <w:rPr>
          <w:rFonts w:ascii="Times New Roman" w:hAnsi="Times New Roman" w:cs="Times New Roman"/>
          <w:color w:val="FF0000"/>
          <w:sz w:val="24"/>
          <w:szCs w:val="24"/>
          <w:u w:val="single"/>
        </w:rPr>
      </w:pPr>
      <w:r w:rsidRPr="00FE49DC">
        <w:rPr>
          <w:rFonts w:ascii="Times New Roman" w:hAnsi="Times New Roman" w:cs="Times New Roman"/>
          <w:color w:val="FF0000"/>
          <w:sz w:val="24"/>
          <w:szCs w:val="24"/>
          <w:u w:val="single"/>
        </w:rPr>
        <w:t xml:space="preserve">La guerra exacerbó los problemas inflacionarios al importar productos de precios elevados, pero no los causó, advirtió el académico. En la UE, este agravio ha sido superior, según </w:t>
      </w:r>
      <w:r w:rsidRPr="00FE49DC">
        <w:rPr>
          <w:rFonts w:ascii="Times New Roman" w:hAnsi="Times New Roman" w:cs="Times New Roman"/>
          <w:color w:val="FF0000"/>
          <w:sz w:val="24"/>
          <w:szCs w:val="24"/>
          <w:u w:val="single"/>
        </w:rPr>
        <w:lastRenderedPageBreak/>
        <w:t>indica Stiglitz, por el “mal modelo” de fijación de los precios de la electricidad del continente.</w:t>
      </w:r>
    </w:p>
    <w:p w:rsidR="007E3D39" w:rsidRPr="00834B36" w:rsidRDefault="007E3D39" w:rsidP="007E3D39">
      <w:pPr>
        <w:spacing w:line="240" w:lineRule="auto"/>
        <w:jc w:val="both"/>
        <w:rPr>
          <w:rFonts w:ascii="Times New Roman" w:hAnsi="Times New Roman" w:cs="Times New Roman"/>
          <w:sz w:val="24"/>
          <w:szCs w:val="24"/>
        </w:rPr>
      </w:pPr>
      <w:r w:rsidRPr="00834B36">
        <w:rPr>
          <w:rFonts w:ascii="Times New Roman" w:hAnsi="Times New Roman" w:cs="Times New Roman"/>
          <w:sz w:val="24"/>
          <w:szCs w:val="24"/>
        </w:rPr>
        <w:t>En el debate, Joseph Stiglitz también aconsejó a la Unión Europea que revise ese mecanismo de fijación de precios eléctricos, que consideró incapaz de funcionar bajo el impacto de la guerra. “Había una rigidez de pensamiento que no reconocía que el mundo había cambiado”, y al final los países tuvieron que intervenir con ayudas a las empresas más dependientes del gas tras negarse a intervenir en el mercado. “España y Portugal salieron mejor parados”, argumentó sobre el tope de precios del gas acordado para el mercado ibérico.</w:t>
      </w:r>
    </w:p>
    <w:p w:rsidR="007E3D39" w:rsidRPr="00834B36" w:rsidRDefault="007E3D39" w:rsidP="007E3D39">
      <w:pPr>
        <w:spacing w:line="240" w:lineRule="auto"/>
        <w:jc w:val="both"/>
        <w:rPr>
          <w:rFonts w:ascii="Times New Roman" w:hAnsi="Times New Roman" w:cs="Times New Roman"/>
          <w:sz w:val="24"/>
          <w:szCs w:val="24"/>
        </w:rPr>
      </w:pPr>
      <w:r w:rsidRPr="00834B36">
        <w:rPr>
          <w:rFonts w:ascii="Times New Roman" w:hAnsi="Times New Roman" w:cs="Times New Roman"/>
          <w:sz w:val="24"/>
          <w:szCs w:val="24"/>
        </w:rPr>
        <w:t>Márgenes empresariales</w:t>
      </w:r>
    </w:p>
    <w:p w:rsidR="007E3D39" w:rsidRPr="00FE49DC" w:rsidRDefault="007E3D39" w:rsidP="007E3D39">
      <w:pPr>
        <w:spacing w:line="240" w:lineRule="auto"/>
        <w:jc w:val="both"/>
        <w:rPr>
          <w:rFonts w:ascii="Times New Roman" w:hAnsi="Times New Roman" w:cs="Times New Roman"/>
          <w:sz w:val="24"/>
          <w:szCs w:val="24"/>
          <w:u w:val="single"/>
        </w:rPr>
      </w:pPr>
      <w:r w:rsidRPr="00FE49DC">
        <w:rPr>
          <w:rFonts w:ascii="Times New Roman" w:hAnsi="Times New Roman" w:cs="Times New Roman"/>
          <w:color w:val="FF0000"/>
          <w:sz w:val="24"/>
          <w:szCs w:val="24"/>
          <w:u w:val="single"/>
        </w:rPr>
        <w:t>El economista aprovechó la ocasión para asegurar que en el contexto actual no existe riesgo de una espiral precios-salarios, ya que el mercado laboral, tanto estadounidense como europeo, se encuentra tensionado y los márgenes de las empresas se encuentran muy elevados, mientras los salarios reales descienden</w:t>
      </w:r>
      <w:r w:rsidRPr="00834B36">
        <w:rPr>
          <w:rFonts w:ascii="Times New Roman" w:hAnsi="Times New Roman" w:cs="Times New Roman"/>
          <w:sz w:val="24"/>
          <w:szCs w:val="24"/>
        </w:rPr>
        <w:t xml:space="preserve">. Stiglitz habló del caso de las aerolíneas: “Los precios han subido, los márgenes han subido, a pesar de que durante la pandemia contaron con un enorme apoyo de los estados. </w:t>
      </w:r>
      <w:r w:rsidRPr="00FE49DC">
        <w:rPr>
          <w:rFonts w:ascii="Times New Roman" w:hAnsi="Times New Roman" w:cs="Times New Roman"/>
          <w:sz w:val="24"/>
          <w:szCs w:val="24"/>
          <w:u w:val="single"/>
        </w:rPr>
        <w:t>[El aumento de los ingresos] No está yendo a los trabajadores y se nota en un aumento de los márgenes. Y también ocurre en otros sectores”, argumentó.</w:t>
      </w:r>
    </w:p>
    <w:p w:rsidR="007E3D39" w:rsidRPr="00FE49DC" w:rsidRDefault="007E3D39" w:rsidP="007E3D39">
      <w:pPr>
        <w:spacing w:line="240" w:lineRule="auto"/>
        <w:jc w:val="both"/>
        <w:rPr>
          <w:rFonts w:ascii="Times New Roman" w:hAnsi="Times New Roman" w:cs="Times New Roman"/>
          <w:color w:val="FF0000"/>
          <w:sz w:val="24"/>
          <w:szCs w:val="24"/>
          <w:u w:val="single"/>
        </w:rPr>
      </w:pPr>
      <w:r w:rsidRPr="00FE49DC">
        <w:rPr>
          <w:rFonts w:ascii="Times New Roman" w:hAnsi="Times New Roman" w:cs="Times New Roman"/>
          <w:color w:val="FF0000"/>
          <w:sz w:val="24"/>
          <w:szCs w:val="24"/>
          <w:u w:val="single"/>
        </w:rPr>
        <w:t>Este aumento de los beneficios empresariales está siendo, del mismo modo, empeorado por las subidas de tipos y explicó que, al aumentarlos, los incentivos de las empresas se centran “en el presente, no en el futuro” a la hora de aumentar los recargos y acumular. En este sentido, el académico, afirmó que era necesario tributar por los beneficios excesivos y extraordinarios para canalizarlos a los sistemas de protección social y recordó que estas medidas no desincentivarán a las empresas, ya que “es un impuesto sobre los beneficios. No es un impuesto sobre el capital”, concluyó.</w:t>
      </w:r>
    </w:p>
    <w:p w:rsidR="007E3D39" w:rsidRPr="00FE49DC" w:rsidRDefault="007E3D39" w:rsidP="007E3D39">
      <w:pPr>
        <w:spacing w:line="240" w:lineRule="auto"/>
        <w:jc w:val="both"/>
        <w:rPr>
          <w:rFonts w:ascii="Times New Roman" w:hAnsi="Times New Roman" w:cs="Times New Roman"/>
          <w:color w:val="FF0000"/>
          <w:sz w:val="24"/>
          <w:szCs w:val="24"/>
          <w:u w:val="single"/>
        </w:rPr>
      </w:pPr>
      <w:r w:rsidRPr="00FE49DC">
        <w:rPr>
          <w:rFonts w:ascii="Times New Roman" w:hAnsi="Times New Roman" w:cs="Times New Roman"/>
          <w:color w:val="FF0000"/>
          <w:sz w:val="24"/>
          <w:szCs w:val="24"/>
          <w:u w:val="single"/>
        </w:rPr>
        <w:t>El economista se posicionó en favor de las inversiones encaminadas a la transición energética verde. “Es importante centrar los esfuerzos en aquello que de beneficios a largo plazo y las inversiones verdes van a tener beneficio, hagamos lo que hagamos y dure lo que dure la guerra”, indicó. Del mismo modo, también afirmó que otro asunto que se necesita abordar es el aumento de la producción de alimentos, principalmente del grano y del arroz, que han sufrido bajadas de la producción sin precedentes.</w:t>
      </w:r>
    </w:p>
    <w:p w:rsidR="007E3D39" w:rsidRPr="00FE49DC" w:rsidRDefault="007E3D39" w:rsidP="007E3D3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Stiglitz también consideró “inevitable”</w:t>
      </w:r>
      <w:r w:rsidRPr="00FE49DC">
        <w:rPr>
          <w:rFonts w:ascii="Times New Roman" w:hAnsi="Times New Roman" w:cs="Times New Roman"/>
          <w:color w:val="FF0000"/>
          <w:sz w:val="24"/>
          <w:szCs w:val="24"/>
          <w:u w:val="single"/>
        </w:rPr>
        <w:t xml:space="preserve"> la crisis bancaria que se ha </w:t>
      </w:r>
      <w:r>
        <w:rPr>
          <w:rFonts w:ascii="Times New Roman" w:hAnsi="Times New Roman" w:cs="Times New Roman"/>
          <w:color w:val="FF0000"/>
          <w:sz w:val="24"/>
          <w:szCs w:val="24"/>
          <w:u w:val="single"/>
        </w:rPr>
        <w:t>abierto con el colapso de SVB. “</w:t>
      </w:r>
      <w:r w:rsidRPr="00FE49DC">
        <w:rPr>
          <w:rFonts w:ascii="Times New Roman" w:hAnsi="Times New Roman" w:cs="Times New Roman"/>
          <w:color w:val="FF0000"/>
          <w:sz w:val="24"/>
          <w:szCs w:val="24"/>
          <w:u w:val="single"/>
        </w:rPr>
        <w:t>Lo que ha ocurrido es el resultado de lo que ha hecho el p</w:t>
      </w:r>
      <w:r>
        <w:rPr>
          <w:rFonts w:ascii="Times New Roman" w:hAnsi="Times New Roman" w:cs="Times New Roman"/>
          <w:color w:val="FF0000"/>
          <w:sz w:val="24"/>
          <w:szCs w:val="24"/>
          <w:u w:val="single"/>
        </w:rPr>
        <w:t>residente de la Reserva Federal”</w:t>
      </w:r>
      <w:r w:rsidRPr="00FE49DC">
        <w:rPr>
          <w:rFonts w:ascii="Times New Roman" w:hAnsi="Times New Roman" w:cs="Times New Roman"/>
          <w:color w:val="FF0000"/>
          <w:sz w:val="24"/>
          <w:szCs w:val="24"/>
          <w:u w:val="single"/>
        </w:rPr>
        <w:t>, señaló en referencia a los sucesivos aumentos de tipos de interés para atajar la inflación desde hace un año.</w:t>
      </w:r>
    </w:p>
    <w:p w:rsidR="007E3D39" w:rsidRPr="00FE49DC" w:rsidRDefault="007E3D39" w:rsidP="007E3D39">
      <w:pPr>
        <w:spacing w:line="240" w:lineRule="auto"/>
        <w:jc w:val="both"/>
        <w:rPr>
          <w:rFonts w:ascii="Times New Roman" w:hAnsi="Times New Roman" w:cs="Times New Roman"/>
          <w:sz w:val="24"/>
          <w:szCs w:val="24"/>
          <w:u w:val="single"/>
        </w:rPr>
      </w:pPr>
      <w:r w:rsidRPr="00FE49DC">
        <w:rPr>
          <w:rFonts w:ascii="Times New Roman" w:hAnsi="Times New Roman" w:cs="Times New Roman"/>
          <w:sz w:val="24"/>
          <w:szCs w:val="24"/>
          <w:u w:val="single"/>
        </w:rPr>
        <w:t>Explicó que el banco californiano creció mucho, gracias al tirón del negocio digital. Su error, indicó, fue colocar los abundantes depósitos que obtenía de sus clientes en títulos de deuda de Estados Unidos, pensando que la economía se mantendría estable y que ese era un producto seguro y rentable.</w:t>
      </w:r>
    </w:p>
    <w:p w:rsidR="007E3D39" w:rsidRPr="00FE49DC" w:rsidRDefault="007E3D39" w:rsidP="007E3D39">
      <w:pPr>
        <w:spacing w:line="240" w:lineRule="auto"/>
        <w:jc w:val="both"/>
        <w:rPr>
          <w:rFonts w:ascii="Times New Roman" w:hAnsi="Times New Roman" w:cs="Times New Roman"/>
          <w:sz w:val="24"/>
          <w:szCs w:val="24"/>
          <w:u w:val="single"/>
        </w:rPr>
      </w:pPr>
      <w:r w:rsidRPr="00FE49DC">
        <w:rPr>
          <w:rFonts w:ascii="Times New Roman" w:hAnsi="Times New Roman" w:cs="Times New Roman"/>
          <w:sz w:val="24"/>
          <w:szCs w:val="24"/>
          <w:u w:val="single"/>
        </w:rPr>
        <w:t>Sin embargo, como consecuencia de los cambios que la entidad no había previsto en la política monetaria y, en consecuencia, en la rentabilidad de esos títulos de deuda pública, se ha visto confrontado a un problema de desequilibrio cuando muchos clientes ha</w:t>
      </w:r>
      <w:r>
        <w:rPr>
          <w:rFonts w:ascii="Times New Roman" w:hAnsi="Times New Roman" w:cs="Times New Roman"/>
          <w:sz w:val="24"/>
          <w:szCs w:val="24"/>
          <w:u w:val="single"/>
        </w:rPr>
        <w:t>n querido retirar sus ahorros. “</w:t>
      </w:r>
      <w:r w:rsidRPr="00FE49DC">
        <w:rPr>
          <w:rFonts w:ascii="Times New Roman" w:hAnsi="Times New Roman" w:cs="Times New Roman"/>
          <w:sz w:val="24"/>
          <w:szCs w:val="24"/>
          <w:u w:val="single"/>
        </w:rPr>
        <w:t>Es un fracaso clásico de</w:t>
      </w:r>
      <w:r>
        <w:rPr>
          <w:rFonts w:ascii="Times New Roman" w:hAnsi="Times New Roman" w:cs="Times New Roman"/>
          <w:sz w:val="24"/>
          <w:szCs w:val="24"/>
          <w:u w:val="single"/>
        </w:rPr>
        <w:t xml:space="preserve"> la gestión de la cartera”</w:t>
      </w:r>
      <w:r w:rsidRPr="00FE49DC">
        <w:rPr>
          <w:rFonts w:ascii="Times New Roman" w:hAnsi="Times New Roman" w:cs="Times New Roman"/>
          <w:sz w:val="24"/>
          <w:szCs w:val="24"/>
          <w:u w:val="single"/>
        </w:rPr>
        <w:t xml:space="preserve"> de inversiones, que en realidad no tiene nada que ver directamente con el negocio digital, añadió Stiglitz.</w:t>
      </w:r>
    </w:p>
    <w:p w:rsidR="007E3D39" w:rsidRDefault="007E3D39" w:rsidP="007E3D39">
      <w:pPr>
        <w:spacing w:line="240" w:lineRule="auto"/>
        <w:jc w:val="both"/>
        <w:rPr>
          <w:rFonts w:ascii="Times New Roman" w:hAnsi="Times New Roman" w:cs="Times New Roman"/>
          <w:color w:val="FF0000"/>
          <w:sz w:val="24"/>
          <w:szCs w:val="24"/>
          <w:u w:val="single"/>
        </w:rPr>
      </w:pPr>
      <w:r w:rsidRPr="00FE49DC">
        <w:rPr>
          <w:rFonts w:ascii="Times New Roman" w:hAnsi="Times New Roman" w:cs="Times New Roman"/>
          <w:color w:val="FF0000"/>
          <w:sz w:val="24"/>
          <w:szCs w:val="24"/>
          <w:u w:val="single"/>
        </w:rPr>
        <w:lastRenderedPageBreak/>
        <w:t>También acusó al sistema de supervisión bancaria estadounidense por no haber advertido de los problemas a los que se podía enfrentar, que en este caso no era un problema de préstamos, sino de falta de correspondencia entre el activo y el pasivo de la entidad.</w:t>
      </w:r>
    </w:p>
    <w:p w:rsidR="007E3D39" w:rsidRDefault="007E3D39" w:rsidP="007E3D39">
      <w:pPr>
        <w:spacing w:line="240" w:lineRule="auto"/>
        <w:jc w:val="both"/>
        <w:rPr>
          <w:rFonts w:ascii="Times New Roman" w:hAnsi="Times New Roman" w:cs="Times New Roman"/>
          <w:color w:val="FF0000"/>
          <w:sz w:val="24"/>
          <w:szCs w:val="24"/>
          <w:u w:val="single"/>
        </w:rPr>
      </w:pPr>
    </w:p>
    <w:p w:rsidR="007E3D39" w:rsidRDefault="007E3D39" w:rsidP="007E3D39">
      <w:pPr>
        <w:spacing w:line="240" w:lineRule="auto"/>
        <w:jc w:val="both"/>
        <w:rPr>
          <w:rFonts w:ascii="Times New Roman" w:hAnsi="Times New Roman" w:cs="Times New Roman"/>
          <w:color w:val="FF0000"/>
          <w:sz w:val="24"/>
          <w:szCs w:val="24"/>
          <w:u w:val="single"/>
        </w:rPr>
      </w:pPr>
      <w:r>
        <w:rPr>
          <w:noProof/>
          <w:lang w:eastAsia="es-ES"/>
        </w:rPr>
        <w:drawing>
          <wp:inline distT="0" distB="0" distL="0" distR="0" wp14:anchorId="70E93D2E" wp14:editId="3EDD090B">
            <wp:extent cx="5861050" cy="2717800"/>
            <wp:effectExtent l="0" t="0" r="6350" b="6350"/>
            <wp:docPr id="98" name="Imagen 98" descr="https://imagenes.elpais.com/resizer/bern5MBkv8ctNRGNyCQFukQY-D8=/414x0/cloudfront-eu-central-1.images.arcpublishing.com/prisa/MEUABBZDXBD5RMIBW4IMHUYCW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agenes.elpais.com/resizer/bern5MBkv8ctNRGNyCQFukQY-D8=/414x0/cloudfront-eu-central-1.images.arcpublishing.com/prisa/MEUABBZDXBD5RMIBW4IMHUYCWQ.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861050" cy="2717800"/>
                    </a:xfrm>
                    <a:prstGeom prst="rect">
                      <a:avLst/>
                    </a:prstGeom>
                    <a:noFill/>
                    <a:ln>
                      <a:noFill/>
                    </a:ln>
                  </pic:spPr>
                </pic:pic>
              </a:graphicData>
            </a:graphic>
          </wp:inline>
        </w:drawing>
      </w:r>
    </w:p>
    <w:p w:rsidR="007E3D39" w:rsidRPr="00B43FEE" w:rsidRDefault="007E3D39" w:rsidP="007E3D39">
      <w:pPr>
        <w:spacing w:line="240" w:lineRule="auto"/>
        <w:jc w:val="both"/>
        <w:rPr>
          <w:rFonts w:ascii="Times New Roman" w:hAnsi="Times New Roman" w:cs="Times New Roman"/>
          <w:color w:val="FF0000"/>
          <w:sz w:val="24"/>
          <w:szCs w:val="24"/>
          <w:u w:val="single"/>
        </w:rPr>
      </w:pPr>
    </w:p>
    <w:p w:rsidR="007E3D39" w:rsidRDefault="007E3D39" w:rsidP="007E3D39">
      <w:pPr>
        <w:spacing w:line="240" w:lineRule="auto"/>
        <w:jc w:val="both"/>
        <w:rPr>
          <w:rFonts w:ascii="Times New Roman" w:hAnsi="Times New Roman" w:cs="Times New Roman"/>
          <w:sz w:val="24"/>
          <w:szCs w:val="24"/>
        </w:rPr>
      </w:pPr>
      <w:r>
        <w:rPr>
          <w:noProof/>
          <w:lang w:eastAsia="es-ES"/>
        </w:rPr>
        <w:drawing>
          <wp:inline distT="0" distB="0" distL="0" distR="0" wp14:anchorId="3967C7C6" wp14:editId="5D67C228">
            <wp:extent cx="5638800" cy="3486150"/>
            <wp:effectExtent l="0" t="0" r="0" b="0"/>
            <wp:docPr id="99" name="Imagen 99" descr="https://imagenes.elpais.com/resizer/_7vVnrudSMsCgCnUlonhVvaRfCE=/414x0/cloudfront-eu-central-1.images.arcpublishing.com/prisa/XPR5KMLWENDMNEZ6XIQ3CDOYZ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agenes.elpais.com/resizer/_7vVnrudSMsCgCnUlonhVvaRfCE=/414x0/cloudfront-eu-central-1.images.arcpublishing.com/prisa/XPR5KMLWENDMNEZ6XIQ3CDOYZM.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638800" cy="3486150"/>
                    </a:xfrm>
                    <a:prstGeom prst="rect">
                      <a:avLst/>
                    </a:prstGeom>
                    <a:noFill/>
                    <a:ln>
                      <a:noFill/>
                    </a:ln>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sidRPr="00564007">
        <w:rPr>
          <w:rFonts w:ascii="Times New Roman" w:hAnsi="Times New Roman" w:cs="Times New Roman"/>
          <w:noProof/>
          <w:sz w:val="24"/>
          <w:szCs w:val="24"/>
          <w:lang w:eastAsia="es-ES"/>
        </w:rPr>
        <w:lastRenderedPageBreak/>
        <w:drawing>
          <wp:inline distT="0" distB="0" distL="0" distR="0" wp14:anchorId="6DD13FDE" wp14:editId="0F8C2010">
            <wp:extent cx="5732114" cy="3651250"/>
            <wp:effectExtent l="0" t="0" r="2540" b="6350"/>
            <wp:docPr id="100" name="Imagen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31510" cy="3650865"/>
                    </a:xfrm>
                    <a:prstGeom prst="rect">
                      <a:avLst/>
                    </a:prstGeom>
                  </pic:spPr>
                </pic:pic>
              </a:graphicData>
            </a:graphic>
          </wp:inline>
        </w:drawing>
      </w:r>
    </w:p>
    <w:p w:rsidR="007E3D39" w:rsidRPr="00773128"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73128">
        <w:rPr>
          <w:rFonts w:ascii="Times New Roman" w:hAnsi="Times New Roman" w:cs="Times New Roman"/>
          <w:sz w:val="24"/>
          <w:szCs w:val="24"/>
          <w:u w:val="single"/>
        </w:rPr>
        <w:t>El BCE, la Fed y otros bancos centrales anuncian una acción coordinada para aumentar la liquidez en dólares</w:t>
      </w:r>
      <w:r>
        <w:rPr>
          <w:rFonts w:ascii="Times New Roman" w:hAnsi="Times New Roman" w:cs="Times New Roman"/>
          <w:sz w:val="24"/>
          <w:szCs w:val="24"/>
        </w:rPr>
        <w:t xml:space="preserve"> (Cinco Días - </w:t>
      </w:r>
      <w:r w:rsidRPr="00773128">
        <w:rPr>
          <w:rFonts w:ascii="Times New Roman" w:hAnsi="Times New Roman" w:cs="Times New Roman"/>
          <w:b/>
          <w:sz w:val="24"/>
          <w:szCs w:val="24"/>
        </w:rPr>
        <w:t>19/3/23</w:t>
      </w:r>
      <w:r>
        <w:rPr>
          <w:rFonts w:ascii="Times New Roman" w:hAnsi="Times New Roman" w:cs="Times New Roman"/>
          <w:sz w:val="24"/>
          <w:szCs w:val="24"/>
        </w:rPr>
        <w:t>)</w:t>
      </w:r>
    </w:p>
    <w:p w:rsidR="007E3D39" w:rsidRPr="00773128" w:rsidRDefault="007E3D39" w:rsidP="007E3D39">
      <w:pPr>
        <w:spacing w:line="240" w:lineRule="auto"/>
        <w:jc w:val="both"/>
        <w:rPr>
          <w:rFonts w:ascii="Times New Roman" w:hAnsi="Times New Roman" w:cs="Times New Roman"/>
          <w:sz w:val="24"/>
          <w:szCs w:val="24"/>
        </w:rPr>
      </w:pPr>
      <w:r w:rsidRPr="00773128">
        <w:rPr>
          <w:rFonts w:ascii="Times New Roman" w:hAnsi="Times New Roman" w:cs="Times New Roman"/>
          <w:sz w:val="24"/>
          <w:szCs w:val="24"/>
        </w:rPr>
        <w:t>La medida se llevará a cabo a partir de este lunes y continuará al menos hasta finales de abril</w:t>
      </w:r>
    </w:p>
    <w:p w:rsidR="007E3D39" w:rsidRPr="00773128" w:rsidRDefault="007E3D39" w:rsidP="007E3D39">
      <w:pPr>
        <w:spacing w:line="240" w:lineRule="auto"/>
        <w:jc w:val="both"/>
        <w:rPr>
          <w:rFonts w:ascii="Times New Roman" w:hAnsi="Times New Roman" w:cs="Times New Roman"/>
          <w:sz w:val="24"/>
          <w:szCs w:val="24"/>
        </w:rPr>
      </w:pPr>
      <w:r w:rsidRPr="00773128">
        <w:rPr>
          <w:rFonts w:ascii="Times New Roman" w:hAnsi="Times New Roman" w:cs="Times New Roman"/>
          <w:sz w:val="24"/>
          <w:szCs w:val="24"/>
        </w:rPr>
        <w:t>(Por Denisse López)</w:t>
      </w:r>
    </w:p>
    <w:p w:rsidR="007E3D39" w:rsidRPr="00773128" w:rsidRDefault="007E3D39" w:rsidP="007E3D39">
      <w:pPr>
        <w:spacing w:line="240" w:lineRule="auto"/>
        <w:jc w:val="both"/>
        <w:rPr>
          <w:rFonts w:ascii="Times New Roman" w:hAnsi="Times New Roman" w:cs="Times New Roman"/>
          <w:sz w:val="24"/>
          <w:szCs w:val="24"/>
        </w:rPr>
      </w:pPr>
      <w:r w:rsidRPr="004825BD">
        <w:rPr>
          <w:rFonts w:ascii="Times New Roman" w:hAnsi="Times New Roman" w:cs="Times New Roman"/>
          <w:color w:val="FF0000"/>
          <w:sz w:val="24"/>
          <w:szCs w:val="24"/>
          <w:u w:val="single"/>
        </w:rPr>
        <w:t>El Banco Central Europeo se ha unido a la Reserva Federal, al Banco de Canadá, el Banco de Inglaterra, el Banco de Japón y al Banco Nacional Suizo en una acción coordinada para mejorar la provisión de liquidez (una línea swap) a través de los arreglos permanentes de la línea de intercambio de dólares estadounidenses</w:t>
      </w:r>
      <w:r w:rsidRPr="00773128">
        <w:rPr>
          <w:rFonts w:ascii="Times New Roman" w:hAnsi="Times New Roman" w:cs="Times New Roman"/>
          <w:sz w:val="24"/>
          <w:szCs w:val="24"/>
        </w:rPr>
        <w:t>. Según el comunicado publicado este domingo, mediante esta acción “aumentará la frecuencia de las operaciones con vencimiento a siete días de semanales a diarias”. Esto se llevará a cabo a partir de este lunes y continuarán al menos hasta finales de abril.</w:t>
      </w:r>
    </w:p>
    <w:p w:rsidR="007E3D39" w:rsidRPr="004825BD" w:rsidRDefault="007E3D39" w:rsidP="007E3D39">
      <w:pPr>
        <w:spacing w:line="240" w:lineRule="auto"/>
        <w:jc w:val="both"/>
        <w:rPr>
          <w:rFonts w:ascii="Times New Roman" w:hAnsi="Times New Roman" w:cs="Times New Roman"/>
          <w:color w:val="FF0000"/>
          <w:sz w:val="24"/>
          <w:szCs w:val="24"/>
          <w:u w:val="single"/>
        </w:rPr>
      </w:pPr>
      <w:r w:rsidRPr="00773128">
        <w:rPr>
          <w:rFonts w:ascii="Times New Roman" w:hAnsi="Times New Roman" w:cs="Times New Roman"/>
          <w:sz w:val="24"/>
          <w:szCs w:val="24"/>
        </w:rPr>
        <w:t xml:space="preserve">La medida se ha producido inmediatamente después de que se conociera el acuerdo negociado por las autoridades suizas para que UBS comprara a Credit Suisse a fin de evitar su colapso. </w:t>
      </w:r>
      <w:r w:rsidRPr="004825BD">
        <w:rPr>
          <w:rFonts w:ascii="Times New Roman" w:hAnsi="Times New Roman" w:cs="Times New Roman"/>
          <w:color w:val="FF0000"/>
          <w:sz w:val="24"/>
          <w:szCs w:val="24"/>
          <w:u w:val="single"/>
        </w:rPr>
        <w:t>La última vez que se llevó a cabo una acción similar fue en 2008, en plena crisis financiera, lo que demuestra la profunda preocupación que tienen los banqueros centrales por la reciente agitación en el sistema financiero en ambos lados del Atlántico. La red de líneas de canje entre estos bancos centrales sirve como un importante respaldo de liquidez para aliviar las tensiones en los mercados mundiales de financiación, ayudando así a mitigar los efectos de tales tensiones en la oferta de crédito a hogares y empresas.</w:t>
      </w:r>
    </w:p>
    <w:p w:rsidR="007E3D39" w:rsidRPr="00773128" w:rsidRDefault="007E3D39" w:rsidP="007E3D39">
      <w:pPr>
        <w:spacing w:line="240" w:lineRule="auto"/>
        <w:jc w:val="both"/>
        <w:rPr>
          <w:rFonts w:ascii="Times New Roman" w:hAnsi="Times New Roman" w:cs="Times New Roman"/>
          <w:sz w:val="24"/>
          <w:szCs w:val="24"/>
        </w:rPr>
      </w:pPr>
      <w:r w:rsidRPr="004825BD">
        <w:rPr>
          <w:rFonts w:ascii="Times New Roman" w:hAnsi="Times New Roman" w:cs="Times New Roman"/>
          <w:color w:val="FF0000"/>
          <w:sz w:val="24"/>
          <w:szCs w:val="24"/>
          <w:u w:val="single"/>
        </w:rPr>
        <w:t>Los reguladores están haciendo todo lo posible por calmar el nerviosismo del mercado</w:t>
      </w:r>
      <w:r w:rsidRPr="00773128">
        <w:rPr>
          <w:rFonts w:ascii="Times New Roman" w:hAnsi="Times New Roman" w:cs="Times New Roman"/>
          <w:sz w:val="24"/>
          <w:szCs w:val="24"/>
        </w:rPr>
        <w:t>. Esta noche, la presidenta del BCE, Christine Lagarde, ha vuelto a decir en un segundo comunicado que la banca de la zona euro es “resistente y dispone de suficiente capital y liquidez”. “Nuestros instrumentos políticos están equipados para garantizar la liquidez del sistema fina</w:t>
      </w:r>
      <w:r>
        <w:rPr>
          <w:rFonts w:ascii="Times New Roman" w:hAnsi="Times New Roman" w:cs="Times New Roman"/>
          <w:sz w:val="24"/>
          <w:szCs w:val="24"/>
        </w:rPr>
        <w:t>nciero de la zona euro”, añade.</w:t>
      </w:r>
    </w:p>
    <w:p w:rsidR="007E3D39" w:rsidRPr="004825BD" w:rsidRDefault="007E3D39" w:rsidP="007E3D39">
      <w:pPr>
        <w:spacing w:line="240" w:lineRule="auto"/>
        <w:jc w:val="both"/>
        <w:rPr>
          <w:rFonts w:ascii="Times New Roman" w:hAnsi="Times New Roman" w:cs="Times New Roman"/>
          <w:sz w:val="24"/>
          <w:szCs w:val="24"/>
          <w:u w:val="single"/>
        </w:rPr>
      </w:pPr>
      <w:r w:rsidRPr="004825BD">
        <w:rPr>
          <w:rFonts w:ascii="Times New Roman" w:hAnsi="Times New Roman" w:cs="Times New Roman"/>
          <w:sz w:val="24"/>
          <w:szCs w:val="24"/>
          <w:u w:val="single"/>
        </w:rPr>
        <w:lastRenderedPageBreak/>
        <w:t>El documento elogia la intervención de las autoridades suizas en favor de la estabilidad financiera, al avalar la absorción de Credit Suisse por su competidor UBS. “Ha sido una acción decisiva para restablecer el orden en las condiciones de los mercados y garantizar la estabilidad financiera”, se lee en el texto.</w:t>
      </w:r>
    </w:p>
    <w:p w:rsidR="007E3D39" w:rsidRPr="00773128" w:rsidRDefault="007E3D39" w:rsidP="007E3D39">
      <w:pPr>
        <w:spacing w:line="240" w:lineRule="auto"/>
        <w:jc w:val="both"/>
        <w:rPr>
          <w:rFonts w:ascii="Times New Roman" w:hAnsi="Times New Roman" w:cs="Times New Roman"/>
          <w:sz w:val="24"/>
          <w:szCs w:val="24"/>
        </w:rPr>
      </w:pPr>
      <w:r w:rsidRPr="004825BD">
        <w:rPr>
          <w:rFonts w:ascii="Times New Roman" w:hAnsi="Times New Roman" w:cs="Times New Roman"/>
          <w:sz w:val="24"/>
          <w:szCs w:val="24"/>
          <w:u w:val="single"/>
        </w:rPr>
        <w:t>La secretaria del Tesoro estadounidense, Janet Yellen, y el presidente de la Reserva Federal, Jerome Powell, también han celebrado el respaldo dado por las autoridades helvéticas a la compra de Credit Suisse. “Acogemos con satisfacción los anuncios realizados hoy por las autoridades suizas en apoyo de la estabilidad financiera”, han indicado en un comunicado conjunto</w:t>
      </w:r>
      <w:r w:rsidRPr="00773128">
        <w:rPr>
          <w:rFonts w:ascii="Times New Roman" w:hAnsi="Times New Roman" w:cs="Times New Roman"/>
          <w:sz w:val="24"/>
          <w:szCs w:val="24"/>
        </w:rPr>
        <w:t xml:space="preserve">. Por su parte, la ministra suiza de Finanzas, Karin Keller-Sutter, ha justificado la acción alegando que la quiebra de esta entidad “hubiese tenido consecuencias irreparables” no sólo para este país, sino para </w:t>
      </w:r>
      <w:r>
        <w:rPr>
          <w:rFonts w:ascii="Times New Roman" w:hAnsi="Times New Roman" w:cs="Times New Roman"/>
          <w:sz w:val="24"/>
          <w:szCs w:val="24"/>
        </w:rPr>
        <w:t>la banca en el resto del mundo.</w:t>
      </w:r>
    </w:p>
    <w:p w:rsidR="007E3D39" w:rsidRPr="00773128" w:rsidRDefault="007E3D39" w:rsidP="007E3D39">
      <w:pPr>
        <w:spacing w:line="240" w:lineRule="auto"/>
        <w:jc w:val="both"/>
        <w:rPr>
          <w:rFonts w:ascii="Times New Roman" w:hAnsi="Times New Roman" w:cs="Times New Roman"/>
          <w:sz w:val="24"/>
          <w:szCs w:val="24"/>
        </w:rPr>
      </w:pPr>
      <w:r w:rsidRPr="00773128">
        <w:rPr>
          <w:rFonts w:ascii="Times New Roman" w:hAnsi="Times New Roman" w:cs="Times New Roman"/>
          <w:sz w:val="24"/>
          <w:szCs w:val="24"/>
        </w:rPr>
        <w:t>En qué consisten las líneas swap de divisas</w:t>
      </w:r>
    </w:p>
    <w:p w:rsidR="007E3D39" w:rsidRPr="004825BD" w:rsidRDefault="007E3D39" w:rsidP="007E3D39">
      <w:pPr>
        <w:spacing w:line="240" w:lineRule="auto"/>
        <w:jc w:val="both"/>
        <w:rPr>
          <w:rFonts w:ascii="Times New Roman" w:hAnsi="Times New Roman" w:cs="Times New Roman"/>
          <w:sz w:val="24"/>
          <w:szCs w:val="24"/>
          <w:u w:val="single"/>
        </w:rPr>
      </w:pPr>
      <w:r w:rsidRPr="004825BD">
        <w:rPr>
          <w:rFonts w:ascii="Times New Roman" w:hAnsi="Times New Roman" w:cs="Times New Roman"/>
          <w:color w:val="FF0000"/>
          <w:sz w:val="24"/>
          <w:szCs w:val="24"/>
          <w:u w:val="single"/>
        </w:rPr>
        <w:t>Una línea de swap de divisas es un acuerdo entre dos bancos centrales para intercambiar divisas. Gracias a ello un banco central logra liquidez en moneda extranjera del banco central que la emite, generalmente porque necesitan proporcionársela a los bancos comerciales nacionales</w:t>
      </w:r>
      <w:r w:rsidRPr="00773128">
        <w:rPr>
          <w:rFonts w:ascii="Times New Roman" w:hAnsi="Times New Roman" w:cs="Times New Roman"/>
          <w:sz w:val="24"/>
          <w:szCs w:val="24"/>
        </w:rPr>
        <w:t xml:space="preserve">. Por ejemplo, la línea swap con el Sistema de la Fed permite que el BCE y todos los bancos centrales nacionales de la zona del euro (Eurosistema) reciban dólares estadounidenses de la Fed a cambio de una cantidad equivalente de euros proporcionados a la Reserva Federal. </w:t>
      </w:r>
      <w:r w:rsidRPr="004825BD">
        <w:rPr>
          <w:rFonts w:ascii="Times New Roman" w:hAnsi="Times New Roman" w:cs="Times New Roman"/>
          <w:sz w:val="24"/>
          <w:szCs w:val="24"/>
          <w:u w:val="single"/>
        </w:rPr>
        <w:t>Forman parte de los instrumentos de política monetaria de los bancos centrales que se han utilizado durante décadas.</w:t>
      </w:r>
    </w:p>
    <w:p w:rsidR="007E3D39" w:rsidRPr="00773128" w:rsidRDefault="007E3D39" w:rsidP="007E3D39">
      <w:pPr>
        <w:spacing w:line="240" w:lineRule="auto"/>
        <w:jc w:val="both"/>
        <w:rPr>
          <w:rFonts w:ascii="Times New Roman" w:hAnsi="Times New Roman" w:cs="Times New Roman"/>
          <w:sz w:val="24"/>
          <w:szCs w:val="24"/>
        </w:rPr>
      </w:pPr>
      <w:r w:rsidRPr="00773128">
        <w:rPr>
          <w:rFonts w:ascii="Times New Roman" w:hAnsi="Times New Roman" w:cs="Times New Roman"/>
          <w:sz w:val="24"/>
          <w:szCs w:val="24"/>
        </w:rPr>
        <w:t>¿Por qué se nece</w:t>
      </w:r>
      <w:r>
        <w:rPr>
          <w:rFonts w:ascii="Times New Roman" w:hAnsi="Times New Roman" w:cs="Times New Roman"/>
          <w:sz w:val="24"/>
          <w:szCs w:val="24"/>
        </w:rPr>
        <w:t>sitan las redes de líneas swap?</w:t>
      </w:r>
    </w:p>
    <w:p w:rsidR="007E3D39" w:rsidRPr="00773128" w:rsidRDefault="007E3D39" w:rsidP="007E3D39">
      <w:pPr>
        <w:spacing w:line="240" w:lineRule="auto"/>
        <w:jc w:val="both"/>
        <w:rPr>
          <w:rFonts w:ascii="Times New Roman" w:hAnsi="Times New Roman" w:cs="Times New Roman"/>
          <w:sz w:val="24"/>
          <w:szCs w:val="24"/>
        </w:rPr>
      </w:pPr>
      <w:r w:rsidRPr="00773128">
        <w:rPr>
          <w:rFonts w:ascii="Times New Roman" w:hAnsi="Times New Roman" w:cs="Times New Roman"/>
          <w:sz w:val="24"/>
          <w:szCs w:val="24"/>
        </w:rPr>
        <w:t xml:space="preserve">En los últimos años, explica el BCE, se han convertido en una herramienta importante para preservar la estabilidad financiera y evitar que las tensiones del mercado afecten a la economía real. </w:t>
      </w:r>
      <w:r w:rsidRPr="004825BD">
        <w:rPr>
          <w:rFonts w:ascii="Times New Roman" w:hAnsi="Times New Roman" w:cs="Times New Roman"/>
          <w:color w:val="FF0000"/>
          <w:sz w:val="24"/>
          <w:szCs w:val="24"/>
          <w:u w:val="single"/>
        </w:rPr>
        <w:t>Se utilizan para evitar que cuando los mercados de financiación en una moneda se deterioren, se vuelve difícil para los bancos fuera de esa zona monetaria financiar sus activos vinculados a esta moneda</w:t>
      </w:r>
      <w:r w:rsidRPr="00773128">
        <w:rPr>
          <w:rFonts w:ascii="Times New Roman" w:hAnsi="Times New Roman" w:cs="Times New Roman"/>
          <w:sz w:val="24"/>
          <w:szCs w:val="24"/>
        </w:rPr>
        <w:t>. Buscan evitar, explica la institución que se sequen los mercados de financiación, como se produjo tras</w:t>
      </w:r>
      <w:r>
        <w:rPr>
          <w:rFonts w:ascii="Times New Roman" w:hAnsi="Times New Roman" w:cs="Times New Roman"/>
          <w:sz w:val="24"/>
          <w:szCs w:val="24"/>
        </w:rPr>
        <w:t xml:space="preserve"> el colapso de Lehman Brothers…</w:t>
      </w:r>
    </w:p>
    <w:p w:rsidR="007E3D39" w:rsidRPr="00FB0E20"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P Morgan: “</w:t>
      </w:r>
      <w:r w:rsidRPr="00FB0E20">
        <w:rPr>
          <w:rFonts w:ascii="Times New Roman" w:hAnsi="Times New Roman" w:cs="Times New Roman"/>
          <w:sz w:val="24"/>
          <w:szCs w:val="24"/>
          <w:u w:val="single"/>
        </w:rPr>
        <w:t>La Fed ha llegado a un punto de no retorno y el momento Minsky está más cerca</w:t>
      </w:r>
      <w:r>
        <w:rPr>
          <w:rFonts w:ascii="Times New Roman" w:hAnsi="Times New Roman" w:cs="Times New Roman"/>
          <w:sz w:val="24"/>
          <w:szCs w:val="24"/>
        </w:rPr>
        <w:t xml:space="preserve">” (El Economista - </w:t>
      </w:r>
      <w:r w:rsidRPr="00FB0E20">
        <w:rPr>
          <w:rFonts w:ascii="Times New Roman" w:hAnsi="Times New Roman" w:cs="Times New Roman"/>
          <w:b/>
          <w:sz w:val="24"/>
          <w:szCs w:val="24"/>
        </w:rPr>
        <w:t>23/3/23</w:t>
      </w:r>
      <w:r>
        <w:rPr>
          <w:rFonts w:ascii="Times New Roman" w:hAnsi="Times New Roman" w:cs="Times New Roman"/>
          <w:sz w:val="24"/>
          <w:szCs w:val="24"/>
        </w:rPr>
        <w:t>)</w:t>
      </w:r>
    </w:p>
    <w:p w:rsidR="007E3D39" w:rsidRPr="00672873" w:rsidRDefault="007E3D39" w:rsidP="007E3D39">
      <w:pPr>
        <w:spacing w:line="240" w:lineRule="auto"/>
        <w:jc w:val="both"/>
        <w:rPr>
          <w:rFonts w:ascii="Times New Roman" w:hAnsi="Times New Roman" w:cs="Times New Roman"/>
          <w:color w:val="FF0000"/>
          <w:sz w:val="24"/>
          <w:szCs w:val="24"/>
        </w:rPr>
      </w:pPr>
      <w:r w:rsidRPr="00672873">
        <w:rPr>
          <w:rFonts w:ascii="Times New Roman" w:hAnsi="Times New Roman" w:cs="Times New Roman"/>
          <w:color w:val="FF0000"/>
          <w:sz w:val="24"/>
          <w:szCs w:val="24"/>
        </w:rPr>
        <w:t>JP Morgan cree que la economía es como un avión que cae en picado...</w:t>
      </w:r>
    </w:p>
    <w:p w:rsidR="007E3D39" w:rsidRPr="00672873" w:rsidRDefault="007E3D39" w:rsidP="007E3D39">
      <w:pPr>
        <w:spacing w:line="240" w:lineRule="auto"/>
        <w:jc w:val="both"/>
        <w:rPr>
          <w:rFonts w:ascii="Times New Roman" w:hAnsi="Times New Roman" w:cs="Times New Roman"/>
          <w:color w:val="FF0000"/>
          <w:sz w:val="24"/>
          <w:szCs w:val="24"/>
        </w:rPr>
      </w:pPr>
      <w:r w:rsidRPr="00672873">
        <w:rPr>
          <w:rFonts w:ascii="Times New Roman" w:hAnsi="Times New Roman" w:cs="Times New Roman"/>
          <w:color w:val="FF0000"/>
          <w:sz w:val="24"/>
          <w:szCs w:val="24"/>
        </w:rPr>
        <w:t>... mientras que los motores de crecimiento se apagan en pleno vuelo</w:t>
      </w:r>
    </w:p>
    <w:p w:rsidR="007E3D39" w:rsidRPr="00672873" w:rsidRDefault="007E3D39" w:rsidP="007E3D39">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w:t>
      </w:r>
      <w:r w:rsidRPr="00672873">
        <w:rPr>
          <w:rFonts w:ascii="Times New Roman" w:hAnsi="Times New Roman" w:cs="Times New Roman"/>
          <w:color w:val="FF0000"/>
          <w:sz w:val="24"/>
          <w:szCs w:val="24"/>
        </w:rPr>
        <w:t>Por su parte, la Eurozona parece esta</w:t>
      </w:r>
      <w:r>
        <w:rPr>
          <w:rFonts w:ascii="Times New Roman" w:hAnsi="Times New Roman" w:cs="Times New Roman"/>
          <w:color w:val="FF0000"/>
          <w:sz w:val="24"/>
          <w:szCs w:val="24"/>
        </w:rPr>
        <w:t>r viviendo otro momento Trichet”</w:t>
      </w:r>
    </w:p>
    <w:p w:rsidR="007E3D39" w:rsidRPr="00FB0E20"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B0E20">
        <w:rPr>
          <w:rFonts w:ascii="Times New Roman" w:hAnsi="Times New Roman" w:cs="Times New Roman"/>
          <w:sz w:val="24"/>
          <w:szCs w:val="24"/>
        </w:rPr>
        <w:t>Vicente Nieves</w:t>
      </w:r>
      <w:r>
        <w:rPr>
          <w:rFonts w:ascii="Times New Roman" w:hAnsi="Times New Roman" w:cs="Times New Roman"/>
          <w:sz w:val="24"/>
          <w:szCs w:val="24"/>
        </w:rPr>
        <w:t>)</w:t>
      </w:r>
    </w:p>
    <w:p w:rsidR="007E3D39" w:rsidRPr="00672873" w:rsidRDefault="007E3D39" w:rsidP="007E3D39">
      <w:pPr>
        <w:spacing w:line="240" w:lineRule="auto"/>
        <w:jc w:val="both"/>
        <w:rPr>
          <w:rFonts w:ascii="Times New Roman" w:hAnsi="Times New Roman" w:cs="Times New Roman"/>
          <w:color w:val="FF0000"/>
          <w:sz w:val="24"/>
          <w:szCs w:val="24"/>
          <w:u w:val="single"/>
        </w:rPr>
      </w:pPr>
      <w:r w:rsidRPr="00672873">
        <w:rPr>
          <w:rFonts w:ascii="Times New Roman" w:hAnsi="Times New Roman" w:cs="Times New Roman"/>
          <w:color w:val="FF0000"/>
          <w:sz w:val="24"/>
          <w:szCs w:val="24"/>
          <w:u w:val="single"/>
        </w:rPr>
        <w:t>Pilotar el aterrizaje de la economía de EEUU era una misión compleja. Durante la crisis del covid, la Fed y el Gobierno llenaron el depósito del avión (economía) con una mezcla de combustibles que nunca antes se había probado (billones de estímulos fiscales y monetarios combinados). El avión cogió tanta velocidad en tan poco tiempo que terminó sobrecalentándose. Al final, la Fed tuvo que tirar del freno de mano (subidas de tipos sin precedentes y retirada de estímulos), provocando una rápida pérdida de altura, que ahora podría terminar en accidente. En Europa, aunque la situación no es exactamente igual, pero el riesgo parece similar, según los expertos de JP Morgan.</w:t>
      </w:r>
    </w:p>
    <w:p w:rsidR="007E3D39" w:rsidRPr="00FB0E20" w:rsidRDefault="007E3D39" w:rsidP="007E3D39">
      <w:pPr>
        <w:spacing w:line="240" w:lineRule="auto"/>
        <w:jc w:val="both"/>
        <w:rPr>
          <w:rFonts w:ascii="Times New Roman" w:hAnsi="Times New Roman" w:cs="Times New Roman"/>
          <w:sz w:val="24"/>
          <w:szCs w:val="24"/>
        </w:rPr>
      </w:pPr>
      <w:r w:rsidRPr="00FB0E20">
        <w:rPr>
          <w:rFonts w:ascii="Times New Roman" w:hAnsi="Times New Roman" w:cs="Times New Roman"/>
          <w:sz w:val="24"/>
          <w:szCs w:val="24"/>
        </w:rPr>
        <w:lastRenderedPageBreak/>
        <w:t>Qué pasa en EEUU con la Fed</w:t>
      </w:r>
    </w:p>
    <w:p w:rsidR="007E3D39" w:rsidRPr="00672873" w:rsidRDefault="007E3D39" w:rsidP="007E3D3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Pr="00672873">
        <w:rPr>
          <w:rFonts w:ascii="Times New Roman" w:hAnsi="Times New Roman" w:cs="Times New Roman"/>
          <w:sz w:val="24"/>
          <w:szCs w:val="24"/>
          <w:u w:val="single"/>
        </w:rPr>
        <w:t>La Fed se enfrenta a una tarea, parece que ya haya pasado el punto de no retorno: un aterrizaje suave ahora parece poco probable, con el avión en picado (falta de confianza del mercado) y los motores a punto de</w:t>
      </w:r>
      <w:r>
        <w:rPr>
          <w:rFonts w:ascii="Times New Roman" w:hAnsi="Times New Roman" w:cs="Times New Roman"/>
          <w:sz w:val="24"/>
          <w:szCs w:val="24"/>
          <w:u w:val="single"/>
        </w:rPr>
        <w:t xml:space="preserve"> apagarse (préstamos bancarios)”</w:t>
      </w:r>
      <w:r w:rsidRPr="00672873">
        <w:rPr>
          <w:rFonts w:ascii="Times New Roman" w:hAnsi="Times New Roman" w:cs="Times New Roman"/>
          <w:sz w:val="24"/>
          <w:szCs w:val="24"/>
          <w:u w:val="single"/>
        </w:rPr>
        <w:t>, advierten los economistas de JP Morgan.</w:t>
      </w:r>
    </w:p>
    <w:p w:rsidR="007E3D39" w:rsidRPr="00672873" w:rsidRDefault="007E3D39" w:rsidP="007E3D39">
      <w:pPr>
        <w:spacing w:line="240" w:lineRule="auto"/>
        <w:jc w:val="both"/>
        <w:rPr>
          <w:rFonts w:ascii="Times New Roman" w:hAnsi="Times New Roman" w:cs="Times New Roman"/>
          <w:color w:val="FF0000"/>
          <w:sz w:val="24"/>
          <w:szCs w:val="24"/>
          <w:u w:val="single"/>
        </w:rPr>
      </w:pPr>
      <w:r w:rsidRPr="00672873">
        <w:rPr>
          <w:rFonts w:ascii="Times New Roman" w:hAnsi="Times New Roman" w:cs="Times New Roman"/>
          <w:color w:val="FF0000"/>
          <w:sz w:val="24"/>
          <w:szCs w:val="24"/>
          <w:u w:val="single"/>
        </w:rPr>
        <w:t xml:space="preserve">Las fuertes subidas de tipos han provocado una contracción de la oferta monetaria que tendrá serias repercusiones en la economía. La retirada de los estímulos está secando el crédito mientras que las subidas de tipos de interés se filtran a la economía. El daño ya está hecho, ahora solo falta esperar a que lo ocurrido en los mercados tenga su reflejo en la economía real. </w:t>
      </w:r>
    </w:p>
    <w:p w:rsidR="007E3D39" w:rsidRPr="00672873" w:rsidRDefault="007E3D39" w:rsidP="007E3D39">
      <w:pPr>
        <w:spacing w:line="240" w:lineRule="auto"/>
        <w:jc w:val="both"/>
        <w:rPr>
          <w:rFonts w:ascii="Times New Roman" w:hAnsi="Times New Roman" w:cs="Times New Roman"/>
          <w:color w:val="FF0000"/>
          <w:sz w:val="24"/>
          <w:szCs w:val="24"/>
          <w:u w:val="single"/>
        </w:rPr>
      </w:pPr>
      <w:r w:rsidRPr="00672873">
        <w:rPr>
          <w:rFonts w:ascii="Times New Roman" w:hAnsi="Times New Roman" w:cs="Times New Roman"/>
          <w:color w:val="FF0000"/>
          <w:sz w:val="24"/>
          <w:szCs w:val="24"/>
          <w:u w:val="single"/>
        </w:rPr>
        <w:t>Los analistas de JP Morgan explican en su boletín semana</w:t>
      </w:r>
      <w:r>
        <w:rPr>
          <w:rFonts w:ascii="Times New Roman" w:hAnsi="Times New Roman" w:cs="Times New Roman"/>
          <w:color w:val="FF0000"/>
          <w:sz w:val="24"/>
          <w:szCs w:val="24"/>
          <w:u w:val="single"/>
        </w:rPr>
        <w:t>l que esto no es nada extraño: “</w:t>
      </w:r>
      <w:r w:rsidRPr="00672873">
        <w:rPr>
          <w:rFonts w:ascii="Times New Roman" w:hAnsi="Times New Roman" w:cs="Times New Roman"/>
          <w:color w:val="FF0000"/>
          <w:sz w:val="24"/>
          <w:szCs w:val="24"/>
          <w:u w:val="single"/>
        </w:rPr>
        <w:t>Cuando la Fed pisa el freno (sube los tipos de interés) siempre hay alguien que s</w:t>
      </w:r>
      <w:r>
        <w:rPr>
          <w:rFonts w:ascii="Times New Roman" w:hAnsi="Times New Roman" w:cs="Times New Roman"/>
          <w:color w:val="FF0000"/>
          <w:sz w:val="24"/>
          <w:szCs w:val="24"/>
          <w:u w:val="single"/>
        </w:rPr>
        <w:t>e estrella contra el parabrisas”</w:t>
      </w:r>
      <w:r w:rsidRPr="00672873">
        <w:rPr>
          <w:rFonts w:ascii="Times New Roman" w:hAnsi="Times New Roman" w:cs="Times New Roman"/>
          <w:color w:val="FF0000"/>
          <w:sz w:val="24"/>
          <w:szCs w:val="24"/>
          <w:u w:val="single"/>
        </w:rPr>
        <w:t xml:space="preserve">. </w:t>
      </w:r>
    </w:p>
    <w:p w:rsidR="007E3D39" w:rsidRPr="00532659" w:rsidRDefault="007E3D39" w:rsidP="007E3D39">
      <w:pPr>
        <w:spacing w:line="240" w:lineRule="auto"/>
        <w:jc w:val="both"/>
        <w:rPr>
          <w:rFonts w:ascii="Times New Roman" w:hAnsi="Times New Roman" w:cs="Times New Roman"/>
          <w:sz w:val="24"/>
          <w:szCs w:val="24"/>
          <w:u w:val="single"/>
        </w:rPr>
      </w:pPr>
      <w:r>
        <w:rPr>
          <w:rFonts w:ascii="Times New Roman" w:hAnsi="Times New Roman" w:cs="Times New Roman"/>
          <w:sz w:val="24"/>
          <w:szCs w:val="24"/>
          <w:u w:val="single"/>
        </w:rPr>
        <w:t>“</w:t>
      </w:r>
      <w:r w:rsidRPr="00532659">
        <w:rPr>
          <w:rFonts w:ascii="Times New Roman" w:hAnsi="Times New Roman" w:cs="Times New Roman"/>
          <w:sz w:val="24"/>
          <w:szCs w:val="24"/>
          <w:u w:val="single"/>
        </w:rPr>
        <w:t xml:space="preserve">Durante los últimos meses, la Reserva Federal ha estado pisando el freno con fuerza. De antemano, por supuesto, es difícil saber qué institución, sector o clase de activo está en el asiento del pasajero. (Si fuera obvio, se abrocharían el cinturón). Últimamente, sin embargo, tenemos una mejor idea de quiénes han sufrido debido al ajuste agresivo de la Fed: durante la semana pasada, dos bancos, Silicon Valley Bank y Signature Bank, han caído en </w:t>
      </w:r>
      <w:r>
        <w:rPr>
          <w:rFonts w:ascii="Times New Roman" w:hAnsi="Times New Roman" w:cs="Times New Roman"/>
          <w:sz w:val="24"/>
          <w:szCs w:val="24"/>
          <w:u w:val="single"/>
        </w:rPr>
        <w:t>suspensión de pagos por la FDIC”</w:t>
      </w:r>
      <w:r w:rsidRPr="00532659">
        <w:rPr>
          <w:rFonts w:ascii="Times New Roman" w:hAnsi="Times New Roman" w:cs="Times New Roman"/>
          <w:sz w:val="24"/>
          <w:szCs w:val="24"/>
          <w:u w:val="single"/>
        </w:rPr>
        <w:t>, señalan estos economistas.</w:t>
      </w:r>
    </w:p>
    <w:p w:rsidR="007E3D39" w:rsidRPr="00532659" w:rsidRDefault="007E3D39" w:rsidP="007E3D39">
      <w:pPr>
        <w:spacing w:line="240" w:lineRule="auto"/>
        <w:jc w:val="both"/>
        <w:rPr>
          <w:rFonts w:ascii="Times New Roman" w:hAnsi="Times New Roman" w:cs="Times New Roman"/>
          <w:color w:val="FF0000"/>
          <w:sz w:val="24"/>
          <w:szCs w:val="24"/>
          <w:u w:val="single"/>
        </w:rPr>
      </w:pPr>
      <w:r w:rsidRPr="00532659">
        <w:rPr>
          <w:rFonts w:ascii="Times New Roman" w:hAnsi="Times New Roman" w:cs="Times New Roman"/>
          <w:color w:val="FF0000"/>
          <w:sz w:val="24"/>
          <w:szCs w:val="24"/>
          <w:u w:val="single"/>
        </w:rPr>
        <w:t>El crédito ha sido uno de los motores de crecimiento en la economía de EEUU en los últimos años. Si este motor se apaga será complicado mantener el vuelo del avión. Pero lo que es peor, el colapso de ese motor puede contagiar al re</w:t>
      </w:r>
      <w:r>
        <w:rPr>
          <w:rFonts w:ascii="Times New Roman" w:hAnsi="Times New Roman" w:cs="Times New Roman"/>
          <w:color w:val="FF0000"/>
          <w:sz w:val="24"/>
          <w:szCs w:val="24"/>
          <w:u w:val="single"/>
        </w:rPr>
        <w:t>sto de motores de la economía: “</w:t>
      </w:r>
      <w:r w:rsidRPr="00532659">
        <w:rPr>
          <w:rFonts w:ascii="Times New Roman" w:hAnsi="Times New Roman" w:cs="Times New Roman"/>
          <w:color w:val="FF0000"/>
          <w:sz w:val="24"/>
          <w:szCs w:val="24"/>
          <w:u w:val="single"/>
        </w:rPr>
        <w:t>Una estimación muy aproximada es que un crecimiento más lento de los préstamos por parte de los bancos medianos podría restar entre medio y un punto porcentual completo del nivel del PIB dura</w:t>
      </w:r>
      <w:r>
        <w:rPr>
          <w:rFonts w:ascii="Times New Roman" w:hAnsi="Times New Roman" w:cs="Times New Roman"/>
          <w:color w:val="FF0000"/>
          <w:sz w:val="24"/>
          <w:szCs w:val="24"/>
          <w:u w:val="single"/>
        </w:rPr>
        <w:t>nte los próximos uno o dos años”</w:t>
      </w:r>
      <w:r w:rsidRPr="00532659">
        <w:rPr>
          <w:rFonts w:ascii="Times New Roman" w:hAnsi="Times New Roman" w:cs="Times New Roman"/>
          <w:color w:val="FF0000"/>
          <w:sz w:val="24"/>
          <w:szCs w:val="24"/>
          <w:u w:val="single"/>
        </w:rPr>
        <w:t>, aseguran desde JP Morgan.</w:t>
      </w:r>
    </w:p>
    <w:p w:rsidR="007E3D39" w:rsidRPr="00532659" w:rsidRDefault="007E3D39" w:rsidP="007E3D3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532659">
        <w:rPr>
          <w:rFonts w:ascii="Times New Roman" w:hAnsi="Times New Roman" w:cs="Times New Roman"/>
          <w:color w:val="FF0000"/>
          <w:sz w:val="24"/>
          <w:szCs w:val="24"/>
          <w:u w:val="single"/>
        </w:rPr>
        <w:t>Creemos que esto es ampliamente consistente con nuestra opinión de que una política monetaria más estricta empujará a EEUU a una recesión a finales de este año. Y es que no resulta extraño que una campaña de aumento de tipos de interés de la Fed cause estrés en el sistema financiero; lo raro sería que no lo hicier</w:t>
      </w:r>
      <w:r>
        <w:rPr>
          <w:rFonts w:ascii="Times New Roman" w:hAnsi="Times New Roman" w:cs="Times New Roman"/>
          <w:color w:val="FF0000"/>
          <w:sz w:val="24"/>
          <w:szCs w:val="24"/>
          <w:u w:val="single"/>
        </w:rPr>
        <w:t>a”</w:t>
      </w:r>
      <w:r w:rsidRPr="00532659">
        <w:rPr>
          <w:rFonts w:ascii="Times New Roman" w:hAnsi="Times New Roman" w:cs="Times New Roman"/>
          <w:color w:val="FF0000"/>
          <w:sz w:val="24"/>
          <w:szCs w:val="24"/>
          <w:u w:val="single"/>
        </w:rPr>
        <w:t>, sentencian estos expertos.</w:t>
      </w:r>
    </w:p>
    <w:p w:rsidR="007E3D39" w:rsidRPr="0062569D" w:rsidRDefault="007E3D39" w:rsidP="007E3D39">
      <w:pPr>
        <w:spacing w:line="240" w:lineRule="auto"/>
        <w:jc w:val="both"/>
        <w:rPr>
          <w:rFonts w:ascii="Times New Roman" w:hAnsi="Times New Roman" w:cs="Times New Roman"/>
          <w:b/>
          <w:sz w:val="24"/>
          <w:szCs w:val="24"/>
        </w:rPr>
      </w:pPr>
      <w:r w:rsidRPr="0062569D">
        <w:rPr>
          <w:rFonts w:ascii="Times New Roman" w:hAnsi="Times New Roman" w:cs="Times New Roman"/>
          <w:b/>
          <w:sz w:val="24"/>
          <w:szCs w:val="24"/>
        </w:rPr>
        <w:t>El momento Minsky</w:t>
      </w:r>
    </w:p>
    <w:p w:rsidR="007E3D39" w:rsidRPr="00FB0E20" w:rsidRDefault="007E3D39" w:rsidP="007E3D39">
      <w:pPr>
        <w:spacing w:line="240" w:lineRule="auto"/>
        <w:jc w:val="both"/>
        <w:rPr>
          <w:rFonts w:ascii="Times New Roman" w:hAnsi="Times New Roman" w:cs="Times New Roman"/>
          <w:sz w:val="24"/>
          <w:szCs w:val="24"/>
        </w:rPr>
      </w:pPr>
      <w:r w:rsidRPr="00FB0E20">
        <w:rPr>
          <w:rFonts w:ascii="Times New Roman" w:hAnsi="Times New Roman" w:cs="Times New Roman"/>
          <w:sz w:val="24"/>
          <w:szCs w:val="24"/>
        </w:rPr>
        <w:t>Por otro lado, la situación geopolítica junto al endurecimiento monetario coordinado por buena parte de los bancos centr</w:t>
      </w:r>
      <w:r>
        <w:rPr>
          <w:rFonts w:ascii="Times New Roman" w:hAnsi="Times New Roman" w:cs="Times New Roman"/>
          <w:sz w:val="24"/>
          <w:szCs w:val="24"/>
        </w:rPr>
        <w:t>ales más importantes del mundo “</w:t>
      </w:r>
      <w:r w:rsidRPr="00FB0E20">
        <w:rPr>
          <w:rFonts w:ascii="Times New Roman" w:hAnsi="Times New Roman" w:cs="Times New Roman"/>
          <w:sz w:val="24"/>
          <w:szCs w:val="24"/>
        </w:rPr>
        <w:t>ha aumentado la posibilidad de que se viva un momento Minsky en los mercados y la geopolítica. Incluso si los banqueros centrales logran contener el contagio, parece que las condiciones crediticias se endurecerán más rápidamente debido a la presión tanto de los mer</w:t>
      </w:r>
      <w:r>
        <w:rPr>
          <w:rFonts w:ascii="Times New Roman" w:hAnsi="Times New Roman" w:cs="Times New Roman"/>
          <w:sz w:val="24"/>
          <w:szCs w:val="24"/>
        </w:rPr>
        <w:t>cados como de los reguladores”.</w:t>
      </w:r>
    </w:p>
    <w:p w:rsidR="007E3D39" w:rsidRPr="00FB0E20" w:rsidRDefault="007E3D39" w:rsidP="007E3D39">
      <w:pPr>
        <w:spacing w:line="240" w:lineRule="auto"/>
        <w:jc w:val="both"/>
        <w:rPr>
          <w:rFonts w:ascii="Times New Roman" w:hAnsi="Times New Roman" w:cs="Times New Roman"/>
          <w:sz w:val="24"/>
          <w:szCs w:val="24"/>
        </w:rPr>
      </w:pPr>
      <w:r w:rsidRPr="00532659">
        <w:rPr>
          <w:rFonts w:ascii="Times New Roman" w:hAnsi="Times New Roman" w:cs="Times New Roman"/>
          <w:color w:val="FF0000"/>
          <w:sz w:val="24"/>
          <w:szCs w:val="24"/>
          <w:u w:val="single"/>
        </w:rPr>
        <w:t>Este cortocircuito del crédito tiene ciertas implicaciones positivas (no hay mal que por bien no venga). Si la financiación se detiene en seco, la demanda agregada se enfriará y con ello la inflación. Esto ayudaría a la Fed a realizar el trabajo y devolver la estabilidad a los precios.</w:t>
      </w:r>
      <w:r w:rsidRPr="00532659">
        <w:rPr>
          <w:rFonts w:ascii="Times New Roman" w:hAnsi="Times New Roman" w:cs="Times New Roman"/>
          <w:color w:val="FF0000"/>
          <w:sz w:val="24"/>
          <w:szCs w:val="24"/>
        </w:rPr>
        <w:t xml:space="preserve"> </w:t>
      </w:r>
      <w:r w:rsidRPr="00FB0E20">
        <w:rPr>
          <w:rFonts w:ascii="Times New Roman" w:hAnsi="Times New Roman" w:cs="Times New Roman"/>
          <w:sz w:val="24"/>
          <w:szCs w:val="24"/>
        </w:rPr>
        <w:t>Una vez llegados a ese punto: inflación controlada y una economía en recesión, la Fed podría comenzar a recortar los tipos de interés para dar la vuelta a la situación, es decir, para volver a apoyar a la economía y buscar de nuevo el pleno empleo. Primero destru</w:t>
      </w:r>
      <w:r>
        <w:rPr>
          <w:rFonts w:ascii="Times New Roman" w:hAnsi="Times New Roman" w:cs="Times New Roman"/>
          <w:sz w:val="24"/>
          <w:szCs w:val="24"/>
        </w:rPr>
        <w:t>cción y después reconstrucción.</w:t>
      </w:r>
    </w:p>
    <w:p w:rsidR="007E3D39" w:rsidRPr="00FB0E20" w:rsidRDefault="007E3D39" w:rsidP="007E3D39">
      <w:pPr>
        <w:spacing w:line="240" w:lineRule="auto"/>
        <w:jc w:val="both"/>
        <w:rPr>
          <w:rFonts w:ascii="Times New Roman" w:hAnsi="Times New Roman" w:cs="Times New Roman"/>
          <w:sz w:val="24"/>
          <w:szCs w:val="24"/>
        </w:rPr>
      </w:pPr>
      <w:r w:rsidRPr="00FB0E20">
        <w:rPr>
          <w:rFonts w:ascii="Times New Roman" w:hAnsi="Times New Roman" w:cs="Times New Roman"/>
          <w:sz w:val="24"/>
          <w:szCs w:val="24"/>
        </w:rPr>
        <w:lastRenderedPageBreak/>
        <w:t>Los expertos de BofA lo e</w:t>
      </w:r>
      <w:r>
        <w:rPr>
          <w:rFonts w:ascii="Times New Roman" w:hAnsi="Times New Roman" w:cs="Times New Roman"/>
          <w:sz w:val="24"/>
          <w:szCs w:val="24"/>
        </w:rPr>
        <w:t>xplican de la siguiente forma: “</w:t>
      </w:r>
      <w:r w:rsidRPr="00FB0E20">
        <w:rPr>
          <w:rFonts w:ascii="Times New Roman" w:hAnsi="Times New Roman" w:cs="Times New Roman"/>
          <w:sz w:val="24"/>
          <w:szCs w:val="24"/>
        </w:rPr>
        <w:t>Nuestra tesis central ha sido que para volver a una inflación del 2% probablemente sería necesario eliminar los desequilibrios de los mercados laborales de una forma coherente con anteriores recesiones del ciclo económico. Vemos que los acontecimientos recientes son en general coherentes con nuestra previsión. Una fuerte contracción del crédito podría significar un aterrizaje más duro para la economía y un giro más rápido hacia recort</w:t>
      </w:r>
      <w:r>
        <w:rPr>
          <w:rFonts w:ascii="Times New Roman" w:hAnsi="Times New Roman" w:cs="Times New Roman"/>
          <w:sz w:val="24"/>
          <w:szCs w:val="24"/>
        </w:rPr>
        <w:t>es de tipos por parte de la Fed”</w:t>
      </w:r>
      <w:r w:rsidRPr="00FB0E20">
        <w:rPr>
          <w:rFonts w:ascii="Times New Roman" w:hAnsi="Times New Roman" w:cs="Times New Roman"/>
          <w:sz w:val="24"/>
          <w:szCs w:val="24"/>
        </w:rPr>
        <w:t>, escriben los analistas de Bank of America (BofA) Mark Cabana, Michael Gapen y Alex Cohen en una nota para clientes. Por ahora, estos economistas mantienen su previsión de una recesión leve y una vuelta a una infl</w:t>
      </w:r>
      <w:r>
        <w:rPr>
          <w:rFonts w:ascii="Times New Roman" w:hAnsi="Times New Roman" w:cs="Times New Roman"/>
          <w:sz w:val="24"/>
          <w:szCs w:val="24"/>
        </w:rPr>
        <w:t>ación del 2% a finales de 2024.</w:t>
      </w:r>
    </w:p>
    <w:p w:rsidR="007E3D39" w:rsidRPr="00532659" w:rsidRDefault="007E3D39" w:rsidP="007E3D39">
      <w:pPr>
        <w:spacing w:line="240" w:lineRule="auto"/>
        <w:jc w:val="both"/>
        <w:rPr>
          <w:rFonts w:ascii="Times New Roman" w:hAnsi="Times New Roman" w:cs="Times New Roman"/>
          <w:color w:val="FF0000"/>
          <w:sz w:val="24"/>
          <w:szCs w:val="24"/>
          <w:u w:val="single"/>
        </w:rPr>
      </w:pPr>
      <w:r w:rsidRPr="00532659">
        <w:rPr>
          <w:rFonts w:ascii="Times New Roman" w:hAnsi="Times New Roman" w:cs="Times New Roman"/>
          <w:color w:val="FF0000"/>
          <w:sz w:val="24"/>
          <w:szCs w:val="24"/>
          <w:u w:val="single"/>
        </w:rPr>
        <w:t>Los banqueros centrales comenzaron a retirar los estímulos de forma masiva en 2022, mientras que el crédito comienza a perder velocidad de forma clara, ¿ha llegado el temido Momento Minsky? Puede que sí, según JP Morgan. El suceso bautizado con el nombre del prestigioso economista Hyman Minsky se produce cuando los mercados colapsan tras un periodo de excesivo optimismo y complacencia.</w:t>
      </w:r>
    </w:p>
    <w:p w:rsidR="007E3D39" w:rsidRPr="00FB0E20" w:rsidRDefault="007E3D39" w:rsidP="007E3D39">
      <w:pPr>
        <w:spacing w:line="240" w:lineRule="auto"/>
        <w:jc w:val="both"/>
        <w:rPr>
          <w:rFonts w:ascii="Times New Roman" w:hAnsi="Times New Roman" w:cs="Times New Roman"/>
          <w:sz w:val="24"/>
          <w:szCs w:val="24"/>
        </w:rPr>
      </w:pPr>
      <w:r w:rsidRPr="00532659">
        <w:rPr>
          <w:rFonts w:ascii="Times New Roman" w:hAnsi="Times New Roman" w:cs="Times New Roman"/>
          <w:color w:val="FF0000"/>
          <w:sz w:val="24"/>
          <w:szCs w:val="24"/>
          <w:u w:val="single"/>
        </w:rPr>
        <w:t>Minsky señalaba que uno de los desencadenantes puede ser un incremento de los costes de financiación, que impida a los inversores y empresas más endeudadas cumplir con el servicio de la deuda</w:t>
      </w:r>
      <w:r w:rsidRPr="00FB0E20">
        <w:rPr>
          <w:rFonts w:ascii="Times New Roman" w:hAnsi="Times New Roman" w:cs="Times New Roman"/>
          <w:sz w:val="24"/>
          <w:szCs w:val="24"/>
        </w:rPr>
        <w:t>. El repunte de la inflación y los salarios en EEUU han obligado a la Fed a endurecer su política más rápido, lo que junto al endurecimiento monetario del BCE, ha disparado durante meses los rendimientos de los bonos. Esta situación está encareciendo la refinanciación de la deuda a las empresas e inversores más apa</w:t>
      </w:r>
      <w:r>
        <w:rPr>
          <w:rFonts w:ascii="Times New Roman" w:hAnsi="Times New Roman" w:cs="Times New Roman"/>
          <w:sz w:val="24"/>
          <w:szCs w:val="24"/>
        </w:rPr>
        <w:t>lancados.</w:t>
      </w:r>
    </w:p>
    <w:p w:rsidR="007E3D39" w:rsidRPr="00532659" w:rsidRDefault="007E3D39" w:rsidP="007E3D3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Este “momento”</w:t>
      </w:r>
      <w:r w:rsidRPr="00532659">
        <w:rPr>
          <w:rFonts w:ascii="Times New Roman" w:hAnsi="Times New Roman" w:cs="Times New Roman"/>
          <w:color w:val="FF0000"/>
          <w:sz w:val="24"/>
          <w:szCs w:val="24"/>
          <w:u w:val="single"/>
        </w:rPr>
        <w:t xml:space="preserve"> termina de estallar cuando los agentes sobreendeudados y con problemas para cumplir con sus obligaciones financieras se ven obligados a vender incluso sus inversiones más sólidas para poder pagar sus préstamos</w:t>
      </w:r>
      <w:r w:rsidRPr="00532659">
        <w:rPr>
          <w:rFonts w:ascii="Times New Roman" w:hAnsi="Times New Roman" w:cs="Times New Roman"/>
          <w:color w:val="FF0000"/>
          <w:sz w:val="24"/>
          <w:szCs w:val="24"/>
        </w:rPr>
        <w:t xml:space="preserve"> </w:t>
      </w:r>
      <w:r w:rsidRPr="00FB0E20">
        <w:rPr>
          <w:rFonts w:ascii="Times New Roman" w:hAnsi="Times New Roman" w:cs="Times New Roman"/>
          <w:sz w:val="24"/>
          <w:szCs w:val="24"/>
        </w:rPr>
        <w:t xml:space="preserve">(algo parecido le ha pasado a SVB en EEUU, tuvo que vender sus bonos para hacer frente a la retirada de depósitos), </w:t>
      </w:r>
      <w:r w:rsidRPr="00532659">
        <w:rPr>
          <w:rFonts w:ascii="Times New Roman" w:hAnsi="Times New Roman" w:cs="Times New Roman"/>
          <w:color w:val="FF0000"/>
          <w:sz w:val="24"/>
          <w:szCs w:val="24"/>
          <w:u w:val="single"/>
        </w:rPr>
        <w:t xml:space="preserve">lo que fuerza a los agentes a reconocer pérdidas latentes, generando turbulencias en todos los mercados y una ingente demanda de liquidez que obliga a los bancos centrales a mostrar su capacidad de prestamistas de última instancia. </w:t>
      </w:r>
    </w:p>
    <w:p w:rsidR="007E3D39" w:rsidRPr="00FB0E20"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FB0E20">
        <w:rPr>
          <w:rFonts w:ascii="Times New Roman" w:hAnsi="Times New Roman" w:cs="Times New Roman"/>
          <w:sz w:val="24"/>
          <w:szCs w:val="24"/>
        </w:rPr>
        <w:t>El encarecimiento de los préstamos y la reducción del acceso al crédito aumentan las probabilidades de que la economía sufra un aterrizaje brusco. Los recortes de tipos, que venimos pronosticando desde hace tiempo, serán probablemente el tema clave d</w:t>
      </w:r>
      <w:r>
        <w:rPr>
          <w:rFonts w:ascii="Times New Roman" w:hAnsi="Times New Roman" w:cs="Times New Roman"/>
          <w:sz w:val="24"/>
          <w:szCs w:val="24"/>
        </w:rPr>
        <w:t>el segundo semestre de 2023”</w:t>
      </w:r>
      <w:r w:rsidRPr="00FB0E20">
        <w:rPr>
          <w:rFonts w:ascii="Times New Roman" w:hAnsi="Times New Roman" w:cs="Times New Roman"/>
          <w:sz w:val="24"/>
          <w:szCs w:val="24"/>
        </w:rPr>
        <w:t>, apuntan los analistas de ING, encabezados por Jam</w:t>
      </w:r>
      <w:r>
        <w:rPr>
          <w:rFonts w:ascii="Times New Roman" w:hAnsi="Times New Roman" w:cs="Times New Roman"/>
          <w:sz w:val="24"/>
          <w:szCs w:val="24"/>
        </w:rPr>
        <w:t>es Knightley, en un comentario.</w:t>
      </w:r>
    </w:p>
    <w:p w:rsidR="007E3D39" w:rsidRPr="00FB0E20" w:rsidRDefault="007E3D39" w:rsidP="007E3D39">
      <w:pPr>
        <w:spacing w:line="240" w:lineRule="auto"/>
        <w:jc w:val="both"/>
        <w:rPr>
          <w:rFonts w:ascii="Times New Roman" w:hAnsi="Times New Roman" w:cs="Times New Roman"/>
          <w:sz w:val="24"/>
          <w:szCs w:val="24"/>
        </w:rPr>
      </w:pPr>
      <w:r w:rsidRPr="00FB0E20">
        <w:rPr>
          <w:rFonts w:ascii="Times New Roman" w:hAnsi="Times New Roman" w:cs="Times New Roman"/>
          <w:sz w:val="24"/>
          <w:szCs w:val="24"/>
        </w:rPr>
        <w:t>El movimiento de la Fed</w:t>
      </w:r>
    </w:p>
    <w:p w:rsidR="007E3D39" w:rsidRPr="00FB0E20" w:rsidRDefault="007E3D39" w:rsidP="007E3D39">
      <w:pPr>
        <w:spacing w:line="240" w:lineRule="auto"/>
        <w:jc w:val="both"/>
        <w:rPr>
          <w:rFonts w:ascii="Times New Roman" w:hAnsi="Times New Roman" w:cs="Times New Roman"/>
          <w:sz w:val="24"/>
          <w:szCs w:val="24"/>
        </w:rPr>
      </w:pPr>
      <w:r w:rsidRPr="00FB0E20">
        <w:rPr>
          <w:rFonts w:ascii="Times New Roman" w:hAnsi="Times New Roman" w:cs="Times New Roman"/>
          <w:sz w:val="24"/>
          <w:szCs w:val="24"/>
        </w:rPr>
        <w:t xml:space="preserve">Lo que haga la Reserva Federal en las próximas reuniones dependerá lo que pase </w:t>
      </w:r>
      <w:r>
        <w:rPr>
          <w:rFonts w:ascii="Times New Roman" w:hAnsi="Times New Roman" w:cs="Times New Roman"/>
          <w:sz w:val="24"/>
          <w:szCs w:val="24"/>
        </w:rPr>
        <w:t>en la economía y los mercados: “</w:t>
      </w:r>
      <w:r w:rsidRPr="00FB0E20">
        <w:rPr>
          <w:rFonts w:ascii="Times New Roman" w:hAnsi="Times New Roman" w:cs="Times New Roman"/>
          <w:sz w:val="24"/>
          <w:szCs w:val="24"/>
        </w:rPr>
        <w:t>Dado el probable daño al flujo de crédito, además de los largos y variados retrasos de los cambios de política monetaria en la economía, en lo que ha sido el ciclo de endurecimiento más agresivo de</w:t>
      </w:r>
      <w:r>
        <w:rPr>
          <w:rFonts w:ascii="Times New Roman" w:hAnsi="Times New Roman" w:cs="Times New Roman"/>
          <w:sz w:val="24"/>
          <w:szCs w:val="24"/>
        </w:rPr>
        <w:t xml:space="preserve"> los últimos 40 años”, agregan.</w:t>
      </w:r>
    </w:p>
    <w:p w:rsidR="007E3D39" w:rsidRPr="00532659" w:rsidRDefault="007E3D39" w:rsidP="007E3D3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532659">
        <w:rPr>
          <w:rFonts w:ascii="Times New Roman" w:hAnsi="Times New Roman" w:cs="Times New Roman"/>
          <w:color w:val="FF0000"/>
          <w:sz w:val="24"/>
          <w:szCs w:val="24"/>
          <w:u w:val="single"/>
        </w:rPr>
        <w:t>La cadena de quiebras bancarias ha puesto a la Fed en una posición extremadamente difícil, con aún más precisión necesaria para lograr el legendario aterrizaje suave. Ahora se parece mu</w:t>
      </w:r>
      <w:r>
        <w:rPr>
          <w:rFonts w:ascii="Times New Roman" w:hAnsi="Times New Roman" w:cs="Times New Roman"/>
          <w:color w:val="FF0000"/>
          <w:sz w:val="24"/>
          <w:szCs w:val="24"/>
          <w:u w:val="single"/>
        </w:rPr>
        <w:t>cho más a un aterrizaje forzoso”</w:t>
      </w:r>
      <w:r w:rsidRPr="00532659">
        <w:rPr>
          <w:rFonts w:ascii="Times New Roman" w:hAnsi="Times New Roman" w:cs="Times New Roman"/>
          <w:color w:val="FF0000"/>
          <w:sz w:val="24"/>
          <w:szCs w:val="24"/>
          <w:u w:val="single"/>
        </w:rPr>
        <w:t>, opina Genevieve Roch-Decter, de Grit Capital. La analista financiera ve ahora mismo tres campanas de recesión que repican en el mercado: tipos, quiebras bancarias y beneficios empresariales.</w:t>
      </w:r>
    </w:p>
    <w:p w:rsidR="007E3D39" w:rsidRPr="00532659" w:rsidRDefault="007E3D39" w:rsidP="007E3D39">
      <w:pPr>
        <w:spacing w:line="240" w:lineRule="auto"/>
        <w:jc w:val="both"/>
        <w:rPr>
          <w:rFonts w:ascii="Times New Roman" w:hAnsi="Times New Roman" w:cs="Times New Roman"/>
          <w:color w:val="FF0000"/>
          <w:sz w:val="24"/>
          <w:szCs w:val="24"/>
          <w:u w:val="single"/>
        </w:rPr>
      </w:pPr>
      <w:r w:rsidRPr="00FB0E20">
        <w:rPr>
          <w:rFonts w:ascii="Times New Roman" w:hAnsi="Times New Roman" w:cs="Times New Roman"/>
          <w:sz w:val="24"/>
          <w:szCs w:val="24"/>
        </w:rPr>
        <w:t xml:space="preserve">El primer de estos avisos llega, para Roch-Decter, de un mercado de renta fija que ha vivido sus días más alocados desde 2008. El indicador del miedo en el mercado de renta fija, el </w:t>
      </w:r>
      <w:r w:rsidRPr="00FB0E20">
        <w:rPr>
          <w:rFonts w:ascii="Times New Roman" w:hAnsi="Times New Roman" w:cs="Times New Roman"/>
          <w:sz w:val="24"/>
          <w:szCs w:val="24"/>
        </w:rPr>
        <w:lastRenderedPageBreak/>
        <w:t xml:space="preserve">índice MOVE de volatilidad implícita de ICE, alcanzó niveles nunca vistos en 2008. Los movimientos reales de los rendimientos alcanzaron los niveles vistos durante el colapso de la renta variable del Lunes Negro de 1987 y los vaivenes de la era Volcker de 1982, cuando las subidas récord de tipos desencadenaron una recesión y controlaron la inflación. </w:t>
      </w:r>
      <w:r>
        <w:rPr>
          <w:rFonts w:ascii="Times New Roman" w:hAnsi="Times New Roman" w:cs="Times New Roman"/>
          <w:color w:val="FF0000"/>
          <w:sz w:val="24"/>
          <w:szCs w:val="24"/>
          <w:u w:val="single"/>
        </w:rPr>
        <w:t>“</w:t>
      </w:r>
      <w:r w:rsidRPr="00532659">
        <w:rPr>
          <w:rFonts w:ascii="Times New Roman" w:hAnsi="Times New Roman" w:cs="Times New Roman"/>
          <w:color w:val="FF0000"/>
          <w:sz w:val="24"/>
          <w:szCs w:val="24"/>
          <w:u w:val="single"/>
        </w:rPr>
        <w:t xml:space="preserve">La cuestión ahora es si la economía real se encamina hacia el mismo tipo de desaceleración que siguió a la crisis </w:t>
      </w:r>
      <w:r>
        <w:rPr>
          <w:rFonts w:ascii="Times New Roman" w:hAnsi="Times New Roman" w:cs="Times New Roman"/>
          <w:color w:val="FF0000"/>
          <w:sz w:val="24"/>
          <w:szCs w:val="24"/>
          <w:u w:val="single"/>
        </w:rPr>
        <w:t>financiera mundial”</w:t>
      </w:r>
      <w:r w:rsidRPr="00532659">
        <w:rPr>
          <w:rFonts w:ascii="Times New Roman" w:hAnsi="Times New Roman" w:cs="Times New Roman"/>
          <w:color w:val="FF0000"/>
          <w:sz w:val="24"/>
          <w:szCs w:val="24"/>
          <w:u w:val="single"/>
        </w:rPr>
        <w:t>, subraya la experta.</w:t>
      </w:r>
    </w:p>
    <w:p w:rsidR="007E3D39" w:rsidRPr="00FB0E20" w:rsidRDefault="007E3D39" w:rsidP="007E3D39">
      <w:pPr>
        <w:spacing w:line="240" w:lineRule="auto"/>
        <w:jc w:val="both"/>
        <w:rPr>
          <w:rFonts w:ascii="Times New Roman" w:hAnsi="Times New Roman" w:cs="Times New Roman"/>
          <w:sz w:val="24"/>
          <w:szCs w:val="24"/>
        </w:rPr>
      </w:pPr>
      <w:r w:rsidRPr="00FB0E20">
        <w:rPr>
          <w:rFonts w:ascii="Times New Roman" w:hAnsi="Times New Roman" w:cs="Times New Roman"/>
          <w:sz w:val="24"/>
          <w:szCs w:val="24"/>
        </w:rPr>
        <w:t>El fracaso bancario visto, continúa, re</w:t>
      </w:r>
      <w:r>
        <w:rPr>
          <w:rFonts w:ascii="Times New Roman" w:hAnsi="Times New Roman" w:cs="Times New Roman"/>
          <w:sz w:val="24"/>
          <w:szCs w:val="24"/>
        </w:rPr>
        <w:t>percutirá en toda la economía: “</w:t>
      </w:r>
      <w:r w:rsidRPr="00FB0E20">
        <w:rPr>
          <w:rFonts w:ascii="Times New Roman" w:hAnsi="Times New Roman" w:cs="Times New Roman"/>
          <w:sz w:val="24"/>
          <w:szCs w:val="24"/>
        </w:rPr>
        <w:t>Los bancos regionales han proporcionado una gran cantidad de préstamos clave para el crecimiento de las empresas prósperas. El colapso de los bancos regionales elimina este acceso al capital para financiar un mayor crecimiento. El aumento de la indecisión y el escrutinio en la concesión de préstamos perjudicará a todas las empresas. A medida que se deteriora el sector banca</w:t>
      </w:r>
      <w:r>
        <w:rPr>
          <w:rFonts w:ascii="Times New Roman" w:hAnsi="Times New Roman" w:cs="Times New Roman"/>
          <w:sz w:val="24"/>
          <w:szCs w:val="24"/>
        </w:rPr>
        <w:t>rio, se deteriora la economía”.</w:t>
      </w:r>
    </w:p>
    <w:p w:rsidR="007E3D39" w:rsidRPr="00FB0E20" w:rsidRDefault="007E3D39" w:rsidP="007E3D39">
      <w:pPr>
        <w:spacing w:line="240" w:lineRule="auto"/>
        <w:jc w:val="both"/>
        <w:rPr>
          <w:rFonts w:ascii="Times New Roman" w:hAnsi="Times New Roman" w:cs="Times New Roman"/>
          <w:sz w:val="24"/>
          <w:szCs w:val="24"/>
        </w:rPr>
      </w:pPr>
      <w:r w:rsidRPr="00FB0E20">
        <w:rPr>
          <w:rFonts w:ascii="Times New Roman" w:hAnsi="Times New Roman" w:cs="Times New Roman"/>
          <w:sz w:val="24"/>
          <w:szCs w:val="24"/>
        </w:rPr>
        <w:t>Por último, en lo tocante a los resultados empres</w:t>
      </w:r>
      <w:r>
        <w:rPr>
          <w:rFonts w:ascii="Times New Roman" w:hAnsi="Times New Roman" w:cs="Times New Roman"/>
          <w:sz w:val="24"/>
          <w:szCs w:val="24"/>
        </w:rPr>
        <w:t>ariales, Roch-Decter desgrana: “</w:t>
      </w:r>
      <w:r w:rsidRPr="00FB0E20">
        <w:rPr>
          <w:rFonts w:ascii="Times New Roman" w:hAnsi="Times New Roman" w:cs="Times New Roman"/>
          <w:sz w:val="24"/>
          <w:szCs w:val="24"/>
        </w:rPr>
        <w:t xml:space="preserve">No lo olvidemos: seguimos teniendo una economía en desaceleración, y las empresas siguen inmersas en una desaceleración masiva del crecimiento y una reducción de los beneficios. Aunque los múltiplos se han aplastado debido a la rápida subida de las ponderaciones, aún nos queda por resolver la otra pieza del rompecabezas: los fundamentales. Ahora todo el mundo se esconde en sectores defensivos, ya que los cíclicos están mucho más expuestos a la contracción </w:t>
      </w:r>
      <w:r>
        <w:rPr>
          <w:rFonts w:ascii="Times New Roman" w:hAnsi="Times New Roman" w:cs="Times New Roman"/>
          <w:sz w:val="24"/>
          <w:szCs w:val="24"/>
        </w:rPr>
        <w:t>de las condiciones económicas”.</w:t>
      </w:r>
    </w:p>
    <w:p w:rsidR="007E3D39" w:rsidRPr="00532659" w:rsidRDefault="007E3D39" w:rsidP="007E3D3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532659">
        <w:rPr>
          <w:rFonts w:ascii="Times New Roman" w:hAnsi="Times New Roman" w:cs="Times New Roman"/>
          <w:color w:val="FF0000"/>
          <w:sz w:val="24"/>
          <w:szCs w:val="24"/>
          <w:u w:val="single"/>
        </w:rPr>
        <w:t>A través de su narrativa de aterrizaje suave y su mantenimiento de una política monetaria excesivamente fácil, la Fed se ha arrinconado a sí misma en un juego final de dominio financiero. El banco central estadounidense está tanto retirando liquidez (a través del endurecimiento de su política monetaria) como proporcionando liquidez al sistema (al acudir al rescate de los bancos con problemas), lo que se hace eco de la discordancia del Banco de Inglaterra el pasado otoño al responder a la crisis de liqu</w:t>
      </w:r>
      <w:r>
        <w:rPr>
          <w:rFonts w:ascii="Times New Roman" w:hAnsi="Times New Roman" w:cs="Times New Roman"/>
          <w:color w:val="FF0000"/>
          <w:sz w:val="24"/>
          <w:szCs w:val="24"/>
          <w:u w:val="single"/>
        </w:rPr>
        <w:t>idez de los fondos de pensiones”</w:t>
      </w:r>
      <w:r w:rsidRPr="00532659">
        <w:rPr>
          <w:rFonts w:ascii="Times New Roman" w:hAnsi="Times New Roman" w:cs="Times New Roman"/>
          <w:color w:val="FF0000"/>
          <w:sz w:val="24"/>
          <w:szCs w:val="24"/>
          <w:u w:val="single"/>
        </w:rPr>
        <w:t>, considera Kevin Thozet, miembro del comité de investigación de la gestora Carmignac.</w:t>
      </w:r>
    </w:p>
    <w:p w:rsidR="007E3D39" w:rsidRPr="00FB0E20"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Sin embargo, concluye Thozet, “</w:t>
      </w:r>
      <w:r w:rsidRPr="00FB0E20">
        <w:rPr>
          <w:rFonts w:ascii="Times New Roman" w:hAnsi="Times New Roman" w:cs="Times New Roman"/>
          <w:sz w:val="24"/>
          <w:szCs w:val="24"/>
        </w:rPr>
        <w:t>en un contexto en el que la Reserva Federal está dispuesta a mantener unas condiciones financieras estrictas, debido a que tanto el mercado laboral como la inflación se muestran incómodamente resistentes, la volatilidad asociada a tal enigma no es del todo una mala noticia. De hecho, las recientes tensiones del sector bancario conducirán a unas condiciones crediticias aún más estrictas (las empresas han acaparado mano de obra, ahora los bancos acapararán efectivo) y, por tanto, pesarán sobre la demanda (lo que juega en c</w:t>
      </w:r>
      <w:r>
        <w:rPr>
          <w:rFonts w:ascii="Times New Roman" w:hAnsi="Times New Roman" w:cs="Times New Roman"/>
          <w:sz w:val="24"/>
          <w:szCs w:val="24"/>
        </w:rPr>
        <w:t>ierto modo a favor de la Fed)”.</w:t>
      </w:r>
    </w:p>
    <w:p w:rsidR="007E3D39" w:rsidRDefault="007E3D39" w:rsidP="007E3D39">
      <w:pPr>
        <w:spacing w:line="240" w:lineRule="auto"/>
        <w:jc w:val="both"/>
        <w:rPr>
          <w:rFonts w:ascii="Times New Roman" w:hAnsi="Times New Roman" w:cs="Times New Roman"/>
          <w:sz w:val="24"/>
          <w:szCs w:val="24"/>
        </w:rPr>
      </w:pPr>
      <w:r w:rsidRPr="00FB0E20">
        <w:rPr>
          <w:rFonts w:ascii="Times New Roman" w:hAnsi="Times New Roman" w:cs="Times New Roman"/>
          <w:sz w:val="24"/>
          <w:szCs w:val="24"/>
        </w:rPr>
        <w:t>¿Un error del BCE?</w:t>
      </w:r>
    </w:p>
    <w:p w:rsidR="007E3D39" w:rsidRPr="00FB0E20" w:rsidRDefault="007E3D39" w:rsidP="007E3D39">
      <w:pPr>
        <w:spacing w:line="240" w:lineRule="auto"/>
        <w:jc w:val="both"/>
        <w:rPr>
          <w:rFonts w:ascii="Times New Roman" w:hAnsi="Times New Roman" w:cs="Times New Roman"/>
          <w:sz w:val="24"/>
          <w:szCs w:val="24"/>
        </w:rPr>
      </w:pPr>
      <w:r w:rsidRPr="00FB0E20">
        <w:rPr>
          <w:rFonts w:ascii="Times New Roman" w:hAnsi="Times New Roman" w:cs="Times New Roman"/>
          <w:sz w:val="24"/>
          <w:szCs w:val="24"/>
        </w:rPr>
        <w:t>Por otro lado, "el rescate de varios bancos estadounidenses no ha logrado calmar del todo a los mercados, que se han llevado por delante a otro gran banco de Europa", sostienen los e</w:t>
      </w:r>
      <w:r>
        <w:rPr>
          <w:rFonts w:ascii="Times New Roman" w:hAnsi="Times New Roman" w:cs="Times New Roman"/>
          <w:sz w:val="24"/>
          <w:szCs w:val="24"/>
        </w:rPr>
        <w:t>conomistas del banco americano.</w:t>
      </w:r>
    </w:p>
    <w:p w:rsidR="007E3D39" w:rsidRPr="00FB0E20" w:rsidRDefault="007E3D39" w:rsidP="007E3D39">
      <w:pPr>
        <w:spacing w:line="240" w:lineRule="auto"/>
        <w:jc w:val="both"/>
        <w:rPr>
          <w:rFonts w:ascii="Times New Roman" w:hAnsi="Times New Roman" w:cs="Times New Roman"/>
          <w:sz w:val="24"/>
          <w:szCs w:val="24"/>
        </w:rPr>
      </w:pPr>
      <w:r w:rsidRPr="00FB0E20">
        <w:rPr>
          <w:rFonts w:ascii="Times New Roman" w:hAnsi="Times New Roman" w:cs="Times New Roman"/>
          <w:sz w:val="24"/>
          <w:szCs w:val="24"/>
        </w:rPr>
        <w:t xml:space="preserve">Estos expertos realizan una comparación entre el momento actual y lo que sucedió en 2011 en Europa, cuando el Banco Central Europeo, entonces comandado por Jean-Claude Trichet, subió los tipos de interés desatando un pánico en la deuda soberana que estuvo a punto de ser el </w:t>
      </w:r>
      <w:r>
        <w:rPr>
          <w:rFonts w:ascii="Times New Roman" w:hAnsi="Times New Roman" w:cs="Times New Roman"/>
          <w:sz w:val="24"/>
          <w:szCs w:val="24"/>
        </w:rPr>
        <w:t>principio del fin del euro: “</w:t>
      </w:r>
      <w:r w:rsidRPr="00FB0E20">
        <w:rPr>
          <w:rFonts w:ascii="Times New Roman" w:hAnsi="Times New Roman" w:cs="Times New Roman"/>
          <w:sz w:val="24"/>
          <w:szCs w:val="24"/>
        </w:rPr>
        <w:t>En un momento similar al de Trichet, el BCE ha aumentado los tipos de</w:t>
      </w:r>
      <w:r>
        <w:rPr>
          <w:rFonts w:ascii="Times New Roman" w:hAnsi="Times New Roman" w:cs="Times New Roman"/>
          <w:sz w:val="24"/>
          <w:szCs w:val="24"/>
        </w:rPr>
        <w:t xml:space="preserve"> interés en 50 puntos básicos”.</w:t>
      </w:r>
    </w:p>
    <w:p w:rsidR="007E3D39" w:rsidRPr="00532659" w:rsidRDefault="007E3D39" w:rsidP="007E3D39">
      <w:pPr>
        <w:spacing w:line="240" w:lineRule="auto"/>
        <w:jc w:val="both"/>
        <w:rPr>
          <w:rFonts w:ascii="Times New Roman" w:hAnsi="Times New Roman" w:cs="Times New Roman"/>
          <w:color w:val="FF0000"/>
          <w:sz w:val="24"/>
          <w:szCs w:val="24"/>
          <w:u w:val="single"/>
        </w:rPr>
      </w:pPr>
      <w:r w:rsidRPr="00532659">
        <w:rPr>
          <w:rFonts w:ascii="Times New Roman" w:hAnsi="Times New Roman" w:cs="Times New Roman"/>
          <w:color w:val="FF0000"/>
          <w:sz w:val="24"/>
          <w:szCs w:val="24"/>
          <w:u w:val="single"/>
        </w:rPr>
        <w:t xml:space="preserve">El BCE anunció la semana pasada una nueva subida de tipos (50 puntos básicos) para controlar una inflación que aún se sitúa en una tasa del 8,5% interanual. El movimiento </w:t>
      </w:r>
      <w:r w:rsidRPr="00532659">
        <w:rPr>
          <w:rFonts w:ascii="Times New Roman" w:hAnsi="Times New Roman" w:cs="Times New Roman"/>
          <w:color w:val="FF0000"/>
          <w:sz w:val="24"/>
          <w:szCs w:val="24"/>
          <w:u w:val="single"/>
        </w:rPr>
        <w:lastRenderedPageBreak/>
        <w:t>parecía justificado por la resistencia de los precios, sin embargo, algunos expertos esperaban cierta relajación ante las fuertes turbulencias financieras.</w:t>
      </w:r>
    </w:p>
    <w:p w:rsidR="007E3D39" w:rsidRPr="00532659" w:rsidRDefault="007E3D39" w:rsidP="007E3D39">
      <w:pPr>
        <w:spacing w:line="240" w:lineRule="auto"/>
        <w:jc w:val="both"/>
        <w:rPr>
          <w:rFonts w:ascii="Times New Roman" w:hAnsi="Times New Roman" w:cs="Times New Roman"/>
          <w:color w:val="FF0000"/>
          <w:sz w:val="24"/>
          <w:szCs w:val="24"/>
          <w:u w:val="single"/>
        </w:rPr>
      </w:pPr>
      <w:r w:rsidRPr="00532659">
        <w:rPr>
          <w:rFonts w:ascii="Times New Roman" w:hAnsi="Times New Roman" w:cs="Times New Roman"/>
          <w:color w:val="FF0000"/>
          <w:sz w:val="24"/>
          <w:szCs w:val="24"/>
          <w:u w:val="single"/>
        </w:rPr>
        <w:t>Una crisis financiera tiene más que potencial de sobra para hacer el 'trabajo sucio' al BCE con la inflación. Sin embargo, los banqueros europeos optaron por mantener el ritmo del endurecimiento en 50 puntos básicos, llevando los tipos de interés clave a niveles que no se veían desde 2008.</w:t>
      </w:r>
    </w:p>
    <w:p w:rsidR="007E3D39" w:rsidRPr="00925022" w:rsidRDefault="007E3D39" w:rsidP="007E3D39">
      <w:pPr>
        <w:spacing w:line="240" w:lineRule="auto"/>
        <w:jc w:val="both"/>
        <w:rPr>
          <w:rFonts w:ascii="Times New Roman" w:hAnsi="Times New Roman" w:cs="Times New Roman"/>
          <w:sz w:val="24"/>
          <w:szCs w:val="24"/>
        </w:rPr>
      </w:pPr>
      <w:r w:rsidRPr="00532659">
        <w:rPr>
          <w:rFonts w:ascii="Times New Roman" w:hAnsi="Times New Roman" w:cs="Times New Roman"/>
          <w:color w:val="FF0000"/>
          <w:sz w:val="24"/>
          <w:szCs w:val="24"/>
          <w:u w:val="single"/>
        </w:rPr>
        <w:t xml:space="preserve">Los analistas de JP Morgan </w:t>
      </w:r>
      <w:r w:rsidR="00E92717" w:rsidRPr="00532659">
        <w:rPr>
          <w:rFonts w:ascii="Times New Roman" w:hAnsi="Times New Roman" w:cs="Times New Roman"/>
          <w:color w:val="FF0000"/>
          <w:sz w:val="24"/>
          <w:szCs w:val="24"/>
          <w:u w:val="single"/>
        </w:rPr>
        <w:t>creen</w:t>
      </w:r>
      <w:r w:rsidRPr="00532659">
        <w:rPr>
          <w:rFonts w:ascii="Times New Roman" w:hAnsi="Times New Roman" w:cs="Times New Roman"/>
          <w:color w:val="FF0000"/>
          <w:sz w:val="24"/>
          <w:szCs w:val="24"/>
          <w:u w:val="single"/>
        </w:rPr>
        <w:t xml:space="preserve"> que este movimiento podría ser un error, un endurecimiento excesivo para una economía que se dirige hacia la recesión</w:t>
      </w:r>
      <w:r w:rsidRPr="00FB0E20">
        <w:rPr>
          <w:rFonts w:ascii="Times New Roman" w:hAnsi="Times New Roman" w:cs="Times New Roman"/>
          <w:sz w:val="24"/>
          <w:szCs w:val="24"/>
        </w:rPr>
        <w:t>. No obstante, la controversia es la nota dominante cuando se analiza el movimiento del BCE, puesto que el mandato del banco central es claro en este aspecto: lograr estabilizar la inflación a medio plazo en el 2%. Este mandato es diferente al de la Fed, que tiene una doble misión: estabilidad de precios y mantener el pleno empleo.</w:t>
      </w:r>
    </w:p>
    <w:p w:rsidR="007E3D39" w:rsidRPr="00AE4260"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E4260">
        <w:rPr>
          <w:rFonts w:ascii="Times New Roman" w:hAnsi="Times New Roman" w:cs="Times New Roman"/>
          <w:sz w:val="24"/>
          <w:szCs w:val="24"/>
          <w:u w:val="single"/>
        </w:rPr>
        <w:t>La inversión en banca y el terror del mundo de la posverdad</w:t>
      </w:r>
      <w:r>
        <w:rPr>
          <w:rFonts w:ascii="Times New Roman" w:hAnsi="Times New Roman" w:cs="Times New Roman"/>
          <w:sz w:val="24"/>
          <w:szCs w:val="24"/>
        </w:rPr>
        <w:t xml:space="preserve"> (Cinco Días - </w:t>
      </w:r>
      <w:r w:rsidRPr="00AE4260">
        <w:rPr>
          <w:rFonts w:ascii="Times New Roman" w:hAnsi="Times New Roman" w:cs="Times New Roman"/>
          <w:b/>
          <w:sz w:val="24"/>
          <w:szCs w:val="24"/>
        </w:rPr>
        <w:t>25/3/23</w:t>
      </w:r>
      <w:r>
        <w:rPr>
          <w:rFonts w:ascii="Times New Roman" w:hAnsi="Times New Roman" w:cs="Times New Roman"/>
          <w:sz w:val="24"/>
          <w:szCs w:val="24"/>
        </w:rPr>
        <w:t>)</w:t>
      </w:r>
    </w:p>
    <w:p w:rsidR="007E3D39" w:rsidRPr="00675060" w:rsidRDefault="007E3D39" w:rsidP="007E3D39">
      <w:pPr>
        <w:spacing w:line="240" w:lineRule="auto"/>
        <w:jc w:val="both"/>
        <w:rPr>
          <w:rFonts w:ascii="Times New Roman" w:hAnsi="Times New Roman" w:cs="Times New Roman"/>
          <w:color w:val="FF0000"/>
          <w:sz w:val="24"/>
          <w:szCs w:val="24"/>
        </w:rPr>
      </w:pPr>
      <w:r w:rsidRPr="00675060">
        <w:rPr>
          <w:rFonts w:ascii="Times New Roman" w:hAnsi="Times New Roman" w:cs="Times New Roman"/>
          <w:color w:val="FF0000"/>
          <w:sz w:val="24"/>
          <w:szCs w:val="24"/>
        </w:rPr>
        <w:t>Lo que asusta a ejecutivos, reguladores y accionistas es que las ratios de capital y liquidez no parecen importar</w:t>
      </w:r>
    </w:p>
    <w:p w:rsidR="007E3D39" w:rsidRPr="00AE4260"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AE4260">
        <w:rPr>
          <w:rFonts w:ascii="Times New Roman" w:hAnsi="Times New Roman" w:cs="Times New Roman"/>
          <w:sz w:val="24"/>
          <w:szCs w:val="24"/>
        </w:rPr>
        <w:t>L</w:t>
      </w:r>
      <w:r>
        <w:rPr>
          <w:rFonts w:ascii="Times New Roman" w:hAnsi="Times New Roman" w:cs="Times New Roman"/>
          <w:sz w:val="24"/>
          <w:szCs w:val="24"/>
        </w:rPr>
        <w:t>iam Proud)</w:t>
      </w:r>
    </w:p>
    <w:p w:rsidR="007E3D39" w:rsidRPr="00AE4260" w:rsidRDefault="007E3D39" w:rsidP="007E3D39">
      <w:pPr>
        <w:spacing w:line="240" w:lineRule="auto"/>
        <w:jc w:val="both"/>
        <w:rPr>
          <w:rFonts w:ascii="Times New Roman" w:hAnsi="Times New Roman" w:cs="Times New Roman"/>
          <w:sz w:val="24"/>
          <w:szCs w:val="24"/>
        </w:rPr>
      </w:pPr>
      <w:r w:rsidRPr="00675060">
        <w:rPr>
          <w:rFonts w:ascii="Times New Roman" w:hAnsi="Times New Roman" w:cs="Times New Roman"/>
          <w:sz w:val="24"/>
          <w:szCs w:val="24"/>
          <w:u w:val="single"/>
        </w:rPr>
        <w:t>El miércoles 15, las autoridades suizas declararon que Credit Suisse contaba con amplios niveles de capital y liquidez. El domingo 19, ya habían organizado un rescate a bajo precio por parte de UBS que liquidó a algunos de los tenedores de bonos del banco afectado</w:t>
      </w:r>
      <w:r w:rsidRPr="00AE4260">
        <w:rPr>
          <w:rFonts w:ascii="Times New Roman" w:hAnsi="Times New Roman" w:cs="Times New Roman"/>
          <w:sz w:val="24"/>
          <w:szCs w:val="24"/>
        </w:rPr>
        <w:t>. Los accionistas de otros bancos europeos siguen analizando las implicaciones de este rápido declive. Lo que asusta a ejecutivos, reguladores e inversores es que los números no parece</w:t>
      </w:r>
      <w:r>
        <w:rPr>
          <w:rFonts w:ascii="Times New Roman" w:hAnsi="Times New Roman" w:cs="Times New Roman"/>
          <w:sz w:val="24"/>
          <w:szCs w:val="24"/>
        </w:rPr>
        <w:t>n importar.</w:t>
      </w:r>
    </w:p>
    <w:p w:rsidR="007E3D39" w:rsidRPr="00675060" w:rsidRDefault="007E3D39" w:rsidP="007E3D39">
      <w:pPr>
        <w:spacing w:line="240" w:lineRule="auto"/>
        <w:jc w:val="both"/>
        <w:rPr>
          <w:rFonts w:ascii="Times New Roman" w:hAnsi="Times New Roman" w:cs="Times New Roman"/>
          <w:sz w:val="24"/>
          <w:szCs w:val="24"/>
          <w:u w:val="single"/>
        </w:rPr>
      </w:pPr>
      <w:r w:rsidRPr="00675060">
        <w:rPr>
          <w:rFonts w:ascii="Times New Roman" w:hAnsi="Times New Roman" w:cs="Times New Roman"/>
          <w:sz w:val="24"/>
          <w:szCs w:val="24"/>
          <w:u w:val="single"/>
        </w:rPr>
        <w:t>El coste de asegurar la deuda de Deutsche Bank, Barclays y Société Générale contra un impago subió bruscamente el jueves. El viernes, los precios de las acciones se desplomaron. El banco alemán, dirigido por el consejero delegado Christian Sewing, perdió alrededor de una décima parte de su valor de mercado, mientras que el sector bancario de la zona euro bajó alrededor del 5%.</w:t>
      </w:r>
    </w:p>
    <w:p w:rsidR="007E3D39" w:rsidRPr="00AE4260" w:rsidRDefault="007E3D39" w:rsidP="007E3D39">
      <w:pPr>
        <w:spacing w:line="240" w:lineRule="auto"/>
        <w:jc w:val="both"/>
        <w:rPr>
          <w:rFonts w:ascii="Times New Roman" w:hAnsi="Times New Roman" w:cs="Times New Roman"/>
          <w:sz w:val="24"/>
          <w:szCs w:val="24"/>
        </w:rPr>
      </w:pPr>
      <w:r w:rsidRPr="00675060">
        <w:rPr>
          <w:rFonts w:ascii="Times New Roman" w:hAnsi="Times New Roman" w:cs="Times New Roman"/>
          <w:color w:val="FF0000"/>
          <w:sz w:val="24"/>
          <w:szCs w:val="24"/>
          <w:u w:val="single"/>
        </w:rPr>
        <w:t>Una posible explicación es que los inversores están preocupados por la exposición de los bancos europeos al sector inmobiliario comercial, que también es un problema para los bancos regionales estadounidenses en dificultades</w:t>
      </w:r>
      <w:r w:rsidRPr="00AE4260">
        <w:rPr>
          <w:rFonts w:ascii="Times New Roman" w:hAnsi="Times New Roman" w:cs="Times New Roman"/>
          <w:sz w:val="24"/>
          <w:szCs w:val="24"/>
        </w:rPr>
        <w:t>. Pero la exposición de Deutsche Bank a este sector, de unos 30.000 millones de euros, parece segura. Su cartera de propiedades comerciales tenía una ratio préstamo-valor de aproximadamente el 60% a finales de 2022, lo que significa que los precios inmobiliarios tendrían que caer al menos dos quintos antes de que los préstamos de Deutsche superen el valor de su garantía. El banco alemán también está expuesto principalmente a oficinas en grandes ciudades, que se están llenando de nuevo, en lugar de centros comerciales fuera</w:t>
      </w:r>
      <w:r>
        <w:rPr>
          <w:rFonts w:ascii="Times New Roman" w:hAnsi="Times New Roman" w:cs="Times New Roman"/>
          <w:sz w:val="24"/>
          <w:szCs w:val="24"/>
        </w:rPr>
        <w:t xml:space="preserve"> de la ciudad, más arriesgados.</w:t>
      </w:r>
    </w:p>
    <w:p w:rsidR="007E3D39" w:rsidRPr="00AE4260" w:rsidRDefault="007E3D39" w:rsidP="007E3D39">
      <w:pPr>
        <w:spacing w:line="240" w:lineRule="auto"/>
        <w:jc w:val="both"/>
        <w:rPr>
          <w:rFonts w:ascii="Times New Roman" w:hAnsi="Times New Roman" w:cs="Times New Roman"/>
          <w:sz w:val="24"/>
          <w:szCs w:val="24"/>
        </w:rPr>
      </w:pPr>
      <w:r w:rsidRPr="00AE4260">
        <w:rPr>
          <w:rFonts w:ascii="Times New Roman" w:hAnsi="Times New Roman" w:cs="Times New Roman"/>
          <w:sz w:val="24"/>
          <w:szCs w:val="24"/>
        </w:rPr>
        <w:t xml:space="preserve">Deutsche, al igual que otras entidades europeas, dispone de abundante capital y activos líquidos. A diferencia de la última vez que los mercados se asustaron por el grupo con sede en Fráncfort, en 2018, también es cómodamente rentable. Los analistas esperan que genere unos 8.000 millones de euros de beneficios antes de impuestos y cargos por deudas incobrables este año, según datos de Visible Alpha. Incluso si las pérdidas por préstamos del banco fueran cinco veces superiores a la previsión </w:t>
      </w:r>
      <w:r>
        <w:rPr>
          <w:rFonts w:ascii="Times New Roman" w:hAnsi="Times New Roman" w:cs="Times New Roman"/>
          <w:sz w:val="24"/>
          <w:szCs w:val="24"/>
        </w:rPr>
        <w:t>media, seguiría ganando dinero.</w:t>
      </w:r>
    </w:p>
    <w:p w:rsidR="007E3D39" w:rsidRPr="00675060" w:rsidRDefault="007E3D39" w:rsidP="007E3D39">
      <w:pPr>
        <w:spacing w:line="240" w:lineRule="auto"/>
        <w:jc w:val="both"/>
        <w:rPr>
          <w:rFonts w:ascii="Times New Roman" w:hAnsi="Times New Roman" w:cs="Times New Roman"/>
          <w:color w:val="FF0000"/>
          <w:sz w:val="24"/>
          <w:szCs w:val="24"/>
          <w:u w:val="single"/>
        </w:rPr>
      </w:pPr>
      <w:r w:rsidRPr="00675060">
        <w:rPr>
          <w:rFonts w:ascii="Times New Roman" w:hAnsi="Times New Roman" w:cs="Times New Roman"/>
          <w:color w:val="FF0000"/>
          <w:sz w:val="24"/>
          <w:szCs w:val="24"/>
          <w:u w:val="single"/>
        </w:rPr>
        <w:lastRenderedPageBreak/>
        <w:t>Sin embargo, para los bancos, el aumento de los costes de financiación y la caída del precio de las acciones pueden acabar minando la confianza. Deutsche, Barclays y SocGen no dependen tanto de los depósitos de clientes ricos como Credit Suisse. Pero sus ramas de banca de inversión dependen de grandes contrapartes de trading que podrían asustarse cuando aumente el coste de asegurar la deuda de los bancos. Como mínimo, eso perjudica a los ingresos. El episodio de Credit Suisse también demuestra que, en caso de una absorción ordenada por el Gobierno, los accionistas y los tenedores de bonos subordinados pueden obtener poco o nada.</w:t>
      </w:r>
    </w:p>
    <w:p w:rsidR="007E3D39" w:rsidRDefault="007E3D39" w:rsidP="007E3D39">
      <w:pPr>
        <w:spacing w:line="240" w:lineRule="auto"/>
        <w:jc w:val="both"/>
        <w:rPr>
          <w:rFonts w:ascii="Times New Roman" w:hAnsi="Times New Roman" w:cs="Times New Roman"/>
          <w:color w:val="FF0000"/>
          <w:sz w:val="24"/>
          <w:szCs w:val="24"/>
          <w:u w:val="single"/>
        </w:rPr>
      </w:pPr>
      <w:r w:rsidRPr="00AE4260">
        <w:rPr>
          <w:rFonts w:ascii="Times New Roman" w:hAnsi="Times New Roman" w:cs="Times New Roman"/>
          <w:sz w:val="24"/>
          <w:szCs w:val="24"/>
        </w:rPr>
        <w:t xml:space="preserve">La cuestión para Sewing es qué hacer ante el riesgo de una espiral que se refuerce a sí misma. Es tentador hablar y señalar las ratios de capital y liquidez. La saga de Credit Suisse demuestra que eso dista mucho de ser tranquilizador. </w:t>
      </w:r>
      <w:r w:rsidRPr="00675060">
        <w:rPr>
          <w:rFonts w:ascii="Times New Roman" w:hAnsi="Times New Roman" w:cs="Times New Roman"/>
          <w:color w:val="FF0000"/>
          <w:sz w:val="24"/>
          <w:szCs w:val="24"/>
          <w:u w:val="single"/>
        </w:rPr>
        <w:t>Es mejor esperar a que los mercados vuelvan a la realidad financiera.</w:t>
      </w:r>
    </w:p>
    <w:p w:rsidR="007E3D39" w:rsidRPr="00AE4260"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E4260">
        <w:rPr>
          <w:rFonts w:ascii="Times New Roman" w:hAnsi="Times New Roman" w:cs="Times New Roman"/>
          <w:sz w:val="24"/>
          <w:szCs w:val="24"/>
          <w:u w:val="single"/>
        </w:rPr>
        <w:t>El mercado pone en la diana a Deutsche Bank y penaliza a toda la banca europea</w:t>
      </w:r>
      <w:r>
        <w:rPr>
          <w:rFonts w:ascii="Times New Roman" w:hAnsi="Times New Roman" w:cs="Times New Roman"/>
          <w:sz w:val="24"/>
          <w:szCs w:val="24"/>
        </w:rPr>
        <w:t xml:space="preserve"> (Cinco Días - </w:t>
      </w:r>
      <w:r w:rsidRPr="00AE4260">
        <w:rPr>
          <w:rFonts w:ascii="Times New Roman" w:hAnsi="Times New Roman" w:cs="Times New Roman"/>
          <w:b/>
          <w:sz w:val="24"/>
          <w:szCs w:val="24"/>
        </w:rPr>
        <w:t>24/3/23</w:t>
      </w:r>
      <w:r>
        <w:rPr>
          <w:rFonts w:ascii="Times New Roman" w:hAnsi="Times New Roman" w:cs="Times New Roman"/>
          <w:sz w:val="24"/>
          <w:szCs w:val="24"/>
        </w:rPr>
        <w:t>)</w:t>
      </w:r>
    </w:p>
    <w:p w:rsidR="007E3D39" w:rsidRPr="00675060" w:rsidRDefault="007E3D39" w:rsidP="007E3D39">
      <w:pPr>
        <w:spacing w:line="240" w:lineRule="auto"/>
        <w:jc w:val="both"/>
        <w:rPr>
          <w:rFonts w:ascii="Times New Roman" w:hAnsi="Times New Roman" w:cs="Times New Roman"/>
          <w:color w:val="FF0000"/>
          <w:sz w:val="24"/>
          <w:szCs w:val="24"/>
        </w:rPr>
      </w:pPr>
      <w:r w:rsidRPr="00675060">
        <w:rPr>
          <w:rFonts w:ascii="Times New Roman" w:hAnsi="Times New Roman" w:cs="Times New Roman"/>
          <w:color w:val="FF0000"/>
          <w:sz w:val="24"/>
          <w:szCs w:val="24"/>
        </w:rPr>
        <w:t>Los seguros contra impagos de esta entidad marcan máximos históricos y arrastran a todo el sector</w:t>
      </w:r>
    </w:p>
    <w:p w:rsidR="007E3D39" w:rsidRPr="00AE4260"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AE4260">
        <w:rPr>
          <w:rFonts w:ascii="Times New Roman" w:hAnsi="Times New Roman" w:cs="Times New Roman"/>
          <w:sz w:val="24"/>
          <w:szCs w:val="24"/>
        </w:rPr>
        <w:t>M</w:t>
      </w:r>
      <w:r>
        <w:rPr>
          <w:rFonts w:ascii="Times New Roman" w:hAnsi="Times New Roman" w:cs="Times New Roman"/>
          <w:sz w:val="24"/>
          <w:szCs w:val="24"/>
        </w:rPr>
        <w:t>iguel Moreno Mendieta)</w:t>
      </w:r>
    </w:p>
    <w:p w:rsidR="007E3D39" w:rsidRPr="00AE4260" w:rsidRDefault="007E3D39" w:rsidP="007E3D39">
      <w:pPr>
        <w:spacing w:line="240" w:lineRule="auto"/>
        <w:jc w:val="both"/>
        <w:rPr>
          <w:rFonts w:ascii="Times New Roman" w:hAnsi="Times New Roman" w:cs="Times New Roman"/>
          <w:sz w:val="24"/>
          <w:szCs w:val="24"/>
        </w:rPr>
      </w:pPr>
      <w:r w:rsidRPr="00675060">
        <w:rPr>
          <w:rFonts w:ascii="Times New Roman" w:hAnsi="Times New Roman" w:cs="Times New Roman"/>
          <w:color w:val="FF0000"/>
          <w:sz w:val="24"/>
          <w:szCs w:val="24"/>
          <w:u w:val="single"/>
        </w:rPr>
        <w:t>La banca no conoce la calma. Después de la caída de varios bancos en Estados Unidos (Silicon Valley Bank, SVB, y Signature Bank) y el rescate in extremis de Credit Suisse, los mercados financieros la han tomado hoy con Deutsche Bank, el mayor banco de Alemania.</w:t>
      </w:r>
      <w:r w:rsidRPr="00675060">
        <w:rPr>
          <w:rFonts w:ascii="Times New Roman" w:hAnsi="Times New Roman" w:cs="Times New Roman"/>
          <w:color w:val="FF0000"/>
          <w:sz w:val="24"/>
          <w:szCs w:val="24"/>
        </w:rPr>
        <w:t xml:space="preserve"> </w:t>
      </w:r>
      <w:r w:rsidRPr="00AE4260">
        <w:rPr>
          <w:rFonts w:ascii="Times New Roman" w:hAnsi="Times New Roman" w:cs="Times New Roman"/>
          <w:sz w:val="24"/>
          <w:szCs w:val="24"/>
        </w:rPr>
        <w:t>Las acciones de la entidad han llegado a perder un 14%, aunque al cierre han moderado los recortes hasta el 8,5%. Unas caídas que han arrastrado al resto del sector europeo: los títulos del también alemán Commerbank caen un 4% y el índice de bancos europeos un 3%. Otras entidades como BBVA o Banco Santander se han dejado más del 3%. El banco nórdico Nordea cede más del 8%. Más moderación han registrado las acciones de Deutsche Bank en EE UU, donde han finalizado la jor</w:t>
      </w:r>
      <w:r>
        <w:rPr>
          <w:rFonts w:ascii="Times New Roman" w:hAnsi="Times New Roman" w:cs="Times New Roman"/>
          <w:sz w:val="24"/>
          <w:szCs w:val="24"/>
        </w:rPr>
        <w:t>nada con un descenso del 3,11%.</w:t>
      </w:r>
    </w:p>
    <w:p w:rsidR="007E3D39" w:rsidRPr="00AE4260" w:rsidRDefault="007E3D39" w:rsidP="007E3D39">
      <w:pPr>
        <w:spacing w:line="240" w:lineRule="auto"/>
        <w:jc w:val="both"/>
        <w:rPr>
          <w:rFonts w:ascii="Times New Roman" w:hAnsi="Times New Roman" w:cs="Times New Roman"/>
          <w:sz w:val="24"/>
          <w:szCs w:val="24"/>
        </w:rPr>
      </w:pPr>
      <w:r w:rsidRPr="00675060">
        <w:rPr>
          <w:rFonts w:ascii="Times New Roman" w:hAnsi="Times New Roman" w:cs="Times New Roman"/>
          <w:color w:val="FF0000"/>
          <w:sz w:val="24"/>
          <w:szCs w:val="24"/>
          <w:u w:val="single"/>
        </w:rPr>
        <w:t>Nunca es sencillo señalar el origen de la desconfianza sobre una entidad concreta. En el caso de Deutsche Bank, la razón bien pudiera estar en la decisión de la entidad de amortizar una emisión de 1.500 millones de dólares de deuda subordinada con vencimiento en 2028, que cotizaba al 94% del nominal. Un anuncio que habría alertado a los inversores, cuya respuesta ha sido disparar el coste de los seguros para cubrirse ante un posible impago de la firma</w:t>
      </w:r>
      <w:r w:rsidRPr="00AE4260">
        <w:rPr>
          <w:rFonts w:ascii="Times New Roman" w:hAnsi="Times New Roman" w:cs="Times New Roman"/>
          <w:sz w:val="24"/>
          <w:szCs w:val="24"/>
        </w:rPr>
        <w:t xml:space="preserve">. Los conocidos como credit default swaps (CDS) permiten a un inversor contratar una especie de póliza que indemniza si un deudor no atiende a sus acreedores. En el caso de los CDS sobre </w:t>
      </w:r>
      <w:r>
        <w:rPr>
          <w:rFonts w:ascii="Times New Roman" w:hAnsi="Times New Roman" w:cs="Times New Roman"/>
          <w:sz w:val="24"/>
          <w:szCs w:val="24"/>
        </w:rPr>
        <w:t xml:space="preserve">estos bonos subordinados, </w:t>
      </w:r>
      <w:r w:rsidRPr="00AE4260">
        <w:rPr>
          <w:rFonts w:ascii="Times New Roman" w:hAnsi="Times New Roman" w:cs="Times New Roman"/>
          <w:sz w:val="24"/>
          <w:szCs w:val="24"/>
        </w:rPr>
        <w:t>se han disparado hasta los 506 puntos básicos, muy por encima de los 193 puntos básicos de comienzos de mes, pero aún por debajo de su máximo histórico registrado en marzo de 2020 cuando llegaron a rozar los 600 puntos básicos. Este tipo de derivado financiero se utiliza habitualmente como termómetro para evaluar el riesgo de quiebra de una entidad -los CDS a cinco años de Credit Suisse llegaron a dispararse hasta s</w:t>
      </w:r>
      <w:r>
        <w:rPr>
          <w:rFonts w:ascii="Times New Roman" w:hAnsi="Times New Roman" w:cs="Times New Roman"/>
          <w:sz w:val="24"/>
          <w:szCs w:val="24"/>
        </w:rPr>
        <w:t>uperar los 800 puntos básicos-.</w:t>
      </w:r>
    </w:p>
    <w:p w:rsidR="007E3D39" w:rsidRPr="00AE4260" w:rsidRDefault="007E3D39" w:rsidP="007E3D39">
      <w:pPr>
        <w:spacing w:line="240" w:lineRule="auto"/>
        <w:jc w:val="both"/>
        <w:rPr>
          <w:rFonts w:ascii="Times New Roman" w:hAnsi="Times New Roman" w:cs="Times New Roman"/>
          <w:sz w:val="24"/>
          <w:szCs w:val="24"/>
        </w:rPr>
      </w:pPr>
      <w:r w:rsidRPr="00AE4260">
        <w:rPr>
          <w:rFonts w:ascii="Times New Roman" w:hAnsi="Times New Roman" w:cs="Times New Roman"/>
          <w:sz w:val="24"/>
          <w:szCs w:val="24"/>
        </w:rPr>
        <w:t>El temor del mercado también ha penalizado a los bonos contingentes convertibles (cocos) de la entidad, que han caído hasta el 83% del nominal frente al 103% al que cotizaban justo al inicio de las turbulencias de la banca estadounidense. “Creo que se trata más de un sentimiento de mercado contrario a la banca. Parece que cada semana hay que zurrar a una entidad”, explic</w:t>
      </w:r>
      <w:r>
        <w:rPr>
          <w:rFonts w:ascii="Times New Roman" w:hAnsi="Times New Roman" w:cs="Times New Roman"/>
          <w:sz w:val="24"/>
          <w:szCs w:val="24"/>
        </w:rPr>
        <w:t>a un veterano gestor de fondos.</w:t>
      </w:r>
    </w:p>
    <w:p w:rsidR="007E3D39" w:rsidRPr="00AE4260" w:rsidRDefault="007E3D39" w:rsidP="007E3D39">
      <w:pPr>
        <w:spacing w:line="240" w:lineRule="auto"/>
        <w:jc w:val="both"/>
        <w:rPr>
          <w:rFonts w:ascii="Times New Roman" w:hAnsi="Times New Roman" w:cs="Times New Roman"/>
          <w:sz w:val="24"/>
          <w:szCs w:val="24"/>
        </w:rPr>
      </w:pPr>
      <w:r w:rsidRPr="00AE4260">
        <w:rPr>
          <w:rFonts w:ascii="Times New Roman" w:hAnsi="Times New Roman" w:cs="Times New Roman"/>
          <w:sz w:val="24"/>
          <w:szCs w:val="24"/>
        </w:rPr>
        <w:lastRenderedPageBreak/>
        <w:t>Los nervios atenazaban al sector financiero a ambos lados del Atlántico. Justo en la apertura de Wall Street se conoció que la secretaria del Tesoro, Janet Yellen, ha convocado de urgencia todos los supervisores financieros de Estados Unidos, para tratar la situación de la industria. Yellen va a presidir el comité de supervisión de la estabilidad financiera (FSOC, por sus siglas en inglés) es un consejo consultivo creado durante la presidencia de Barack Obama. Una cita que, sin conocerse aún sus detalles, ha servido para calmar las dudas del mercado y suavizar l</w:t>
      </w:r>
      <w:r>
        <w:rPr>
          <w:rFonts w:ascii="Times New Roman" w:hAnsi="Times New Roman" w:cs="Times New Roman"/>
          <w:sz w:val="24"/>
          <w:szCs w:val="24"/>
        </w:rPr>
        <w:t>as caídas de la banca en Bolsa.</w:t>
      </w:r>
    </w:p>
    <w:p w:rsidR="007E3D39" w:rsidRPr="00AE4260" w:rsidRDefault="007E3D39" w:rsidP="007E3D39">
      <w:pPr>
        <w:spacing w:line="240" w:lineRule="auto"/>
        <w:jc w:val="both"/>
        <w:rPr>
          <w:rFonts w:ascii="Times New Roman" w:hAnsi="Times New Roman" w:cs="Times New Roman"/>
          <w:sz w:val="24"/>
          <w:szCs w:val="24"/>
        </w:rPr>
      </w:pPr>
      <w:r w:rsidRPr="00AE4260">
        <w:rPr>
          <w:rFonts w:ascii="Times New Roman" w:hAnsi="Times New Roman" w:cs="Times New Roman"/>
          <w:sz w:val="24"/>
          <w:szCs w:val="24"/>
        </w:rPr>
        <w:t>En el FSOC están presentes, además de Yellen, el presidente de la Reserva Federal (Jerome Powell), el presidente del supervisor de los mercados (SEC), el director de la oficina del consumidor financiero… En total, nueve miembros de agencias gubernamentales, junto con un consejero independiente, que procede del sector asegurador.</w:t>
      </w:r>
    </w:p>
    <w:p w:rsidR="007E3D39" w:rsidRPr="00AE4260" w:rsidRDefault="007E3D39" w:rsidP="007E3D39">
      <w:pPr>
        <w:spacing w:line="240" w:lineRule="auto"/>
        <w:jc w:val="both"/>
        <w:rPr>
          <w:rFonts w:ascii="Times New Roman" w:hAnsi="Times New Roman" w:cs="Times New Roman"/>
          <w:sz w:val="24"/>
          <w:szCs w:val="24"/>
        </w:rPr>
      </w:pPr>
      <w:r w:rsidRPr="00AE4260">
        <w:rPr>
          <w:rFonts w:ascii="Times New Roman" w:hAnsi="Times New Roman" w:cs="Times New Roman"/>
          <w:sz w:val="24"/>
          <w:szCs w:val="24"/>
        </w:rPr>
        <w:t>La situación de Deutsche Bank también ha llegado a la cumbre del euro organizada en Bruselas, donde el canciller alemán Olaf Scholz ha defendido que la entidad “ha modernizado su modelo de negocios. Es un banco muy rentable. No hay motivo para estar preocupados”. El presidente francés, Enmanuel Macron, por su parte, ha defendido que “los fundamentos de los bancos europeos son sólidos y podemos felicitarnos por las exigencias de nuestra reglamentación en la materia. Hemos aprendido de crisis pasadas y la eurozona es hoy la zona don</w:t>
      </w:r>
      <w:r>
        <w:rPr>
          <w:rFonts w:ascii="Times New Roman" w:hAnsi="Times New Roman" w:cs="Times New Roman"/>
          <w:sz w:val="24"/>
          <w:szCs w:val="24"/>
        </w:rPr>
        <w:t>de los bancos son más sólidos”.</w:t>
      </w:r>
    </w:p>
    <w:p w:rsidR="007E3D39" w:rsidRPr="00AE4260" w:rsidRDefault="007E3D39" w:rsidP="007E3D39">
      <w:pPr>
        <w:spacing w:line="240" w:lineRule="auto"/>
        <w:jc w:val="both"/>
        <w:rPr>
          <w:rFonts w:ascii="Times New Roman" w:hAnsi="Times New Roman" w:cs="Times New Roman"/>
          <w:sz w:val="24"/>
          <w:szCs w:val="24"/>
        </w:rPr>
      </w:pPr>
      <w:r w:rsidRPr="00705729">
        <w:rPr>
          <w:rFonts w:ascii="Times New Roman" w:hAnsi="Times New Roman" w:cs="Times New Roman"/>
          <w:color w:val="FF0000"/>
          <w:sz w:val="24"/>
          <w:szCs w:val="24"/>
          <w:u w:val="single"/>
        </w:rPr>
        <w:t>Deutsche Bank ha vuelto a situar en la recta final de la semana en el foco del mercado. Si bien, las dudas vienen de atrás. El mayor banco alemán ha vivido varios años convulsos, con multas por la manipulación de índices hipotecarios como el líbor (2015) y sanciones por colaborar en operaciones de blanqueo de capitales (2018), por su participación en el escándalo del fondo malayo 1MDB (2019), por sus relaciones comerciales con el pederasta Jeffrey Epstein (2020) y por sobornos en el mercado de divisas (2021).</w:t>
      </w:r>
      <w:r w:rsidRPr="00705729">
        <w:rPr>
          <w:rFonts w:ascii="Times New Roman" w:hAnsi="Times New Roman" w:cs="Times New Roman"/>
          <w:color w:val="FF0000"/>
          <w:sz w:val="24"/>
          <w:szCs w:val="24"/>
        </w:rPr>
        <w:t xml:space="preserve"> </w:t>
      </w:r>
      <w:r w:rsidRPr="00AE4260">
        <w:rPr>
          <w:rFonts w:ascii="Times New Roman" w:hAnsi="Times New Roman" w:cs="Times New Roman"/>
          <w:sz w:val="24"/>
          <w:szCs w:val="24"/>
        </w:rPr>
        <w:t xml:space="preserve">Durante 2022 parecía que Deutsche Bank había logrado encarrilar su futuro. El año pasado ganó algo más de 5.000 millones de euros, su mejor resultado en 15 años. Pese a ello, en octubre, con motivo del estallido de las turbulencias sobre Credit Suisse, sus CDS se dispararon hasta los 186 puntos básicos, nivel que han batido hoy al </w:t>
      </w:r>
      <w:r>
        <w:rPr>
          <w:rFonts w:ascii="Times New Roman" w:hAnsi="Times New Roman" w:cs="Times New Roman"/>
          <w:sz w:val="24"/>
          <w:szCs w:val="24"/>
        </w:rPr>
        <w:t>superar los 196 puntos básicos…</w:t>
      </w:r>
    </w:p>
    <w:p w:rsidR="007E3D39" w:rsidRPr="00AE4260" w:rsidRDefault="007E3D39" w:rsidP="007E3D39">
      <w:pPr>
        <w:spacing w:line="240" w:lineRule="auto"/>
        <w:jc w:val="both"/>
        <w:rPr>
          <w:rFonts w:ascii="Times New Roman" w:hAnsi="Times New Roman" w:cs="Times New Roman"/>
          <w:sz w:val="24"/>
          <w:szCs w:val="24"/>
        </w:rPr>
      </w:pPr>
      <w:r w:rsidRPr="00705729">
        <w:rPr>
          <w:rFonts w:ascii="Times New Roman" w:hAnsi="Times New Roman" w:cs="Times New Roman"/>
          <w:color w:val="FF0000"/>
          <w:sz w:val="24"/>
          <w:szCs w:val="24"/>
          <w:u w:val="single"/>
        </w:rPr>
        <w:t>Los problemas del sector bancario no se reducen solo a Europa. En Estados Unidos, la banca regional sigue en el ojo del huracán. La decisión de los bancos centrales de empezar a subir los tipos de interés hace algo más de un año ha estresado muchas partes del sector financiero.</w:t>
      </w:r>
      <w:r w:rsidRPr="00705729">
        <w:rPr>
          <w:rFonts w:ascii="Times New Roman" w:hAnsi="Times New Roman" w:cs="Times New Roman"/>
          <w:color w:val="FF0000"/>
          <w:sz w:val="24"/>
          <w:szCs w:val="24"/>
        </w:rPr>
        <w:t xml:space="preserve"> </w:t>
      </w:r>
      <w:r w:rsidRPr="00AE4260">
        <w:rPr>
          <w:rFonts w:ascii="Times New Roman" w:hAnsi="Times New Roman" w:cs="Times New Roman"/>
          <w:sz w:val="24"/>
          <w:szCs w:val="24"/>
        </w:rPr>
        <w:t>Uno de los efectos es que ha provocado la depreciación de la cartera de deuda que tenían algunas en</w:t>
      </w:r>
      <w:r>
        <w:rPr>
          <w:rFonts w:ascii="Times New Roman" w:hAnsi="Times New Roman" w:cs="Times New Roman"/>
          <w:sz w:val="24"/>
          <w:szCs w:val="24"/>
        </w:rPr>
        <w:t>tidades, como le sucedió a SVB.</w:t>
      </w:r>
    </w:p>
    <w:p w:rsidR="007E3D39" w:rsidRPr="00705729" w:rsidRDefault="007E3D39" w:rsidP="007E3D39">
      <w:pPr>
        <w:spacing w:line="240" w:lineRule="auto"/>
        <w:jc w:val="both"/>
        <w:rPr>
          <w:rFonts w:ascii="Times New Roman" w:hAnsi="Times New Roman" w:cs="Times New Roman"/>
          <w:color w:val="FF0000"/>
          <w:sz w:val="24"/>
          <w:szCs w:val="24"/>
          <w:u w:val="single"/>
        </w:rPr>
      </w:pPr>
      <w:r w:rsidRPr="00705729">
        <w:rPr>
          <w:rFonts w:ascii="Times New Roman" w:hAnsi="Times New Roman" w:cs="Times New Roman"/>
          <w:color w:val="FF0000"/>
          <w:sz w:val="24"/>
          <w:szCs w:val="24"/>
          <w:u w:val="single"/>
        </w:rPr>
        <w:t>“Siempre es así. Cuando se suben tipos de forma tan brusca, algo se acaba rompiendo”, apunta un asesor financiero.</w:t>
      </w:r>
    </w:p>
    <w:p w:rsidR="007E3D39" w:rsidRPr="00705729" w:rsidRDefault="007E3D39" w:rsidP="007E3D39">
      <w:pPr>
        <w:spacing w:line="240" w:lineRule="auto"/>
        <w:jc w:val="both"/>
        <w:rPr>
          <w:rFonts w:ascii="Times New Roman" w:hAnsi="Times New Roman" w:cs="Times New Roman"/>
          <w:color w:val="FF0000"/>
          <w:sz w:val="24"/>
          <w:szCs w:val="24"/>
          <w:u w:val="single"/>
        </w:rPr>
      </w:pPr>
      <w:r w:rsidRPr="00705729">
        <w:rPr>
          <w:rFonts w:ascii="Times New Roman" w:hAnsi="Times New Roman" w:cs="Times New Roman"/>
          <w:color w:val="FF0000"/>
          <w:sz w:val="24"/>
          <w:szCs w:val="24"/>
          <w:u w:val="single"/>
        </w:rPr>
        <w:t>Tanto desde el Banco Central Europeo como desde la Reserva Federal se ha insistido en las últimas semanas en que los supervisores cuentan con herramientas para evitar que se propague el pánico bancario. Pero lo que más pesa en el mercado es que los bancos centrales no parecen dispuestos a quitar el pie del acelerador en las subidas de tipos, a pesar de las turbulencias del sector. La prioridad número uno es embridar la inflación, aun a cosa de provocar una recesión económica o la quiebra de alguna entidad financiera.</w:t>
      </w:r>
    </w:p>
    <w:p w:rsidR="007E3D39" w:rsidRPr="007B5325"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474F5">
        <w:rPr>
          <w:rFonts w:ascii="Times New Roman" w:hAnsi="Times New Roman" w:cs="Times New Roman"/>
          <w:sz w:val="24"/>
          <w:szCs w:val="24"/>
          <w:u w:val="single"/>
        </w:rPr>
        <w:t>Bienvenidos a la Crisis Bancaria Superprime</w:t>
      </w:r>
      <w:r w:rsidRPr="006474F5">
        <w:rPr>
          <w:rFonts w:ascii="Times New Roman" w:hAnsi="Times New Roman" w:cs="Times New Roman"/>
          <w:sz w:val="24"/>
          <w:szCs w:val="24"/>
        </w:rPr>
        <w:t xml:space="preserve"> </w:t>
      </w:r>
      <w:r>
        <w:rPr>
          <w:rFonts w:ascii="Times New Roman" w:hAnsi="Times New Roman" w:cs="Times New Roman"/>
          <w:sz w:val="24"/>
          <w:szCs w:val="24"/>
        </w:rPr>
        <w:t xml:space="preserve">(The Wall Street Journal - </w:t>
      </w:r>
      <w:r w:rsidRPr="007B5325">
        <w:rPr>
          <w:rFonts w:ascii="Times New Roman" w:hAnsi="Times New Roman" w:cs="Times New Roman"/>
          <w:b/>
          <w:sz w:val="24"/>
          <w:szCs w:val="24"/>
        </w:rPr>
        <w:t>25/3/23</w:t>
      </w:r>
      <w:r>
        <w:rPr>
          <w:rFonts w:ascii="Times New Roman" w:hAnsi="Times New Roman" w:cs="Times New Roman"/>
          <w:sz w:val="24"/>
          <w:szCs w:val="24"/>
        </w:rPr>
        <w:t>)</w:t>
      </w:r>
    </w:p>
    <w:p w:rsidR="007E3D39" w:rsidRPr="00B46D1D" w:rsidRDefault="007E3D39" w:rsidP="007E3D39">
      <w:pPr>
        <w:spacing w:line="240" w:lineRule="auto"/>
        <w:jc w:val="both"/>
        <w:rPr>
          <w:rFonts w:ascii="Times New Roman" w:hAnsi="Times New Roman" w:cs="Times New Roman"/>
          <w:color w:val="FF0000"/>
          <w:sz w:val="24"/>
          <w:szCs w:val="24"/>
        </w:rPr>
      </w:pPr>
      <w:r w:rsidRPr="00B46D1D">
        <w:rPr>
          <w:rFonts w:ascii="Times New Roman" w:hAnsi="Times New Roman" w:cs="Times New Roman"/>
          <w:color w:val="FF0000"/>
          <w:sz w:val="24"/>
          <w:szCs w:val="24"/>
        </w:rPr>
        <w:t>El aumento de las tasas ha expuesto el problema de crear una estrategia para atender a clientes adinerados.</w:t>
      </w:r>
    </w:p>
    <w:p w:rsidR="007E3D39" w:rsidRPr="00B46D1D" w:rsidRDefault="007E3D39" w:rsidP="007E3D39">
      <w:pPr>
        <w:spacing w:line="240" w:lineRule="auto"/>
        <w:jc w:val="both"/>
        <w:rPr>
          <w:rFonts w:ascii="Times New Roman" w:hAnsi="Times New Roman" w:cs="Times New Roman"/>
          <w:color w:val="FF0000"/>
          <w:sz w:val="24"/>
          <w:szCs w:val="24"/>
        </w:rPr>
      </w:pPr>
      <w:r w:rsidRPr="00B46D1D">
        <w:rPr>
          <w:rFonts w:ascii="Times New Roman" w:hAnsi="Times New Roman" w:cs="Times New Roman"/>
          <w:color w:val="FF0000"/>
          <w:sz w:val="24"/>
          <w:szCs w:val="24"/>
        </w:rPr>
        <w:lastRenderedPageBreak/>
        <w:t>Los bancos para gente rica son diferentes de otros bancos. Solían tener más dinero.</w:t>
      </w:r>
    </w:p>
    <w:p w:rsidR="007E3D39" w:rsidRPr="00B46D1D" w:rsidRDefault="007E3D39" w:rsidP="007E3D39">
      <w:pPr>
        <w:spacing w:line="240" w:lineRule="auto"/>
        <w:jc w:val="both"/>
        <w:rPr>
          <w:rFonts w:ascii="Times New Roman" w:hAnsi="Times New Roman" w:cs="Times New Roman"/>
          <w:sz w:val="24"/>
          <w:szCs w:val="24"/>
          <w:u w:val="single"/>
        </w:rPr>
      </w:pPr>
      <w:r w:rsidRPr="00B46D1D">
        <w:rPr>
          <w:rFonts w:ascii="Times New Roman" w:hAnsi="Times New Roman" w:cs="Times New Roman"/>
          <w:sz w:val="24"/>
          <w:szCs w:val="24"/>
          <w:u w:val="single"/>
        </w:rPr>
        <w:t>La última crisis de la banca contó con prestatarios de alto riesgo, específicamente personas con problemas de crédito a quienes los banqueros les otorgaron hipotecas que ignoraron el riesgo de que los prestatarios no pudieran pagarlas de manera realista. Los bancos que se metieron en problemas fueron los que emitieron tales préstamos o se atiborraron de ellos en forma titulizada…</w:t>
      </w:r>
    </w:p>
    <w:p w:rsidR="007E3D39" w:rsidRDefault="007E3D39" w:rsidP="007E3D39">
      <w:pPr>
        <w:spacing w:line="240" w:lineRule="auto"/>
        <w:jc w:val="both"/>
        <w:rPr>
          <w:rFonts w:ascii="Times New Roman" w:hAnsi="Times New Roman" w:cs="Times New Roman"/>
          <w:sz w:val="24"/>
          <w:szCs w:val="24"/>
        </w:rPr>
      </w:pPr>
      <w:r>
        <w:rPr>
          <w:noProof/>
          <w:lang w:eastAsia="es-ES"/>
        </w:rPr>
        <w:drawing>
          <wp:inline distT="0" distB="0" distL="0" distR="0" wp14:anchorId="133AE346" wp14:editId="552DA355">
            <wp:extent cx="5734050" cy="3384550"/>
            <wp:effectExtent l="0" t="0" r="0" b="6350"/>
            <wp:docPr id="102" name="Imagen 102" descr="https://s.libertaddigital.com/2023/03/27/deuda-publica-europa-2000-2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s.libertaddigital.com/2023/03/27/deuda-publica-europa-2000-2021.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31510" cy="3383051"/>
                    </a:xfrm>
                    <a:prstGeom prst="rect">
                      <a:avLst/>
                    </a:prstGeom>
                    <a:noFill/>
                    <a:ln>
                      <a:noFill/>
                    </a:ln>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Pr>
          <w:noProof/>
          <w:lang w:eastAsia="es-ES"/>
        </w:rPr>
        <w:drawing>
          <wp:inline distT="0" distB="0" distL="0" distR="0" wp14:anchorId="72F46EB2" wp14:editId="2647A6C4">
            <wp:extent cx="5726802" cy="3949700"/>
            <wp:effectExtent l="0" t="0" r="7620" b="0"/>
            <wp:docPr id="103" name="Imagen 103" descr="deuda-publica-eeuu-1990-2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deuda-publica-eeuu-1990-2022.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731510" cy="3952947"/>
                    </a:xfrm>
                    <a:prstGeom prst="rect">
                      <a:avLst/>
                    </a:prstGeom>
                    <a:noFill/>
                    <a:ln>
                      <a:noFill/>
                    </a:ln>
                  </pic:spPr>
                </pic:pic>
              </a:graphicData>
            </a:graphic>
          </wp:inline>
        </w:drawing>
      </w:r>
    </w:p>
    <w:p w:rsidR="007E3D39" w:rsidRPr="00D37FC8"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u w:val="single"/>
        </w:rPr>
        <w:t>La ineficacia del “laissez faire”</w:t>
      </w:r>
      <w:r w:rsidRPr="00D37FC8">
        <w:rPr>
          <w:rFonts w:ascii="Times New Roman" w:hAnsi="Times New Roman" w:cs="Times New Roman"/>
          <w:sz w:val="24"/>
          <w:szCs w:val="24"/>
          <w:u w:val="single"/>
        </w:rPr>
        <w:t xml:space="preserve"> bancario</w:t>
      </w:r>
      <w:r>
        <w:rPr>
          <w:rFonts w:ascii="Times New Roman" w:hAnsi="Times New Roman" w:cs="Times New Roman"/>
          <w:sz w:val="24"/>
          <w:szCs w:val="24"/>
        </w:rPr>
        <w:t xml:space="preserve"> (Vozpópuli - </w:t>
      </w:r>
      <w:r w:rsidRPr="00D37FC8">
        <w:rPr>
          <w:rFonts w:ascii="Times New Roman" w:hAnsi="Times New Roman" w:cs="Times New Roman"/>
          <w:b/>
          <w:sz w:val="24"/>
          <w:szCs w:val="24"/>
        </w:rPr>
        <w:t>30/3/23</w:t>
      </w:r>
      <w:r>
        <w:rPr>
          <w:rFonts w:ascii="Times New Roman" w:hAnsi="Times New Roman" w:cs="Times New Roman"/>
          <w:sz w:val="24"/>
          <w:szCs w:val="24"/>
        </w:rPr>
        <w:t>)</w:t>
      </w:r>
    </w:p>
    <w:p w:rsidR="007E3D39" w:rsidRDefault="007E3D39" w:rsidP="007E3D39">
      <w:pPr>
        <w:spacing w:line="240" w:lineRule="auto"/>
        <w:jc w:val="both"/>
        <w:rPr>
          <w:rFonts w:ascii="Times New Roman" w:hAnsi="Times New Roman" w:cs="Times New Roman"/>
          <w:sz w:val="24"/>
          <w:szCs w:val="24"/>
        </w:rPr>
      </w:pPr>
      <w:r w:rsidRPr="00D37FC8">
        <w:rPr>
          <w:rFonts w:ascii="Times New Roman" w:hAnsi="Times New Roman" w:cs="Times New Roman"/>
          <w:sz w:val="24"/>
          <w:szCs w:val="24"/>
        </w:rPr>
        <w:t>El gobierno debe jugar un papel fundamental en una nueva regulación y supervisión de las instituciones financieras</w:t>
      </w:r>
    </w:p>
    <w:p w:rsidR="007E3D39" w:rsidRPr="00D37FC8" w:rsidRDefault="00E92717"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(Por Juan Labo</w:t>
      </w:r>
      <w:r w:rsidR="007E3D39">
        <w:rPr>
          <w:rFonts w:ascii="Times New Roman" w:hAnsi="Times New Roman" w:cs="Times New Roman"/>
          <w:sz w:val="24"/>
          <w:szCs w:val="24"/>
        </w:rPr>
        <w:t>rda)</w:t>
      </w:r>
    </w:p>
    <w:p w:rsidR="007E3D39" w:rsidRPr="001B5438" w:rsidRDefault="007E3D39" w:rsidP="007E3D39">
      <w:pPr>
        <w:spacing w:line="240" w:lineRule="auto"/>
        <w:jc w:val="both"/>
        <w:rPr>
          <w:rFonts w:ascii="Times New Roman" w:hAnsi="Times New Roman" w:cs="Times New Roman"/>
          <w:color w:val="FF0000"/>
          <w:sz w:val="24"/>
          <w:szCs w:val="24"/>
          <w:u w:val="single"/>
        </w:rPr>
      </w:pPr>
      <w:r w:rsidRPr="001B5438">
        <w:rPr>
          <w:rFonts w:ascii="Times New Roman" w:hAnsi="Times New Roman" w:cs="Times New Roman"/>
          <w:color w:val="FF0000"/>
          <w:sz w:val="24"/>
          <w:szCs w:val="24"/>
          <w:u w:val="single"/>
        </w:rPr>
        <w:t>Los problemas de distintos banc</w:t>
      </w:r>
      <w:r w:rsidR="00E92717">
        <w:rPr>
          <w:rFonts w:ascii="Times New Roman" w:hAnsi="Times New Roman" w:cs="Times New Roman"/>
          <w:color w:val="FF0000"/>
          <w:sz w:val="24"/>
          <w:szCs w:val="24"/>
          <w:u w:val="single"/>
        </w:rPr>
        <w:t>os a ambos lados del Atlántico -</w:t>
      </w:r>
      <w:r w:rsidRPr="001B5438">
        <w:rPr>
          <w:rFonts w:ascii="Times New Roman" w:hAnsi="Times New Roman" w:cs="Times New Roman"/>
          <w:color w:val="FF0000"/>
          <w:sz w:val="24"/>
          <w:szCs w:val="24"/>
          <w:u w:val="single"/>
        </w:rPr>
        <w:t>Silicon Valley Bank, Signature Bank, Credit Suisse, Deutsche Bank…- han puesto de manifiesto la salida en falso de la Gran Recesión en lo que respecta a la implementación de aquellas medidas destinadas a garantizar la salud del sistema bancario occidental. Al final, las puertas giratorias y las presiones del mayor lobby de nuestras frágiles democracias, el que engloba a los sectores financiero, asegurador e inmobiliario, recogidos en el acrónimo en inglés FIRE, consiguieron suavizar y debilitar una más que necesaria reforma integral del mismo. Por mucho que las autoridades económicas y los reguladores intenten tranquilizarnos, estamos empezando a otear los primeros indicios de lo que será la segunda sacudida, desde la Gran Recesión, del sector bancario. La razón última, autoridades económicas y reguladores no hicieron bien su trabajo.</w:t>
      </w:r>
    </w:p>
    <w:p w:rsidR="007E3D39" w:rsidRPr="00D37FC8" w:rsidRDefault="007E3D39" w:rsidP="007E3D39">
      <w:pPr>
        <w:spacing w:line="240" w:lineRule="auto"/>
        <w:jc w:val="both"/>
        <w:rPr>
          <w:rFonts w:ascii="Times New Roman" w:hAnsi="Times New Roman" w:cs="Times New Roman"/>
          <w:sz w:val="24"/>
          <w:szCs w:val="24"/>
        </w:rPr>
      </w:pPr>
      <w:r w:rsidRPr="001B5438">
        <w:rPr>
          <w:rFonts w:ascii="Times New Roman" w:hAnsi="Times New Roman" w:cs="Times New Roman"/>
          <w:color w:val="FF0000"/>
          <w:sz w:val="24"/>
          <w:szCs w:val="24"/>
          <w:u w:val="single"/>
        </w:rPr>
        <w:t>El objetivo último es conseguir un sistema bancario saludable, y no bancos rentables. Aunque la ortodoxia económica aún no lo haya interiorizado, los bancos no son meros intermediarios. Tienen la capacidad de crear dinero. El problema es que el negocio de la creación de liquidez es altamente procíclico: se expande durante el auge económico y se evapora a lo largo de una fase de contracción, sometiendo a la economía a una inestabilidad financiera permanente. De ahí la necesidad de una reforma encaminada a garantizar su salud intrínseca. La reducción de la concentración bancaria -exactamente lo contrario a lo que se está haciendo-, junto a la necesidad de mayores exigencias de capital, así como obligar a los bancos a retener el riesgo, reorientaría a que éstos vuelvan de nuevo a la actividad bancaria tradicional.</w:t>
      </w:r>
      <w:r w:rsidRPr="00D37FC8">
        <w:rPr>
          <w:rFonts w:ascii="Times New Roman" w:hAnsi="Times New Roman" w:cs="Times New Roman"/>
          <w:sz w:val="24"/>
          <w:szCs w:val="24"/>
        </w:rPr>
        <w:t xml:space="preserve"> El gobierno debe jugar un papel fundamental en una nueva regulación y supervisión de las instituciones financieras. Más allá del uso de modelos matemáticos de control de riesgo, se debe, ante todo, reactivar una supervisión “in situ”, donde los bancos deben ser supervisados de manera permanente por profesionales capacitados y comprometidos de las agencias reguladoras.</w:t>
      </w:r>
    </w:p>
    <w:p w:rsidR="007E3D39" w:rsidRPr="001B5438" w:rsidRDefault="007E3D39" w:rsidP="007E3D39">
      <w:pPr>
        <w:spacing w:line="240" w:lineRule="auto"/>
        <w:jc w:val="both"/>
        <w:rPr>
          <w:rFonts w:ascii="Times New Roman" w:hAnsi="Times New Roman" w:cs="Times New Roman"/>
          <w:color w:val="FF0000"/>
          <w:sz w:val="24"/>
          <w:szCs w:val="24"/>
          <w:u w:val="single"/>
        </w:rPr>
      </w:pPr>
      <w:r w:rsidRPr="001B5438">
        <w:rPr>
          <w:rFonts w:ascii="Times New Roman" w:hAnsi="Times New Roman" w:cs="Times New Roman"/>
          <w:color w:val="FF0000"/>
          <w:sz w:val="24"/>
          <w:szCs w:val="24"/>
          <w:u w:val="single"/>
        </w:rPr>
        <w:t>La enorme acumulación de riesgos en todo el sistema financiero, ignorada por reguladores e inversores, salvo que emerja de repente, es preocupante. Tal como señala la profesora de la Universidad de Standford, Anat Admati, una de las figuras clave para entender el sistema bancario occidental, “muchos bancos estadounidenses y europeos ya parecen bastante frágiles. Los bancos centrales intervienen habitualmente para calmar las turbulencias en los mercados, pero una crisis que implique a múltiples jurisdicciones e instituciones clave con compromisos insostenibles</w:t>
      </w:r>
      <w:r>
        <w:rPr>
          <w:rFonts w:ascii="Times New Roman" w:hAnsi="Times New Roman" w:cs="Times New Roman"/>
          <w:color w:val="FF0000"/>
          <w:sz w:val="24"/>
          <w:szCs w:val="24"/>
          <w:u w:val="single"/>
        </w:rPr>
        <w:t xml:space="preserve"> puede no ser fácil de contener</w:t>
      </w:r>
      <w:r w:rsidRPr="001B5438">
        <w:rPr>
          <w:rFonts w:ascii="Times New Roman" w:hAnsi="Times New Roman" w:cs="Times New Roman"/>
          <w:color w:val="FF0000"/>
          <w:sz w:val="24"/>
          <w:szCs w:val="24"/>
          <w:u w:val="single"/>
        </w:rPr>
        <w:t>”</w:t>
      </w:r>
      <w:r>
        <w:rPr>
          <w:rFonts w:ascii="Times New Roman" w:hAnsi="Times New Roman" w:cs="Times New Roman"/>
          <w:color w:val="FF0000"/>
          <w:sz w:val="24"/>
          <w:szCs w:val="24"/>
          <w:u w:val="single"/>
        </w:rPr>
        <w:t>.</w:t>
      </w:r>
    </w:p>
    <w:p w:rsidR="007E3D39" w:rsidRPr="00D37FC8" w:rsidRDefault="007E3D39" w:rsidP="007E3D39">
      <w:pPr>
        <w:spacing w:line="240" w:lineRule="auto"/>
        <w:jc w:val="both"/>
        <w:rPr>
          <w:rFonts w:ascii="Times New Roman" w:hAnsi="Times New Roman" w:cs="Times New Roman"/>
          <w:sz w:val="24"/>
          <w:szCs w:val="24"/>
        </w:rPr>
      </w:pPr>
      <w:r w:rsidRPr="00D37FC8">
        <w:rPr>
          <w:rFonts w:ascii="Times New Roman" w:hAnsi="Times New Roman" w:cs="Times New Roman"/>
          <w:sz w:val="24"/>
          <w:szCs w:val="24"/>
        </w:rPr>
        <w:t>Profundicemos sobre la naturaleza de los bancos y sus rasgos actuales. Los bancos tienden a depender mucho más de la deuda para su financiación, es decir, a tener un apalancamiento financiero significativamente mayor que otras empresas. Además, gran parte de su deuda consiste en préstamos a corto plazo o depósitos que deben pagarse a la vista. Esta combinación de financiación hace que los bancos sean frágiles. Si hay mucha deuda, incluso pequeñas pérdidas pueden provocar la insolvencia. Además, si gran parte de la deuda es a corto plazo, existe un riesgo significativo de que los acreedores se preocupen por un posible impago y el banco pierda financiación. Estos dos problemas están relacionados, porque la preocupación por la insolvencia es una de las principales razones por las que los acreedores podrían perder la confianza y retirar sus fondos. Últi</w:t>
      </w:r>
      <w:r>
        <w:rPr>
          <w:rFonts w:ascii="Times New Roman" w:hAnsi="Times New Roman" w:cs="Times New Roman"/>
          <w:sz w:val="24"/>
          <w:szCs w:val="24"/>
        </w:rPr>
        <w:t>mo ejemplo, Silicon Valley Bank</w:t>
      </w:r>
    </w:p>
    <w:p w:rsidR="007E3D39" w:rsidRPr="001B5438" w:rsidRDefault="007E3D39" w:rsidP="007E3D39">
      <w:pPr>
        <w:spacing w:line="240" w:lineRule="auto"/>
        <w:jc w:val="both"/>
        <w:rPr>
          <w:rFonts w:ascii="Times New Roman" w:hAnsi="Times New Roman" w:cs="Times New Roman"/>
          <w:color w:val="FF0000"/>
          <w:sz w:val="24"/>
          <w:szCs w:val="24"/>
          <w:u w:val="single"/>
        </w:rPr>
      </w:pPr>
      <w:r w:rsidRPr="001B5438">
        <w:rPr>
          <w:rFonts w:ascii="Times New Roman" w:hAnsi="Times New Roman" w:cs="Times New Roman"/>
          <w:color w:val="FF0000"/>
          <w:sz w:val="24"/>
          <w:szCs w:val="24"/>
          <w:u w:val="single"/>
        </w:rPr>
        <w:lastRenderedPageBreak/>
        <w:t>El sistema financiero también se ha vuelto cada vez más complejo con la llegada de los derivados, la titulización y la globalización. Las instituciones financieras están mucho más interconectadas y los riesgos sistémicos han aumentado. A través de diversos mecanismos de contagio, es probable que las dificultades o la insolvencia afecten a muchas instituciones al mismo tiempo, e incluso un único impago puede crear una cascada de dificultades y afectar a toda la economía.</w:t>
      </w:r>
    </w:p>
    <w:p w:rsidR="007E3D39" w:rsidRPr="00D37FC8" w:rsidRDefault="007E3D39" w:rsidP="007E3D39">
      <w:pPr>
        <w:spacing w:line="240" w:lineRule="auto"/>
        <w:jc w:val="both"/>
        <w:rPr>
          <w:rFonts w:ascii="Times New Roman" w:hAnsi="Times New Roman" w:cs="Times New Roman"/>
          <w:sz w:val="24"/>
          <w:szCs w:val="24"/>
        </w:rPr>
      </w:pPr>
      <w:r w:rsidRPr="00D37FC8">
        <w:rPr>
          <w:rFonts w:ascii="Times New Roman" w:hAnsi="Times New Roman" w:cs="Times New Roman"/>
          <w:sz w:val="24"/>
          <w:szCs w:val="24"/>
        </w:rPr>
        <w:t xml:space="preserve">Tras la crisis financiera de 2007-2009, los reguladores bancarios reformaron las normas destinadas a limitar el apalancamiento de los bancos y el desajuste entre los vencimientos de sus activos y sus pasivos. Basilea III, el acuerdo internacional sobre regulación bancaria firmado en 2010, impuso nuevas normas sobre la estructura de vencimientos de los pasivos de los bancos en relación con sus activos. Pero, </w:t>
      </w:r>
      <w:r w:rsidRPr="001B5438">
        <w:rPr>
          <w:rFonts w:ascii="Times New Roman" w:hAnsi="Times New Roman" w:cs="Times New Roman"/>
          <w:sz w:val="24"/>
          <w:szCs w:val="24"/>
          <w:u w:val="single"/>
        </w:rPr>
        <w:t>Basilea III, al final, sigue permitiendo a los bancos financiar el 97% de sus activos con deuda</w:t>
      </w:r>
      <w:r w:rsidRPr="00D37FC8">
        <w:rPr>
          <w:rFonts w:ascii="Times New Roman" w:hAnsi="Times New Roman" w:cs="Times New Roman"/>
          <w:sz w:val="24"/>
          <w:szCs w:val="24"/>
        </w:rPr>
        <w:t>. El sector bancario ejerce una fuerte presión para reducir los requisitos de fondos propios, incluso hoy en día. Los m</w:t>
      </w:r>
      <w:r>
        <w:rPr>
          <w:rFonts w:ascii="Times New Roman" w:hAnsi="Times New Roman" w:cs="Times New Roman"/>
          <w:sz w:val="24"/>
          <w:szCs w:val="24"/>
        </w:rPr>
        <w:t>antras utilizados a menudo son “los fondos propios son caros” y “</w:t>
      </w:r>
      <w:r w:rsidRPr="00D37FC8">
        <w:rPr>
          <w:rFonts w:ascii="Times New Roman" w:hAnsi="Times New Roman" w:cs="Times New Roman"/>
          <w:sz w:val="24"/>
          <w:szCs w:val="24"/>
        </w:rPr>
        <w:t>el crédito</w:t>
      </w:r>
      <w:r>
        <w:rPr>
          <w:rFonts w:ascii="Times New Roman" w:hAnsi="Times New Roman" w:cs="Times New Roman"/>
          <w:sz w:val="24"/>
          <w:szCs w:val="24"/>
        </w:rPr>
        <w:t xml:space="preserve"> y el crecimiento se resentirán”</w:t>
      </w:r>
      <w:r w:rsidRPr="00D37FC8">
        <w:rPr>
          <w:rFonts w:ascii="Times New Roman" w:hAnsi="Times New Roman" w:cs="Times New Roman"/>
          <w:sz w:val="24"/>
          <w:szCs w:val="24"/>
        </w:rPr>
        <w:t>, sugiriendo que la seguridad en la banca tiene un coste y que la sociedad tendría que sacrificar algunos de los beneficios del sistema bancario si la normativa exige más fondos propios en la combinación de financiación. Muchos de los argumentos y advertencias de los grupos de presión del sector y otros en este debate son erróneos. En particular, los que se oponen a la regulación y exigencias de capital, a menudo se refieren a los costes privados de la regulación para los bancos y sus clientes de préstamos sin tener en cuenta los beneficios de la regulación para los acreedores de los bancos, los contribuye</w:t>
      </w:r>
      <w:r>
        <w:rPr>
          <w:rFonts w:ascii="Times New Roman" w:hAnsi="Times New Roman" w:cs="Times New Roman"/>
          <w:sz w:val="24"/>
          <w:szCs w:val="24"/>
        </w:rPr>
        <w:t>ntes y el resto de la economía.</w:t>
      </w:r>
    </w:p>
    <w:p w:rsidR="007E3D39" w:rsidRPr="001B5438" w:rsidRDefault="007E3D39" w:rsidP="007E3D39">
      <w:pPr>
        <w:spacing w:line="240" w:lineRule="auto"/>
        <w:jc w:val="both"/>
        <w:rPr>
          <w:rFonts w:ascii="Times New Roman" w:hAnsi="Times New Roman" w:cs="Times New Roman"/>
          <w:color w:val="FF0000"/>
          <w:sz w:val="24"/>
          <w:szCs w:val="24"/>
          <w:u w:val="single"/>
        </w:rPr>
      </w:pPr>
      <w:r w:rsidRPr="001B5438">
        <w:rPr>
          <w:rFonts w:ascii="Times New Roman" w:hAnsi="Times New Roman" w:cs="Times New Roman"/>
          <w:color w:val="FF0000"/>
          <w:sz w:val="24"/>
          <w:szCs w:val="24"/>
          <w:u w:val="single"/>
        </w:rPr>
        <w:t>La idea, esparcida por banqueros, y apoyada en algunos estudios académicos, de que un elevado apalancamiento de los bancos es deseable depende críticamente de supuestos muy especiales y poco realistas en los modelos que se utilizan para sustentar el argumento. Si se modifican éstos, para hacerlos más realistas, las conclusiones quedan anuladas. Cuando los directivos toman medidas que les benefician, los costes y los riesgos suelen recaer en los acreedores o los contribuyentes. Los directivos pueden verse motivados a recurrir a la deuda y evitar acciones porque las estructuras de remuneración recompensan el riesgo y el apalancamiento o porque las subvenciones fiscales y las garantías gubernamentales explícitas o implícitas hacen que la deuda sea más atractiva que la financiación mediante acciones. Si no se puede evitar el endeudamiento excesivo mediante compromisos con los prestamistas existentes o mediante la regulación, el resultado puede ser muy ineficiente, muy lejos de la opinión estándar de que el laissez-faire produce resultados eficientes.</w:t>
      </w:r>
    </w:p>
    <w:p w:rsidR="007E3D39" w:rsidRPr="001B5438" w:rsidRDefault="007E3D39" w:rsidP="007E3D39">
      <w:pPr>
        <w:spacing w:line="240" w:lineRule="auto"/>
        <w:jc w:val="both"/>
        <w:rPr>
          <w:rFonts w:ascii="Times New Roman" w:hAnsi="Times New Roman" w:cs="Times New Roman"/>
          <w:color w:val="FF0000"/>
          <w:sz w:val="24"/>
          <w:szCs w:val="24"/>
          <w:u w:val="single"/>
        </w:rPr>
      </w:pPr>
      <w:r w:rsidRPr="001B5438">
        <w:rPr>
          <w:rFonts w:ascii="Times New Roman" w:hAnsi="Times New Roman" w:cs="Times New Roman"/>
          <w:color w:val="FF0000"/>
          <w:sz w:val="24"/>
          <w:szCs w:val="24"/>
          <w:u w:val="single"/>
        </w:rPr>
        <w:t>La conclusión de que la combinación de financiación bajo el laissez-faire en la banca implica un endeudamiento excesivo se mantiene incluso si consideramos sólo los intereses de los inversores de los bancos (accionistas y acreedores) y si ignoramos los riesgos y el daño potencial para el resto del sistema financiero y la economía en general. Una regulación eficaz que limite el apalancamiento bancario es beneficiosa porque contrarresta las distorsiones de incentivos y compromete efectivamente a los bancos a evitar el endeudamiento excesivo. Si además la regulación reduce el riesgo sistémico, los beneficios son aún mayores. La necesidad de la regulación como dispositivo de compromiso sustitutivo es aún mayor si los incentivos de los acreedores para supervisar se ven debilitados por una perspectiva de apoyo gubernamental o del banco central.</w:t>
      </w:r>
    </w:p>
    <w:p w:rsidR="007E3D39" w:rsidRPr="001B5438" w:rsidRDefault="007E3D39" w:rsidP="007E3D39">
      <w:pPr>
        <w:spacing w:line="240" w:lineRule="auto"/>
        <w:jc w:val="both"/>
        <w:rPr>
          <w:rFonts w:ascii="Times New Roman" w:hAnsi="Times New Roman" w:cs="Times New Roman"/>
          <w:b/>
          <w:color w:val="FF0000"/>
          <w:sz w:val="24"/>
          <w:szCs w:val="24"/>
          <w:u w:val="single"/>
        </w:rPr>
      </w:pPr>
      <w:r w:rsidRPr="001B5438">
        <w:rPr>
          <w:rFonts w:ascii="Times New Roman" w:hAnsi="Times New Roman" w:cs="Times New Roman"/>
          <w:b/>
          <w:color w:val="FF0000"/>
          <w:sz w:val="24"/>
          <w:szCs w:val="24"/>
          <w:u w:val="single"/>
        </w:rPr>
        <w:t>Fijar unos requisitos mínimos de capital sobre activos totales, del 20%-30%; y limitar los pagos (dividendos) a accionistas, especialmente los bancos sistémicos, eliminándolos en crisis sistémica, es hoy más que nunca una necesidad imperiosa de cualquier regulación que pretenda garantizar la estabilidad del sistema bancario</w:t>
      </w:r>
      <w:r w:rsidRPr="00D37FC8">
        <w:rPr>
          <w:rFonts w:ascii="Times New Roman" w:hAnsi="Times New Roman" w:cs="Times New Roman"/>
          <w:sz w:val="24"/>
          <w:szCs w:val="24"/>
        </w:rPr>
        <w:t xml:space="preserve">. Tal como nos </w:t>
      </w:r>
      <w:r w:rsidRPr="00D37FC8">
        <w:rPr>
          <w:rFonts w:ascii="Times New Roman" w:hAnsi="Times New Roman" w:cs="Times New Roman"/>
          <w:sz w:val="24"/>
          <w:szCs w:val="24"/>
        </w:rPr>
        <w:lastRenderedPageBreak/>
        <w:t xml:space="preserve">recuerda Admati, “en última instancia, cualquier nueva crisis financiera tendrá sus raíces en las crisis actuales y entrelazadas del capitalismo y la democracia. </w:t>
      </w:r>
      <w:r w:rsidRPr="001B5438">
        <w:rPr>
          <w:rFonts w:ascii="Times New Roman" w:hAnsi="Times New Roman" w:cs="Times New Roman"/>
          <w:b/>
          <w:color w:val="FF0000"/>
          <w:sz w:val="24"/>
          <w:szCs w:val="24"/>
          <w:u w:val="single"/>
        </w:rPr>
        <w:t>Nuestro sistema económico parece amañado e injusto, y el "capitalismo financiarizado" ha socavado, abrumado y corrompido a los gobiernos democráticos, de manera que las narrativas erróneas han creado confusión y bloqueado las reformas... Al menos que diagnostiquemos correctamente los problemas y cambiemos las reglas del juego, el peligro seguirá.”</w:t>
      </w:r>
    </w:p>
    <w:p w:rsidR="007E3D39" w:rsidRPr="00D37FC8"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D37FC8">
        <w:rPr>
          <w:rFonts w:ascii="Times New Roman" w:hAnsi="Times New Roman" w:cs="Times New Roman"/>
          <w:sz w:val="24"/>
          <w:szCs w:val="24"/>
          <w:u w:val="single"/>
        </w:rPr>
        <w:t>La caída de Deutsche Bank saca a la luz el trilema financiero actual</w:t>
      </w:r>
      <w:r>
        <w:rPr>
          <w:rFonts w:ascii="Times New Roman" w:hAnsi="Times New Roman" w:cs="Times New Roman"/>
          <w:sz w:val="24"/>
          <w:szCs w:val="24"/>
        </w:rPr>
        <w:t xml:space="preserve"> (Cinco Días - </w:t>
      </w:r>
      <w:r w:rsidRPr="00D37FC8">
        <w:rPr>
          <w:rFonts w:ascii="Times New Roman" w:hAnsi="Times New Roman" w:cs="Times New Roman"/>
          <w:b/>
          <w:sz w:val="24"/>
          <w:szCs w:val="24"/>
        </w:rPr>
        <w:t>1/4/23</w:t>
      </w:r>
      <w:r>
        <w:rPr>
          <w:rFonts w:ascii="Times New Roman" w:hAnsi="Times New Roman" w:cs="Times New Roman"/>
          <w:sz w:val="24"/>
          <w:szCs w:val="24"/>
        </w:rPr>
        <w:t>)</w:t>
      </w:r>
    </w:p>
    <w:p w:rsidR="007E3D39" w:rsidRPr="001B5438" w:rsidRDefault="007E3D39" w:rsidP="007E3D39">
      <w:pPr>
        <w:spacing w:line="240" w:lineRule="auto"/>
        <w:jc w:val="both"/>
        <w:rPr>
          <w:rFonts w:ascii="Times New Roman" w:hAnsi="Times New Roman" w:cs="Times New Roman"/>
          <w:color w:val="FF0000"/>
          <w:sz w:val="24"/>
          <w:szCs w:val="24"/>
        </w:rPr>
      </w:pPr>
      <w:r w:rsidRPr="001B5438">
        <w:rPr>
          <w:rFonts w:ascii="Times New Roman" w:hAnsi="Times New Roman" w:cs="Times New Roman"/>
          <w:color w:val="FF0000"/>
          <w:sz w:val="24"/>
          <w:szCs w:val="24"/>
        </w:rPr>
        <w:t>El susto de Credit Suisse no se olvidará fácilmente. Es probable que cause una restricción del crédito que reducirá la inflación, pero también el crecimiento económico</w:t>
      </w:r>
    </w:p>
    <w:p w:rsidR="007E3D39" w:rsidRPr="00D37FC8"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D37FC8">
        <w:rPr>
          <w:rFonts w:ascii="Times New Roman" w:hAnsi="Times New Roman" w:cs="Times New Roman"/>
          <w:sz w:val="24"/>
          <w:szCs w:val="24"/>
        </w:rPr>
        <w:t>L</w:t>
      </w:r>
      <w:r>
        <w:rPr>
          <w:rFonts w:ascii="Times New Roman" w:hAnsi="Times New Roman" w:cs="Times New Roman"/>
          <w:sz w:val="24"/>
          <w:szCs w:val="24"/>
        </w:rPr>
        <w:t>idia Conde Batalla)</w:t>
      </w:r>
    </w:p>
    <w:p w:rsidR="007E3D39" w:rsidRPr="00D37FC8" w:rsidRDefault="007E3D39" w:rsidP="007E3D39">
      <w:pPr>
        <w:spacing w:line="240" w:lineRule="auto"/>
        <w:jc w:val="both"/>
        <w:rPr>
          <w:rFonts w:ascii="Times New Roman" w:hAnsi="Times New Roman" w:cs="Times New Roman"/>
          <w:sz w:val="24"/>
          <w:szCs w:val="24"/>
        </w:rPr>
      </w:pPr>
      <w:r w:rsidRPr="001B5438">
        <w:rPr>
          <w:rFonts w:ascii="Times New Roman" w:hAnsi="Times New Roman" w:cs="Times New Roman"/>
          <w:color w:val="FF0000"/>
          <w:sz w:val="24"/>
          <w:szCs w:val="24"/>
          <w:u w:val="single"/>
        </w:rPr>
        <w:t>Detrás del susto de Deutsche Bank está el trilema financiero actual. Y el trilema de los bancos centrales está en la suma de tres factores: la subida de tipos para controlar la inflación, la recesión que puede provocar la subida de tipos y el choque que las decisiones de los bancos centrales pueden provocar en los mercados financieros</w:t>
      </w:r>
      <w:r w:rsidRPr="00D37FC8">
        <w:rPr>
          <w:rFonts w:ascii="Times New Roman" w:hAnsi="Times New Roman" w:cs="Times New Roman"/>
          <w:sz w:val="24"/>
          <w:szCs w:val="24"/>
        </w:rPr>
        <w:t>. El último susto: la caída del mayor banco alemán, Deutsche Bank, y el incremento de los costes de los seguros para cubrirse ante impagos, los credit default swaps (CDS), que reflejan cuánto cuesta en el mercado asegurar la deuda de la entidad ante un posible impago. Un cóctel tóxico.</w:t>
      </w:r>
    </w:p>
    <w:p w:rsidR="007E3D39" w:rsidRPr="00D37FC8" w:rsidRDefault="007E3D39" w:rsidP="007E3D39">
      <w:pPr>
        <w:spacing w:line="240" w:lineRule="auto"/>
        <w:jc w:val="both"/>
        <w:rPr>
          <w:rFonts w:ascii="Times New Roman" w:hAnsi="Times New Roman" w:cs="Times New Roman"/>
          <w:sz w:val="24"/>
          <w:szCs w:val="24"/>
        </w:rPr>
      </w:pPr>
      <w:r w:rsidRPr="001B5438">
        <w:rPr>
          <w:rFonts w:ascii="Times New Roman" w:hAnsi="Times New Roman" w:cs="Times New Roman"/>
          <w:color w:val="FF0000"/>
          <w:sz w:val="24"/>
          <w:szCs w:val="24"/>
          <w:u w:val="single"/>
        </w:rPr>
        <w:t>Un trilema, según el ex jefe de Pimco, Mohamed El-Erian, actual presidente del Queen College de la Universidad de Cambridge. Mohamed El-Erian y Kenneth Rogoff, profesor de Harvard, criticaron en febrero la polít</w:t>
      </w:r>
      <w:r>
        <w:rPr>
          <w:rFonts w:ascii="Times New Roman" w:hAnsi="Times New Roman" w:cs="Times New Roman"/>
          <w:color w:val="FF0000"/>
          <w:sz w:val="24"/>
          <w:szCs w:val="24"/>
          <w:u w:val="single"/>
        </w:rPr>
        <w:t>ica del banco central de los EE</w:t>
      </w:r>
      <w:r w:rsidRPr="001B5438">
        <w:rPr>
          <w:rFonts w:ascii="Times New Roman" w:hAnsi="Times New Roman" w:cs="Times New Roman"/>
          <w:color w:val="FF0000"/>
          <w:sz w:val="24"/>
          <w:szCs w:val="24"/>
          <w:u w:val="single"/>
        </w:rPr>
        <w:t>UU por insistir en el objetivo del 2% de inflación y elevar a largo plazo los tipos de interés</w:t>
      </w:r>
      <w:r w:rsidRPr="00D37FC8">
        <w:rPr>
          <w:rFonts w:ascii="Times New Roman" w:hAnsi="Times New Roman" w:cs="Times New Roman"/>
          <w:sz w:val="24"/>
          <w:szCs w:val="24"/>
        </w:rPr>
        <w:t>. También Mark Branson, el presidente del organismo de control financiero BaFin (del ministerio de Finanzas alemán), lo ha dejado claro: la subida de tipos será dura y, el trabajo de los bancos centrales, cada vez más difícil. Estrés en el sistema financiero global. Aunque como dice el supervisor Branson. “Mientras no se pierd</w:t>
      </w:r>
      <w:r>
        <w:rPr>
          <w:rFonts w:ascii="Times New Roman" w:hAnsi="Times New Roman" w:cs="Times New Roman"/>
          <w:sz w:val="24"/>
          <w:szCs w:val="24"/>
        </w:rPr>
        <w:t>an los nervios, todo irá bien”.</w:t>
      </w:r>
    </w:p>
    <w:p w:rsidR="007E3D39" w:rsidRPr="00D37FC8" w:rsidRDefault="007E3D39" w:rsidP="007E3D39">
      <w:pPr>
        <w:spacing w:line="240" w:lineRule="auto"/>
        <w:jc w:val="both"/>
        <w:rPr>
          <w:rFonts w:ascii="Times New Roman" w:hAnsi="Times New Roman" w:cs="Times New Roman"/>
          <w:sz w:val="24"/>
          <w:szCs w:val="24"/>
        </w:rPr>
      </w:pPr>
      <w:r w:rsidRPr="00D37FC8">
        <w:rPr>
          <w:rFonts w:ascii="Times New Roman" w:hAnsi="Times New Roman" w:cs="Times New Roman"/>
          <w:sz w:val="24"/>
          <w:szCs w:val="24"/>
        </w:rPr>
        <w:t xml:space="preserve">“Entre el miedo y el alivio de que no se haya registrado el descalabro”, titulan los medios alemanes esta semana. Los mercados se han tranquilizado, las acciones del Deutsche Bank se han recuperado y el índice de negocios del Instituto Ifo refleja que el clima es mejor que lo esperado. Deutsche Bank dispone de elevadas reservas de liquidez, que además están en gran parte garantizadas por el seguro de depósitos. Es decir, la entidad no es Credit Suisse. Sin embargo, los analistas se muestran muy preocupados. El mayor banco alemán sigue estando en el foco de los mercados financieros. Y, según el diario Süddeutsche Zeitung, la cuestión es cómo es posible que el sistema bancario mundial sea tan vulnerable 15 años después de la crisis financiera y </w:t>
      </w:r>
      <w:r>
        <w:rPr>
          <w:rFonts w:ascii="Times New Roman" w:hAnsi="Times New Roman" w:cs="Times New Roman"/>
          <w:sz w:val="24"/>
          <w:szCs w:val="24"/>
        </w:rPr>
        <w:t>tras innumerables regulaciones.</w:t>
      </w:r>
    </w:p>
    <w:p w:rsidR="007E3D39" w:rsidRPr="001B5438" w:rsidRDefault="007E3D39" w:rsidP="007E3D39">
      <w:pPr>
        <w:spacing w:line="240" w:lineRule="auto"/>
        <w:jc w:val="both"/>
        <w:rPr>
          <w:rFonts w:ascii="Times New Roman" w:hAnsi="Times New Roman" w:cs="Times New Roman"/>
          <w:sz w:val="24"/>
          <w:szCs w:val="24"/>
          <w:u w:val="single"/>
        </w:rPr>
      </w:pPr>
      <w:r w:rsidRPr="00D37FC8">
        <w:rPr>
          <w:rFonts w:ascii="Times New Roman" w:hAnsi="Times New Roman" w:cs="Times New Roman"/>
          <w:sz w:val="24"/>
          <w:szCs w:val="24"/>
        </w:rPr>
        <w:t xml:space="preserve">Hasta el canciller tuvo que intervenir para respaldar al banco alemán. El viernes 24, tras la caída del 15% del curso bursátil de Deutsche Bank, Olaf Scholz se vio obligado a declarar que la entidad es rentable. </w:t>
      </w:r>
      <w:r w:rsidRPr="001B5438">
        <w:rPr>
          <w:rFonts w:ascii="Times New Roman" w:hAnsi="Times New Roman" w:cs="Times New Roman"/>
          <w:sz w:val="24"/>
          <w:szCs w:val="24"/>
          <w:u w:val="single"/>
        </w:rPr>
        <w:t>¿Qué pasó? Los supervisores alemanes barajan como una de las posibles causas una transacción de CDS, un contrato financiero que permite al comprador, mediante prima fija periódica, cubrirse ante un evento de crédito de una entidad. Curiosamente el volumen de CDS negociado fue pequeño, pero ocasionó pérdidas desproporcionadas. Los seguros CDS sirven a los inversores para protegerse frente a impagos, pero también se puede invertir en derivados CDS para especular con la evolución negativa de una entidad.</w:t>
      </w:r>
    </w:p>
    <w:p w:rsidR="007E3D39" w:rsidRPr="00D37FC8" w:rsidRDefault="007E3D39" w:rsidP="007E3D39">
      <w:pPr>
        <w:spacing w:line="240" w:lineRule="auto"/>
        <w:jc w:val="both"/>
        <w:rPr>
          <w:rFonts w:ascii="Times New Roman" w:hAnsi="Times New Roman" w:cs="Times New Roman"/>
          <w:sz w:val="24"/>
          <w:szCs w:val="24"/>
        </w:rPr>
      </w:pPr>
      <w:r w:rsidRPr="00D37FC8">
        <w:rPr>
          <w:rFonts w:ascii="Times New Roman" w:hAnsi="Times New Roman" w:cs="Times New Roman"/>
          <w:sz w:val="24"/>
          <w:szCs w:val="24"/>
        </w:rPr>
        <w:lastRenderedPageBreak/>
        <w:t>A raíz de lo sucedido, el ministro de Finanzas, el liberal Christian Lindner, ha declarado que los bancos están mejor controlados que nunca. “No e</w:t>
      </w:r>
      <w:r>
        <w:rPr>
          <w:rFonts w:ascii="Times New Roman" w:hAnsi="Times New Roman" w:cs="Times New Roman"/>
          <w:sz w:val="24"/>
          <w:szCs w:val="24"/>
        </w:rPr>
        <w:t>stamos en 2008</w:t>
      </w:r>
      <w:r w:rsidRPr="00D37FC8">
        <w:rPr>
          <w:rFonts w:ascii="Times New Roman" w:hAnsi="Times New Roman" w:cs="Times New Roman"/>
          <w:sz w:val="24"/>
          <w:szCs w:val="24"/>
        </w:rPr>
        <w:t>”</w:t>
      </w:r>
      <w:r>
        <w:rPr>
          <w:rFonts w:ascii="Times New Roman" w:hAnsi="Times New Roman" w:cs="Times New Roman"/>
          <w:sz w:val="24"/>
          <w:szCs w:val="24"/>
        </w:rPr>
        <w:t>.</w:t>
      </w:r>
      <w:r w:rsidRPr="00D37FC8">
        <w:rPr>
          <w:rFonts w:ascii="Times New Roman" w:hAnsi="Times New Roman" w:cs="Times New Roman"/>
          <w:sz w:val="24"/>
          <w:szCs w:val="24"/>
        </w:rPr>
        <w:t xml:space="preserve"> Jörg Asmusen, ex miembro del directorio del BCE, está de acuerdo y afirma que a la eurozona le ha beneficiado que el BCE haya asumido la vigilancia bancaria. Pero no hay unanimidad. Thierry Philipponnat, economista jefe de Finance Watch, ha calculado que los activos totales de Silicon Valley Bank, Signature Bank y Credit Suisse ascendían al 0,5% del patrimonio bancario global. Por eso, le preocupan las turbulencias que han provocado. Y el jefe del Instituto Ifo, Clemens Fuest, opina que las reformas introducidas tras la crisis financiera no son suficientes. “Habría que haber tenido más en cuenta el grado de endeudamient</w:t>
      </w:r>
      <w:r>
        <w:rPr>
          <w:rFonts w:ascii="Times New Roman" w:hAnsi="Times New Roman" w:cs="Times New Roman"/>
          <w:sz w:val="24"/>
          <w:szCs w:val="24"/>
        </w:rPr>
        <w:t>o y exigir más capital propio”.</w:t>
      </w:r>
    </w:p>
    <w:p w:rsidR="007E3D39" w:rsidRPr="00D37FC8" w:rsidRDefault="007E3D39" w:rsidP="007E3D39">
      <w:pPr>
        <w:spacing w:line="240" w:lineRule="auto"/>
        <w:jc w:val="both"/>
        <w:rPr>
          <w:rFonts w:ascii="Times New Roman" w:hAnsi="Times New Roman" w:cs="Times New Roman"/>
          <w:sz w:val="24"/>
          <w:szCs w:val="24"/>
        </w:rPr>
      </w:pPr>
      <w:r w:rsidRPr="00D37FC8">
        <w:rPr>
          <w:rFonts w:ascii="Times New Roman" w:hAnsi="Times New Roman" w:cs="Times New Roman"/>
          <w:sz w:val="24"/>
          <w:szCs w:val="24"/>
        </w:rPr>
        <w:t>En ese mismo sentido, Philipponnat opina que habría que aplicar la regulación contemplada en Basilea III. El objetivo del marco regulador internacional Basilea III es que las entidades bancarias tengan fondos suficientes para mejorar su capacidad de respuesta ante situaciones de perturbación financiera. Pero la implementación completa de Basilea III está pendiente desde 2010. Fue promovida por el Foro de Estabilidad Financiera (FSB) y el G 20 para fortalecer el sistema tras la crisis de las hipotecas subprime. La UE aprobó en 2022 las nuevas normas de capital de la banca, pero con una rebaja de las exigencias frente a las propuestas iniciales. La UE quería flexibilidad en e</w:t>
      </w:r>
      <w:r>
        <w:rPr>
          <w:rFonts w:ascii="Times New Roman" w:hAnsi="Times New Roman" w:cs="Times New Roman"/>
          <w:sz w:val="24"/>
          <w:szCs w:val="24"/>
        </w:rPr>
        <w:t>l contexto actual de inflación.</w:t>
      </w:r>
    </w:p>
    <w:p w:rsidR="007E3D39" w:rsidRPr="00D37FC8" w:rsidRDefault="007E3D39" w:rsidP="007E3D39">
      <w:pPr>
        <w:spacing w:line="240" w:lineRule="auto"/>
        <w:jc w:val="both"/>
        <w:rPr>
          <w:rFonts w:ascii="Times New Roman" w:hAnsi="Times New Roman" w:cs="Times New Roman"/>
          <w:sz w:val="24"/>
          <w:szCs w:val="24"/>
        </w:rPr>
      </w:pPr>
      <w:r w:rsidRPr="00D37FC8">
        <w:rPr>
          <w:rFonts w:ascii="Times New Roman" w:hAnsi="Times New Roman" w:cs="Times New Roman"/>
          <w:sz w:val="24"/>
          <w:szCs w:val="24"/>
        </w:rPr>
        <w:t>Según Meike Schreiber y Markus Zyndra, analistas de Süddeutsche Zeitung, “las convulsiones actuales contradicen a los políticos que defienden que, 15 años después de la crisis financiera global, los bancos tendrían que recuperar</w:t>
      </w:r>
      <w:r>
        <w:rPr>
          <w:rFonts w:ascii="Times New Roman" w:hAnsi="Times New Roman" w:cs="Times New Roman"/>
          <w:sz w:val="24"/>
          <w:szCs w:val="24"/>
        </w:rPr>
        <w:t xml:space="preserve"> mayor libertad en sus negocios</w:t>
      </w:r>
      <w:r w:rsidRPr="00D37FC8">
        <w:rPr>
          <w:rFonts w:ascii="Times New Roman" w:hAnsi="Times New Roman" w:cs="Times New Roman"/>
          <w:sz w:val="24"/>
          <w:szCs w:val="24"/>
        </w:rPr>
        <w:t>”</w:t>
      </w:r>
      <w:r>
        <w:rPr>
          <w:rFonts w:ascii="Times New Roman" w:hAnsi="Times New Roman" w:cs="Times New Roman"/>
          <w:sz w:val="24"/>
          <w:szCs w:val="24"/>
        </w:rPr>
        <w:t>.</w:t>
      </w:r>
      <w:r w:rsidRPr="00D37FC8">
        <w:rPr>
          <w:rFonts w:ascii="Times New Roman" w:hAnsi="Times New Roman" w:cs="Times New Roman"/>
          <w:sz w:val="24"/>
          <w:szCs w:val="24"/>
        </w:rPr>
        <w:t xml:space="preserve"> También Lindner se ha expresado en Bruselas contra una regulación más estricta del capital propio de las entidades bancarias. Las cartas se barajan ahora de nuevo. Tras la adquisición de Credit Suisse por su rival UBS se ha desbaratado la idea de que los bancos pueden caer sin provocar el colapso del sistema financiero. Michael Huenseler, de la gestora de patrimonio Meag (Munich Re), afirma que la normativa existente que regula la quiebra de grandes bancos no es suficiente. “Aunque Scholz afirme que Deutsche es moderno y rentable, la verdad es que con su presidente Christian Sewing la entidad ha apostado por la banca de inversión y el negocio con derivados. Mientras en 2018 solo una tercera parte de los beneficios procedían del negocio d</w:t>
      </w:r>
      <w:r>
        <w:rPr>
          <w:rFonts w:ascii="Times New Roman" w:hAnsi="Times New Roman" w:cs="Times New Roman"/>
          <w:sz w:val="24"/>
          <w:szCs w:val="24"/>
        </w:rPr>
        <w:t>e riesgo, hoy asciende al 40%”.</w:t>
      </w:r>
    </w:p>
    <w:p w:rsidR="007E3D39" w:rsidRPr="00D37FC8" w:rsidRDefault="007E3D39" w:rsidP="007E3D39">
      <w:pPr>
        <w:spacing w:line="240" w:lineRule="auto"/>
        <w:jc w:val="both"/>
        <w:rPr>
          <w:rFonts w:ascii="Times New Roman" w:hAnsi="Times New Roman" w:cs="Times New Roman"/>
          <w:sz w:val="24"/>
          <w:szCs w:val="24"/>
        </w:rPr>
      </w:pPr>
      <w:r w:rsidRPr="00D37FC8">
        <w:rPr>
          <w:rFonts w:ascii="Times New Roman" w:hAnsi="Times New Roman" w:cs="Times New Roman"/>
          <w:sz w:val="24"/>
          <w:szCs w:val="24"/>
        </w:rPr>
        <w:t>Por su parte, Der Spiegel apunta otra causa: a raíz de la subida de tipos los viejos bonos no ofrecen rentabilidad. “Mientras los propietarios no vendan no pasa nada. Pero si los bancos necesitan vender, como el Silicon Valley Bank tras la retirada masiva de depósitos, sufren pérdidas.” El BCE decidirá sobre los tipos a principios de mayo. El presidente del Bundesbank, Joachim Nagel, ha advertido que se mantendrá en una línea dura. “Nuestra lucha contra la inflación no ha acabado”, h</w:t>
      </w:r>
      <w:r>
        <w:rPr>
          <w:rFonts w:ascii="Times New Roman" w:hAnsi="Times New Roman" w:cs="Times New Roman"/>
          <w:sz w:val="24"/>
          <w:szCs w:val="24"/>
        </w:rPr>
        <w:t>a declarado al Financial Times.</w:t>
      </w:r>
    </w:p>
    <w:p w:rsidR="007E3D39" w:rsidRPr="00D37FC8" w:rsidRDefault="007E3D39" w:rsidP="007E3D39">
      <w:pPr>
        <w:spacing w:line="240" w:lineRule="auto"/>
        <w:jc w:val="both"/>
        <w:rPr>
          <w:rFonts w:ascii="Times New Roman" w:hAnsi="Times New Roman" w:cs="Times New Roman"/>
          <w:sz w:val="24"/>
          <w:szCs w:val="24"/>
        </w:rPr>
      </w:pPr>
      <w:r w:rsidRPr="00D37FC8">
        <w:rPr>
          <w:rFonts w:ascii="Times New Roman" w:hAnsi="Times New Roman" w:cs="Times New Roman"/>
          <w:sz w:val="24"/>
          <w:szCs w:val="24"/>
        </w:rPr>
        <w:t>El susto provocado por Credit Suisse no se olvidará fácilmente. Así que el crédito se va a restringir. Los precios en el mercado interbancario están subiendo. También lo apunta Fuest: “Me sorprendería que los bancos no reaccionaran restringiendo el crédito.” Eso reducirá la presión sobre la inflación sin que los bancos centrales tengan que tocar los tipos. Una evolución que estrangulará al sector inmobiliario, en un momento en el que faltan cientos de miles de viviendas y el Gobierno deb</w:t>
      </w:r>
      <w:r>
        <w:rPr>
          <w:rFonts w:ascii="Times New Roman" w:hAnsi="Times New Roman" w:cs="Times New Roman"/>
          <w:sz w:val="24"/>
          <w:szCs w:val="24"/>
        </w:rPr>
        <w:t>ate cómo repartir los recursos.</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D37FC8">
        <w:rPr>
          <w:rFonts w:ascii="Times New Roman" w:hAnsi="Times New Roman" w:cs="Times New Roman"/>
          <w:sz w:val="24"/>
          <w:szCs w:val="24"/>
        </w:rPr>
        <w:t>Lidia Conde es periodista y analista de economía y política alemana</w:t>
      </w:r>
      <w:r>
        <w:rPr>
          <w:rFonts w:ascii="Times New Roman" w:hAnsi="Times New Roman" w:cs="Times New Roman"/>
          <w:sz w:val="24"/>
          <w:szCs w:val="24"/>
        </w:rPr>
        <w:t>)</w:t>
      </w:r>
    </w:p>
    <w:p w:rsidR="007E3D39" w:rsidRDefault="007E3D39" w:rsidP="007E3D39">
      <w:pPr>
        <w:spacing w:line="240" w:lineRule="auto"/>
        <w:jc w:val="both"/>
        <w:rPr>
          <w:rFonts w:ascii="Times New Roman" w:hAnsi="Times New Roman" w:cs="Times New Roman"/>
          <w:sz w:val="24"/>
          <w:szCs w:val="24"/>
        </w:rPr>
      </w:pPr>
    </w:p>
    <w:p w:rsidR="007E3D39" w:rsidRPr="00847C97"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847C97">
        <w:rPr>
          <w:rFonts w:ascii="Times New Roman" w:hAnsi="Times New Roman" w:cs="Times New Roman"/>
          <w:sz w:val="24"/>
          <w:szCs w:val="24"/>
          <w:u w:val="single"/>
        </w:rPr>
        <w:t>El socialismo financiero: la fontanería monetaria que acabará en tragedia</w:t>
      </w:r>
      <w:r>
        <w:rPr>
          <w:rFonts w:ascii="Times New Roman" w:hAnsi="Times New Roman" w:cs="Times New Roman"/>
          <w:sz w:val="24"/>
          <w:szCs w:val="24"/>
        </w:rPr>
        <w:t xml:space="preserve"> (Libertad Digital - </w:t>
      </w:r>
      <w:r w:rsidRPr="00847C97">
        <w:rPr>
          <w:rFonts w:ascii="Times New Roman" w:hAnsi="Times New Roman" w:cs="Times New Roman"/>
          <w:b/>
          <w:sz w:val="24"/>
          <w:szCs w:val="24"/>
        </w:rPr>
        <w:t>1/4/23</w:t>
      </w:r>
      <w:r>
        <w:rPr>
          <w:rFonts w:ascii="Times New Roman" w:hAnsi="Times New Roman" w:cs="Times New Roman"/>
          <w:sz w:val="24"/>
          <w:szCs w:val="24"/>
        </w:rPr>
        <w:t>)</w:t>
      </w:r>
    </w:p>
    <w:p w:rsidR="007E3D39" w:rsidRPr="002F72BE" w:rsidRDefault="007E3D39" w:rsidP="007E3D39">
      <w:pPr>
        <w:spacing w:line="240" w:lineRule="auto"/>
        <w:jc w:val="both"/>
        <w:rPr>
          <w:rFonts w:ascii="Times New Roman" w:hAnsi="Times New Roman" w:cs="Times New Roman"/>
          <w:color w:val="FF0000"/>
          <w:sz w:val="24"/>
          <w:szCs w:val="24"/>
          <w:u w:val="single"/>
        </w:rPr>
      </w:pPr>
      <w:r w:rsidRPr="002F72BE">
        <w:rPr>
          <w:rFonts w:ascii="Times New Roman" w:hAnsi="Times New Roman" w:cs="Times New Roman"/>
          <w:color w:val="FF0000"/>
          <w:sz w:val="24"/>
          <w:szCs w:val="24"/>
          <w:u w:val="single"/>
        </w:rPr>
        <w:t>Nos venderán el gran hermano monetario como algo bueno y es una de las mayores tragedias sociales a las que se enfrenta la humanidad.</w:t>
      </w:r>
    </w:p>
    <w:p w:rsidR="007E3D39" w:rsidRPr="00847C97"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(Por José Basagoiti)</w:t>
      </w:r>
    </w:p>
    <w:p w:rsidR="007E3D39" w:rsidRPr="00847C97" w:rsidRDefault="007E3D39" w:rsidP="007E3D39">
      <w:pPr>
        <w:spacing w:line="240" w:lineRule="auto"/>
        <w:jc w:val="both"/>
        <w:rPr>
          <w:rFonts w:ascii="Times New Roman" w:hAnsi="Times New Roman" w:cs="Times New Roman"/>
          <w:sz w:val="24"/>
          <w:szCs w:val="24"/>
        </w:rPr>
      </w:pPr>
      <w:r w:rsidRPr="00847C97">
        <w:rPr>
          <w:rFonts w:ascii="Times New Roman" w:hAnsi="Times New Roman" w:cs="Times New Roman"/>
          <w:sz w:val="24"/>
          <w:szCs w:val="24"/>
        </w:rPr>
        <w:t>El actual pánico bancario y la contundente respuesta de reguladores y Bancos Centrales, confirmando que vivimos en un entorno claro de socialismo financiero, tiene</w:t>
      </w:r>
      <w:r>
        <w:rPr>
          <w:rFonts w:ascii="Times New Roman" w:hAnsi="Times New Roman" w:cs="Times New Roman"/>
          <w:sz w:val="24"/>
          <w:szCs w:val="24"/>
        </w:rPr>
        <w:t>n</w:t>
      </w:r>
      <w:r w:rsidRPr="00847C97">
        <w:rPr>
          <w:rFonts w:ascii="Times New Roman" w:hAnsi="Times New Roman" w:cs="Times New Roman"/>
          <w:sz w:val="24"/>
          <w:szCs w:val="24"/>
        </w:rPr>
        <w:t xml:space="preserve"> su origen en una manipulación constante y arbitraria de</w:t>
      </w:r>
      <w:r>
        <w:rPr>
          <w:rFonts w:ascii="Times New Roman" w:hAnsi="Times New Roman" w:cs="Times New Roman"/>
          <w:sz w:val="24"/>
          <w:szCs w:val="24"/>
        </w:rPr>
        <w:t xml:space="preserve"> la base y la oferta monetaria.</w:t>
      </w:r>
    </w:p>
    <w:p w:rsidR="007E3D39" w:rsidRPr="002F72BE" w:rsidRDefault="007E3D39" w:rsidP="007E3D39">
      <w:pPr>
        <w:spacing w:line="240" w:lineRule="auto"/>
        <w:jc w:val="both"/>
        <w:rPr>
          <w:rFonts w:ascii="Times New Roman" w:hAnsi="Times New Roman" w:cs="Times New Roman"/>
          <w:color w:val="FF0000"/>
          <w:sz w:val="24"/>
          <w:szCs w:val="24"/>
          <w:u w:val="single"/>
        </w:rPr>
      </w:pPr>
      <w:r w:rsidRPr="002F72BE">
        <w:rPr>
          <w:rFonts w:ascii="Times New Roman" w:hAnsi="Times New Roman" w:cs="Times New Roman"/>
          <w:color w:val="FF0000"/>
          <w:sz w:val="24"/>
          <w:szCs w:val="24"/>
          <w:u w:val="single"/>
        </w:rPr>
        <w:t>En este artículo vamos a hablar de fontanería monetaria y de cómo el actual sistema fiduciario está condenado a crisis constantes y a una expansión de deuda ad-infinitum que llevará finalmente a un reset y quiebra del régimen fiat. Este reseteo se llama CBCD -Central Bank Digital Currencies-.</w:t>
      </w:r>
    </w:p>
    <w:p w:rsidR="007E3D39" w:rsidRPr="00847C97" w:rsidRDefault="007E3D39" w:rsidP="007E3D39">
      <w:pPr>
        <w:spacing w:line="240" w:lineRule="auto"/>
        <w:jc w:val="both"/>
        <w:rPr>
          <w:rFonts w:ascii="Times New Roman" w:hAnsi="Times New Roman" w:cs="Times New Roman"/>
          <w:sz w:val="24"/>
          <w:szCs w:val="24"/>
        </w:rPr>
      </w:pPr>
      <w:r w:rsidRPr="00847C97">
        <w:rPr>
          <w:rFonts w:ascii="Times New Roman" w:hAnsi="Times New Roman" w:cs="Times New Roman"/>
          <w:sz w:val="24"/>
          <w:szCs w:val="24"/>
        </w:rPr>
        <w:t>Mientras se prepara el cambio, a través de ingeniería financiera, se ponen parches y se patea la lata para adelante. Eso precisamente es lo que estamos viendo en el entorno de pánico bancario actual, con medidas de liquidez de emergencia, líneas swaps entre la Reserva Federal y los principales Bancos Centrales y rescates con cargo al contribuyente. Es tan ingeniosa la ingeniería financiera, que actualmente se está drenando liquidez a través de programas de quantitative tightening -reducción de balance- mientras se inyecta liquidez a través de la ventanilla de descuento y el BTFP con operaciones repo. Sorber y soplar a la vez.</w:t>
      </w:r>
    </w:p>
    <w:p w:rsidR="007E3D39" w:rsidRPr="00847C97" w:rsidRDefault="007E3D39" w:rsidP="007E3D39">
      <w:pPr>
        <w:spacing w:line="240" w:lineRule="auto"/>
        <w:jc w:val="both"/>
        <w:rPr>
          <w:rFonts w:ascii="Times New Roman" w:hAnsi="Times New Roman" w:cs="Times New Roman"/>
          <w:sz w:val="24"/>
          <w:szCs w:val="24"/>
        </w:rPr>
      </w:pPr>
      <w:r w:rsidRPr="00847C97">
        <w:rPr>
          <w:rFonts w:ascii="Times New Roman" w:hAnsi="Times New Roman" w:cs="Times New Roman"/>
          <w:sz w:val="24"/>
          <w:szCs w:val="24"/>
        </w:rPr>
        <w:t>Pongamos todo en contexto, porque esta nueva crisis financiera no surge de repente, es parte de un ciclo que tiene su génesis en la expansión monetaria y en la represión financiera</w:t>
      </w:r>
      <w:r>
        <w:rPr>
          <w:rFonts w:ascii="Times New Roman" w:hAnsi="Times New Roman" w:cs="Times New Roman"/>
          <w:sz w:val="24"/>
          <w:szCs w:val="24"/>
        </w:rPr>
        <w:t xml:space="preserve"> impuesta por Bancos Centrales.</w:t>
      </w:r>
    </w:p>
    <w:p w:rsidR="007E3D39" w:rsidRPr="002F72BE" w:rsidRDefault="007E3D39" w:rsidP="007E3D39">
      <w:pPr>
        <w:spacing w:line="240" w:lineRule="auto"/>
        <w:jc w:val="both"/>
        <w:rPr>
          <w:rFonts w:ascii="Times New Roman" w:hAnsi="Times New Roman" w:cs="Times New Roman"/>
          <w:sz w:val="24"/>
          <w:szCs w:val="24"/>
          <w:u w:val="single"/>
        </w:rPr>
      </w:pPr>
      <w:r w:rsidRPr="002F72BE">
        <w:rPr>
          <w:rFonts w:ascii="Times New Roman" w:hAnsi="Times New Roman" w:cs="Times New Roman"/>
          <w:sz w:val="24"/>
          <w:szCs w:val="24"/>
          <w:u w:val="single"/>
        </w:rPr>
        <w:t>El origen de la actual situación, por tanto, es la década de manipulación a la baja de las tasas para financiar déficits y una economía zombi que se niegan a reestructurar. Esto ha machacado el activo de los bancos mientras, ha sobrecalentado la economía, ha facilitado importantes déficits gubernamentales y ha alimentado las raíces del actual entorno inflacionario. Una combinación explosiva. La subida de tipos de interés y la reducción del balance, son una consecuencia, no la causa de los problemas. Eso sí, son siempre la cara visible de la recesión.</w:t>
      </w:r>
    </w:p>
    <w:p w:rsidR="007E3D39" w:rsidRPr="002F72BE" w:rsidRDefault="007E3D39" w:rsidP="007E3D39">
      <w:pPr>
        <w:spacing w:line="240" w:lineRule="auto"/>
        <w:jc w:val="both"/>
        <w:rPr>
          <w:rFonts w:ascii="Times New Roman" w:hAnsi="Times New Roman" w:cs="Times New Roman"/>
          <w:sz w:val="24"/>
          <w:szCs w:val="24"/>
          <w:u w:val="single"/>
        </w:rPr>
      </w:pPr>
      <w:r w:rsidRPr="002F72BE">
        <w:rPr>
          <w:rFonts w:ascii="Times New Roman" w:hAnsi="Times New Roman" w:cs="Times New Roman"/>
          <w:sz w:val="24"/>
          <w:szCs w:val="24"/>
          <w:u w:val="single"/>
        </w:rPr>
        <w:t>Es el ciclo económico de este sistema de planificación central. Por lo tanto, la solución siempre pasa por enjuagar, escupir y repetir. Esa la receta mágica de gobiernos y Bancos Centrales.</w:t>
      </w:r>
    </w:p>
    <w:p w:rsidR="007E3D39" w:rsidRPr="00847C97" w:rsidRDefault="007E3D39" w:rsidP="007E3D39">
      <w:pPr>
        <w:spacing w:line="240" w:lineRule="auto"/>
        <w:jc w:val="both"/>
        <w:rPr>
          <w:rFonts w:ascii="Times New Roman" w:hAnsi="Times New Roman" w:cs="Times New Roman"/>
          <w:sz w:val="24"/>
          <w:szCs w:val="24"/>
        </w:rPr>
      </w:pPr>
      <w:r w:rsidRPr="00847C97">
        <w:rPr>
          <w:rFonts w:ascii="Times New Roman" w:hAnsi="Times New Roman" w:cs="Times New Roman"/>
          <w:sz w:val="24"/>
          <w:szCs w:val="24"/>
        </w:rPr>
        <w:t xml:space="preserve">Muchos economistas nos decían que no había consecuencias negativas por la represión financiera, pero esto son segundas derivadas de dicha política. Claramente lo </w:t>
      </w:r>
      <w:r>
        <w:rPr>
          <w:rFonts w:ascii="Times New Roman" w:hAnsi="Times New Roman" w:cs="Times New Roman"/>
          <w:sz w:val="24"/>
          <w:szCs w:val="24"/>
        </w:rPr>
        <w:t>son y es importante entenderlo.</w:t>
      </w:r>
    </w:p>
    <w:p w:rsidR="007E3D39" w:rsidRPr="002F72BE" w:rsidRDefault="007E3D39" w:rsidP="007E3D39">
      <w:pPr>
        <w:spacing w:line="240" w:lineRule="auto"/>
        <w:jc w:val="both"/>
        <w:rPr>
          <w:rFonts w:ascii="Times New Roman" w:hAnsi="Times New Roman" w:cs="Times New Roman"/>
          <w:color w:val="FF0000"/>
          <w:sz w:val="24"/>
          <w:szCs w:val="24"/>
          <w:u w:val="single"/>
        </w:rPr>
      </w:pPr>
      <w:r w:rsidRPr="002F72BE">
        <w:rPr>
          <w:rFonts w:ascii="Times New Roman" w:hAnsi="Times New Roman" w:cs="Times New Roman"/>
          <w:color w:val="FF0000"/>
          <w:sz w:val="24"/>
          <w:szCs w:val="24"/>
          <w:u w:val="single"/>
        </w:rPr>
        <w:t>Las crisis emergen con la demagogia financiera y el despilfarro clásico derivado del dinero gratis. Y debido a la creciente deuda, éstas son cada vez más profundas y rápidas. Japón, ese modelo de teoría monetaria moderna, por ejemplo, encadena crisis cada tres años y medio. Europa va camino de lo mismo. Mientras tanto, la productividad de la economía se va estancando. Eso es, la venerada teoría monetaria moderna, que ni es teoría, ni es monetaria, ni es moderna, solo es una literatura mal entendida del keynesianismo para justificar la deuda y el gasto público.</w:t>
      </w:r>
    </w:p>
    <w:p w:rsidR="007E3D39" w:rsidRPr="002F72BE" w:rsidRDefault="007E3D39" w:rsidP="007E3D39">
      <w:pPr>
        <w:spacing w:line="240" w:lineRule="auto"/>
        <w:jc w:val="both"/>
        <w:rPr>
          <w:rFonts w:ascii="Times New Roman" w:hAnsi="Times New Roman" w:cs="Times New Roman"/>
          <w:b/>
          <w:color w:val="FF0000"/>
          <w:sz w:val="24"/>
          <w:szCs w:val="24"/>
          <w:u w:val="single"/>
        </w:rPr>
      </w:pPr>
      <w:r w:rsidRPr="002F72BE">
        <w:rPr>
          <w:rFonts w:ascii="Times New Roman" w:hAnsi="Times New Roman" w:cs="Times New Roman"/>
          <w:b/>
          <w:color w:val="FF0000"/>
          <w:sz w:val="24"/>
          <w:szCs w:val="24"/>
          <w:u w:val="single"/>
        </w:rPr>
        <w:lastRenderedPageBreak/>
        <w:t>Se acerca la fecha de caducidad y los planificadores los saben. Todo cambio necesita pánico social y si queremos virar hacia un nuevo sistema monetario, con la implementación de las CBDC, donde la creación de dinero acabará siendo manejada directamente por Bancos Centrales y no bancos comerciales, es preciso hacer creer a la población que el actual sistema es frágil, que los ahorros de las personas no están seguros y que la inflación es consecuencia de una mala planificación privada.</w:t>
      </w:r>
    </w:p>
    <w:p w:rsidR="007E3D39" w:rsidRPr="002F72BE" w:rsidRDefault="007E3D39" w:rsidP="007E3D39">
      <w:pPr>
        <w:spacing w:line="240" w:lineRule="auto"/>
        <w:jc w:val="both"/>
        <w:rPr>
          <w:rFonts w:ascii="Times New Roman" w:hAnsi="Times New Roman" w:cs="Times New Roman"/>
          <w:b/>
          <w:color w:val="FF0000"/>
          <w:sz w:val="24"/>
          <w:szCs w:val="24"/>
          <w:u w:val="single"/>
        </w:rPr>
      </w:pPr>
      <w:r w:rsidRPr="00847C97">
        <w:rPr>
          <w:rFonts w:ascii="Times New Roman" w:hAnsi="Times New Roman" w:cs="Times New Roman"/>
          <w:sz w:val="24"/>
          <w:szCs w:val="24"/>
        </w:rPr>
        <w:t xml:space="preserve">De forma intencionada o casual, esta crisis parece el caballo de </w:t>
      </w:r>
      <w:r w:rsidR="00E92717" w:rsidRPr="00847C97">
        <w:rPr>
          <w:rFonts w:ascii="Times New Roman" w:hAnsi="Times New Roman" w:cs="Times New Roman"/>
          <w:sz w:val="24"/>
          <w:szCs w:val="24"/>
        </w:rPr>
        <w:t>Troya</w:t>
      </w:r>
      <w:r w:rsidRPr="00847C97">
        <w:rPr>
          <w:rFonts w:ascii="Times New Roman" w:hAnsi="Times New Roman" w:cs="Times New Roman"/>
          <w:sz w:val="24"/>
          <w:szCs w:val="24"/>
        </w:rPr>
        <w:t xml:space="preserve"> perfecto para ir creando la ventana de Overton sobre las criptodivisas centrales. </w:t>
      </w:r>
      <w:r w:rsidRPr="002F72BE">
        <w:rPr>
          <w:rFonts w:ascii="Times New Roman" w:hAnsi="Times New Roman" w:cs="Times New Roman"/>
          <w:b/>
          <w:color w:val="FF0000"/>
          <w:sz w:val="24"/>
          <w:szCs w:val="24"/>
          <w:u w:val="single"/>
        </w:rPr>
        <w:t>Nos venderán el gran hermano monetario como algo bueno y es una de las mayores tragedias sociales a las que se enfrenta la humanidad. Si pensáis que es exagerado, pensar que el dinero es el lenguaje común de todos los seres humanos y éste va a estar totalmente controlado, intervenido y fiscalizado por gobiernos de todas las clases y calañas.</w:t>
      </w:r>
    </w:p>
    <w:p w:rsidR="007E3D39" w:rsidRPr="002F72BE" w:rsidRDefault="007E3D39" w:rsidP="007E3D39">
      <w:pPr>
        <w:spacing w:line="240" w:lineRule="auto"/>
        <w:jc w:val="both"/>
        <w:rPr>
          <w:rFonts w:ascii="Times New Roman" w:hAnsi="Times New Roman" w:cs="Times New Roman"/>
          <w:color w:val="FF0000"/>
          <w:sz w:val="24"/>
          <w:szCs w:val="24"/>
          <w:u w:val="single"/>
        </w:rPr>
      </w:pPr>
      <w:r w:rsidRPr="00847C97">
        <w:rPr>
          <w:rFonts w:ascii="Times New Roman" w:hAnsi="Times New Roman" w:cs="Times New Roman"/>
          <w:sz w:val="24"/>
          <w:szCs w:val="24"/>
        </w:rPr>
        <w:t xml:space="preserve">Quizá estemos tiempo de impedirlo, pero es necesario entender cómo este sistema está naufragando y cómo la solución que nos presentan es un tremendo paso atrás para nuestras libertadas. </w:t>
      </w:r>
      <w:r w:rsidRPr="002F72BE">
        <w:rPr>
          <w:rFonts w:ascii="Times New Roman" w:hAnsi="Times New Roman" w:cs="Times New Roman"/>
          <w:color w:val="FF0000"/>
          <w:sz w:val="24"/>
          <w:szCs w:val="24"/>
          <w:u w:val="single"/>
        </w:rPr>
        <w:t>De nuevo, estamos ante una nociva segunda derivada de lo que el mainstream económico nos vende como el santo grial económico.</w:t>
      </w:r>
    </w:p>
    <w:p w:rsidR="007E3D39" w:rsidRPr="00847C97"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Pr>
          <w:rFonts w:ascii="Times New Roman" w:hAnsi="Times New Roman" w:cs="Times New Roman"/>
          <w:sz w:val="24"/>
          <w:szCs w:val="24"/>
          <w:u w:val="single"/>
        </w:rPr>
        <w:t>Roubini advierte del “trilema”</w:t>
      </w:r>
      <w:r w:rsidRPr="00847C97">
        <w:rPr>
          <w:rFonts w:ascii="Times New Roman" w:hAnsi="Times New Roman" w:cs="Times New Roman"/>
          <w:sz w:val="24"/>
          <w:szCs w:val="24"/>
          <w:u w:val="single"/>
        </w:rPr>
        <w:t xml:space="preserve"> a</w:t>
      </w:r>
      <w:r>
        <w:rPr>
          <w:rFonts w:ascii="Times New Roman" w:hAnsi="Times New Roman" w:cs="Times New Roman"/>
          <w:sz w:val="24"/>
          <w:szCs w:val="24"/>
          <w:u w:val="single"/>
        </w:rPr>
        <w:t>l que se enfrenta la economía: “</w:t>
      </w:r>
      <w:r w:rsidRPr="00847C97">
        <w:rPr>
          <w:rFonts w:ascii="Times New Roman" w:hAnsi="Times New Roman" w:cs="Times New Roman"/>
          <w:sz w:val="24"/>
          <w:szCs w:val="24"/>
          <w:u w:val="single"/>
        </w:rPr>
        <w:t>Nos dirigimos hacia un crash</w:t>
      </w:r>
      <w:r>
        <w:rPr>
          <w:rFonts w:ascii="Times New Roman" w:hAnsi="Times New Roman" w:cs="Times New Roman"/>
          <w:sz w:val="24"/>
          <w:szCs w:val="24"/>
        </w:rPr>
        <w:t xml:space="preserve">” (El Economista - </w:t>
      </w:r>
      <w:r w:rsidRPr="00847C97">
        <w:rPr>
          <w:rFonts w:ascii="Times New Roman" w:hAnsi="Times New Roman" w:cs="Times New Roman"/>
          <w:b/>
          <w:sz w:val="24"/>
          <w:szCs w:val="24"/>
        </w:rPr>
        <w:t>2/4/23</w:t>
      </w:r>
      <w:r>
        <w:rPr>
          <w:rFonts w:ascii="Times New Roman" w:hAnsi="Times New Roman" w:cs="Times New Roman"/>
          <w:sz w:val="24"/>
          <w:szCs w:val="24"/>
        </w:rPr>
        <w:t>)</w:t>
      </w:r>
    </w:p>
    <w:p w:rsidR="007E3D39" w:rsidRPr="001B2D0E" w:rsidRDefault="007E3D39" w:rsidP="007E3D39">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El economista prevé un “aterrizaje forzoso”</w:t>
      </w:r>
    </w:p>
    <w:p w:rsidR="007E3D39" w:rsidRPr="001B2D0E" w:rsidRDefault="007E3D39" w:rsidP="007E3D39">
      <w:pPr>
        <w:spacing w:line="240" w:lineRule="auto"/>
        <w:jc w:val="both"/>
        <w:rPr>
          <w:rFonts w:ascii="Times New Roman" w:hAnsi="Times New Roman" w:cs="Times New Roman"/>
          <w:sz w:val="24"/>
          <w:szCs w:val="24"/>
          <w:u w:val="single"/>
        </w:rPr>
      </w:pPr>
      <w:r w:rsidRPr="00847C97">
        <w:rPr>
          <w:rFonts w:ascii="Times New Roman" w:hAnsi="Times New Roman" w:cs="Times New Roman"/>
          <w:sz w:val="24"/>
          <w:szCs w:val="24"/>
        </w:rPr>
        <w:t>Hace menos de un mes, la caída de Silicon Valley Bank puso la primera piedra de una crisis que se ha ido alimentando con el paso de los días con la compra de Credit Suisse por parte de UBS y las caídas en Deutsche Bank. Un escenario ante el que los bancos centrales han respondido haciendo un llamamiento a la calma. Christine Lagarde, sin ir más lejos</w:t>
      </w:r>
      <w:r>
        <w:rPr>
          <w:rFonts w:ascii="Times New Roman" w:hAnsi="Times New Roman" w:cs="Times New Roman"/>
          <w:sz w:val="24"/>
          <w:szCs w:val="24"/>
        </w:rPr>
        <w:t>, dijo que la banca europea es “</w:t>
      </w:r>
      <w:r w:rsidRPr="00847C97">
        <w:rPr>
          <w:rFonts w:ascii="Times New Roman" w:hAnsi="Times New Roman" w:cs="Times New Roman"/>
          <w:sz w:val="24"/>
          <w:szCs w:val="24"/>
        </w:rPr>
        <w:t>resistente, con fuertes posi</w:t>
      </w:r>
      <w:r>
        <w:rPr>
          <w:rFonts w:ascii="Times New Roman" w:hAnsi="Times New Roman" w:cs="Times New Roman"/>
          <w:sz w:val="24"/>
          <w:szCs w:val="24"/>
        </w:rPr>
        <w:t>ciones de capital y de liquidez”</w:t>
      </w:r>
      <w:r w:rsidRPr="00847C97">
        <w:rPr>
          <w:rFonts w:ascii="Times New Roman" w:hAnsi="Times New Roman" w:cs="Times New Roman"/>
          <w:sz w:val="24"/>
          <w:szCs w:val="24"/>
        </w:rPr>
        <w:t xml:space="preserve">. Y lo mismo la Reserva Federal de EEUU. Sin embargo, </w:t>
      </w:r>
      <w:r w:rsidRPr="001B2D0E">
        <w:rPr>
          <w:rFonts w:ascii="Times New Roman" w:hAnsi="Times New Roman" w:cs="Times New Roman"/>
          <w:sz w:val="24"/>
          <w:szCs w:val="24"/>
          <w:u w:val="single"/>
        </w:rPr>
        <w:t>Nouriel Roubini no comparte esta postura y advierte de las debilidades del sistema financiero y el riesgo al que se enfrenta si la situación e</w:t>
      </w:r>
      <w:r>
        <w:rPr>
          <w:rFonts w:ascii="Times New Roman" w:hAnsi="Times New Roman" w:cs="Times New Roman"/>
          <w:sz w:val="24"/>
          <w:szCs w:val="24"/>
          <w:u w:val="single"/>
        </w:rPr>
        <w:t>mpeora. Nos dirigimos hacia un “crash económico y financiero”, y “un aterrizaje forzoso”</w:t>
      </w:r>
      <w:r w:rsidRPr="001B2D0E">
        <w:rPr>
          <w:rFonts w:ascii="Times New Roman" w:hAnsi="Times New Roman" w:cs="Times New Roman"/>
          <w:sz w:val="24"/>
          <w:szCs w:val="24"/>
          <w:u w:val="single"/>
        </w:rPr>
        <w:t>, sentencia.</w:t>
      </w:r>
    </w:p>
    <w:p w:rsidR="007E3D39" w:rsidRPr="00B94B89" w:rsidRDefault="007E3D39" w:rsidP="007E3D39">
      <w:pPr>
        <w:spacing w:line="240" w:lineRule="auto"/>
        <w:jc w:val="both"/>
        <w:rPr>
          <w:rFonts w:ascii="Times New Roman" w:hAnsi="Times New Roman" w:cs="Times New Roman"/>
          <w:b/>
          <w:color w:val="FF0000"/>
          <w:sz w:val="24"/>
          <w:szCs w:val="24"/>
          <w:u w:val="single"/>
        </w:rPr>
      </w:pPr>
      <w:r w:rsidRPr="00B94B89">
        <w:rPr>
          <w:rFonts w:ascii="Times New Roman" w:hAnsi="Times New Roman" w:cs="Times New Roman"/>
          <w:b/>
          <w:color w:val="FF0000"/>
          <w:sz w:val="24"/>
          <w:szCs w:val="24"/>
          <w:u w:val="single"/>
        </w:rPr>
        <w:t>En concreto, el director ejecutivo de la consultora Roubini Macro Associates sostiene que no es posible lograr “la estabilidad de precios, mantener el crecimiento económico y tener estabilidad financiera al mismo tiempo” porque el sistema financiero es incapaz de hacer frente a la deuda pública y privada acumulada en la actualidad, lo que él denomina un “trilema”.</w:t>
      </w:r>
    </w:p>
    <w:p w:rsidR="007E3D39" w:rsidRPr="00847C97" w:rsidRDefault="007E3D39" w:rsidP="007E3D39">
      <w:pPr>
        <w:spacing w:line="240" w:lineRule="auto"/>
        <w:jc w:val="both"/>
        <w:rPr>
          <w:rFonts w:ascii="Times New Roman" w:hAnsi="Times New Roman" w:cs="Times New Roman"/>
          <w:sz w:val="24"/>
          <w:szCs w:val="24"/>
        </w:rPr>
      </w:pPr>
      <w:r w:rsidRPr="00847C97">
        <w:rPr>
          <w:rFonts w:ascii="Times New Roman" w:hAnsi="Times New Roman" w:cs="Times New Roman"/>
          <w:sz w:val="24"/>
          <w:szCs w:val="24"/>
        </w:rPr>
        <w:t>Para el hombre que predijo la crisis financiera mundial de 2008, el principal problema la principal amenaza para la estabilidad no son los 620.000 millones de dólares de pérdidas no realizadas del sistema bancario en valores subyacentes, sino el hecho de que se haya reducido tanto el valor de los activos y los préstamos de los bancos pequeños a raíz de las subidas de t</w:t>
      </w:r>
      <w:r>
        <w:rPr>
          <w:rFonts w:ascii="Times New Roman" w:hAnsi="Times New Roman" w:cs="Times New Roman"/>
          <w:sz w:val="24"/>
          <w:szCs w:val="24"/>
        </w:rPr>
        <w:t>ipos de interés que muchos son “literalmente insolventes”</w:t>
      </w:r>
      <w:r w:rsidRPr="00847C97">
        <w:rPr>
          <w:rFonts w:ascii="Times New Roman" w:hAnsi="Times New Roman" w:cs="Times New Roman"/>
          <w:sz w:val="24"/>
          <w:szCs w:val="24"/>
        </w:rPr>
        <w:t>. Y es que, teniendo esto en cuenta, las pérdidas no realizadas ascenderían a 1,7 billones de dólares frente al colchón de 2,1 billones de dólares que tienen para absorber las mismas antes de quebrar, según un estudio elaborado por la Escuela de Negocios Stern de la Universidad de Nueva York que recoge Fortune.</w:t>
      </w:r>
    </w:p>
    <w:p w:rsidR="007E3D39" w:rsidRPr="00847C97" w:rsidRDefault="007E3D39" w:rsidP="007E3D39">
      <w:pPr>
        <w:spacing w:line="240" w:lineRule="auto"/>
        <w:jc w:val="both"/>
        <w:rPr>
          <w:rFonts w:ascii="Times New Roman" w:hAnsi="Times New Roman" w:cs="Times New Roman"/>
          <w:sz w:val="24"/>
          <w:szCs w:val="24"/>
        </w:rPr>
      </w:pPr>
      <w:r w:rsidRPr="00847C97">
        <w:rPr>
          <w:rFonts w:ascii="Times New Roman" w:hAnsi="Times New Roman" w:cs="Times New Roman"/>
          <w:sz w:val="24"/>
          <w:szCs w:val="24"/>
        </w:rPr>
        <w:t xml:space="preserve">Por otro lado, señala que el planteamiento de Christine Lagarde -quien argumenta que unos bancos sólidos y bien gestionados podrían superar una crisis crediticia siempre que su </w:t>
      </w:r>
      <w:r w:rsidRPr="00847C97">
        <w:rPr>
          <w:rFonts w:ascii="Times New Roman" w:hAnsi="Times New Roman" w:cs="Times New Roman"/>
          <w:sz w:val="24"/>
          <w:szCs w:val="24"/>
        </w:rPr>
        <w:lastRenderedPageBreak/>
        <w:t>liquidez estuviera respaldada por las autoridades monetarias- es incorrecto, pues sólo funcionaría con tensiones localizadas y no en la</w:t>
      </w:r>
      <w:r>
        <w:rPr>
          <w:rFonts w:ascii="Times New Roman" w:hAnsi="Times New Roman" w:cs="Times New Roman"/>
          <w:sz w:val="24"/>
          <w:szCs w:val="24"/>
        </w:rPr>
        <w:t xml:space="preserve">s sistémicas, como es el caso. </w:t>
      </w:r>
    </w:p>
    <w:p w:rsidR="007E3D39" w:rsidRPr="00847C97"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Asimismo, apunta que “</w:t>
      </w:r>
      <w:r w:rsidRPr="00847C97">
        <w:rPr>
          <w:rFonts w:ascii="Times New Roman" w:hAnsi="Times New Roman" w:cs="Times New Roman"/>
          <w:sz w:val="24"/>
          <w:szCs w:val="24"/>
        </w:rPr>
        <w:t xml:space="preserve">la recesión económica nos llevará del riesgo de duración y </w:t>
      </w:r>
      <w:r>
        <w:rPr>
          <w:rFonts w:ascii="Times New Roman" w:hAnsi="Times New Roman" w:cs="Times New Roman"/>
          <w:sz w:val="24"/>
          <w:szCs w:val="24"/>
        </w:rPr>
        <w:t>de mercado al riesgo de crédito”</w:t>
      </w:r>
      <w:r w:rsidRPr="00847C97">
        <w:rPr>
          <w:rFonts w:ascii="Times New Roman" w:hAnsi="Times New Roman" w:cs="Times New Roman"/>
          <w:sz w:val="24"/>
          <w:szCs w:val="24"/>
        </w:rPr>
        <w:t>, dado que la crisis derivada de la caída de Silicon Valley Bank va a obligar a los prestamistas regionales a reducir de una tasa anual del 10% a casi a cero los créditos que conceden a las empresas pequeñas. Cuando esto pase y el producto interior bruto de EEUU se contraiga, este mar de deudas impedirá que la economía pueda atender sus obligaciones financieras, explica el economista. Y tampoco se podrá contar con ni la Reserva Federal estadounidense ni el gobierno federal, ya que tampoco tendrán suficiente margen de maniobra para estimular el creci</w:t>
      </w:r>
      <w:r>
        <w:rPr>
          <w:rFonts w:ascii="Times New Roman" w:hAnsi="Times New Roman" w:cs="Times New Roman"/>
          <w:sz w:val="24"/>
          <w:szCs w:val="24"/>
        </w:rPr>
        <w:t>miento del país, añade Roubini.</w:t>
      </w:r>
    </w:p>
    <w:p w:rsidR="007E3D39" w:rsidRPr="00B94B89" w:rsidRDefault="007E3D39" w:rsidP="007E3D39">
      <w:pPr>
        <w:spacing w:line="240" w:lineRule="auto"/>
        <w:jc w:val="both"/>
        <w:rPr>
          <w:rFonts w:ascii="Times New Roman" w:hAnsi="Times New Roman" w:cs="Times New Roman"/>
          <w:b/>
          <w:color w:val="FF0000"/>
          <w:sz w:val="24"/>
          <w:szCs w:val="24"/>
          <w:u w:val="single"/>
        </w:rPr>
      </w:pPr>
      <w:r w:rsidRPr="00B94B89">
        <w:rPr>
          <w:rFonts w:ascii="Times New Roman" w:hAnsi="Times New Roman" w:cs="Times New Roman"/>
          <w:b/>
          <w:color w:val="FF0000"/>
          <w:sz w:val="24"/>
          <w:szCs w:val="24"/>
          <w:u w:val="single"/>
        </w:rPr>
        <w:t>En su opinión, se ha juntado “lo peor de los años 70 en términos de choque negativo de la oferta, reducción del crecimiento e inflación, y unos ratios de deuda muy superiores a los de después de la gran crisis financiera”.</w:t>
      </w:r>
    </w:p>
    <w:p w:rsidR="007E3D39" w:rsidRPr="00B7715B"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9644A">
        <w:rPr>
          <w:rFonts w:ascii="Times New Roman" w:hAnsi="Times New Roman" w:cs="Times New Roman"/>
          <w:sz w:val="24"/>
          <w:szCs w:val="24"/>
          <w:u w:val="single"/>
        </w:rPr>
        <w:t>La hora de hincar la rodilla se aproxima para Powell y Lagarde</w:t>
      </w:r>
      <w:r>
        <w:rPr>
          <w:rFonts w:ascii="Times New Roman" w:hAnsi="Times New Roman" w:cs="Times New Roman"/>
          <w:sz w:val="24"/>
          <w:szCs w:val="24"/>
        </w:rPr>
        <w:t xml:space="preserve"> (Cinco Días - </w:t>
      </w:r>
      <w:r w:rsidRPr="00786286">
        <w:rPr>
          <w:rFonts w:ascii="Times New Roman" w:hAnsi="Times New Roman" w:cs="Times New Roman"/>
          <w:b/>
          <w:sz w:val="24"/>
          <w:szCs w:val="24"/>
        </w:rPr>
        <w:t>4/4/23</w:t>
      </w:r>
      <w:r>
        <w:rPr>
          <w:rFonts w:ascii="Times New Roman" w:hAnsi="Times New Roman" w:cs="Times New Roman"/>
          <w:sz w:val="24"/>
          <w:szCs w:val="24"/>
        </w:rPr>
        <w:t>)</w:t>
      </w:r>
    </w:p>
    <w:p w:rsidR="007E3D39" w:rsidRPr="00B46D1D" w:rsidRDefault="007E3D39" w:rsidP="007E3D39">
      <w:pPr>
        <w:spacing w:line="240" w:lineRule="auto"/>
        <w:jc w:val="both"/>
        <w:rPr>
          <w:rFonts w:ascii="Times New Roman" w:hAnsi="Times New Roman" w:cs="Times New Roman"/>
          <w:color w:val="FF0000"/>
          <w:sz w:val="24"/>
          <w:szCs w:val="24"/>
        </w:rPr>
      </w:pPr>
      <w:r w:rsidRPr="00B46D1D">
        <w:rPr>
          <w:rFonts w:ascii="Times New Roman" w:hAnsi="Times New Roman" w:cs="Times New Roman"/>
          <w:color w:val="FF0000"/>
          <w:sz w:val="24"/>
          <w:szCs w:val="24"/>
        </w:rPr>
        <w:t>Considera que la Fed y el BCE se han excedido en sus alzas de tipos y que es hora de elegir entre inflación o salvaguardar el sistema financiero</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B7715B">
        <w:rPr>
          <w:rFonts w:ascii="Times New Roman" w:hAnsi="Times New Roman" w:cs="Times New Roman"/>
          <w:sz w:val="24"/>
          <w:szCs w:val="24"/>
        </w:rPr>
        <w:t>A</w:t>
      </w:r>
      <w:r>
        <w:rPr>
          <w:rFonts w:ascii="Times New Roman" w:hAnsi="Times New Roman" w:cs="Times New Roman"/>
          <w:sz w:val="24"/>
          <w:szCs w:val="24"/>
        </w:rPr>
        <w:t>lberto Espelocín)</w:t>
      </w:r>
    </w:p>
    <w:p w:rsidR="007E3D39" w:rsidRPr="00B7715B" w:rsidRDefault="007E3D39" w:rsidP="007E3D39">
      <w:pPr>
        <w:spacing w:line="240" w:lineRule="auto"/>
        <w:jc w:val="both"/>
        <w:rPr>
          <w:rFonts w:ascii="Times New Roman" w:hAnsi="Times New Roman" w:cs="Times New Roman"/>
          <w:sz w:val="24"/>
          <w:szCs w:val="24"/>
        </w:rPr>
      </w:pPr>
      <w:r>
        <w:rPr>
          <w:noProof/>
          <w:lang w:eastAsia="es-ES"/>
        </w:rPr>
        <w:drawing>
          <wp:inline distT="0" distB="0" distL="0" distR="0" wp14:anchorId="0060D1A9" wp14:editId="1D57EDE1">
            <wp:extent cx="5537200" cy="3016250"/>
            <wp:effectExtent l="0" t="0" r="6350" b="0"/>
            <wp:docPr id="76" name="Imagen 76" descr="https://imagenes.elpais.com/resizer/k4PDOHi-JrUWUip-bk8cEt8rloE=/414x0/cloudfront-eu-central-1.images.arcpublishing.com/prisa/NCCTSUY7MFB6JJJUMBHR5GWXY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agenes.elpais.com/resizer/k4PDOHi-JrUWUip-bk8cEt8rloE=/414x0/cloudfront-eu-central-1.images.arcpublishing.com/prisa/NCCTSUY7MFB6JJJUMBHR5GWXYY.pn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37200" cy="3016250"/>
                    </a:xfrm>
                    <a:prstGeom prst="rect">
                      <a:avLst/>
                    </a:prstGeom>
                    <a:noFill/>
                    <a:ln>
                      <a:noFill/>
                    </a:ln>
                  </pic:spPr>
                </pic:pic>
              </a:graphicData>
            </a:graphic>
          </wp:inline>
        </w:drawing>
      </w:r>
    </w:p>
    <w:p w:rsidR="007E3D39" w:rsidRPr="00B46D1D" w:rsidRDefault="007E3D39" w:rsidP="007E3D39">
      <w:pPr>
        <w:spacing w:line="240" w:lineRule="auto"/>
        <w:jc w:val="both"/>
        <w:rPr>
          <w:rFonts w:ascii="Times New Roman" w:hAnsi="Times New Roman" w:cs="Times New Roman"/>
          <w:b/>
          <w:color w:val="FF0000"/>
          <w:sz w:val="24"/>
          <w:szCs w:val="24"/>
          <w:u w:val="single"/>
        </w:rPr>
      </w:pPr>
      <w:r w:rsidRPr="00B46D1D">
        <w:rPr>
          <w:rFonts w:ascii="Times New Roman" w:hAnsi="Times New Roman" w:cs="Times New Roman"/>
          <w:b/>
          <w:color w:val="FF0000"/>
          <w:sz w:val="24"/>
          <w:szCs w:val="24"/>
          <w:u w:val="single"/>
        </w:rPr>
        <w:t>El nuevo cisne negro que ha amerizado en el lago de la Reserva Federal de Estados Unidos ha hecho que la manguera monetaria del mes de marzo, para intentar blanquear al cisne desmandado, sea una de las intervenciones monetarias mensuales más grandes de nuestra nueva era monetaria post Lehman Brothers. Era, que se caracteriza por lo que popularmente se llama “imprimir dinero de la nada para solucionar cualquier problema”, lo que hace que ante cualquier evento los bancos centrales actúen para subvencionar una economía que estructuralmente a largo plazo languidece por una caída de la población trabajadora, una deuda impagable con los recursos que generamos y una productividad/digitalización que acelera la subvención a los trabajadores.</w:t>
      </w:r>
    </w:p>
    <w:p w:rsidR="007E3D39" w:rsidRPr="00B46D1D" w:rsidRDefault="007E3D39" w:rsidP="007E3D39">
      <w:pPr>
        <w:spacing w:line="240" w:lineRule="auto"/>
        <w:jc w:val="both"/>
        <w:rPr>
          <w:rFonts w:ascii="Times New Roman" w:hAnsi="Times New Roman" w:cs="Times New Roman"/>
          <w:b/>
          <w:color w:val="FF0000"/>
          <w:sz w:val="24"/>
          <w:szCs w:val="24"/>
          <w:u w:val="single"/>
        </w:rPr>
      </w:pPr>
      <w:r w:rsidRPr="00B46D1D">
        <w:rPr>
          <w:rFonts w:ascii="Times New Roman" w:hAnsi="Times New Roman" w:cs="Times New Roman"/>
          <w:b/>
          <w:color w:val="FF0000"/>
          <w:sz w:val="24"/>
          <w:szCs w:val="24"/>
          <w:u w:val="single"/>
        </w:rPr>
        <w:lastRenderedPageBreak/>
        <w:t>Este nuevo cisne negro nos ha venido a recordar que quizás la Fed se ha excedido en la subida de tipos, que con 31,46 billones de dólares de deuda pública en EEUU es imposible aguantar con tipos interés actuales, y que hay que elegir entre inflación o salvaguardar el sistema financiero donde duermen todos nuestros escasos ahorros.</w:t>
      </w:r>
    </w:p>
    <w:p w:rsidR="007E3D39" w:rsidRPr="00B7715B" w:rsidRDefault="007E3D39" w:rsidP="007E3D39">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 xml:space="preserve">La curva implícita de tipos en Estados Unidos ya descuenta caídas en el próximo año hasta el 4% y al 2,75% en tres años, aunque no habrá tiempo para esperar tanto y la debilidad económica hará que bajen ya probablemente a finales de este año. Con ello quizás hemos vivido en marzo el final </w:t>
      </w:r>
      <w:r>
        <w:rPr>
          <w:rFonts w:ascii="Times New Roman" w:hAnsi="Times New Roman" w:cs="Times New Roman"/>
          <w:sz w:val="24"/>
          <w:szCs w:val="24"/>
        </w:rPr>
        <w:t>del proceso de subida de tipos.</w:t>
      </w:r>
    </w:p>
    <w:p w:rsidR="007E3D39" w:rsidRDefault="007E3D39" w:rsidP="007E3D39">
      <w:pPr>
        <w:spacing w:line="240" w:lineRule="auto"/>
        <w:jc w:val="both"/>
        <w:rPr>
          <w:rFonts w:ascii="Times New Roman" w:hAnsi="Times New Roman" w:cs="Times New Roman"/>
          <w:sz w:val="24"/>
          <w:szCs w:val="24"/>
        </w:rPr>
      </w:pPr>
      <w:r w:rsidRPr="00B46D1D">
        <w:rPr>
          <w:rFonts w:ascii="Times New Roman" w:hAnsi="Times New Roman" w:cs="Times New Roman"/>
          <w:b/>
          <w:color w:val="FF0000"/>
          <w:sz w:val="24"/>
          <w:szCs w:val="24"/>
          <w:u w:val="single"/>
        </w:rPr>
        <w:t>En Europa, donde la economía se sustenta en cimientos iguales e incluso más débiles por la paradoja rigidez en los procesos de cambio, el BCE con Christine Lagarde de domadora de “cisnes alemanes” ha permanecido impertérrita ante los aspavientos del cisne y ha decidido seguir con las subidas de tipos para no mostrar debilidad ante los mercados</w:t>
      </w:r>
      <w:r w:rsidRPr="00B7715B">
        <w:rPr>
          <w:rFonts w:ascii="Times New Roman" w:hAnsi="Times New Roman" w:cs="Times New Roman"/>
          <w:sz w:val="24"/>
          <w:szCs w:val="24"/>
        </w:rPr>
        <w:t>. Como dice mi buen amigo Pedro, se ha marcado un Trichet para recordar aquella última subida de tipos del BCE en julio 2011, en mitad de una crisis Europa de deuda sin precedentes. Dicho esto, el balance del BCE se volvió a reducir en marzo –sexto mes consecutivo– y visto el movimiento de la Fed y de los tipos de EE UU, creo que no estamos lejos de poder afirmar que el BCE tendrá que hincar la rodilla en breve y parar el incremento de tipos y empezar a dar señales dovish al mercado antes de meternos en una recesión no deseada. Más aún, en una economía que cada vez más necesita de subvención monetaria gratis para subsistir, ya que andar sola sin el bastón monetario no es posible. Europa necesita un euríbor en el 2-2,5% para no desfallecer en el intento.</w:t>
      </w:r>
    </w:p>
    <w:p w:rsidR="007E3D39" w:rsidRPr="00B7715B"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7715B">
        <w:rPr>
          <w:rFonts w:ascii="Times New Roman" w:hAnsi="Times New Roman" w:cs="Times New Roman"/>
          <w:sz w:val="24"/>
          <w:szCs w:val="24"/>
          <w:u w:val="single"/>
        </w:rPr>
        <w:t xml:space="preserve">El FMI alerta de las vulnerabilidades de la banca en la sombra ante la subida de tipos </w:t>
      </w:r>
      <w:r>
        <w:rPr>
          <w:rFonts w:ascii="Times New Roman" w:hAnsi="Times New Roman" w:cs="Times New Roman"/>
          <w:sz w:val="24"/>
          <w:szCs w:val="24"/>
        </w:rPr>
        <w:t xml:space="preserve">(Cinco Días - </w:t>
      </w:r>
      <w:r w:rsidRPr="00B7715B">
        <w:rPr>
          <w:rFonts w:ascii="Times New Roman" w:hAnsi="Times New Roman" w:cs="Times New Roman"/>
          <w:b/>
          <w:sz w:val="24"/>
          <w:szCs w:val="24"/>
        </w:rPr>
        <w:t>4/4/23</w:t>
      </w:r>
      <w:r>
        <w:rPr>
          <w:rFonts w:ascii="Times New Roman" w:hAnsi="Times New Roman" w:cs="Times New Roman"/>
          <w:sz w:val="24"/>
          <w:szCs w:val="24"/>
        </w:rPr>
        <w:t>)</w:t>
      </w:r>
    </w:p>
    <w:p w:rsidR="007E3D39" w:rsidRPr="00786286" w:rsidRDefault="007E3D39" w:rsidP="007E3D39">
      <w:pPr>
        <w:spacing w:line="240" w:lineRule="auto"/>
        <w:jc w:val="both"/>
        <w:rPr>
          <w:rFonts w:ascii="Times New Roman" w:hAnsi="Times New Roman" w:cs="Times New Roman"/>
          <w:color w:val="FF0000"/>
          <w:sz w:val="24"/>
          <w:szCs w:val="24"/>
        </w:rPr>
      </w:pPr>
      <w:r w:rsidRPr="00786286">
        <w:rPr>
          <w:rFonts w:ascii="Times New Roman" w:hAnsi="Times New Roman" w:cs="Times New Roman"/>
          <w:color w:val="FF0000"/>
          <w:sz w:val="24"/>
          <w:szCs w:val="24"/>
        </w:rPr>
        <w:t>Fondos de</w:t>
      </w:r>
      <w:r>
        <w:rPr>
          <w:rFonts w:ascii="Times New Roman" w:hAnsi="Times New Roman" w:cs="Times New Roman"/>
          <w:color w:val="FF0000"/>
          <w:sz w:val="24"/>
          <w:szCs w:val="24"/>
        </w:rPr>
        <w:t xml:space="preserve"> pensiones, aseguradoras y “hedge funds”</w:t>
      </w:r>
      <w:r w:rsidRPr="00786286">
        <w:rPr>
          <w:rFonts w:ascii="Times New Roman" w:hAnsi="Times New Roman" w:cs="Times New Roman"/>
          <w:color w:val="FF0000"/>
          <w:sz w:val="24"/>
          <w:szCs w:val="24"/>
        </w:rPr>
        <w:t xml:space="preserve"> gestionan el 50% de los activos financieros globales</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B7715B">
        <w:rPr>
          <w:rFonts w:ascii="Times New Roman" w:hAnsi="Times New Roman" w:cs="Times New Roman"/>
          <w:sz w:val="24"/>
          <w:szCs w:val="24"/>
        </w:rPr>
        <w:t>Laura Salces Acebes</w:t>
      </w:r>
      <w:r>
        <w:rPr>
          <w:rFonts w:ascii="Times New Roman" w:hAnsi="Times New Roman" w:cs="Times New Roman"/>
          <w:sz w:val="24"/>
          <w:szCs w:val="24"/>
        </w:rPr>
        <w:t>)</w:t>
      </w:r>
    </w:p>
    <w:p w:rsidR="007E3D39" w:rsidRPr="00B7715B" w:rsidRDefault="007E3D39" w:rsidP="007E3D39">
      <w:pPr>
        <w:spacing w:line="240" w:lineRule="auto"/>
        <w:jc w:val="both"/>
        <w:rPr>
          <w:rFonts w:ascii="Times New Roman" w:hAnsi="Times New Roman" w:cs="Times New Roman"/>
          <w:sz w:val="24"/>
          <w:szCs w:val="24"/>
        </w:rPr>
      </w:pPr>
      <w:r>
        <w:rPr>
          <w:noProof/>
          <w:lang w:eastAsia="es-ES"/>
        </w:rPr>
        <w:drawing>
          <wp:inline distT="0" distB="0" distL="0" distR="0" wp14:anchorId="615C3C2B" wp14:editId="2A7D35BC">
            <wp:extent cx="5715000" cy="3067050"/>
            <wp:effectExtent l="0" t="0" r="0" b="0"/>
            <wp:docPr id="77" name="Imagen 77" descr="https://imagenes.elpais.com/resizer/WnlQFHE7sxSh2vSAic36RBKUwJU=/414x0/cloudfront-eu-central-1.images.arcpublishing.com/prisa/HS7GH6DHXJAB7KSM4A6SLYCLR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imagenes.elpais.com/resizer/WnlQFHE7sxSh2vSAic36RBKUwJU=/414x0/cloudfront-eu-central-1.images.arcpublishing.com/prisa/HS7GH6DHXJAB7KSM4A6SLYCLRU.pn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15000" cy="3067050"/>
                    </a:xfrm>
                    <a:prstGeom prst="rect">
                      <a:avLst/>
                    </a:prstGeom>
                    <a:noFill/>
                    <a:ln>
                      <a:noFill/>
                    </a:ln>
                  </pic:spPr>
                </pic:pic>
              </a:graphicData>
            </a:graphic>
          </wp:inline>
        </w:drawing>
      </w:r>
    </w:p>
    <w:p w:rsidR="007E3D39" w:rsidRPr="00786286" w:rsidRDefault="007E3D39" w:rsidP="007E3D39">
      <w:pPr>
        <w:spacing w:line="240" w:lineRule="auto"/>
        <w:jc w:val="both"/>
        <w:rPr>
          <w:rFonts w:ascii="Times New Roman" w:hAnsi="Times New Roman" w:cs="Times New Roman"/>
          <w:color w:val="FF0000"/>
          <w:sz w:val="24"/>
          <w:szCs w:val="24"/>
          <w:u w:val="single"/>
        </w:rPr>
      </w:pPr>
      <w:r w:rsidRPr="00786286">
        <w:rPr>
          <w:rFonts w:ascii="Times New Roman" w:hAnsi="Times New Roman" w:cs="Times New Roman"/>
          <w:color w:val="FF0000"/>
          <w:sz w:val="24"/>
          <w:szCs w:val="24"/>
          <w:u w:val="single"/>
        </w:rPr>
        <w:t xml:space="preserve">El temor a la banca en la sombra es desde hace años el lobo con el que atemorizan supervisores y banqueros centrales pero que no termina de llegar. El Fondo Monetario </w:t>
      </w:r>
      <w:r w:rsidRPr="00786286">
        <w:rPr>
          <w:rFonts w:ascii="Times New Roman" w:hAnsi="Times New Roman" w:cs="Times New Roman"/>
          <w:color w:val="FF0000"/>
          <w:sz w:val="24"/>
          <w:szCs w:val="24"/>
          <w:u w:val="single"/>
        </w:rPr>
        <w:lastRenderedPageBreak/>
        <w:t>Internacional (FMI) ha endurecido sus advertencias sobre la industria financiera no bancaria (IFNB), que ya representa casi el 50% de la financiación mundial y de cuya resistencia ante el alza de tipos de interés depende, según la institución económica mundial, la estabilidad financiera mundial.</w:t>
      </w:r>
    </w:p>
    <w:p w:rsidR="007E3D39" w:rsidRPr="00786286" w:rsidRDefault="007E3D39" w:rsidP="007E3D39">
      <w:pPr>
        <w:spacing w:line="240" w:lineRule="auto"/>
        <w:jc w:val="both"/>
        <w:rPr>
          <w:rFonts w:ascii="Times New Roman" w:hAnsi="Times New Roman" w:cs="Times New Roman"/>
          <w:color w:val="FF0000"/>
          <w:sz w:val="24"/>
          <w:szCs w:val="24"/>
          <w:u w:val="single"/>
        </w:rPr>
      </w:pPr>
      <w:r w:rsidRPr="00786286">
        <w:rPr>
          <w:rFonts w:ascii="Times New Roman" w:hAnsi="Times New Roman" w:cs="Times New Roman"/>
          <w:color w:val="FF0000"/>
          <w:sz w:val="24"/>
          <w:szCs w:val="24"/>
          <w:u w:val="single"/>
        </w:rPr>
        <w:t>La banca en la sombra, término bajo el que se agrupan a los fondos de pensiones, compañías asegurad</w:t>
      </w:r>
      <w:r>
        <w:rPr>
          <w:rFonts w:ascii="Times New Roman" w:hAnsi="Times New Roman" w:cs="Times New Roman"/>
          <w:color w:val="FF0000"/>
          <w:sz w:val="24"/>
          <w:szCs w:val="24"/>
          <w:u w:val="single"/>
        </w:rPr>
        <w:t>oras y fondos de cobertura (hed</w:t>
      </w:r>
      <w:r w:rsidRPr="00786286">
        <w:rPr>
          <w:rFonts w:ascii="Times New Roman" w:hAnsi="Times New Roman" w:cs="Times New Roman"/>
          <w:color w:val="FF0000"/>
          <w:sz w:val="24"/>
          <w:szCs w:val="24"/>
          <w:u w:val="single"/>
        </w:rPr>
        <w:t>ge funds) gestiona ya 239 billones de dólares.</w:t>
      </w:r>
      <w:r w:rsidRPr="00786286">
        <w:rPr>
          <w:rFonts w:ascii="Times New Roman" w:hAnsi="Times New Roman" w:cs="Times New Roman"/>
          <w:color w:val="FF0000"/>
          <w:sz w:val="24"/>
          <w:szCs w:val="24"/>
        </w:rPr>
        <w:t xml:space="preserve"> </w:t>
      </w:r>
      <w:r w:rsidRPr="00B7715B">
        <w:rPr>
          <w:rFonts w:ascii="Times New Roman" w:hAnsi="Times New Roman" w:cs="Times New Roman"/>
          <w:sz w:val="24"/>
          <w:szCs w:val="24"/>
        </w:rPr>
        <w:t xml:space="preserve">Durante años el negocio de este tipo de firmas se ha visto favorecido por tipos de interés ultralaxos y una liquidez a raudales, pero el FMI advierte que las recientes tensiones de Silicon Valley Bank y Signature Bank en Estados Unidos, y el colapso de Credit Suisse en Europa y su fusión a toda prisa con UBS “son un poderoso recordatorio de las elevadas vulnerabilidades financieras acumuladas a lo largo de años de tipos bajos”. </w:t>
      </w:r>
      <w:r w:rsidRPr="00786286">
        <w:rPr>
          <w:rFonts w:ascii="Times New Roman" w:hAnsi="Times New Roman" w:cs="Times New Roman"/>
          <w:color w:val="FF0000"/>
          <w:sz w:val="24"/>
          <w:szCs w:val="24"/>
          <w:u w:val="single"/>
        </w:rPr>
        <w:t>Unos riesgos que, según el informe, “podrían intensificarse en los próximos meses, en un contexto de endurecimiento continuo de la política monetaria a escala mundial”.</w:t>
      </w:r>
    </w:p>
    <w:p w:rsidR="007E3D39" w:rsidRPr="00B7715B" w:rsidRDefault="007E3D39" w:rsidP="007E3D39">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En esa línea, dentro de la zona euro, el vicepresidente del BCE, Luis de Guindos, ha reconocido en sus últimas intervenciones su preocupación por la situación de los fondos de inversión, señalándolos incluso como “la principal vulnerabilidad a futuro del sect</w:t>
      </w:r>
      <w:r>
        <w:rPr>
          <w:rFonts w:ascii="Times New Roman" w:hAnsi="Times New Roman" w:cs="Times New Roman"/>
          <w:sz w:val="24"/>
          <w:szCs w:val="24"/>
        </w:rPr>
        <w:t>or financiero de la zona euro”.</w:t>
      </w:r>
    </w:p>
    <w:p w:rsidR="007E3D39" w:rsidRPr="00786286" w:rsidRDefault="007E3D39" w:rsidP="007E3D39">
      <w:pPr>
        <w:spacing w:line="240" w:lineRule="auto"/>
        <w:jc w:val="both"/>
        <w:rPr>
          <w:rFonts w:ascii="Times New Roman" w:hAnsi="Times New Roman" w:cs="Times New Roman"/>
          <w:color w:val="FF0000"/>
          <w:sz w:val="24"/>
          <w:szCs w:val="24"/>
          <w:u w:val="single"/>
        </w:rPr>
      </w:pPr>
      <w:r w:rsidRPr="00786286">
        <w:rPr>
          <w:rFonts w:ascii="Times New Roman" w:hAnsi="Times New Roman" w:cs="Times New Roman"/>
          <w:color w:val="FF0000"/>
          <w:sz w:val="24"/>
          <w:szCs w:val="24"/>
          <w:u w:val="single"/>
        </w:rPr>
        <w:t>El FMI reconoce que las vulnerabilidades de esta industria se han incrementado en la última década y que tienen a resurgir en momentos en los que se lig</w:t>
      </w:r>
      <w:r>
        <w:rPr>
          <w:rFonts w:ascii="Times New Roman" w:hAnsi="Times New Roman" w:cs="Times New Roman"/>
          <w:color w:val="FF0000"/>
          <w:sz w:val="24"/>
          <w:szCs w:val="24"/>
          <w:u w:val="single"/>
        </w:rPr>
        <w:t>an a un elevado apalancamiento -como el actual-</w:t>
      </w:r>
      <w:r w:rsidRPr="00786286">
        <w:rPr>
          <w:rFonts w:ascii="Times New Roman" w:hAnsi="Times New Roman" w:cs="Times New Roman"/>
          <w:color w:val="FF0000"/>
          <w:sz w:val="24"/>
          <w:szCs w:val="24"/>
          <w:u w:val="single"/>
        </w:rPr>
        <w:t>.</w:t>
      </w:r>
    </w:p>
    <w:p w:rsidR="007E3D39" w:rsidRPr="00B7715B" w:rsidRDefault="007E3D39" w:rsidP="007E3D39">
      <w:pPr>
        <w:spacing w:line="240" w:lineRule="auto"/>
        <w:jc w:val="both"/>
        <w:rPr>
          <w:rFonts w:ascii="Times New Roman" w:hAnsi="Times New Roman" w:cs="Times New Roman"/>
          <w:sz w:val="24"/>
          <w:szCs w:val="24"/>
        </w:rPr>
      </w:pPr>
      <w:r w:rsidRPr="00786286">
        <w:rPr>
          <w:rFonts w:ascii="Times New Roman" w:hAnsi="Times New Roman" w:cs="Times New Roman"/>
          <w:color w:val="FF0000"/>
          <w:sz w:val="24"/>
          <w:szCs w:val="24"/>
          <w:u w:val="single"/>
        </w:rPr>
        <w:t>Más allá, el FMI comenta que “los elevados niveles de interconexión entre la industria financiera no bancaria y la banca tradicional puede llegar a convertirse en un canal crucial de amplificación de las tensiones financieras”</w:t>
      </w:r>
      <w:r w:rsidRPr="00B7715B">
        <w:rPr>
          <w:rFonts w:ascii="Times New Roman" w:hAnsi="Times New Roman" w:cs="Times New Roman"/>
          <w:sz w:val="24"/>
          <w:szCs w:val="24"/>
        </w:rPr>
        <w:t>. Una tensión que ya fue palpable el pasado mes de octubre, cuando la escalada de los rendimientos de la deuda soberana británica provocó un terremoto financiero que se llevó por delante a la por entonces primera ministra, Liss Truss. La clave de las turbulencias estuvo entonces en las coberturas utilizadas por los fondos de pensiones de Reino Unido para cubrirse ante la posible depreciación de los bonos en los que invertían. Para cubrir las coberturas, los fondos tuvieron que vender deuda, e</w:t>
      </w:r>
      <w:r>
        <w:rPr>
          <w:rFonts w:ascii="Times New Roman" w:hAnsi="Times New Roman" w:cs="Times New Roman"/>
          <w:sz w:val="24"/>
          <w:szCs w:val="24"/>
        </w:rPr>
        <w:t>levando aún más su rendimiento.</w:t>
      </w:r>
    </w:p>
    <w:p w:rsidR="007E3D39" w:rsidRPr="00786286" w:rsidRDefault="007E3D39" w:rsidP="007E3D39">
      <w:pPr>
        <w:spacing w:line="240" w:lineRule="auto"/>
        <w:jc w:val="both"/>
        <w:rPr>
          <w:rFonts w:ascii="Times New Roman" w:hAnsi="Times New Roman" w:cs="Times New Roman"/>
          <w:color w:val="FF0000"/>
          <w:sz w:val="24"/>
          <w:szCs w:val="24"/>
          <w:u w:val="single"/>
        </w:rPr>
      </w:pPr>
      <w:r w:rsidRPr="00786286">
        <w:rPr>
          <w:rFonts w:ascii="Times New Roman" w:hAnsi="Times New Roman" w:cs="Times New Roman"/>
          <w:color w:val="FF0000"/>
          <w:sz w:val="24"/>
          <w:szCs w:val="24"/>
          <w:u w:val="single"/>
        </w:rPr>
        <w:t>El FMI ve necesario elevar la vigilancia, regulación y supervisión sobre la banca en la sombra y que las autoridades reduzcan algunas “lagunas” sobre el apalancamiento de estas entidades y el uso de derivados financieros. El organismo se muestra incluso a favor de fijar requisitos de capital y liquidez para estas firmas ya que, apunta, así tomarían menos riesgos y se reduciría “la necesidad y la frecuencia de la intervención de los bancos centrales para proporcionar liquidez en caso de crisis sistémica”.</w:t>
      </w:r>
    </w:p>
    <w:p w:rsidR="007E3D39" w:rsidRDefault="007E3D39" w:rsidP="007E3D39">
      <w:pPr>
        <w:spacing w:line="240" w:lineRule="auto"/>
        <w:jc w:val="both"/>
        <w:rPr>
          <w:rFonts w:ascii="Times New Roman" w:hAnsi="Times New Roman" w:cs="Times New Roman"/>
          <w:sz w:val="24"/>
          <w:szCs w:val="24"/>
        </w:rPr>
      </w:pPr>
      <w:r w:rsidRPr="00B7715B">
        <w:rPr>
          <w:rFonts w:ascii="Times New Roman" w:hAnsi="Times New Roman" w:cs="Times New Roman"/>
          <w:sz w:val="24"/>
          <w:szCs w:val="24"/>
        </w:rPr>
        <w:t>Más allá, apunta que llegado el caso de que los bancos centrales tuvieran que intervenir, esa inyección en el mercado debe tener carácter temporal; la ayuda prestada debe realizarse a un tipo de interés elevado y regido por una mayor vigilancia, y debe tener un calendario claro para su devolución.</w:t>
      </w:r>
    </w:p>
    <w:p w:rsidR="007E3D39" w:rsidRPr="003C33BD"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C33BD">
        <w:rPr>
          <w:rFonts w:ascii="Times New Roman" w:hAnsi="Times New Roman" w:cs="Times New Roman"/>
          <w:sz w:val="24"/>
          <w:szCs w:val="24"/>
          <w:u w:val="single"/>
        </w:rPr>
        <w:t>Las 5D que dominan la economía mundial</w:t>
      </w:r>
      <w:r>
        <w:rPr>
          <w:rFonts w:ascii="Times New Roman" w:hAnsi="Times New Roman" w:cs="Times New Roman"/>
          <w:sz w:val="24"/>
          <w:szCs w:val="24"/>
        </w:rPr>
        <w:t xml:space="preserve"> (Cinco Días - </w:t>
      </w:r>
      <w:r w:rsidRPr="003C33BD">
        <w:rPr>
          <w:rFonts w:ascii="Times New Roman" w:hAnsi="Times New Roman" w:cs="Times New Roman"/>
          <w:b/>
          <w:sz w:val="24"/>
          <w:szCs w:val="24"/>
        </w:rPr>
        <w:t>7/4/23</w:t>
      </w:r>
      <w:r>
        <w:rPr>
          <w:rFonts w:ascii="Times New Roman" w:hAnsi="Times New Roman" w:cs="Times New Roman"/>
          <w:sz w:val="24"/>
          <w:szCs w:val="24"/>
        </w:rPr>
        <w:t>)</w:t>
      </w:r>
    </w:p>
    <w:p w:rsidR="007E3D39" w:rsidRPr="003C33BD" w:rsidRDefault="007E3D39" w:rsidP="007E3D39">
      <w:pPr>
        <w:spacing w:line="240" w:lineRule="auto"/>
        <w:jc w:val="both"/>
        <w:rPr>
          <w:rFonts w:ascii="Times New Roman" w:hAnsi="Times New Roman" w:cs="Times New Roman"/>
          <w:sz w:val="24"/>
          <w:szCs w:val="24"/>
        </w:rPr>
      </w:pPr>
      <w:r w:rsidRPr="003C33BD">
        <w:rPr>
          <w:rFonts w:ascii="Times New Roman" w:hAnsi="Times New Roman" w:cs="Times New Roman"/>
          <w:sz w:val="24"/>
          <w:szCs w:val="24"/>
        </w:rPr>
        <w:t>La demografía, la deuda, la deflación de salarios, la digitalización y la descompensación de divisas requieren soluciones estructurales conjuntas</w:t>
      </w:r>
    </w:p>
    <w:p w:rsidR="007E3D39" w:rsidRPr="003C33BD"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C33BD">
        <w:rPr>
          <w:rFonts w:ascii="Times New Roman" w:hAnsi="Times New Roman" w:cs="Times New Roman"/>
          <w:sz w:val="24"/>
          <w:szCs w:val="24"/>
        </w:rPr>
        <w:t>A</w:t>
      </w:r>
      <w:r>
        <w:rPr>
          <w:rFonts w:ascii="Times New Roman" w:hAnsi="Times New Roman" w:cs="Times New Roman"/>
          <w:sz w:val="24"/>
          <w:szCs w:val="24"/>
        </w:rPr>
        <w:t>lberto Espelocín)</w:t>
      </w:r>
    </w:p>
    <w:p w:rsidR="007E3D39" w:rsidRPr="003C33BD" w:rsidRDefault="007E3D39" w:rsidP="007E3D39">
      <w:pPr>
        <w:spacing w:line="240" w:lineRule="auto"/>
        <w:jc w:val="both"/>
        <w:rPr>
          <w:rFonts w:ascii="Times New Roman" w:hAnsi="Times New Roman" w:cs="Times New Roman"/>
          <w:sz w:val="24"/>
          <w:szCs w:val="24"/>
        </w:rPr>
      </w:pPr>
      <w:r w:rsidRPr="003C33BD">
        <w:rPr>
          <w:rFonts w:ascii="Times New Roman" w:hAnsi="Times New Roman" w:cs="Times New Roman"/>
          <w:sz w:val="24"/>
          <w:szCs w:val="24"/>
        </w:rPr>
        <w:lastRenderedPageBreak/>
        <w:t>Virar el rumbo de un crucero no es tarea fácil y requiere tiempo, más del que las gacelas usan en sus quiebros. Virar la globalización no es fácil, pero la geopolítica ha puesto en la mesa debates como proteccionismo, retraso de la agenda 2030 y la premura en olvidar los combustibles fósiles, seguridad nacional, políticas de stocks, la relevancia del olvidado sector primario y las polarizaciones de valoración de activos. No hay una solución perfecta a lo que nos enfrentamos, pero hay que actuar sobre los auténticos retos de la economía mundial a largo plazo y no utilizar solución parche que suel</w:t>
      </w:r>
      <w:r>
        <w:rPr>
          <w:rFonts w:ascii="Times New Roman" w:hAnsi="Times New Roman" w:cs="Times New Roman"/>
          <w:sz w:val="24"/>
          <w:szCs w:val="24"/>
        </w:rPr>
        <w:t>e marcar la política electoral.</w:t>
      </w:r>
    </w:p>
    <w:p w:rsidR="007E3D39" w:rsidRPr="007A44AF" w:rsidRDefault="007E3D39" w:rsidP="007E3D39">
      <w:pPr>
        <w:spacing w:line="240" w:lineRule="auto"/>
        <w:jc w:val="both"/>
        <w:rPr>
          <w:rFonts w:ascii="Times New Roman" w:hAnsi="Times New Roman" w:cs="Times New Roman"/>
          <w:b/>
          <w:color w:val="FF0000"/>
          <w:sz w:val="24"/>
          <w:szCs w:val="24"/>
          <w:u w:val="single"/>
        </w:rPr>
      </w:pPr>
      <w:r w:rsidRPr="007A44AF">
        <w:rPr>
          <w:rFonts w:ascii="Times New Roman" w:hAnsi="Times New Roman" w:cs="Times New Roman"/>
          <w:b/>
          <w:color w:val="FF0000"/>
          <w:sz w:val="24"/>
          <w:szCs w:val="24"/>
          <w:u w:val="single"/>
        </w:rPr>
        <w:t>Hay 5D que dominan la economía mundial: demografía, deuda, deflación de salarios, digitalización y descompensación de divisas, y esto no va de China vs Occidente: todos estamos afectos a las 5D y se requieren soluciones estructurales conjuntas.</w:t>
      </w:r>
    </w:p>
    <w:p w:rsidR="007E3D39" w:rsidRPr="007A44AF" w:rsidRDefault="007E3D39" w:rsidP="007E3D39">
      <w:pPr>
        <w:spacing w:line="240" w:lineRule="auto"/>
        <w:jc w:val="both"/>
        <w:rPr>
          <w:rFonts w:ascii="Times New Roman" w:hAnsi="Times New Roman" w:cs="Times New Roman"/>
          <w:color w:val="FF0000"/>
          <w:sz w:val="24"/>
          <w:szCs w:val="24"/>
          <w:u w:val="single"/>
        </w:rPr>
      </w:pPr>
      <w:r w:rsidRPr="007A44AF">
        <w:rPr>
          <w:rFonts w:ascii="Times New Roman" w:hAnsi="Times New Roman" w:cs="Times New Roman"/>
          <w:color w:val="FF0000"/>
          <w:sz w:val="24"/>
          <w:szCs w:val="24"/>
          <w:u w:val="single"/>
        </w:rPr>
        <w:t>La deuda acumulada para vivir en globalización, ya que vivir en ella y mantener el Estado de Bienestar son tareas incompatibles, ha llegado a niveles que son impagables y nos limita el crecimiento a largo plazo, con lo que estamos condenados a que el Estado vía incremento de la masa monetaria sea el comprador de esa deuda, y pueda generar con esos tipos bajos una sensación irreal de riqueza y, lo que es peor, burbujas y polarización de rentas.</w:t>
      </w:r>
    </w:p>
    <w:p w:rsidR="007E3D39" w:rsidRPr="007A44AF" w:rsidRDefault="007E3D39" w:rsidP="007E3D39">
      <w:pPr>
        <w:spacing w:line="240" w:lineRule="auto"/>
        <w:jc w:val="both"/>
        <w:rPr>
          <w:rFonts w:ascii="Times New Roman" w:hAnsi="Times New Roman" w:cs="Times New Roman"/>
          <w:color w:val="FF0000"/>
          <w:sz w:val="24"/>
          <w:szCs w:val="24"/>
          <w:u w:val="single"/>
        </w:rPr>
      </w:pPr>
      <w:r w:rsidRPr="007A44AF">
        <w:rPr>
          <w:rFonts w:ascii="Times New Roman" w:hAnsi="Times New Roman" w:cs="Times New Roman"/>
          <w:color w:val="FF0000"/>
          <w:sz w:val="24"/>
          <w:szCs w:val="24"/>
          <w:u w:val="single"/>
        </w:rPr>
        <w:t>El apagón demográfico, que se acentúa en esta década, será una fuente constante de mayor demanda de gasto y por lo tanto, de deuda. Estados Unidos tendrá que lidiar con una sociedad que envejece, en la que la sanidad pública puede requerir un gasto ingente para hacerla social y, en el caso de China, habrá que ver si la sociedad demanda un Estado de Bienestar a la europea.</w:t>
      </w:r>
    </w:p>
    <w:p w:rsidR="007E3D39" w:rsidRPr="007A44AF" w:rsidRDefault="007E3D39" w:rsidP="007E3D39">
      <w:pPr>
        <w:spacing w:line="240" w:lineRule="auto"/>
        <w:jc w:val="both"/>
        <w:rPr>
          <w:rFonts w:ascii="Times New Roman" w:hAnsi="Times New Roman" w:cs="Times New Roman"/>
          <w:color w:val="FF0000"/>
          <w:sz w:val="24"/>
          <w:szCs w:val="24"/>
          <w:u w:val="single"/>
        </w:rPr>
      </w:pPr>
      <w:r w:rsidRPr="007A44AF">
        <w:rPr>
          <w:rFonts w:ascii="Times New Roman" w:hAnsi="Times New Roman" w:cs="Times New Roman"/>
          <w:color w:val="FF0000"/>
          <w:sz w:val="24"/>
          <w:szCs w:val="24"/>
          <w:u w:val="single"/>
        </w:rPr>
        <w:t>La digitalización (robotización e inteligencia artificial) tiene doble cara, ya que dinamiza la productividad, pero pone en jaque el factor trabajo, al hacerlo sustituible. La globalización ha creado economías de servicios en Occidente, con lo que la pérdida de un trabajador por tecnología no suele derivar en un nuevo puesto de trabajo con mayores capacidades y mayor productividad. La gran pregunta fiscal es si los robots deben de pagar impuestos como si fueran rentas de trabajo para así evitar ese drenaje de ingresos fiscales derivado de la tecnología, lo que unido al apagón demográfico nos condena a seguir endeudándoos para mantener el costoso Estado de Bienestar y dar solución a los afectados de la tecnología, que en su mayor parte demandarán su subvención social.</w:t>
      </w:r>
    </w:p>
    <w:p w:rsidR="007E3D39" w:rsidRPr="007A44AF" w:rsidRDefault="007E3D39" w:rsidP="007E3D39">
      <w:pPr>
        <w:spacing w:line="240" w:lineRule="auto"/>
        <w:jc w:val="both"/>
        <w:rPr>
          <w:rFonts w:ascii="Times New Roman" w:hAnsi="Times New Roman" w:cs="Times New Roman"/>
          <w:color w:val="FF0000"/>
          <w:sz w:val="24"/>
          <w:szCs w:val="24"/>
          <w:u w:val="single"/>
        </w:rPr>
      </w:pPr>
      <w:r w:rsidRPr="007A44AF">
        <w:rPr>
          <w:rFonts w:ascii="Times New Roman" w:hAnsi="Times New Roman" w:cs="Times New Roman"/>
          <w:color w:val="FF0000"/>
          <w:sz w:val="24"/>
          <w:szCs w:val="24"/>
          <w:u w:val="single"/>
        </w:rPr>
        <w:t>La deflación de salarios seguirá presente en esta atemperada globalización, y es cierto que a medida que vayan quedando menos trabajadores que sustentan a mayores beneficiarios sociales, se pueden ver cifras de empleo que no reflejen la realidad del factor trabajo, al que habrá que seguir alimentando con subvención monetaria para evitar su sublevación política a favor de políticos que ponen en jaque la credibilidad bajo la que se sustenta esa confianza del sistema en una divisa que puede ser emitida infinitamente.</w:t>
      </w:r>
    </w:p>
    <w:p w:rsidR="007E3D39" w:rsidRPr="007A44AF" w:rsidRDefault="007E3D39" w:rsidP="007E3D39">
      <w:pPr>
        <w:spacing w:line="240" w:lineRule="auto"/>
        <w:jc w:val="both"/>
        <w:rPr>
          <w:rFonts w:ascii="Times New Roman" w:hAnsi="Times New Roman" w:cs="Times New Roman"/>
          <w:color w:val="FF0000"/>
          <w:sz w:val="24"/>
          <w:szCs w:val="24"/>
          <w:u w:val="single"/>
        </w:rPr>
      </w:pPr>
      <w:r w:rsidRPr="007A44AF">
        <w:rPr>
          <w:rFonts w:ascii="Times New Roman" w:hAnsi="Times New Roman" w:cs="Times New Roman"/>
          <w:color w:val="FF0000"/>
          <w:sz w:val="24"/>
          <w:szCs w:val="24"/>
          <w:u w:val="single"/>
        </w:rPr>
        <w:t>La descompensación de divisas es un efecto que pone en juego los sistemas monetarios, y si bien nosotros podemos con nuestras fiat currencies solucionar cualquier problema de gasto que no se puede cubrir con nuestros ingresos naturales, existen otros países que, siendo soberanos monetarios como todos, tienen una divisa que no es creíble y se ven obligados a devaluar sus monedas. Nosotros las devastamos silenciosamente, en proporciones enormes, lo que hace que el factor capital busque esos mejores márgenes de producir con mano de obra barata, o producir in-house con un robot, haciendo que el propio sistema monetario no sea el mejor aliado del trabajo.</w:t>
      </w:r>
    </w:p>
    <w:p w:rsidR="007E3D39" w:rsidRPr="003C33BD" w:rsidRDefault="007E3D39" w:rsidP="007E3D39">
      <w:pPr>
        <w:spacing w:line="240" w:lineRule="auto"/>
        <w:jc w:val="both"/>
        <w:rPr>
          <w:rFonts w:ascii="Times New Roman" w:hAnsi="Times New Roman" w:cs="Times New Roman"/>
          <w:sz w:val="24"/>
          <w:szCs w:val="24"/>
        </w:rPr>
      </w:pPr>
      <w:r w:rsidRPr="007A44AF">
        <w:rPr>
          <w:rFonts w:ascii="Times New Roman" w:hAnsi="Times New Roman" w:cs="Times New Roman"/>
          <w:color w:val="FF0000"/>
          <w:sz w:val="24"/>
          <w:szCs w:val="24"/>
          <w:u w:val="single"/>
        </w:rPr>
        <w:t xml:space="preserve">Estas 5D son, sin duda, los grandes retos que tienen los Estados y solo una planificación a muy largo plazo, más propio de las economías totalitaristas dirigidas que de las de libre </w:t>
      </w:r>
      <w:r w:rsidRPr="007A44AF">
        <w:rPr>
          <w:rFonts w:ascii="Times New Roman" w:hAnsi="Times New Roman" w:cs="Times New Roman"/>
          <w:color w:val="FF0000"/>
          <w:sz w:val="24"/>
          <w:szCs w:val="24"/>
          <w:u w:val="single"/>
        </w:rPr>
        <w:lastRenderedPageBreak/>
        <w:t>mercado, puede hacer que viremos algo para evitar quizás lo inevitable, que es acabar en una década de bajo crecimiento con alta deuda y deflación</w:t>
      </w:r>
      <w:r>
        <w:rPr>
          <w:rFonts w:ascii="Times New Roman" w:hAnsi="Times New Roman" w:cs="Times New Roman"/>
          <w:sz w:val="24"/>
          <w:szCs w:val="24"/>
        </w:rPr>
        <w:t>. Los bancos c</w:t>
      </w:r>
      <w:r w:rsidRPr="003C33BD">
        <w:rPr>
          <w:rFonts w:ascii="Times New Roman" w:hAnsi="Times New Roman" w:cs="Times New Roman"/>
          <w:sz w:val="24"/>
          <w:szCs w:val="24"/>
        </w:rPr>
        <w:t>entrales están aprendiendo de las consecuencias de la era post-Lehman, de utilizar no solo tipos cero, sino expandir su balance de forma ilimitada. Nadie puso pegas a ello y, de facto, en aquellos años las economías vivían en un sueño sin inflación, el pobre Fisher y su ecuación había muerto y florecían los monetaristas modernos. Y la reflexión es que, claro que había inflación, pero inflación en activos reales y financieros (doble burbuja de bonos al 0% y burbuja FAANMG+T). Sin darnos cuenta, el dinero solo estaba llegando a unos sectores y los rápidos relatos del mundo hicieron que estigmatizáramos gran parte de la oferta de materias primas mundial, y cuando la demanda de materias primas ha vuelto a su ser, la inflación ha encontrado la puerta por donde colarse, y una vez dentro se expande sin control. Solo queda ahora esperar a que las bases temporales de inflación hagan que esta baje, aunque la devaluación implícita del 10% de la inflación la llevamos ya a la espalda, y a que la demanda a estos precios se ajuste para verlos caer y para volver a ver los tipos bajar, que será su tendencia natural, ya que las 5D por definición son deflacionarias a largo plazo.</w:t>
      </w:r>
    </w:p>
    <w:p w:rsidR="007E3D39" w:rsidRPr="003C33BD" w:rsidRDefault="007E3D39" w:rsidP="007E3D39">
      <w:pPr>
        <w:spacing w:line="240" w:lineRule="auto"/>
        <w:jc w:val="both"/>
        <w:rPr>
          <w:rFonts w:ascii="Times New Roman" w:hAnsi="Times New Roman" w:cs="Times New Roman"/>
          <w:sz w:val="24"/>
          <w:szCs w:val="24"/>
        </w:rPr>
      </w:pPr>
      <w:r w:rsidRPr="003C33BD">
        <w:rPr>
          <w:rFonts w:ascii="Times New Roman" w:hAnsi="Times New Roman" w:cs="Times New Roman"/>
          <w:sz w:val="24"/>
          <w:szCs w:val="24"/>
        </w:rPr>
        <w:t>Quizás hacía años que no se había presentado una oportunidad tan clara en el mercado de renta fija, pero sabiendo que los emisores son economías que tienen deberes relevantes para dar soluciones a toda</w:t>
      </w:r>
      <w:r>
        <w:rPr>
          <w:rFonts w:ascii="Times New Roman" w:hAnsi="Times New Roman" w:cs="Times New Roman"/>
          <w:sz w:val="24"/>
          <w:szCs w:val="24"/>
        </w:rPr>
        <w:t xml:space="preserve"> la sociedad y no a unos pocos.</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C33BD">
        <w:rPr>
          <w:rFonts w:ascii="Times New Roman" w:hAnsi="Times New Roman" w:cs="Times New Roman"/>
          <w:sz w:val="24"/>
          <w:szCs w:val="24"/>
        </w:rPr>
        <w:t>Alberto Espelosín es analista financiero</w:t>
      </w:r>
      <w:r>
        <w:rPr>
          <w:rFonts w:ascii="Times New Roman" w:hAnsi="Times New Roman" w:cs="Times New Roman"/>
          <w:sz w:val="24"/>
          <w:szCs w:val="24"/>
        </w:rPr>
        <w:t>)</w:t>
      </w:r>
    </w:p>
    <w:p w:rsidR="007E3D39" w:rsidRPr="003767E7"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767E7">
        <w:rPr>
          <w:rFonts w:ascii="Times New Roman" w:hAnsi="Times New Roman" w:cs="Times New Roman"/>
          <w:sz w:val="24"/>
          <w:szCs w:val="24"/>
          <w:u w:val="single"/>
        </w:rPr>
        <w:t>El tic-tac del momento Minsky o cómo la banca en la sombra puede convertirse en el nuevo accidente financiero</w:t>
      </w:r>
      <w:r>
        <w:rPr>
          <w:rFonts w:ascii="Times New Roman" w:hAnsi="Times New Roman" w:cs="Times New Roman"/>
          <w:sz w:val="24"/>
          <w:szCs w:val="24"/>
        </w:rPr>
        <w:t xml:space="preserve"> (El Economista - </w:t>
      </w:r>
      <w:r w:rsidRPr="003767E7">
        <w:rPr>
          <w:rFonts w:ascii="Times New Roman" w:hAnsi="Times New Roman" w:cs="Times New Roman"/>
          <w:b/>
          <w:sz w:val="24"/>
          <w:szCs w:val="24"/>
        </w:rPr>
        <w:t>11/4/23</w:t>
      </w:r>
      <w:r>
        <w:rPr>
          <w:rFonts w:ascii="Times New Roman" w:hAnsi="Times New Roman" w:cs="Times New Roman"/>
          <w:sz w:val="24"/>
          <w:szCs w:val="24"/>
        </w:rPr>
        <w:t>)</w:t>
      </w:r>
    </w:p>
    <w:p w:rsidR="007E3D39" w:rsidRPr="003F60EE" w:rsidRDefault="007E3D39" w:rsidP="007E3D39">
      <w:pPr>
        <w:spacing w:line="240" w:lineRule="auto"/>
        <w:jc w:val="both"/>
        <w:rPr>
          <w:rFonts w:ascii="Times New Roman" w:hAnsi="Times New Roman" w:cs="Times New Roman"/>
          <w:color w:val="FF0000"/>
          <w:sz w:val="24"/>
          <w:szCs w:val="24"/>
        </w:rPr>
      </w:pPr>
      <w:r w:rsidRPr="003F60EE">
        <w:rPr>
          <w:rFonts w:ascii="Times New Roman" w:hAnsi="Times New Roman" w:cs="Times New Roman"/>
          <w:color w:val="FF0000"/>
          <w:sz w:val="24"/>
          <w:szCs w:val="24"/>
        </w:rPr>
        <w:t xml:space="preserve">Allianz asegura </w:t>
      </w:r>
      <w:r>
        <w:rPr>
          <w:rFonts w:ascii="Times New Roman" w:hAnsi="Times New Roman" w:cs="Times New Roman"/>
          <w:color w:val="FF0000"/>
          <w:sz w:val="24"/>
          <w:szCs w:val="24"/>
        </w:rPr>
        <w:t>que la banca en la sombra será “el próximo accidente financiero”</w:t>
      </w:r>
    </w:p>
    <w:p w:rsidR="007E3D39" w:rsidRPr="003F60EE" w:rsidRDefault="007E3D39" w:rsidP="007E3D39">
      <w:pPr>
        <w:spacing w:line="240" w:lineRule="auto"/>
        <w:jc w:val="both"/>
        <w:rPr>
          <w:rFonts w:ascii="Times New Roman" w:hAnsi="Times New Roman" w:cs="Times New Roman"/>
          <w:color w:val="FF0000"/>
          <w:sz w:val="24"/>
          <w:szCs w:val="24"/>
        </w:rPr>
      </w:pPr>
      <w:r w:rsidRPr="003F60EE">
        <w:rPr>
          <w:rFonts w:ascii="Times New Roman" w:hAnsi="Times New Roman" w:cs="Times New Roman"/>
          <w:color w:val="FF0000"/>
          <w:sz w:val="24"/>
          <w:szCs w:val="24"/>
        </w:rPr>
        <w:t>El crecimiento de estas instituciones casi duplica al de la banca tradicional</w:t>
      </w:r>
    </w:p>
    <w:p w:rsidR="007E3D39" w:rsidRPr="003F60EE" w:rsidRDefault="007E3D39" w:rsidP="007E3D39">
      <w:pPr>
        <w:spacing w:line="240" w:lineRule="auto"/>
        <w:jc w:val="both"/>
        <w:rPr>
          <w:rFonts w:ascii="Times New Roman" w:hAnsi="Times New Roman" w:cs="Times New Roman"/>
          <w:color w:val="FF0000"/>
          <w:sz w:val="24"/>
          <w:szCs w:val="24"/>
        </w:rPr>
      </w:pPr>
      <w:r w:rsidRPr="003F60EE">
        <w:rPr>
          <w:rFonts w:ascii="Times New Roman" w:hAnsi="Times New Roman" w:cs="Times New Roman"/>
          <w:color w:val="FF0000"/>
          <w:sz w:val="24"/>
          <w:szCs w:val="24"/>
        </w:rPr>
        <w:t>La banca en la sombra global aglutina más de 68 billones de dólares en activos</w:t>
      </w:r>
    </w:p>
    <w:p w:rsidR="007E3D39" w:rsidRPr="003767E7"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767E7">
        <w:rPr>
          <w:rFonts w:ascii="Times New Roman" w:hAnsi="Times New Roman" w:cs="Times New Roman"/>
          <w:sz w:val="24"/>
          <w:szCs w:val="24"/>
        </w:rPr>
        <w:t>Vicente Nieves</w:t>
      </w:r>
      <w:r>
        <w:rPr>
          <w:rFonts w:ascii="Times New Roman" w:hAnsi="Times New Roman" w:cs="Times New Roman"/>
          <w:sz w:val="24"/>
          <w:szCs w:val="24"/>
        </w:rPr>
        <w:t>)</w:t>
      </w:r>
    </w:p>
    <w:p w:rsidR="007E3D39" w:rsidRPr="003767E7" w:rsidRDefault="007E3D39" w:rsidP="007E3D3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La histórica subida de tipos de interés ya se ha dejado notar con intensidad en el sistema financiero global. El amago de crisis bancaria en EEUU y la Eurozona ha puesto sobre aviso a los mercados. Ahora, los inversores se muestran cautelosos a la espera de la siguiente víctima. Tras años de tipos bajos, creciente endeudamiento y búsqueda de riesgo (para obtener algo de rentabilidad), son muchas las cosas que se pueden 'romper' en medio de una subida de tipos. Sin embargo, los economistas de Allianz tienen claro cuál es el mayor riesgo a corto plazo: la banca en la sombra</w:t>
      </w:r>
      <w:r>
        <w:rPr>
          <w:rFonts w:ascii="Times New Roman" w:hAnsi="Times New Roman" w:cs="Times New Roman"/>
          <w:sz w:val="24"/>
          <w:szCs w:val="24"/>
        </w:rPr>
        <w:t xml:space="preserve"> será la próxima ficha en caer.</w:t>
      </w:r>
    </w:p>
    <w:p w:rsidR="007E3D39" w:rsidRPr="003767E7" w:rsidRDefault="007E3D39" w:rsidP="007E3D3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Para los analistas del gigante asegurador alemán, el próximo gran riesgo, el siguiente 'gigante' en tropezar, son las instituciones financieras no bancarias, el nombre elegante de la banca en la sombra. Y para explicarlo, recurren al rehabilitado concepto del 'mome</w:t>
      </w:r>
      <w:r>
        <w:rPr>
          <w:rFonts w:ascii="Times New Roman" w:hAnsi="Times New Roman" w:cs="Times New Roman"/>
          <w:sz w:val="24"/>
          <w:szCs w:val="24"/>
        </w:rPr>
        <w:t>nto Minsky' (usan la expresión “reloj Minsky”</w:t>
      </w:r>
      <w:r w:rsidRPr="003767E7">
        <w:rPr>
          <w:rFonts w:ascii="Times New Roman" w:hAnsi="Times New Roman" w:cs="Times New Roman"/>
          <w:sz w:val="24"/>
          <w:szCs w:val="24"/>
        </w:rPr>
        <w:t xml:space="preserve"> que inicia una cuenta atrás hasta el próximo accidente financiero), derivado de las teorías del economista Hyman Minsky, fallecido a mediados de los 90.</w:t>
      </w:r>
    </w:p>
    <w:p w:rsidR="007E3D39" w:rsidRPr="003767E7"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El sintagma “momento Minsky”</w:t>
      </w:r>
      <w:r w:rsidRPr="003767E7">
        <w:rPr>
          <w:rFonts w:ascii="Times New Roman" w:hAnsi="Times New Roman" w:cs="Times New Roman"/>
          <w:sz w:val="24"/>
          <w:szCs w:val="24"/>
        </w:rPr>
        <w:t xml:space="preserve"> se refiere al momento en el que los mercados colapsan tras un periodo de excesivo optimismo y complacencia. Pone nombre al final de un auge económico que ha animado a los inversores a asumir tanto riesgo que los préstamos superan lo que los prestatarios pueden devolver. En ese punto, cualquier acontecimiento desestabilizador puede obligar a los inversores a vender activos para obtener efectivo con el que devolver sus préstamos, desencadenando un colapso del mercado. </w:t>
      </w:r>
    </w:p>
    <w:p w:rsidR="007E3D39" w:rsidRPr="003767E7" w:rsidRDefault="007E3D39" w:rsidP="007E3D3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lastRenderedPageBreak/>
        <w:t xml:space="preserve">A este momento se puede llegar, por ejemplo, por un incremento de los costes de financiación (algo que está sucediendo en la actualidad). La subida de los tipos de interés puede generar problemas muy graves a las instituciones que se financian a muy corto plazo (préstamos a un día o una semana) y que invierten a muy largo plazo. ¿Quién opera de este modo? La banca en general, pero la banca </w:t>
      </w:r>
      <w:r>
        <w:rPr>
          <w:rFonts w:ascii="Times New Roman" w:hAnsi="Times New Roman" w:cs="Times New Roman"/>
          <w:sz w:val="24"/>
          <w:szCs w:val="24"/>
        </w:rPr>
        <w:t>en la sombra muy en particular.</w:t>
      </w:r>
    </w:p>
    <w:p w:rsidR="007E3D39" w:rsidRPr="003767E7" w:rsidRDefault="007E3D39" w:rsidP="007E3D3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La banca en la sombra está enormemente expuesta a lo que se conoce como el riesgo de transformación (o desajuste entre activos y pasivos). Mientras que una buena parte de sus activos ofrecen rentabilidades bajas (producto de los años de bajos tipos), su financiación de corto plazo se ha encarecido sobremanera en los últimos meses. Estas entidades tienen que refinanciar casi a diario muchos de sus pasivos, pagando cada vez un precio mayor, mientras que sus activos pueden ten</w:t>
      </w:r>
      <w:r>
        <w:rPr>
          <w:rFonts w:ascii="Times New Roman" w:hAnsi="Times New Roman" w:cs="Times New Roman"/>
          <w:sz w:val="24"/>
          <w:szCs w:val="24"/>
        </w:rPr>
        <w:t>er vencimientos de varios años.</w:t>
      </w:r>
    </w:p>
    <w:p w:rsidR="007E3D39" w:rsidRPr="003767E7" w:rsidRDefault="007E3D39" w:rsidP="007E3D3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Salvo en el caso de los activos que están sujetos a alguna cláusula o tipo variable, la banca en la sombra podría ver mermada la rentabilidad de sus operaciones (recibir unos intereses inferiores a los que paga por financiarse) y sufrir sobremanera en los próximos meses. Pero para comprender cómo funciona y se interrelacionan todas estas variables conviene remontarse a años atrás y comp</w:t>
      </w:r>
      <w:r>
        <w:rPr>
          <w:rFonts w:ascii="Times New Roman" w:hAnsi="Times New Roman" w:cs="Times New Roman"/>
          <w:sz w:val="24"/>
          <w:szCs w:val="24"/>
        </w:rPr>
        <w:t>render algunos conceptos clave…</w:t>
      </w:r>
    </w:p>
    <w:p w:rsidR="007E3D39" w:rsidRPr="003767E7" w:rsidRDefault="007E3D39" w:rsidP="007E3D3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¿Qué es la banca en la sombra?</w:t>
      </w:r>
    </w:p>
    <w:p w:rsidR="007E3D39" w:rsidRPr="003F60EE" w:rsidRDefault="007E3D39" w:rsidP="007E3D39">
      <w:pPr>
        <w:spacing w:line="240" w:lineRule="auto"/>
        <w:jc w:val="both"/>
        <w:rPr>
          <w:rFonts w:ascii="Times New Roman" w:hAnsi="Times New Roman" w:cs="Times New Roman"/>
          <w:color w:val="FF0000"/>
          <w:sz w:val="24"/>
          <w:szCs w:val="24"/>
          <w:u w:val="single"/>
        </w:rPr>
      </w:pPr>
      <w:r w:rsidRPr="003F60EE">
        <w:rPr>
          <w:rFonts w:ascii="Times New Roman" w:hAnsi="Times New Roman" w:cs="Times New Roman"/>
          <w:color w:val="FF0000"/>
          <w:sz w:val="24"/>
          <w:szCs w:val="24"/>
          <w:u w:val="single"/>
        </w:rPr>
        <w:t>Mientras que la polí</w:t>
      </w:r>
      <w:r>
        <w:rPr>
          <w:rFonts w:ascii="Times New Roman" w:hAnsi="Times New Roman" w:cs="Times New Roman"/>
          <w:color w:val="FF0000"/>
          <w:sz w:val="24"/>
          <w:szCs w:val="24"/>
          <w:u w:val="single"/>
        </w:rPr>
        <w:t>tica monetaria se endurece, el “momento Minsky”</w:t>
      </w:r>
      <w:r w:rsidRPr="003F60EE">
        <w:rPr>
          <w:rFonts w:ascii="Times New Roman" w:hAnsi="Times New Roman" w:cs="Times New Roman"/>
          <w:color w:val="FF0000"/>
          <w:sz w:val="24"/>
          <w:szCs w:val="24"/>
          <w:u w:val="single"/>
        </w:rPr>
        <w:t xml:space="preserve"> o algo similar se acerca... y la banca en la sombra parece cumplir varias de las características anteriores que hacer estallar todo por los aires cuando surgen este tipo de tensiones. Además, su fuerte crecimiento en los últimos años ha colocado a estas instituciones bajo la lupa de analistas y reguladores.</w:t>
      </w:r>
    </w:p>
    <w:p w:rsidR="007E3D39" w:rsidRPr="003F60EE" w:rsidRDefault="007E3D39" w:rsidP="007E3D39">
      <w:pPr>
        <w:spacing w:line="240" w:lineRule="auto"/>
        <w:jc w:val="both"/>
        <w:rPr>
          <w:rFonts w:ascii="Times New Roman" w:hAnsi="Times New Roman" w:cs="Times New Roman"/>
          <w:color w:val="FF0000"/>
          <w:sz w:val="24"/>
          <w:szCs w:val="24"/>
          <w:u w:val="single"/>
        </w:rPr>
      </w:pPr>
      <w:r w:rsidRPr="003F60EE">
        <w:rPr>
          <w:rFonts w:ascii="Times New Roman" w:hAnsi="Times New Roman" w:cs="Times New Roman"/>
          <w:color w:val="FF0000"/>
          <w:sz w:val="24"/>
          <w:szCs w:val="24"/>
          <w:u w:val="single"/>
        </w:rPr>
        <w:t>Los economistas Francisco del Olmo, Diego Aires, Fernando Rojas y Antonio Mota explican en</w:t>
      </w:r>
      <w:r>
        <w:rPr>
          <w:rFonts w:ascii="Times New Roman" w:hAnsi="Times New Roman" w:cs="Times New Roman"/>
          <w:color w:val="FF0000"/>
          <w:sz w:val="24"/>
          <w:szCs w:val="24"/>
          <w:u w:val="single"/>
        </w:rPr>
        <w:t xml:space="preserve"> una publicación de Funcas que “</w:t>
      </w:r>
      <w:r w:rsidRPr="003F60EE">
        <w:rPr>
          <w:rFonts w:ascii="Times New Roman" w:hAnsi="Times New Roman" w:cs="Times New Roman"/>
          <w:color w:val="FF0000"/>
          <w:sz w:val="24"/>
          <w:szCs w:val="24"/>
          <w:u w:val="single"/>
        </w:rPr>
        <w:t>se considera shadow banking o banca en la sombra a las entidades que desarrollan actividades de crédito fuera del ámbito bancario regulado, pero que, al no captar depósitos directamente y, por ende, los ahorros de las familias y empresas, no estarían reguladas de igual forma que los b</w:t>
      </w:r>
      <w:r>
        <w:rPr>
          <w:rFonts w:ascii="Times New Roman" w:hAnsi="Times New Roman" w:cs="Times New Roman"/>
          <w:color w:val="FF0000"/>
          <w:sz w:val="24"/>
          <w:szCs w:val="24"/>
          <w:u w:val="single"/>
        </w:rPr>
        <w:t>ancos comerciales tradicionales”</w:t>
      </w:r>
      <w:r w:rsidRPr="003F60EE">
        <w:rPr>
          <w:rFonts w:ascii="Times New Roman" w:hAnsi="Times New Roman" w:cs="Times New Roman"/>
          <w:color w:val="FF0000"/>
          <w:sz w:val="24"/>
          <w:szCs w:val="24"/>
          <w:u w:val="single"/>
        </w:rPr>
        <w:t>.</w:t>
      </w:r>
    </w:p>
    <w:p w:rsidR="007E3D39" w:rsidRPr="003767E7" w:rsidRDefault="007E3D39" w:rsidP="007E3D3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De shadow banking a NBFI</w:t>
      </w:r>
    </w:p>
    <w:p w:rsidR="007E3D39" w:rsidRPr="003767E7"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767E7">
        <w:rPr>
          <w:rFonts w:ascii="Times New Roman" w:hAnsi="Times New Roman" w:cs="Times New Roman"/>
          <w:sz w:val="24"/>
          <w:szCs w:val="24"/>
        </w:rPr>
        <w:t xml:space="preserve">Un hecho representativo de la propia heterogeneidad de este sector es que los informes sobre el estado de situación que publicaba el Consejo de Estabilidad Financiera de EEUU (FSB por sus siglas en inglés) con anterioridad a 2018 se denominaban como estudios globales sobre el estado de situación del shadow banking. Sin embargo, posteriormente, el FSB optó por cambiar la denominación de banca en la sombra por la de Non Banking Financial Institutions (NBFI), que se ha mantenido como el nombre empleado en la actualidad para definir a estas entidades y que representa, de una manera más fiel, la </w:t>
      </w:r>
      <w:r>
        <w:rPr>
          <w:rFonts w:ascii="Times New Roman" w:hAnsi="Times New Roman" w:cs="Times New Roman"/>
          <w:sz w:val="24"/>
          <w:szCs w:val="24"/>
        </w:rPr>
        <w:t>heterogeneidad de su naturaleza”</w:t>
      </w:r>
      <w:r w:rsidRPr="003767E7">
        <w:rPr>
          <w:rFonts w:ascii="Times New Roman" w:hAnsi="Times New Roman" w:cs="Times New Roman"/>
          <w:sz w:val="24"/>
          <w:szCs w:val="24"/>
        </w:rPr>
        <w:t xml:space="preserve">, explican los </w:t>
      </w:r>
      <w:r>
        <w:rPr>
          <w:rFonts w:ascii="Times New Roman" w:hAnsi="Times New Roman" w:cs="Times New Roman"/>
          <w:sz w:val="24"/>
          <w:szCs w:val="24"/>
        </w:rPr>
        <w:t>expertos de Funcas.</w:t>
      </w:r>
    </w:p>
    <w:p w:rsidR="007E3D39" w:rsidRPr="003767E7" w:rsidRDefault="007E3D39" w:rsidP="007E3D3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¿Qué está pasando con las NBFI? Un estudio de Oxford Economics admite que</w:t>
      </w:r>
      <w:r>
        <w:rPr>
          <w:rFonts w:ascii="Times New Roman" w:hAnsi="Times New Roman" w:cs="Times New Roman"/>
          <w:sz w:val="24"/>
          <w:szCs w:val="24"/>
        </w:rPr>
        <w:t xml:space="preserve"> la banca en la sombra ha sido “</w:t>
      </w:r>
      <w:r w:rsidRPr="003767E7">
        <w:rPr>
          <w:rFonts w:ascii="Times New Roman" w:hAnsi="Times New Roman" w:cs="Times New Roman"/>
          <w:sz w:val="24"/>
          <w:szCs w:val="24"/>
        </w:rPr>
        <w:t>una preocupación recurrente en los últimos años -los gestores de fondos así lo corroboraron en una reciente encuesta de Bank of America- en la medida que los activos en estos de estos bancos que están menos regulados, aumentaban con intensidad. Los activos de los bancos en la sombra han crecido consistentemente de forma más rápida que los activos bancarios convencional, alcanzando los 68 billones de dó</w:t>
      </w:r>
      <w:r>
        <w:rPr>
          <w:rFonts w:ascii="Times New Roman" w:hAnsi="Times New Roman" w:cs="Times New Roman"/>
          <w:sz w:val="24"/>
          <w:szCs w:val="24"/>
        </w:rPr>
        <w:t>lares en 2021 en su medida más “estrecha”</w:t>
      </w:r>
      <w:r w:rsidRPr="003767E7">
        <w:rPr>
          <w:rFonts w:ascii="Times New Roman" w:hAnsi="Times New Roman" w:cs="Times New Roman"/>
          <w:sz w:val="24"/>
          <w:szCs w:val="24"/>
        </w:rPr>
        <w:t xml:space="preserve"> que se compone de entidades que las autoridades han evaluado como involucradas en actividades de intermediación crediticia que pueden plantear problemas financieros </w:t>
      </w:r>
      <w:r w:rsidRPr="003767E7">
        <w:rPr>
          <w:rFonts w:ascii="Times New Roman" w:hAnsi="Times New Roman" w:cs="Times New Roman"/>
          <w:sz w:val="24"/>
          <w:szCs w:val="24"/>
        </w:rPr>
        <w:lastRenderedPageBreak/>
        <w:t xml:space="preserve">similares a los de los </w:t>
      </w:r>
      <w:r>
        <w:rPr>
          <w:rFonts w:ascii="Times New Roman" w:hAnsi="Times New Roman" w:cs="Times New Roman"/>
          <w:sz w:val="24"/>
          <w:szCs w:val="24"/>
        </w:rPr>
        <w:t>bancos y riesgos de estabilidad”</w:t>
      </w:r>
      <w:r w:rsidRPr="003767E7">
        <w:rPr>
          <w:rFonts w:ascii="Times New Roman" w:hAnsi="Times New Roman" w:cs="Times New Roman"/>
          <w:sz w:val="24"/>
          <w:szCs w:val="24"/>
        </w:rPr>
        <w:t>, asegura el estudio. Este es la medida más estrecha, es decir, parece más que probable que la banca en la sombra sea mucho más grande de lo que parece, pero su dificultad para rastrearla y analizarla impide que se pueda realizar u</w:t>
      </w:r>
      <w:r>
        <w:rPr>
          <w:rFonts w:ascii="Times New Roman" w:hAnsi="Times New Roman" w:cs="Times New Roman"/>
          <w:sz w:val="24"/>
          <w:szCs w:val="24"/>
        </w:rPr>
        <w:t>n cálculo exacto.</w:t>
      </w:r>
    </w:p>
    <w:p w:rsidR="007E3D39" w:rsidRDefault="007E3D39" w:rsidP="007E3D3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El crecimiento de la banca en la sombra a nivel global</w:t>
      </w:r>
    </w:p>
    <w:p w:rsidR="007E3D39" w:rsidRPr="003767E7" w:rsidRDefault="007E3D39" w:rsidP="007E3D39">
      <w:pPr>
        <w:spacing w:line="240" w:lineRule="auto"/>
        <w:jc w:val="both"/>
        <w:rPr>
          <w:rFonts w:ascii="Times New Roman" w:hAnsi="Times New Roman" w:cs="Times New Roman"/>
          <w:sz w:val="24"/>
          <w:szCs w:val="24"/>
        </w:rPr>
      </w:pPr>
      <w:r>
        <w:rPr>
          <w:noProof/>
          <w:lang w:eastAsia="es-ES"/>
        </w:rPr>
        <w:drawing>
          <wp:inline distT="0" distB="0" distL="0" distR="0" wp14:anchorId="5BF503A0" wp14:editId="6198F334">
            <wp:extent cx="5731510" cy="3721760"/>
            <wp:effectExtent l="0" t="0" r="2540" b="0"/>
            <wp:docPr id="78" name="Imagen 78" descr="https://s03.s3c.es/imag/_v0/2310x1500/7/4/6/banca-sombra-minsk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s03.s3c.es/imag/_v0/2310x1500/7/4/6/banca-sombra-minsky.gif"/>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31510" cy="3721760"/>
                    </a:xfrm>
                    <a:prstGeom prst="rect">
                      <a:avLst/>
                    </a:prstGeom>
                    <a:noFill/>
                    <a:ln>
                      <a:noFill/>
                    </a:ln>
                  </pic:spPr>
                </pic:pic>
              </a:graphicData>
            </a:graphic>
          </wp:inline>
        </w:drawing>
      </w:r>
    </w:p>
    <w:p w:rsidR="007E3D39" w:rsidRPr="00B46D1D" w:rsidRDefault="007E3D39" w:rsidP="007E3D39">
      <w:pPr>
        <w:spacing w:line="240" w:lineRule="auto"/>
        <w:jc w:val="both"/>
        <w:rPr>
          <w:rFonts w:ascii="Times New Roman" w:hAnsi="Times New Roman" w:cs="Times New Roman"/>
          <w:sz w:val="24"/>
          <w:szCs w:val="24"/>
          <w:u w:val="single"/>
        </w:rPr>
      </w:pPr>
      <w:r w:rsidRPr="003767E7">
        <w:rPr>
          <w:rFonts w:ascii="Times New Roman" w:hAnsi="Times New Roman" w:cs="Times New Roman"/>
          <w:sz w:val="24"/>
          <w:szCs w:val="24"/>
        </w:rPr>
        <w:t>De la parte de la banca en la sombra de la que se tienen datos se puede decir que los activos de este grupo de instituciones crecieron un 8% anual de 2016 a 2021 frente al 5,5% anual de los bancos regul</w:t>
      </w:r>
      <w:r>
        <w:rPr>
          <w:rFonts w:ascii="Times New Roman" w:hAnsi="Times New Roman" w:cs="Times New Roman"/>
          <w:sz w:val="24"/>
          <w:szCs w:val="24"/>
        </w:rPr>
        <w:t xml:space="preserve">ares o convencionales. </w:t>
      </w:r>
      <w:r w:rsidRPr="00B46D1D">
        <w:rPr>
          <w:rFonts w:ascii="Times New Roman" w:hAnsi="Times New Roman" w:cs="Times New Roman"/>
          <w:sz w:val="24"/>
          <w:szCs w:val="24"/>
          <w:u w:val="single"/>
        </w:rPr>
        <w:t>Además, “los vehículos de inversión colectiva que son susceptibles a sufrir corridas (pánicos que llevan a los inversores a retirar su dinero) crecieron especialmente rápido en 2021, con un crecimiento de casi el 11%”, aseguran desde Oxford Economics.</w:t>
      </w:r>
    </w:p>
    <w:p w:rsidR="007E3D39" w:rsidRPr="00B46D1D" w:rsidRDefault="007E3D39" w:rsidP="007E3D39">
      <w:pPr>
        <w:spacing w:line="240" w:lineRule="auto"/>
        <w:jc w:val="both"/>
        <w:rPr>
          <w:rFonts w:ascii="Times New Roman" w:hAnsi="Times New Roman" w:cs="Times New Roman"/>
          <w:color w:val="FF0000"/>
          <w:sz w:val="24"/>
          <w:szCs w:val="24"/>
          <w:u w:val="single"/>
        </w:rPr>
      </w:pPr>
      <w:r w:rsidRPr="00B46D1D">
        <w:rPr>
          <w:rFonts w:ascii="Times New Roman" w:hAnsi="Times New Roman" w:cs="Times New Roman"/>
          <w:color w:val="FF0000"/>
          <w:sz w:val="24"/>
          <w:szCs w:val="24"/>
          <w:u w:val="single"/>
        </w:rPr>
        <w:t>Por todo ello, “los reguladores continúan preocupados por el sector bancario en la sombra, particularmente por los altos niveles de riesgo crediticio y la transformación de vencimientos que realizan algunos segmentos (piden prestado a muy corto plazo e invierten en activos a muy largo plazo y, por tanto, muy ilíquidos), su capacidad para amplificar las tensiones de liquidez en tiempos de estrés y su conexión con los bancos es notable”, advierten desde Oxford Economics.</w:t>
      </w:r>
    </w:p>
    <w:p w:rsidR="007E3D39" w:rsidRPr="003767E7"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“Momento Minsky”</w:t>
      </w:r>
      <w:r w:rsidRPr="003767E7">
        <w:rPr>
          <w:rFonts w:ascii="Times New Roman" w:hAnsi="Times New Roman" w:cs="Times New Roman"/>
          <w:sz w:val="24"/>
          <w:szCs w:val="24"/>
        </w:rPr>
        <w:t xml:space="preserve"> y banca en la sombra</w:t>
      </w:r>
    </w:p>
    <w:p w:rsidR="007E3D39" w:rsidRPr="00B46D1D" w:rsidRDefault="007E3D39" w:rsidP="007E3D39">
      <w:pPr>
        <w:spacing w:line="240" w:lineRule="auto"/>
        <w:jc w:val="both"/>
        <w:rPr>
          <w:rFonts w:ascii="Times New Roman" w:hAnsi="Times New Roman" w:cs="Times New Roman"/>
          <w:color w:val="FF0000"/>
          <w:sz w:val="24"/>
          <w:szCs w:val="24"/>
          <w:u w:val="single"/>
        </w:rPr>
      </w:pPr>
      <w:r w:rsidRPr="00B46D1D">
        <w:rPr>
          <w:rFonts w:ascii="Times New Roman" w:hAnsi="Times New Roman" w:cs="Times New Roman"/>
          <w:color w:val="FF0000"/>
          <w:sz w:val="24"/>
          <w:szCs w:val="24"/>
          <w:u w:val="single"/>
        </w:rPr>
        <w:t xml:space="preserve">“El endurecimiento de la política monetaria está revelando las grietas del sistema financiero mundial. En el corazón del modelo Fisher-Minsky-Kindleberger de burbujas y crisis financieras está la idea de que la estabilidad engendra inestabilidad. De hecho, desde la Gran Crisis Financiera hasta 2021, los mercados de capitales experimentaron un largo período de baja inflación y bajos tipos de interés que, junto con el riesgo moral generalizado, fomentaron una búsqueda desenfrenada de rentabilidad. El endeudamiento total se disparó a medida que </w:t>
      </w:r>
      <w:r w:rsidRPr="00B46D1D">
        <w:rPr>
          <w:rFonts w:ascii="Times New Roman" w:hAnsi="Times New Roman" w:cs="Times New Roman"/>
          <w:color w:val="FF0000"/>
          <w:sz w:val="24"/>
          <w:szCs w:val="24"/>
          <w:u w:val="single"/>
        </w:rPr>
        <w:lastRenderedPageBreak/>
        <w:t>los inversores financiaban activos de riesgo mediante préstamos bancarios y no bancarios. Desde 2021, el giro hacia una política monetaria más restrictiva ha puesto de manifiesto las múltiples formas que adopta el apalancamiento”, explica en su último informe el equipo de investigación de Allianz encabezado por el economista jefe Ludovic Subran.</w:t>
      </w:r>
    </w:p>
    <w:p w:rsidR="007E3D39" w:rsidRPr="00B46D1D" w:rsidRDefault="007E3D39" w:rsidP="007E3D39">
      <w:pPr>
        <w:spacing w:line="240" w:lineRule="auto"/>
        <w:jc w:val="both"/>
        <w:rPr>
          <w:rFonts w:ascii="Times New Roman" w:hAnsi="Times New Roman" w:cs="Times New Roman"/>
          <w:sz w:val="24"/>
          <w:szCs w:val="24"/>
          <w:u w:val="single"/>
        </w:rPr>
      </w:pPr>
      <w:r w:rsidRPr="003767E7">
        <w:rPr>
          <w:rFonts w:ascii="Times New Roman" w:hAnsi="Times New Roman" w:cs="Times New Roman"/>
          <w:sz w:val="24"/>
          <w:szCs w:val="24"/>
        </w:rPr>
        <w:t>Tras citar casos recientes como de Greensill Capital, Archegos, los fondos de pensiones del Reino Unido, el del multimillonario in</w:t>
      </w:r>
      <w:r>
        <w:rPr>
          <w:rFonts w:ascii="Times New Roman" w:hAnsi="Times New Roman" w:cs="Times New Roman"/>
          <w:sz w:val="24"/>
          <w:szCs w:val="24"/>
        </w:rPr>
        <w:t>dio Adani, el de la plataforma “cripto”</w:t>
      </w:r>
      <w:r w:rsidRPr="003767E7">
        <w:rPr>
          <w:rFonts w:ascii="Times New Roman" w:hAnsi="Times New Roman" w:cs="Times New Roman"/>
          <w:sz w:val="24"/>
          <w:szCs w:val="24"/>
        </w:rPr>
        <w:t xml:space="preserve"> FTX, el de Silicon Valley Bank (SVB) o el de Credit Suisse, </w:t>
      </w:r>
      <w:r w:rsidRPr="00B46D1D">
        <w:rPr>
          <w:rFonts w:ascii="Times New Roman" w:hAnsi="Times New Roman" w:cs="Times New Roman"/>
          <w:sz w:val="24"/>
          <w:szCs w:val="24"/>
          <w:u w:val="single"/>
        </w:rPr>
        <w:t>los analistas de Allianz se preguntan de dónde vendrá el próximo accidente financiero. Ellos mismos contestan: “La respuesta generalmente aceptada es de las instituciones financieras no bancarias. En diversos grados, estas instituciones están efectivamente expuestas a un riesgo bidimensional conocido por ser letal: el riesgo de transformación (o desajuste entre activos y pasivos) agravado por el riesgo de mercado de sus activos”.</w:t>
      </w:r>
    </w:p>
    <w:p w:rsidR="007E3D39" w:rsidRPr="00B46D1D" w:rsidRDefault="007E3D39" w:rsidP="007E3D39">
      <w:pPr>
        <w:spacing w:line="240" w:lineRule="auto"/>
        <w:jc w:val="both"/>
        <w:rPr>
          <w:rFonts w:ascii="Times New Roman" w:hAnsi="Times New Roman" w:cs="Times New Roman"/>
          <w:color w:val="FF0000"/>
          <w:sz w:val="24"/>
          <w:szCs w:val="24"/>
          <w:u w:val="single"/>
        </w:rPr>
      </w:pPr>
      <w:r w:rsidRPr="00B46D1D">
        <w:rPr>
          <w:rFonts w:ascii="Times New Roman" w:hAnsi="Times New Roman" w:cs="Times New Roman"/>
          <w:color w:val="FF0000"/>
          <w:sz w:val="24"/>
          <w:szCs w:val="24"/>
          <w:u w:val="single"/>
        </w:rPr>
        <w:t>Según ponen de relieve en Allianz, en EEUU, a finales de 2021, los activos de las instituciones financieras no bancarias eran 2,3 veces mayores que los de los bancos, encabezados por los fondos abiertos de renta variable (26,5% del total), los fondos de pensiones (de prestaciones definidas) (14,6%), los ETF (12,9%), los fondos abiertos de renta fija (10,1%), los fondos del mercado monetario (9,5%) y las aseguradoras de vida (9,1%). Los fondos de pensiones estaban mayoritariamente expuestos a renta variable y bonos corporativos, los ETF a renta variable y las aseguradoras de vida a bonos corporativos.</w:t>
      </w:r>
    </w:p>
    <w:p w:rsidR="007E3D39" w:rsidRPr="00B46D1D" w:rsidRDefault="007E3D39" w:rsidP="007E3D39">
      <w:pPr>
        <w:spacing w:line="240" w:lineRule="auto"/>
        <w:jc w:val="both"/>
        <w:rPr>
          <w:rFonts w:ascii="Times New Roman" w:hAnsi="Times New Roman" w:cs="Times New Roman"/>
          <w:color w:val="FF0000"/>
          <w:sz w:val="24"/>
          <w:szCs w:val="24"/>
          <w:u w:val="single"/>
        </w:rPr>
      </w:pPr>
      <w:r w:rsidRPr="00B46D1D">
        <w:rPr>
          <w:rFonts w:ascii="Times New Roman" w:hAnsi="Times New Roman" w:cs="Times New Roman"/>
          <w:color w:val="FF0000"/>
          <w:sz w:val="24"/>
          <w:szCs w:val="24"/>
          <w:u w:val="single"/>
        </w:rPr>
        <w:t>“Desgraciadamente -apuntan- este tipo de matriz detallada de participaciones cruzadas (¿quién posee qué?) es incompleta: no dice nada sobre la exposición a bienes inmuebles comerciales o, más en general, a activos alternativos. Sin embargo, las peticiones de retirada a las que se ha enfrentado el fondo de inversión inmobiliaria (REIT) de Blackstone demuestran que los activos no cotizados no son inmunes a una crisis de liquidez. Como este tipo de matriz detallada de participaciones cruzadas no está disponible en otras jurisdicciones, no hay suficiente información para evaluar plenamente el riesgo de contagio en el sistema financiero mundial”.</w:t>
      </w:r>
    </w:p>
    <w:p w:rsidR="007E3D39" w:rsidRPr="003767E7" w:rsidRDefault="007E3D39" w:rsidP="007E3D3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La advertencia del FMI</w:t>
      </w:r>
    </w:p>
    <w:p w:rsidR="007E3D39" w:rsidRPr="00B46D1D" w:rsidRDefault="007E3D39" w:rsidP="007E3D39">
      <w:pPr>
        <w:spacing w:line="240" w:lineRule="auto"/>
        <w:jc w:val="both"/>
        <w:rPr>
          <w:rFonts w:ascii="Times New Roman" w:hAnsi="Times New Roman" w:cs="Times New Roman"/>
          <w:sz w:val="24"/>
          <w:szCs w:val="24"/>
          <w:u w:val="single"/>
        </w:rPr>
      </w:pPr>
      <w:r w:rsidRPr="00B46D1D">
        <w:rPr>
          <w:rFonts w:ascii="Times New Roman" w:hAnsi="Times New Roman" w:cs="Times New Roman"/>
          <w:sz w:val="24"/>
          <w:szCs w:val="24"/>
          <w:u w:val="single"/>
        </w:rPr>
        <w:t xml:space="preserve">En un artículo de la semana pasada publicado en el blog del FMI, los economistas Antonio </w:t>
      </w:r>
      <w:r w:rsidR="00E92717" w:rsidRPr="00B46D1D">
        <w:rPr>
          <w:rFonts w:ascii="Times New Roman" w:hAnsi="Times New Roman" w:cs="Times New Roman"/>
          <w:sz w:val="24"/>
          <w:szCs w:val="24"/>
          <w:u w:val="single"/>
        </w:rPr>
        <w:t>García</w:t>
      </w:r>
      <w:r w:rsidRPr="00B46D1D">
        <w:rPr>
          <w:rFonts w:ascii="Times New Roman" w:hAnsi="Times New Roman" w:cs="Times New Roman"/>
          <w:sz w:val="24"/>
          <w:szCs w:val="24"/>
          <w:u w:val="single"/>
        </w:rPr>
        <w:t xml:space="preserve"> Pascual, Fabio Natalucci y Thomas Piontek abundan en que las recientes tensiones en algunos bancos de EEUU y Europa son un poderoso recordatorio de los focos de elevada vulnerabilidad financiera acumulados durante años de tipos bajos, volatilidad contenida y abundante liquidez. También en el informe de estabilidad financiera del fondo se ha advertido de los peligros que entraña este grupo de instituciones.</w:t>
      </w:r>
    </w:p>
    <w:p w:rsidR="007E3D39" w:rsidRPr="00B46D1D" w:rsidRDefault="007E3D39" w:rsidP="007E3D39">
      <w:pPr>
        <w:spacing w:line="240" w:lineRule="auto"/>
        <w:jc w:val="both"/>
        <w:rPr>
          <w:rFonts w:ascii="Times New Roman" w:hAnsi="Times New Roman" w:cs="Times New Roman"/>
          <w:color w:val="FF0000"/>
          <w:sz w:val="24"/>
          <w:szCs w:val="24"/>
          <w:u w:val="single"/>
        </w:rPr>
      </w:pPr>
      <w:r w:rsidRPr="00B46D1D">
        <w:rPr>
          <w:rFonts w:ascii="Times New Roman" w:hAnsi="Times New Roman" w:cs="Times New Roman"/>
          <w:color w:val="FF0000"/>
          <w:sz w:val="24"/>
          <w:szCs w:val="24"/>
          <w:u w:val="single"/>
        </w:rPr>
        <w:t>Estos riesgos, enfatizan los tres expertos, “podrían intensificarse en los próximos meses en un contexto de endurecimiento continuado de la política monetaria a escala mundial, lo que hace especialmente importante comprender y salvaguardar esta amplia franja del sector financiero que comprende un conjunto de instituciones más allá de los bancos”.</w:t>
      </w:r>
    </w:p>
    <w:p w:rsidR="007E3D39" w:rsidRPr="00B46D1D" w:rsidRDefault="007E3D39" w:rsidP="007E3D39">
      <w:pPr>
        <w:spacing w:line="240" w:lineRule="auto"/>
        <w:jc w:val="both"/>
        <w:rPr>
          <w:rFonts w:ascii="Times New Roman" w:hAnsi="Times New Roman" w:cs="Times New Roman"/>
          <w:color w:val="FF0000"/>
          <w:sz w:val="24"/>
          <w:szCs w:val="24"/>
          <w:u w:val="single"/>
        </w:rPr>
      </w:pPr>
      <w:r w:rsidRPr="00B46D1D">
        <w:rPr>
          <w:rFonts w:ascii="Times New Roman" w:hAnsi="Times New Roman" w:cs="Times New Roman"/>
          <w:color w:val="FF0000"/>
          <w:sz w:val="24"/>
          <w:szCs w:val="24"/>
          <w:u w:val="single"/>
        </w:rPr>
        <w:t>“Los intermediarios financieros no bancarios, incluidos los fondos de pensiones, las aseguradoras y los fondos de alto riesgo, también desempeñan un papel clave en el sistema financiero mundial al proporcionar servicios financieros y crédito y apoyar así el crecimiento económico. El crecimiento del sector de las instituciones financieras no bancarias se aceleró tras la crisis financiera mundial, y en la actualidad representa casi el 50% de los activos financieros mundiales. Como tal, el buen funcionamiento del sector no bancario es vital para la estabilidad financiera”, advierten desde el FMI.</w:t>
      </w:r>
    </w:p>
    <w:p w:rsidR="007E3D39" w:rsidRPr="00B46D1D" w:rsidRDefault="007E3D39" w:rsidP="007E3D39">
      <w:pPr>
        <w:spacing w:line="240" w:lineRule="auto"/>
        <w:jc w:val="both"/>
        <w:rPr>
          <w:rFonts w:ascii="Times New Roman" w:hAnsi="Times New Roman" w:cs="Times New Roman"/>
          <w:color w:val="FF0000"/>
          <w:sz w:val="24"/>
          <w:szCs w:val="24"/>
          <w:u w:val="single"/>
        </w:rPr>
      </w:pPr>
      <w:r w:rsidRPr="00B46D1D">
        <w:rPr>
          <w:rFonts w:ascii="Times New Roman" w:hAnsi="Times New Roman" w:cs="Times New Roman"/>
          <w:color w:val="FF0000"/>
          <w:sz w:val="24"/>
          <w:szCs w:val="24"/>
          <w:u w:val="single"/>
        </w:rPr>
        <w:lastRenderedPageBreak/>
        <w:t>Los autores del artículo destacan que, aparejadas a este crecimiento, las vulnerabilidades de estas instituciones parecen haber aumentado en la última década: “Las tensiones tienden a surgir junto con un elevado apalancamiento, por ejemplo, tomando dinero prestado para financiar sus inversiones o aumentar los rendimientos, o utilizando instrumentos financieros, como los derivados. También provocan tensiones los desajustes de liquidez, cuando una institución es incapaz de generar suficiente efectivo mediante la liquidación de activos, como bonos o acciones, o el uso de líneas de crédito para satisfacer las peticiones de reembolso de los inversores”. Asimismo, recalcan, los elevados niveles de interconexión con los bancos tradicionales también pueden convertirse en un canal crucial de amplificación de las tensiones financieras.</w:t>
      </w:r>
    </w:p>
    <w:p w:rsidR="007E3D39" w:rsidRPr="003767E7" w:rsidRDefault="007E3D39" w:rsidP="007E3D39">
      <w:pPr>
        <w:spacing w:line="240" w:lineRule="auto"/>
        <w:jc w:val="both"/>
        <w:rPr>
          <w:rFonts w:ascii="Times New Roman" w:hAnsi="Times New Roman" w:cs="Times New Roman"/>
          <w:sz w:val="24"/>
          <w:szCs w:val="24"/>
        </w:rPr>
      </w:pPr>
      <w:r w:rsidRPr="00B46D1D">
        <w:rPr>
          <w:rFonts w:ascii="Times New Roman" w:hAnsi="Times New Roman" w:cs="Times New Roman"/>
          <w:color w:val="FF0000"/>
          <w:sz w:val="24"/>
          <w:szCs w:val="24"/>
          <w:u w:val="single"/>
        </w:rPr>
        <w:t>¿Se puede transmitir a la economía una crisis de este tipo? Los analistas de Oxford Economics creen que “sí, pero esto puede llevar tiempo. Una crisis bancaria en toda regla puede transmitirse rápidamente a la economía real a través de la perturbación financiera y fuertes caídas en los precios de los activos, pero es más probable que las consecuencias de las turbulencias actuales y del shadow banking se transmitan de manera más gradual</w:t>
      </w:r>
      <w:r w:rsidRPr="003767E7">
        <w:rPr>
          <w:rFonts w:ascii="Times New Roman" w:hAnsi="Times New Roman" w:cs="Times New Roman"/>
          <w:sz w:val="24"/>
          <w:szCs w:val="24"/>
        </w:rPr>
        <w:t>. El canal principal será probablemente a través de una intensificación de la tendencia ya en marcha de los bancos a endurecer los estándares crediticios. Es probable que esta restricción crediticia reduzca la inversión y penalice los precios de los activos, especialmente en áreas como el inmobiliario comercial, lo que a su vez puede retroalimentar unas condicione</w:t>
      </w:r>
      <w:r>
        <w:rPr>
          <w:rFonts w:ascii="Times New Roman" w:hAnsi="Times New Roman" w:cs="Times New Roman"/>
          <w:sz w:val="24"/>
          <w:szCs w:val="24"/>
        </w:rPr>
        <w:t>s crediticias aún más estrictas”.</w:t>
      </w:r>
    </w:p>
    <w:p w:rsidR="007E3D39" w:rsidRDefault="007E3D39" w:rsidP="007E3D39">
      <w:pPr>
        <w:spacing w:line="240" w:lineRule="auto"/>
        <w:jc w:val="both"/>
        <w:rPr>
          <w:rFonts w:ascii="Times New Roman" w:hAnsi="Times New Roman" w:cs="Times New Roman"/>
          <w:sz w:val="24"/>
          <w:szCs w:val="24"/>
        </w:rPr>
      </w:pPr>
      <w:r w:rsidRPr="003767E7">
        <w:rPr>
          <w:rFonts w:ascii="Times New Roman" w:hAnsi="Times New Roman" w:cs="Times New Roman"/>
          <w:sz w:val="24"/>
          <w:szCs w:val="24"/>
        </w:rPr>
        <w:t>El caso es que tanto en EEUU, como en Europa y también en España se está viendo ya una ralentización del crédito y una desaceleración intensa, por ejemplo, en la concesión de hipotecas. Aunque no se llegue a producir una crisis bancaria total provocada por la caída de alguna NBFI, el lastre es cada vez mayor sobre la economía, lo que a su vez incrementa el riesgo de que alguna de las grietas ya abiertas termi</w:t>
      </w:r>
      <w:r>
        <w:rPr>
          <w:rFonts w:ascii="Times New Roman" w:hAnsi="Times New Roman" w:cs="Times New Roman"/>
          <w:sz w:val="24"/>
          <w:szCs w:val="24"/>
        </w:rPr>
        <w:t>ne en un derrumbe completo del “edificio financiero”</w:t>
      </w:r>
      <w:r w:rsidRPr="003767E7">
        <w:rPr>
          <w:rFonts w:ascii="Times New Roman" w:hAnsi="Times New Roman" w:cs="Times New Roman"/>
          <w:sz w:val="24"/>
          <w:szCs w:val="24"/>
        </w:rPr>
        <w:t>. En el mejor de los casos ap</w:t>
      </w:r>
      <w:r>
        <w:rPr>
          <w:rFonts w:ascii="Times New Roman" w:hAnsi="Times New Roman" w:cs="Times New Roman"/>
          <w:sz w:val="24"/>
          <w:szCs w:val="24"/>
        </w:rPr>
        <w:t>arecería lo que se conoce como “aterrizaje suave”</w:t>
      </w:r>
      <w:r w:rsidRPr="003767E7">
        <w:rPr>
          <w:rFonts w:ascii="Times New Roman" w:hAnsi="Times New Roman" w:cs="Times New Roman"/>
          <w:sz w:val="24"/>
          <w:szCs w:val="24"/>
        </w:rPr>
        <w:t>: una economía que se desacel</w:t>
      </w:r>
      <w:r>
        <w:rPr>
          <w:rFonts w:ascii="Times New Roman" w:hAnsi="Times New Roman" w:cs="Times New Roman"/>
          <w:sz w:val="24"/>
          <w:szCs w:val="24"/>
        </w:rPr>
        <w:t>era sin la necesidad de que se “rompa”</w:t>
      </w:r>
      <w:r w:rsidRPr="003767E7">
        <w:rPr>
          <w:rFonts w:ascii="Times New Roman" w:hAnsi="Times New Roman" w:cs="Times New Roman"/>
          <w:sz w:val="24"/>
          <w:szCs w:val="24"/>
        </w:rPr>
        <w:t xml:space="preserve"> algo de forma brusca. Aunque este era el escenario base hace pocos meses, cada vez parece menos probable.</w:t>
      </w:r>
    </w:p>
    <w:p w:rsidR="007E3D39" w:rsidRPr="0077508F"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7508F">
        <w:rPr>
          <w:rFonts w:ascii="Times New Roman" w:hAnsi="Times New Roman" w:cs="Times New Roman"/>
          <w:sz w:val="24"/>
          <w:szCs w:val="24"/>
          <w:u w:val="single"/>
        </w:rPr>
        <w:t>La simulación del FMI que revela una caída de los tipos de interés a niveles previos al covid</w:t>
      </w:r>
      <w:r>
        <w:rPr>
          <w:rFonts w:ascii="Times New Roman" w:hAnsi="Times New Roman" w:cs="Times New Roman"/>
          <w:sz w:val="24"/>
          <w:szCs w:val="24"/>
        </w:rPr>
        <w:t xml:space="preserve"> (El Economista - </w:t>
      </w:r>
      <w:r w:rsidRPr="0077508F">
        <w:rPr>
          <w:rFonts w:ascii="Times New Roman" w:hAnsi="Times New Roman" w:cs="Times New Roman"/>
          <w:b/>
          <w:sz w:val="24"/>
          <w:szCs w:val="24"/>
        </w:rPr>
        <w:t>11/4/23</w:t>
      </w:r>
      <w:r>
        <w:rPr>
          <w:rFonts w:ascii="Times New Roman" w:hAnsi="Times New Roman" w:cs="Times New Roman"/>
          <w:sz w:val="24"/>
          <w:szCs w:val="24"/>
        </w:rPr>
        <w:t>)</w:t>
      </w:r>
    </w:p>
    <w:p w:rsidR="007E3D39" w:rsidRPr="003F60EE" w:rsidRDefault="007E3D39" w:rsidP="007E3D39">
      <w:pPr>
        <w:spacing w:line="240" w:lineRule="auto"/>
        <w:jc w:val="both"/>
        <w:rPr>
          <w:rFonts w:ascii="Times New Roman" w:hAnsi="Times New Roman" w:cs="Times New Roman"/>
          <w:color w:val="FF0000"/>
          <w:sz w:val="24"/>
          <w:szCs w:val="24"/>
        </w:rPr>
      </w:pPr>
      <w:r w:rsidRPr="003F60EE">
        <w:rPr>
          <w:rFonts w:ascii="Times New Roman" w:hAnsi="Times New Roman" w:cs="Times New Roman"/>
          <w:color w:val="FF0000"/>
          <w:sz w:val="24"/>
          <w:szCs w:val="24"/>
        </w:rPr>
        <w:t>El FMI asegura que las grandes tendencias harán bajar los tipos de interés</w:t>
      </w:r>
    </w:p>
    <w:p w:rsidR="007E3D39" w:rsidRPr="003F60EE" w:rsidRDefault="007E3D39" w:rsidP="007E3D39">
      <w:pPr>
        <w:spacing w:line="240" w:lineRule="auto"/>
        <w:jc w:val="both"/>
        <w:rPr>
          <w:rFonts w:ascii="Times New Roman" w:hAnsi="Times New Roman" w:cs="Times New Roman"/>
          <w:color w:val="FF0000"/>
          <w:sz w:val="24"/>
          <w:szCs w:val="24"/>
        </w:rPr>
      </w:pPr>
      <w:r w:rsidRPr="003F60EE">
        <w:rPr>
          <w:rFonts w:ascii="Times New Roman" w:hAnsi="Times New Roman" w:cs="Times New Roman"/>
          <w:color w:val="FF0000"/>
          <w:sz w:val="24"/>
          <w:szCs w:val="24"/>
        </w:rPr>
        <w:t>El organismo destaca la transición demográfica y la caída de la productividad</w:t>
      </w:r>
    </w:p>
    <w:p w:rsidR="007E3D39" w:rsidRPr="003F60EE" w:rsidRDefault="007E3D39" w:rsidP="007E3D39">
      <w:pPr>
        <w:spacing w:line="240" w:lineRule="auto"/>
        <w:jc w:val="both"/>
        <w:rPr>
          <w:rFonts w:ascii="Times New Roman" w:hAnsi="Times New Roman" w:cs="Times New Roman"/>
          <w:color w:val="FF0000"/>
          <w:sz w:val="24"/>
          <w:szCs w:val="24"/>
        </w:rPr>
      </w:pPr>
      <w:r w:rsidRPr="003F60EE">
        <w:rPr>
          <w:rFonts w:ascii="Times New Roman" w:hAnsi="Times New Roman" w:cs="Times New Roman"/>
          <w:color w:val="FF0000"/>
          <w:sz w:val="24"/>
          <w:szCs w:val="24"/>
        </w:rPr>
        <w:t>Los tipos de interés deberían volver al equilibrio previo a la pandemia</w:t>
      </w:r>
    </w:p>
    <w:p w:rsidR="007E3D39" w:rsidRPr="003F60EE" w:rsidRDefault="007E3D39" w:rsidP="007E3D39">
      <w:pPr>
        <w:spacing w:line="240" w:lineRule="auto"/>
        <w:jc w:val="both"/>
        <w:rPr>
          <w:rFonts w:ascii="Times New Roman" w:hAnsi="Times New Roman" w:cs="Times New Roman"/>
          <w:color w:val="FF0000"/>
          <w:sz w:val="24"/>
          <w:szCs w:val="24"/>
          <w:u w:val="single"/>
        </w:rPr>
      </w:pPr>
      <w:r w:rsidRPr="003F60EE">
        <w:rPr>
          <w:rFonts w:ascii="Times New Roman" w:hAnsi="Times New Roman" w:cs="Times New Roman"/>
          <w:color w:val="FF0000"/>
          <w:sz w:val="24"/>
          <w:szCs w:val="24"/>
          <w:u w:val="single"/>
        </w:rPr>
        <w:t>El Fondo Monetario Internacional cree que los bancos centrales comenzarán más pronto que tarde a flexibilizar su política monetaria, lo que llevará a los tipos de interés reales a los niveles que venían mostrando antes de la crisis del covid. Esto quiere decir que el tipo de interés natural, el coherente con el pleno empleo y la inflación bajo control, volverá a situarse en unos niveles relativamente bajos.</w:t>
      </w:r>
    </w:p>
    <w:p w:rsidR="007E3D39" w:rsidRPr="0077508F" w:rsidRDefault="007E3D39" w:rsidP="007E3D39">
      <w:pPr>
        <w:spacing w:line="240" w:lineRule="auto"/>
        <w:jc w:val="both"/>
        <w:rPr>
          <w:rFonts w:ascii="Times New Roman" w:hAnsi="Times New Roman" w:cs="Times New Roman"/>
          <w:sz w:val="24"/>
          <w:szCs w:val="24"/>
        </w:rPr>
      </w:pPr>
      <w:r w:rsidRPr="0077508F">
        <w:rPr>
          <w:rFonts w:ascii="Times New Roman" w:hAnsi="Times New Roman" w:cs="Times New Roman"/>
          <w:sz w:val="24"/>
          <w:szCs w:val="24"/>
        </w:rPr>
        <w:t>Así se desprende de la simulación realizada por la organización monetaria, que revela que el envejecimiento de la población (supone un incremento del ahorro) y la baja productividad (lastra la inversión) son factores que devolverán al tipo de interés natural o neutral a los niveles previos a la pandemia.</w:t>
      </w:r>
    </w:p>
    <w:p w:rsidR="007E3D39" w:rsidRPr="0077508F" w:rsidRDefault="007E3D39" w:rsidP="007E3D39">
      <w:pPr>
        <w:spacing w:line="240" w:lineRule="auto"/>
        <w:jc w:val="both"/>
        <w:rPr>
          <w:rFonts w:ascii="Times New Roman" w:hAnsi="Times New Roman" w:cs="Times New Roman"/>
          <w:sz w:val="24"/>
          <w:szCs w:val="24"/>
        </w:rPr>
      </w:pPr>
      <w:r w:rsidRPr="0077508F">
        <w:rPr>
          <w:rFonts w:ascii="Times New Roman" w:hAnsi="Times New Roman" w:cs="Times New Roman"/>
          <w:sz w:val="24"/>
          <w:szCs w:val="24"/>
        </w:rPr>
        <w:lastRenderedPageBreak/>
        <w:t xml:space="preserve">Lo anterior quiere decir que la economía global podría retornar a un escenario en la que el ahorro sea relativamente más poderoso que la inversión (saving glut). Esta fue la situación que prevaleció durante años antes de la irrupción del covid. </w:t>
      </w:r>
    </w:p>
    <w:p w:rsidR="007E3D39" w:rsidRPr="0077508F" w:rsidRDefault="007E3D39" w:rsidP="007E3D39">
      <w:pPr>
        <w:spacing w:line="240" w:lineRule="auto"/>
        <w:jc w:val="both"/>
        <w:rPr>
          <w:rFonts w:ascii="Times New Roman" w:hAnsi="Times New Roman" w:cs="Times New Roman"/>
          <w:sz w:val="24"/>
          <w:szCs w:val="24"/>
        </w:rPr>
      </w:pPr>
      <w:r w:rsidRPr="0077508F">
        <w:rPr>
          <w:rFonts w:ascii="Times New Roman" w:hAnsi="Times New Roman" w:cs="Times New Roman"/>
          <w:sz w:val="24"/>
          <w:szCs w:val="24"/>
        </w:rPr>
        <w:t>Antes de la pandemia, los bancos centrales clave (la Reserva Federal y el Banco Central Europeo) mantenían los tipos de interés rectores en niveles cercanos al 0% o incluso negativos (-0,5% en el caso del BCE). Tras el covid y las políticas de estímulo, a la inflación despertó y el tipo de interés natural se disparó ante esos factores coyunturales, lo que ha forzado a la Fed a subir los tipos hasta el 5% y al BCE hasta la zona del 3%. No obstante, los factores subyacentes (demografía, productividad...) prevalecerán en el futuro, mientras que los coyunturales podrían perder fuerza, devolviendo al ti</w:t>
      </w:r>
      <w:r>
        <w:rPr>
          <w:rFonts w:ascii="Times New Roman" w:hAnsi="Times New Roman" w:cs="Times New Roman"/>
          <w:sz w:val="24"/>
          <w:szCs w:val="24"/>
        </w:rPr>
        <w:t>po neutral a una zona moderada.</w:t>
      </w:r>
    </w:p>
    <w:p w:rsidR="007E3D39" w:rsidRPr="003F60EE" w:rsidRDefault="007E3D39" w:rsidP="007E3D3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rPr>
        <w:t>“</w:t>
      </w:r>
      <w:r w:rsidRPr="003F60EE">
        <w:rPr>
          <w:rFonts w:ascii="Times New Roman" w:hAnsi="Times New Roman" w:cs="Times New Roman"/>
          <w:color w:val="FF0000"/>
          <w:sz w:val="24"/>
          <w:szCs w:val="24"/>
          <w:u w:val="single"/>
        </w:rPr>
        <w:t>Los tipos de interés reales, descontando la inflación de la tasa nominal, probablemente regresarán al nivel previo a la pandemia una vez que la</w:t>
      </w:r>
      <w:r>
        <w:rPr>
          <w:rFonts w:ascii="Times New Roman" w:hAnsi="Times New Roman" w:cs="Times New Roman"/>
          <w:color w:val="FF0000"/>
          <w:sz w:val="24"/>
          <w:szCs w:val="24"/>
          <w:u w:val="single"/>
        </w:rPr>
        <w:t xml:space="preserve"> inflación haya sido controlada”</w:t>
      </w:r>
      <w:r w:rsidRPr="003F60EE">
        <w:rPr>
          <w:rFonts w:ascii="Times New Roman" w:hAnsi="Times New Roman" w:cs="Times New Roman"/>
          <w:color w:val="FF0000"/>
          <w:sz w:val="24"/>
          <w:szCs w:val="24"/>
          <w:u w:val="single"/>
        </w:rPr>
        <w:t>, según apunta el FMI.</w:t>
      </w:r>
    </w:p>
    <w:p w:rsidR="007E3D39" w:rsidRPr="0077508F" w:rsidRDefault="007E3D39" w:rsidP="007E3D39">
      <w:pPr>
        <w:spacing w:line="240" w:lineRule="auto"/>
        <w:jc w:val="both"/>
        <w:rPr>
          <w:rFonts w:ascii="Times New Roman" w:hAnsi="Times New Roman" w:cs="Times New Roman"/>
          <w:sz w:val="24"/>
          <w:szCs w:val="24"/>
        </w:rPr>
      </w:pPr>
      <w:r w:rsidRPr="0077508F">
        <w:rPr>
          <w:rFonts w:ascii="Times New Roman" w:hAnsi="Times New Roman" w:cs="Times New Roman"/>
          <w:sz w:val="24"/>
          <w:szCs w:val="24"/>
        </w:rPr>
        <w:t>El mismo marco utilizado para comprender los impulsores del tipo de interés natural también se puede usar para predecir dónde puede acabar este</w:t>
      </w:r>
      <w:r>
        <w:rPr>
          <w:rFonts w:ascii="Times New Roman" w:hAnsi="Times New Roman" w:cs="Times New Roman"/>
          <w:sz w:val="24"/>
          <w:szCs w:val="24"/>
        </w:rPr>
        <w:t xml:space="preserve"> tipo de interés en el futuro. “</w:t>
      </w:r>
      <w:r w:rsidRPr="0077508F">
        <w:rPr>
          <w:rFonts w:ascii="Times New Roman" w:hAnsi="Times New Roman" w:cs="Times New Roman"/>
          <w:sz w:val="24"/>
          <w:szCs w:val="24"/>
        </w:rPr>
        <w:t>La proyección de referencia que se presenta se basa en supuestos conservadores para los principales impulsores: (1) las tendencias demográficas, (2) la deuda pública, (3) mientras que todos los demás factores se asumen fijos en sus niveles de 2015-19.  Después, en los mercados emergentes, (4) se supone que el crecimiento de la productividad convergerá con el promedio de las economías avanzadas a largo plazo, como se esperaría a medida que los países se acer</w:t>
      </w:r>
      <w:r>
        <w:rPr>
          <w:rFonts w:ascii="Times New Roman" w:hAnsi="Times New Roman" w:cs="Times New Roman"/>
          <w:sz w:val="24"/>
          <w:szCs w:val="24"/>
        </w:rPr>
        <w:t>quen a la frontera tecnológica”.</w:t>
      </w:r>
    </w:p>
    <w:p w:rsidR="007E3D39" w:rsidRPr="0077508F"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7508F">
        <w:rPr>
          <w:rFonts w:ascii="Times New Roman" w:hAnsi="Times New Roman" w:cs="Times New Roman"/>
          <w:sz w:val="24"/>
          <w:szCs w:val="24"/>
        </w:rPr>
        <w:t>La simulación sugiere que es probable que los tipos de interés naturales se mantengan cerca de los niveles previos a la pandemia en las economías avanzadas. Debido a que la transición demográfica ya está en marcha, se espera que el impacto negativo residual de un mayor envejecimiento sea moderado. Al mismo tiempo, el aumento de la deuda pública actúa como contrapeso, empujando al alza el tipo natural (lo que no será suficiente para compensar su caída a los niveles previos a 2020)... mientras que en muchas economías de mercados emergentes, la transición demográfica debería ace</w:t>
      </w:r>
      <w:r>
        <w:rPr>
          <w:rFonts w:ascii="Times New Roman" w:hAnsi="Times New Roman" w:cs="Times New Roman"/>
          <w:sz w:val="24"/>
          <w:szCs w:val="24"/>
        </w:rPr>
        <w:t>lerarse en las próximas décadas”</w:t>
      </w:r>
      <w:r w:rsidRPr="0077508F">
        <w:rPr>
          <w:rFonts w:ascii="Times New Roman" w:hAnsi="Times New Roman" w:cs="Times New Roman"/>
          <w:sz w:val="24"/>
          <w:szCs w:val="24"/>
        </w:rPr>
        <w:t>, sostien</w:t>
      </w:r>
      <w:r>
        <w:rPr>
          <w:rFonts w:ascii="Times New Roman" w:hAnsi="Times New Roman" w:cs="Times New Roman"/>
          <w:sz w:val="24"/>
          <w:szCs w:val="24"/>
        </w:rPr>
        <w:t>e el informe de la institución.</w:t>
      </w:r>
    </w:p>
    <w:p w:rsidR="007E3D39" w:rsidRPr="0077508F" w:rsidRDefault="007E3D39" w:rsidP="007E3D39">
      <w:pPr>
        <w:spacing w:line="240" w:lineRule="auto"/>
        <w:jc w:val="both"/>
        <w:rPr>
          <w:rFonts w:ascii="Times New Roman" w:hAnsi="Times New Roman" w:cs="Times New Roman"/>
          <w:sz w:val="24"/>
          <w:szCs w:val="24"/>
        </w:rPr>
      </w:pPr>
      <w:r w:rsidRPr="0077508F">
        <w:rPr>
          <w:rFonts w:ascii="Times New Roman" w:hAnsi="Times New Roman" w:cs="Times New Roman"/>
          <w:sz w:val="24"/>
          <w:szCs w:val="24"/>
        </w:rPr>
        <w:t>Subidas de tipos temporales</w:t>
      </w:r>
    </w:p>
    <w:p w:rsidR="007E3D39" w:rsidRPr="0077508F" w:rsidRDefault="007E3D39" w:rsidP="007E3D39">
      <w:pPr>
        <w:spacing w:line="240" w:lineRule="auto"/>
        <w:jc w:val="both"/>
        <w:rPr>
          <w:rFonts w:ascii="Times New Roman" w:hAnsi="Times New Roman" w:cs="Times New Roman"/>
          <w:sz w:val="24"/>
          <w:szCs w:val="24"/>
        </w:rPr>
      </w:pPr>
      <w:r w:rsidRPr="0077508F">
        <w:rPr>
          <w:rFonts w:ascii="Times New Roman" w:hAnsi="Times New Roman" w:cs="Times New Roman"/>
          <w:sz w:val="24"/>
          <w:szCs w:val="24"/>
        </w:rPr>
        <w:t xml:space="preserve">De modo que la institución considera probable que los aumentos recientes </w:t>
      </w:r>
      <w:r>
        <w:rPr>
          <w:rFonts w:ascii="Times New Roman" w:hAnsi="Times New Roman" w:cs="Times New Roman"/>
          <w:sz w:val="24"/>
          <w:szCs w:val="24"/>
        </w:rPr>
        <w:t>en los tipos de interés reales “sean temporales”</w:t>
      </w:r>
      <w:r w:rsidRPr="0077508F">
        <w:rPr>
          <w:rFonts w:ascii="Times New Roman" w:hAnsi="Times New Roman" w:cs="Times New Roman"/>
          <w:sz w:val="24"/>
          <w:szCs w:val="24"/>
        </w:rPr>
        <w:t xml:space="preserve"> y anticipa que, cuando la inflación deje de ser una amenaza, los bancos centra</w:t>
      </w:r>
      <w:r>
        <w:rPr>
          <w:rFonts w:ascii="Times New Roman" w:hAnsi="Times New Roman" w:cs="Times New Roman"/>
          <w:sz w:val="24"/>
          <w:szCs w:val="24"/>
        </w:rPr>
        <w:t>les de las economías avanzadas “</w:t>
      </w:r>
      <w:r w:rsidRPr="0077508F">
        <w:rPr>
          <w:rFonts w:ascii="Times New Roman" w:hAnsi="Times New Roman" w:cs="Times New Roman"/>
          <w:sz w:val="24"/>
          <w:szCs w:val="24"/>
        </w:rPr>
        <w:t>fle</w:t>
      </w:r>
      <w:r>
        <w:rPr>
          <w:rFonts w:ascii="Times New Roman" w:hAnsi="Times New Roman" w:cs="Times New Roman"/>
          <w:sz w:val="24"/>
          <w:szCs w:val="24"/>
        </w:rPr>
        <w:t>xibilicen la política monetaria”</w:t>
      </w:r>
      <w:r w:rsidRPr="0077508F">
        <w:rPr>
          <w:rFonts w:ascii="Times New Roman" w:hAnsi="Times New Roman" w:cs="Times New Roman"/>
          <w:sz w:val="24"/>
          <w:szCs w:val="24"/>
        </w:rPr>
        <w:t xml:space="preserve"> y lleven las tasas de interés reales a los niveles previos a la pandemia.</w:t>
      </w:r>
    </w:p>
    <w:p w:rsidR="007E3D39" w:rsidRPr="0077508F" w:rsidRDefault="007E3D39" w:rsidP="007E3D39">
      <w:pPr>
        <w:spacing w:line="240" w:lineRule="auto"/>
        <w:jc w:val="both"/>
        <w:rPr>
          <w:rFonts w:ascii="Times New Roman" w:hAnsi="Times New Roman" w:cs="Times New Roman"/>
          <w:sz w:val="24"/>
          <w:szCs w:val="24"/>
        </w:rPr>
      </w:pPr>
      <w:r w:rsidRPr="0077508F">
        <w:rPr>
          <w:rFonts w:ascii="Times New Roman" w:hAnsi="Times New Roman" w:cs="Times New Roman"/>
          <w:sz w:val="24"/>
          <w:szCs w:val="24"/>
        </w:rPr>
        <w:t>En el caso de las grandes economías emergentes, las proyecciones conservadoras sobre futuras tendencias demográficas y de productividad sugieren una convergencia gradual hacia las tasas de interés rea</w:t>
      </w:r>
      <w:r>
        <w:rPr>
          <w:rFonts w:ascii="Times New Roman" w:hAnsi="Times New Roman" w:cs="Times New Roman"/>
          <w:sz w:val="24"/>
          <w:szCs w:val="24"/>
        </w:rPr>
        <w:t>les de las economías avanzadas.</w:t>
      </w:r>
    </w:p>
    <w:p w:rsidR="007E3D39" w:rsidRPr="0077508F" w:rsidRDefault="007E3D39" w:rsidP="007E3D39">
      <w:pPr>
        <w:spacing w:line="240" w:lineRule="auto"/>
        <w:jc w:val="both"/>
        <w:rPr>
          <w:rFonts w:ascii="Times New Roman" w:hAnsi="Times New Roman" w:cs="Times New Roman"/>
          <w:sz w:val="24"/>
          <w:szCs w:val="24"/>
        </w:rPr>
      </w:pPr>
      <w:r w:rsidRPr="0077508F">
        <w:rPr>
          <w:rFonts w:ascii="Times New Roman" w:hAnsi="Times New Roman" w:cs="Times New Roman"/>
          <w:sz w:val="24"/>
          <w:szCs w:val="24"/>
        </w:rPr>
        <w:t>En este sentido, el FMI advierte de que el ajuste hacia los niveles anteriores a la pandemia dependerá de si se materializan escenarios alternativos que implicasen una deuda y un déficit público persistentemente más altos o una fragmentación financiera.</w:t>
      </w:r>
    </w:p>
    <w:p w:rsidR="007E3D39" w:rsidRPr="0077508F" w:rsidRDefault="007E3D39" w:rsidP="007E3D39">
      <w:pPr>
        <w:spacing w:line="240" w:lineRule="auto"/>
        <w:jc w:val="both"/>
        <w:rPr>
          <w:rFonts w:ascii="Times New Roman" w:hAnsi="Times New Roman" w:cs="Times New Roman"/>
          <w:sz w:val="24"/>
          <w:szCs w:val="24"/>
        </w:rPr>
      </w:pPr>
      <w:r w:rsidRPr="0077508F">
        <w:rPr>
          <w:rFonts w:ascii="Times New Roman" w:hAnsi="Times New Roman" w:cs="Times New Roman"/>
          <w:sz w:val="24"/>
          <w:szCs w:val="24"/>
        </w:rPr>
        <w:t xml:space="preserve">De este modo, para el Fondo esto significa que es probable que vuelvan a aparecer </w:t>
      </w:r>
      <w:r>
        <w:rPr>
          <w:rFonts w:ascii="Times New Roman" w:hAnsi="Times New Roman" w:cs="Times New Roman"/>
          <w:sz w:val="24"/>
          <w:szCs w:val="24"/>
        </w:rPr>
        <w:t>los problemas asociados con el “límite inferior efectivo” de las tasas de interés y los “</w:t>
      </w:r>
      <w:r w:rsidRPr="0077508F">
        <w:rPr>
          <w:rFonts w:ascii="Times New Roman" w:hAnsi="Times New Roman" w:cs="Times New Roman"/>
          <w:sz w:val="24"/>
          <w:szCs w:val="24"/>
        </w:rPr>
        <w:t xml:space="preserve">(tipos de </w:t>
      </w:r>
      <w:r>
        <w:rPr>
          <w:rFonts w:ascii="Times New Roman" w:hAnsi="Times New Roman" w:cs="Times New Roman"/>
          <w:sz w:val="24"/>
          <w:szCs w:val="24"/>
        </w:rPr>
        <w:t>interés) bajos por mucho tiempo”…</w:t>
      </w:r>
    </w:p>
    <w:p w:rsidR="007E3D39" w:rsidRPr="0077508F"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77508F">
        <w:rPr>
          <w:rFonts w:ascii="Times New Roman" w:hAnsi="Times New Roman" w:cs="Times New Roman"/>
          <w:sz w:val="24"/>
          <w:szCs w:val="24"/>
          <w:u w:val="single"/>
        </w:rPr>
        <w:t>La crisis que temía la Fed ya está aquí: los préstamos de la banca en EEUU se estancan</w:t>
      </w:r>
      <w:r>
        <w:rPr>
          <w:rFonts w:ascii="Times New Roman" w:hAnsi="Times New Roman" w:cs="Times New Roman"/>
          <w:sz w:val="24"/>
          <w:szCs w:val="24"/>
        </w:rPr>
        <w:t xml:space="preserve"> (El Economista - </w:t>
      </w:r>
      <w:r w:rsidRPr="0077508F">
        <w:rPr>
          <w:rFonts w:ascii="Times New Roman" w:hAnsi="Times New Roman" w:cs="Times New Roman"/>
          <w:b/>
          <w:sz w:val="24"/>
          <w:szCs w:val="24"/>
        </w:rPr>
        <w:t>10/4/23</w:t>
      </w:r>
      <w:r>
        <w:rPr>
          <w:rFonts w:ascii="Times New Roman" w:hAnsi="Times New Roman" w:cs="Times New Roman"/>
          <w:sz w:val="24"/>
          <w:szCs w:val="24"/>
        </w:rPr>
        <w:t>)</w:t>
      </w:r>
    </w:p>
    <w:p w:rsidR="007E3D39" w:rsidRPr="00B46D1D" w:rsidRDefault="007E3D39" w:rsidP="007E3D39">
      <w:pPr>
        <w:spacing w:line="240" w:lineRule="auto"/>
        <w:jc w:val="both"/>
        <w:rPr>
          <w:rFonts w:ascii="Times New Roman" w:hAnsi="Times New Roman" w:cs="Times New Roman"/>
          <w:color w:val="FF0000"/>
          <w:sz w:val="24"/>
          <w:szCs w:val="24"/>
        </w:rPr>
      </w:pPr>
      <w:r w:rsidRPr="00B46D1D">
        <w:rPr>
          <w:rFonts w:ascii="Times New Roman" w:hAnsi="Times New Roman" w:cs="Times New Roman"/>
          <w:color w:val="FF0000"/>
          <w:sz w:val="24"/>
          <w:szCs w:val="24"/>
        </w:rPr>
        <w:t>El crédito está prácticamente en niveles de enero, estancado en el entorno de los 17,5 billones</w:t>
      </w:r>
    </w:p>
    <w:p w:rsidR="007E3D39" w:rsidRPr="0077508F"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77508F">
        <w:rPr>
          <w:rFonts w:ascii="Times New Roman" w:hAnsi="Times New Roman" w:cs="Times New Roman"/>
          <w:sz w:val="24"/>
          <w:szCs w:val="24"/>
        </w:rPr>
        <w:t>Víctor Ventura</w:t>
      </w:r>
      <w:r>
        <w:rPr>
          <w:rFonts w:ascii="Times New Roman" w:hAnsi="Times New Roman" w:cs="Times New Roman"/>
          <w:sz w:val="24"/>
          <w:szCs w:val="24"/>
        </w:rPr>
        <w:t>)</w:t>
      </w:r>
    </w:p>
    <w:p w:rsidR="007E3D39" w:rsidRPr="00B46D1D" w:rsidRDefault="007E3D39" w:rsidP="007E3D39">
      <w:pPr>
        <w:spacing w:line="240" w:lineRule="auto"/>
        <w:jc w:val="both"/>
        <w:rPr>
          <w:rFonts w:ascii="Times New Roman" w:hAnsi="Times New Roman" w:cs="Times New Roman"/>
          <w:color w:val="FF0000"/>
          <w:sz w:val="24"/>
          <w:szCs w:val="24"/>
          <w:u w:val="single"/>
        </w:rPr>
      </w:pPr>
      <w:r w:rsidRPr="00B46D1D">
        <w:rPr>
          <w:rFonts w:ascii="Times New Roman" w:hAnsi="Times New Roman" w:cs="Times New Roman"/>
          <w:color w:val="FF0000"/>
          <w:sz w:val="24"/>
          <w:szCs w:val="24"/>
          <w:u w:val="single"/>
        </w:rPr>
        <w:t>La crisis bancaria puede haber sido el pistoletazo de salida para una congelación del crédito, un misil contra los planes de la Reserva Federal que, según los expertos, ya estaría empezando a tomar forma. El crédito por parte de las entidades de Estados Unidos está prácticamente en niveles de enero, estancado en el entorno de los 17,5 billones. Una situación que ha hecho saltar las alarmas de los expertos, que avisan de que a menos de que la Fed tome cartas en el asunto, puede tener importantes consecuencias en las perspectivas económicas de Estados Unidos.</w:t>
      </w:r>
    </w:p>
    <w:p w:rsidR="007E3D39" w:rsidRPr="0077508F" w:rsidRDefault="007E3D39" w:rsidP="007E3D39">
      <w:pPr>
        <w:spacing w:line="240" w:lineRule="auto"/>
        <w:jc w:val="both"/>
        <w:rPr>
          <w:rFonts w:ascii="Times New Roman" w:hAnsi="Times New Roman" w:cs="Times New Roman"/>
          <w:sz w:val="24"/>
          <w:szCs w:val="24"/>
        </w:rPr>
      </w:pPr>
      <w:r w:rsidRPr="002819B1">
        <w:rPr>
          <w:rFonts w:ascii="Times New Roman" w:hAnsi="Times New Roman" w:cs="Times New Roman"/>
          <w:sz w:val="24"/>
          <w:szCs w:val="24"/>
          <w:u w:val="single"/>
        </w:rPr>
        <w:t>Los datos de la Fed indican claramente la ralentización</w:t>
      </w:r>
      <w:r w:rsidRPr="0077508F">
        <w:rPr>
          <w:rFonts w:ascii="Times New Roman" w:hAnsi="Times New Roman" w:cs="Times New Roman"/>
          <w:sz w:val="24"/>
          <w:szCs w:val="24"/>
        </w:rPr>
        <w:t>. Los préstamos industriales y comerciales han caído un 5,4% interanual, su primer dato negativo desde septiembre de 2021, antes del comienzo del ciclo de endurecimiento de tipos. Los préstamos al consumo han avanzado solo un 6,6%, y no superan el 7% de crecimiento desde el pasado mes de noviembre, su peor racha desde el tramo final de la crisis del covid, en abril de 2021. Y el crédito bancario total lleva desde diciembre estancando en un 5% de crecimiento, la menor cifra desde septiembr</w:t>
      </w:r>
      <w:r>
        <w:rPr>
          <w:rFonts w:ascii="Times New Roman" w:hAnsi="Times New Roman" w:cs="Times New Roman"/>
          <w:sz w:val="24"/>
          <w:szCs w:val="24"/>
        </w:rPr>
        <w:t>e de 2021. El “boom”</w:t>
      </w:r>
      <w:r w:rsidRPr="0077508F">
        <w:rPr>
          <w:rFonts w:ascii="Times New Roman" w:hAnsi="Times New Roman" w:cs="Times New Roman"/>
          <w:sz w:val="24"/>
          <w:szCs w:val="24"/>
        </w:rPr>
        <w:t xml:space="preserve"> pospandémico ha terminado, y los analistas apuntan claramente al endurecimiento monetario emprendido por el banco central estadounidense.</w:t>
      </w:r>
    </w:p>
    <w:p w:rsidR="007E3D39" w:rsidRPr="0077508F" w:rsidRDefault="007E3D39" w:rsidP="007E3D39">
      <w:pPr>
        <w:spacing w:line="240" w:lineRule="auto"/>
        <w:jc w:val="both"/>
        <w:rPr>
          <w:rFonts w:ascii="Times New Roman" w:hAnsi="Times New Roman" w:cs="Times New Roman"/>
          <w:sz w:val="24"/>
          <w:szCs w:val="24"/>
        </w:rPr>
      </w:pPr>
      <w:r w:rsidRPr="0077508F">
        <w:rPr>
          <w:rFonts w:ascii="Times New Roman" w:hAnsi="Times New Roman" w:cs="Times New Roman"/>
          <w:sz w:val="24"/>
          <w:szCs w:val="24"/>
        </w:rPr>
        <w:t>Jeffrey Haley, director ejecutivo de American National Bank, un analista reconocido por anticipar el colapso de la banca regional estadounidense meses antes de que Silicon Valley Bank fuera a la quiebra, se ha mostrado tajante sobre el asunto. El experto h</w:t>
      </w:r>
      <w:r>
        <w:rPr>
          <w:rFonts w:ascii="Times New Roman" w:hAnsi="Times New Roman" w:cs="Times New Roman"/>
          <w:sz w:val="24"/>
          <w:szCs w:val="24"/>
        </w:rPr>
        <w:t>a anticipado recientemente que “</w:t>
      </w:r>
      <w:r w:rsidRPr="0077508F">
        <w:rPr>
          <w:rFonts w:ascii="Times New Roman" w:hAnsi="Times New Roman" w:cs="Times New Roman"/>
          <w:sz w:val="24"/>
          <w:szCs w:val="24"/>
        </w:rPr>
        <w:t xml:space="preserve">basándome en los acontecimientos actuales... ahora creo que (el crédito) </w:t>
      </w:r>
      <w:r>
        <w:rPr>
          <w:rFonts w:ascii="Times New Roman" w:hAnsi="Times New Roman" w:cs="Times New Roman"/>
          <w:sz w:val="24"/>
          <w:szCs w:val="24"/>
        </w:rPr>
        <w:t>se reducirá a la mitad de nuevo”</w:t>
      </w:r>
      <w:r w:rsidRPr="0077508F">
        <w:rPr>
          <w:rFonts w:ascii="Times New Roman" w:hAnsi="Times New Roman" w:cs="Times New Roman"/>
          <w:sz w:val="24"/>
          <w:szCs w:val="24"/>
        </w:rPr>
        <w:t>.</w:t>
      </w:r>
    </w:p>
    <w:p w:rsidR="007E3D39" w:rsidRPr="0077508F" w:rsidRDefault="007E3D39" w:rsidP="007E3D39">
      <w:pPr>
        <w:spacing w:line="240" w:lineRule="auto"/>
        <w:jc w:val="both"/>
        <w:rPr>
          <w:rFonts w:ascii="Times New Roman" w:hAnsi="Times New Roman" w:cs="Times New Roman"/>
          <w:sz w:val="24"/>
          <w:szCs w:val="24"/>
        </w:rPr>
      </w:pPr>
      <w:r w:rsidRPr="0077508F">
        <w:rPr>
          <w:rFonts w:ascii="Times New Roman" w:hAnsi="Times New Roman" w:cs="Times New Roman"/>
          <w:sz w:val="24"/>
          <w:szCs w:val="24"/>
        </w:rPr>
        <w:t xml:space="preserve">Al margen de Haley, otros expertos como Matthew Luzzetti, economista jefe para EEUU </w:t>
      </w:r>
      <w:r>
        <w:rPr>
          <w:rFonts w:ascii="Times New Roman" w:hAnsi="Times New Roman" w:cs="Times New Roman"/>
          <w:sz w:val="24"/>
          <w:szCs w:val="24"/>
        </w:rPr>
        <w:t>de Deutsche Bank, opinaban que “</w:t>
      </w:r>
      <w:r w:rsidRPr="0077508F">
        <w:rPr>
          <w:rFonts w:ascii="Times New Roman" w:hAnsi="Times New Roman" w:cs="Times New Roman"/>
          <w:sz w:val="24"/>
          <w:szCs w:val="24"/>
        </w:rPr>
        <w:t>en caso de sucederse (el recorte de crédito), es un escenario que llevaría las condiciones financieras a un rango que se ha asociado</w:t>
      </w:r>
      <w:r>
        <w:rPr>
          <w:rFonts w:ascii="Times New Roman" w:hAnsi="Times New Roman" w:cs="Times New Roman"/>
          <w:sz w:val="24"/>
          <w:szCs w:val="24"/>
        </w:rPr>
        <w:t xml:space="preserve"> más claramente con la recesión”</w:t>
      </w:r>
      <w:r w:rsidRPr="0077508F">
        <w:rPr>
          <w:rFonts w:ascii="Times New Roman" w:hAnsi="Times New Roman" w:cs="Times New Roman"/>
          <w:sz w:val="24"/>
          <w:szCs w:val="24"/>
        </w:rPr>
        <w:t xml:space="preserve">. Además, el experto apoya </w:t>
      </w:r>
      <w:r>
        <w:rPr>
          <w:rFonts w:ascii="Times New Roman" w:hAnsi="Times New Roman" w:cs="Times New Roman"/>
          <w:sz w:val="24"/>
          <w:szCs w:val="24"/>
        </w:rPr>
        <w:t>esta posibilidad afirmando que “</w:t>
      </w:r>
      <w:r w:rsidRPr="0077508F">
        <w:rPr>
          <w:rFonts w:ascii="Times New Roman" w:hAnsi="Times New Roman" w:cs="Times New Roman"/>
          <w:sz w:val="24"/>
          <w:szCs w:val="24"/>
        </w:rPr>
        <w:t>vemos potencial para un endurecimiento más amplio de las condiciones financieras que ralentizará significativamente el crecimiento en un momento en que los rie</w:t>
      </w:r>
      <w:r>
        <w:rPr>
          <w:rFonts w:ascii="Times New Roman" w:hAnsi="Times New Roman" w:cs="Times New Roman"/>
          <w:sz w:val="24"/>
          <w:szCs w:val="24"/>
        </w:rPr>
        <w:t>sgos de recesión eran mayores”.</w:t>
      </w:r>
    </w:p>
    <w:p w:rsidR="007E3D39" w:rsidRPr="002819B1" w:rsidRDefault="007E3D39" w:rsidP="007E3D39">
      <w:pPr>
        <w:spacing w:line="240" w:lineRule="auto"/>
        <w:jc w:val="both"/>
        <w:rPr>
          <w:rFonts w:ascii="Times New Roman" w:hAnsi="Times New Roman" w:cs="Times New Roman"/>
          <w:sz w:val="24"/>
          <w:szCs w:val="24"/>
          <w:u w:val="single"/>
        </w:rPr>
      </w:pPr>
      <w:r w:rsidRPr="002819B1">
        <w:rPr>
          <w:rFonts w:ascii="Times New Roman" w:hAnsi="Times New Roman" w:cs="Times New Roman"/>
          <w:sz w:val="24"/>
          <w:szCs w:val="24"/>
          <w:u w:val="single"/>
        </w:rPr>
        <w:t>La Reserva Federal lleva un camino imparable de subidas de tipos que ha elevado drásticamente el “precio del dinero”. La institución ha enlazado alza tras alza hasta sumar 450 puntos básicos más en menos de un año, con nueve reuniones consecutivas al alza. Pese a todo, el presidente del banco central, Jerome Powell, alentó al mercado en su última rueda de prensa afirmando que solo quedaba “algún endurecimiento adicional”.</w:t>
      </w:r>
    </w:p>
    <w:p w:rsidR="007E3D39" w:rsidRDefault="007E3D39" w:rsidP="007E3D39">
      <w:pPr>
        <w:spacing w:line="240" w:lineRule="auto"/>
        <w:jc w:val="both"/>
        <w:rPr>
          <w:rFonts w:ascii="Times New Roman" w:hAnsi="Times New Roman" w:cs="Times New Roman"/>
          <w:sz w:val="24"/>
          <w:szCs w:val="24"/>
        </w:rPr>
      </w:pPr>
      <w:r w:rsidRPr="002819B1">
        <w:rPr>
          <w:rFonts w:ascii="Times New Roman" w:hAnsi="Times New Roman" w:cs="Times New Roman"/>
          <w:color w:val="FF0000"/>
          <w:sz w:val="24"/>
          <w:szCs w:val="24"/>
          <w:u w:val="single"/>
        </w:rPr>
        <w:t>A pesar de ello, una gran duda inunda a la cúpula de la institución monetaria: ¿Cuánto más subirlos y cuándo empezar a bajarlos?</w:t>
      </w:r>
      <w:r w:rsidRPr="0077508F">
        <w:rPr>
          <w:rFonts w:ascii="Times New Roman" w:hAnsi="Times New Roman" w:cs="Times New Roman"/>
          <w:sz w:val="24"/>
          <w:szCs w:val="24"/>
        </w:rPr>
        <w:t xml:space="preserve"> Matthew Luzzetti, economista jefe para EEUU de Deutsche Bank, estimó recientemente que si la próxima encuesta de la Fed a los prestamistas muestra un aumento de 10 puntos porcentuales en la proporción de bancos que restringen el crédito, podría reducir alrededor de medio punto porcentual de la producción de préstamos en EEUU, lo suficiente como para convertir el esperado escaso crecimiento en una recesión plena</w:t>
      </w:r>
      <w:r>
        <w:rPr>
          <w:rFonts w:ascii="Times New Roman" w:hAnsi="Times New Roman" w:cs="Times New Roman"/>
          <w:sz w:val="24"/>
          <w:szCs w:val="24"/>
        </w:rPr>
        <w:t>…</w:t>
      </w:r>
    </w:p>
    <w:p w:rsidR="007E3D39" w:rsidRPr="002819B1" w:rsidRDefault="007E3D39" w:rsidP="007E3D39">
      <w:pPr>
        <w:spacing w:line="240" w:lineRule="auto"/>
        <w:jc w:val="both"/>
        <w:rPr>
          <w:rFonts w:ascii="Times New Roman" w:hAnsi="Times New Roman" w:cs="Times New Roman"/>
          <w:color w:val="FF0000"/>
          <w:sz w:val="24"/>
          <w:szCs w:val="24"/>
          <w:u w:val="single"/>
        </w:rPr>
      </w:pPr>
      <w:r w:rsidRPr="002819B1">
        <w:rPr>
          <w:rFonts w:ascii="Times New Roman" w:hAnsi="Times New Roman" w:cs="Times New Roman"/>
          <w:color w:val="FF0000"/>
          <w:sz w:val="24"/>
          <w:szCs w:val="24"/>
          <w:u w:val="single"/>
        </w:rPr>
        <w:lastRenderedPageBreak/>
        <w:t>Queda por ver si estos temores se materializan en una crisis o si el estancamiento del crédito es solo algo coyuntural y a medida que se sucedan los meses el dinero vuelve a fluir. En cualquier caso, una de las crisis más temidas por la Reserva Federal es ya una realidad que estará encima de la mesa en la próxima reunión. El tres de mayo se verá si finalmente el ritmo frena para disipar los problemas crediticios o si el rumbo de la institución se mantendrá invariable.</w:t>
      </w:r>
    </w:p>
    <w:p w:rsidR="007E3D39" w:rsidRDefault="007E3D39" w:rsidP="007E3D39">
      <w:pPr>
        <w:spacing w:line="240" w:lineRule="auto"/>
        <w:jc w:val="both"/>
        <w:rPr>
          <w:rFonts w:ascii="Times New Roman" w:hAnsi="Times New Roman" w:cs="Times New Roman"/>
          <w:sz w:val="24"/>
          <w:szCs w:val="24"/>
        </w:rPr>
      </w:pPr>
      <w:r w:rsidRPr="000A5CEE">
        <w:rPr>
          <w:rFonts w:ascii="Times New Roman" w:hAnsi="Times New Roman" w:cs="Times New Roman"/>
          <w:noProof/>
          <w:sz w:val="24"/>
          <w:szCs w:val="24"/>
          <w:lang w:eastAsia="es-ES"/>
        </w:rPr>
        <w:drawing>
          <wp:inline distT="0" distB="0" distL="0" distR="0" wp14:anchorId="156BFA9E" wp14:editId="6A7A3725">
            <wp:extent cx="5732021" cy="4032250"/>
            <wp:effectExtent l="0" t="0" r="2540" b="6350"/>
            <wp:docPr id="79" name="Imagen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5731510" cy="4031891"/>
                    </a:xfrm>
                    <a:prstGeom prst="rect">
                      <a:avLst/>
                    </a:prstGeom>
                  </pic:spPr>
                </pic:pic>
              </a:graphicData>
            </a:graphic>
          </wp:inline>
        </w:drawing>
      </w:r>
    </w:p>
    <w:p w:rsidR="007E3D39" w:rsidRPr="000A5CEE"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El Economista - </w:t>
      </w:r>
      <w:r w:rsidRPr="000A5CEE">
        <w:rPr>
          <w:rFonts w:ascii="Times New Roman" w:hAnsi="Times New Roman" w:cs="Times New Roman"/>
          <w:b/>
          <w:sz w:val="24"/>
          <w:szCs w:val="24"/>
        </w:rPr>
        <w:t>12/4/23</w:t>
      </w:r>
      <w:r>
        <w:rPr>
          <w:rFonts w:ascii="Times New Roman" w:hAnsi="Times New Roman" w:cs="Times New Roman"/>
          <w:sz w:val="24"/>
          <w:szCs w:val="24"/>
        </w:rPr>
        <w:t>)</w:t>
      </w:r>
    </w:p>
    <w:p w:rsidR="007E3D39" w:rsidRPr="002819B1" w:rsidRDefault="007E3D39" w:rsidP="007E3D39">
      <w:pPr>
        <w:spacing w:line="240" w:lineRule="auto"/>
        <w:jc w:val="both"/>
        <w:rPr>
          <w:rFonts w:ascii="Times New Roman" w:hAnsi="Times New Roman" w:cs="Times New Roman"/>
          <w:b/>
          <w:color w:val="FF0000"/>
          <w:sz w:val="24"/>
          <w:szCs w:val="24"/>
          <w:u w:val="single"/>
        </w:rPr>
      </w:pPr>
      <w:r w:rsidRPr="002819B1">
        <w:rPr>
          <w:rFonts w:ascii="Times New Roman" w:hAnsi="Times New Roman" w:cs="Times New Roman"/>
          <w:b/>
          <w:color w:val="FF0000"/>
          <w:sz w:val="24"/>
          <w:szCs w:val="24"/>
          <w:u w:val="single"/>
        </w:rPr>
        <w:t xml:space="preserve">La Comisión Europea dejará atrás el año que viene la cláusula de escape que permite a los países sobrepasar el límite del 60% de deuda pública sobre el PIB y el déficit 3% del PIB, retomando la disciplina fiscal tras un periodo transitorio, ya en 2026… </w:t>
      </w:r>
    </w:p>
    <w:p w:rsidR="007E3D39" w:rsidRPr="000A5CEE" w:rsidRDefault="007E3D39" w:rsidP="007E3D39">
      <w:pPr>
        <w:spacing w:line="240" w:lineRule="auto"/>
        <w:jc w:val="both"/>
        <w:rPr>
          <w:rFonts w:ascii="Times New Roman" w:hAnsi="Times New Roman" w:cs="Times New Roman"/>
          <w:sz w:val="24"/>
          <w:szCs w:val="24"/>
        </w:rPr>
      </w:pPr>
      <w:r w:rsidRPr="000A5CEE">
        <w:rPr>
          <w:rFonts w:ascii="Times New Roman" w:hAnsi="Times New Roman" w:cs="Times New Roman"/>
          <w:sz w:val="24"/>
          <w:szCs w:val="24"/>
        </w:rPr>
        <w:t>Repunte global</w:t>
      </w:r>
    </w:p>
    <w:p w:rsidR="007E3D39" w:rsidRPr="002819B1" w:rsidRDefault="007E3D39" w:rsidP="007E3D39">
      <w:pPr>
        <w:spacing w:line="240" w:lineRule="auto"/>
        <w:jc w:val="both"/>
        <w:rPr>
          <w:rFonts w:ascii="Times New Roman" w:hAnsi="Times New Roman" w:cs="Times New Roman"/>
          <w:sz w:val="24"/>
          <w:szCs w:val="24"/>
          <w:u w:val="single"/>
        </w:rPr>
      </w:pPr>
      <w:r w:rsidRPr="002819B1">
        <w:rPr>
          <w:rFonts w:ascii="Times New Roman" w:hAnsi="Times New Roman" w:cs="Times New Roman"/>
          <w:sz w:val="24"/>
          <w:szCs w:val="24"/>
          <w:u w:val="single"/>
        </w:rPr>
        <w:t>Los déficits fiscales crecerán “ligeramente” hasta el 5% del PIB mundial de media por los mayores pagos en intereses de los gobiernos y por las presiones para revalorizar pensiones y salarios de acuerdo con las tasas de inflación.</w:t>
      </w:r>
    </w:p>
    <w:p w:rsidR="007E3D39" w:rsidRPr="002819B1" w:rsidRDefault="007E3D39" w:rsidP="007E3D39">
      <w:pPr>
        <w:spacing w:line="240" w:lineRule="auto"/>
        <w:jc w:val="both"/>
        <w:rPr>
          <w:rFonts w:ascii="Times New Roman" w:hAnsi="Times New Roman" w:cs="Times New Roman"/>
          <w:sz w:val="24"/>
          <w:szCs w:val="24"/>
          <w:u w:val="single"/>
        </w:rPr>
      </w:pPr>
      <w:r w:rsidRPr="002819B1">
        <w:rPr>
          <w:rFonts w:ascii="Times New Roman" w:hAnsi="Times New Roman" w:cs="Times New Roman"/>
          <w:sz w:val="24"/>
          <w:szCs w:val="24"/>
          <w:u w:val="single"/>
        </w:rPr>
        <w:t>La situación a corto plazo permanece “compleja”, ha dicho el organismo, aunque los “riesgos están claramente a la baja”. Sin embargo, de intensificarse la inestabilidad financiera, las cuentas públicas podrían verse afectadas al tener que intervenir con paquetes de rescate. De ser así, la política fiscal deberá intervenir con rapidez para “minimizar los costes a la vez que mitiga el riesgo moral”.</w:t>
      </w:r>
    </w:p>
    <w:p w:rsidR="007E3D39" w:rsidRPr="002819B1" w:rsidRDefault="007E3D39" w:rsidP="007E3D39">
      <w:pPr>
        <w:spacing w:line="240" w:lineRule="auto"/>
        <w:jc w:val="both"/>
        <w:rPr>
          <w:rFonts w:ascii="Times New Roman" w:hAnsi="Times New Roman" w:cs="Times New Roman"/>
          <w:sz w:val="24"/>
          <w:szCs w:val="24"/>
          <w:u w:val="single"/>
        </w:rPr>
      </w:pPr>
      <w:r w:rsidRPr="002819B1">
        <w:rPr>
          <w:rFonts w:ascii="Times New Roman" w:hAnsi="Times New Roman" w:cs="Times New Roman"/>
          <w:sz w:val="24"/>
          <w:szCs w:val="24"/>
          <w:u w:val="single"/>
        </w:rPr>
        <w:t>Por el contrario, allí donde la inflación esté bajo control y haya espacio para políticas fiscales, los gobiernos deben permitir que “los estabilizadores automáticos actúen”.</w:t>
      </w:r>
    </w:p>
    <w:p w:rsidR="007E3D39" w:rsidRPr="000A5CEE" w:rsidRDefault="007E3D39" w:rsidP="007E3D39">
      <w:pPr>
        <w:spacing w:line="240" w:lineRule="auto"/>
        <w:jc w:val="both"/>
        <w:rPr>
          <w:rFonts w:ascii="Times New Roman" w:hAnsi="Times New Roman" w:cs="Times New Roman"/>
          <w:sz w:val="24"/>
          <w:szCs w:val="24"/>
        </w:rPr>
      </w:pPr>
      <w:r w:rsidRPr="002819B1">
        <w:rPr>
          <w:rFonts w:ascii="Times New Roman" w:hAnsi="Times New Roman" w:cs="Times New Roman"/>
          <w:sz w:val="24"/>
          <w:szCs w:val="24"/>
          <w:u w:val="single"/>
        </w:rPr>
        <w:lastRenderedPageBreak/>
        <w:t>Además, el FMI se ha referido al repunte histórico de la deuda pública en el conjunto de la economía mundial, que casi ha alcanzado el 100% del PIB por el efecto combinado de la contracción económica por el Covid y los masivos paquetes de ayudas públicas desplegados.</w:t>
      </w:r>
      <w:r w:rsidRPr="000A5CEE">
        <w:rPr>
          <w:rFonts w:ascii="Times New Roman" w:hAnsi="Times New Roman" w:cs="Times New Roman"/>
          <w:sz w:val="24"/>
          <w:szCs w:val="24"/>
        </w:rPr>
        <w:t xml:space="preserve"> No obstante, la entidad multilateral ha señalado que los déficits fiscales se han reducido por un notable avance </w:t>
      </w:r>
      <w:r>
        <w:rPr>
          <w:rFonts w:ascii="Times New Roman" w:hAnsi="Times New Roman" w:cs="Times New Roman"/>
          <w:sz w:val="24"/>
          <w:szCs w:val="24"/>
        </w:rPr>
        <w:t>del PIB nominal, aupado por un “</w:t>
      </w:r>
      <w:r w:rsidRPr="000A5CEE">
        <w:rPr>
          <w:rFonts w:ascii="Times New Roman" w:hAnsi="Times New Roman" w:cs="Times New Roman"/>
          <w:sz w:val="24"/>
          <w:szCs w:val="24"/>
        </w:rPr>
        <w:t xml:space="preserve">crecimiento atípico y las </w:t>
      </w:r>
      <w:r>
        <w:rPr>
          <w:rFonts w:ascii="Times New Roman" w:hAnsi="Times New Roman" w:cs="Times New Roman"/>
          <w:sz w:val="24"/>
          <w:szCs w:val="24"/>
        </w:rPr>
        <w:t>dinámicas de la inflación”</w:t>
      </w:r>
      <w:r w:rsidRPr="000A5CEE">
        <w:rPr>
          <w:rFonts w:ascii="Times New Roman" w:hAnsi="Times New Roman" w:cs="Times New Roman"/>
          <w:sz w:val="24"/>
          <w:szCs w:val="24"/>
        </w:rPr>
        <w:t>, pero también ha advertido de que los niveles de deuda se encontraron en el 92% al cierre de 2022, un 8% por encima de los que</w:t>
      </w:r>
      <w:r>
        <w:rPr>
          <w:rFonts w:ascii="Times New Roman" w:hAnsi="Times New Roman" w:cs="Times New Roman"/>
          <w:sz w:val="24"/>
          <w:szCs w:val="24"/>
        </w:rPr>
        <w:t xml:space="preserve"> se anotaron a finales de 2019.</w:t>
      </w:r>
    </w:p>
    <w:p w:rsidR="007E3D39" w:rsidRPr="000A5CEE" w:rsidRDefault="007E3D39" w:rsidP="007E3D39">
      <w:pPr>
        <w:spacing w:line="240" w:lineRule="auto"/>
        <w:jc w:val="both"/>
        <w:rPr>
          <w:rFonts w:ascii="Times New Roman" w:hAnsi="Times New Roman" w:cs="Times New Roman"/>
          <w:sz w:val="24"/>
          <w:szCs w:val="24"/>
        </w:rPr>
      </w:pPr>
      <w:r w:rsidRPr="002819B1">
        <w:rPr>
          <w:rFonts w:ascii="Times New Roman" w:hAnsi="Times New Roman" w:cs="Times New Roman"/>
          <w:sz w:val="24"/>
          <w:szCs w:val="24"/>
          <w:u w:val="single"/>
        </w:rPr>
        <w:t>De estos, el déficit por saldo primario está cayendo “con rapidez” a niveles similares a los prepandémicos “en muchos países”, pero los déficits totales se han moderado con menos intensidad por el aumento de los pagos por intereses</w:t>
      </w:r>
      <w:r w:rsidRPr="000A5CEE">
        <w:rPr>
          <w:rFonts w:ascii="Times New Roman" w:hAnsi="Times New Roman" w:cs="Times New Roman"/>
          <w:sz w:val="24"/>
          <w:szCs w:val="24"/>
        </w:rPr>
        <w:t xml:space="preserve">. Aun así, las haciendas públicas recibieron de media un 3,1% extra de ingresos sobre el PIB en los países desarrollados, un 0,6% más de los que registraron las naciones en desarrollo y emergentes. El FMI </w:t>
      </w:r>
      <w:r>
        <w:rPr>
          <w:rFonts w:ascii="Times New Roman" w:hAnsi="Times New Roman" w:cs="Times New Roman"/>
          <w:sz w:val="24"/>
          <w:szCs w:val="24"/>
        </w:rPr>
        <w:t>ha señalado que estos ingresos “caídos del cielo”</w:t>
      </w:r>
      <w:r w:rsidRPr="000A5CEE">
        <w:rPr>
          <w:rFonts w:ascii="Times New Roman" w:hAnsi="Times New Roman" w:cs="Times New Roman"/>
          <w:sz w:val="24"/>
          <w:szCs w:val="24"/>
        </w:rPr>
        <w:t xml:space="preserve"> fueron mayores en los p</w:t>
      </w:r>
      <w:r>
        <w:rPr>
          <w:rFonts w:ascii="Times New Roman" w:hAnsi="Times New Roman" w:cs="Times New Roman"/>
          <w:sz w:val="24"/>
          <w:szCs w:val="24"/>
        </w:rPr>
        <w:t>aíses exportadores de petróleo…</w:t>
      </w:r>
    </w:p>
    <w:p w:rsidR="007E3D39" w:rsidRPr="002819B1" w:rsidRDefault="007E3D39" w:rsidP="007E3D39">
      <w:pPr>
        <w:spacing w:line="240" w:lineRule="auto"/>
        <w:jc w:val="both"/>
        <w:rPr>
          <w:rFonts w:ascii="Times New Roman" w:hAnsi="Times New Roman" w:cs="Times New Roman"/>
          <w:color w:val="FF0000"/>
          <w:sz w:val="24"/>
          <w:szCs w:val="24"/>
          <w:u w:val="single"/>
        </w:rPr>
      </w:pPr>
      <w:r w:rsidRPr="002819B1">
        <w:rPr>
          <w:rFonts w:ascii="Times New Roman" w:hAnsi="Times New Roman" w:cs="Times New Roman"/>
          <w:sz w:val="24"/>
          <w:szCs w:val="24"/>
          <w:u w:val="single"/>
        </w:rPr>
        <w:t>En cuanto al medio plazo, los déficits fiscales estarán por encima de los niveles prepandemia. De su lado, persistirá una “considerable incertidumbre” en materia fiscal.</w:t>
      </w:r>
      <w:r w:rsidRPr="000A5CEE">
        <w:rPr>
          <w:rFonts w:ascii="Times New Roman" w:hAnsi="Times New Roman" w:cs="Times New Roman"/>
          <w:sz w:val="24"/>
          <w:szCs w:val="24"/>
        </w:rPr>
        <w:t xml:space="preserve"> El FMI ha estimado que ni el crecimiento nominal del PIB, que se ralenti</w:t>
      </w:r>
      <w:r>
        <w:rPr>
          <w:rFonts w:ascii="Times New Roman" w:hAnsi="Times New Roman" w:cs="Times New Roman"/>
          <w:sz w:val="24"/>
          <w:szCs w:val="24"/>
        </w:rPr>
        <w:t>zará, ni el endurecimiento “gradual y moderado”</w:t>
      </w:r>
      <w:r w:rsidRPr="000A5CEE">
        <w:rPr>
          <w:rFonts w:ascii="Times New Roman" w:hAnsi="Times New Roman" w:cs="Times New Roman"/>
          <w:sz w:val="24"/>
          <w:szCs w:val="24"/>
        </w:rPr>
        <w:t xml:space="preserve"> en política fiscal serán suficientes para contener el al</w:t>
      </w:r>
      <w:r>
        <w:rPr>
          <w:rFonts w:ascii="Times New Roman" w:hAnsi="Times New Roman" w:cs="Times New Roman"/>
          <w:sz w:val="24"/>
          <w:szCs w:val="24"/>
        </w:rPr>
        <w:t xml:space="preserve">za de ratios de deuda pública. </w:t>
      </w:r>
      <w:r w:rsidRPr="002819B1">
        <w:rPr>
          <w:rFonts w:ascii="Times New Roman" w:hAnsi="Times New Roman" w:cs="Times New Roman"/>
          <w:color w:val="FF0000"/>
          <w:sz w:val="24"/>
          <w:szCs w:val="24"/>
          <w:u w:val="single"/>
        </w:rPr>
        <w:t>“Aún no sabemos cómo será la nueva normalidad en las finanzas públicas”, ha resumido Vitor Gaspar, director del Departamento de Asuntos Fiscales del FMI, en una rueda de prensa.</w:t>
      </w:r>
    </w:p>
    <w:p w:rsidR="007E3D39" w:rsidRPr="00B54C14"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54C14">
        <w:rPr>
          <w:rFonts w:ascii="Times New Roman" w:hAnsi="Times New Roman" w:cs="Times New Roman"/>
          <w:sz w:val="24"/>
          <w:szCs w:val="24"/>
          <w:u w:val="single"/>
        </w:rPr>
        <w:t xml:space="preserve">El-Erian </w:t>
      </w:r>
      <w:r>
        <w:rPr>
          <w:rFonts w:ascii="Times New Roman" w:hAnsi="Times New Roman" w:cs="Times New Roman"/>
          <w:sz w:val="24"/>
          <w:szCs w:val="24"/>
          <w:u w:val="single"/>
        </w:rPr>
        <w:t>alerta a los bancos centrales: “</w:t>
      </w:r>
      <w:r w:rsidRPr="00B54C14">
        <w:rPr>
          <w:rFonts w:ascii="Times New Roman" w:hAnsi="Times New Roman" w:cs="Times New Roman"/>
          <w:sz w:val="24"/>
          <w:szCs w:val="24"/>
          <w:u w:val="single"/>
        </w:rPr>
        <w:t>Corren el riesgo de perder su aut</w:t>
      </w:r>
      <w:r>
        <w:rPr>
          <w:rFonts w:ascii="Times New Roman" w:hAnsi="Times New Roman" w:cs="Times New Roman"/>
          <w:sz w:val="24"/>
          <w:szCs w:val="24"/>
          <w:u w:val="single"/>
        </w:rPr>
        <w:t>onomía si no asumen sus errores”</w:t>
      </w:r>
      <w:r>
        <w:rPr>
          <w:rFonts w:ascii="Times New Roman" w:hAnsi="Times New Roman" w:cs="Times New Roman"/>
          <w:sz w:val="24"/>
          <w:szCs w:val="24"/>
        </w:rPr>
        <w:t xml:space="preserve"> (El Economista - </w:t>
      </w:r>
      <w:r w:rsidRPr="00B54C14">
        <w:rPr>
          <w:rFonts w:ascii="Times New Roman" w:hAnsi="Times New Roman" w:cs="Times New Roman"/>
          <w:b/>
          <w:sz w:val="24"/>
          <w:szCs w:val="24"/>
        </w:rPr>
        <w:t>15/4/23</w:t>
      </w:r>
      <w:r>
        <w:rPr>
          <w:rFonts w:ascii="Times New Roman" w:hAnsi="Times New Roman" w:cs="Times New Roman"/>
          <w:sz w:val="24"/>
          <w:szCs w:val="24"/>
        </w:rPr>
        <w:t>)</w:t>
      </w:r>
    </w:p>
    <w:p w:rsidR="007E3D39" w:rsidRPr="00FF6E2A" w:rsidRDefault="007E3D39" w:rsidP="007E3D39">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w:t>
      </w:r>
      <w:r w:rsidRPr="00FF6E2A">
        <w:rPr>
          <w:rFonts w:ascii="Times New Roman" w:hAnsi="Times New Roman" w:cs="Times New Roman"/>
          <w:color w:val="FF0000"/>
          <w:sz w:val="24"/>
          <w:szCs w:val="24"/>
        </w:rPr>
        <w:t>La autonomía operativa es abso</w:t>
      </w:r>
      <w:r>
        <w:rPr>
          <w:rFonts w:ascii="Times New Roman" w:hAnsi="Times New Roman" w:cs="Times New Roman"/>
          <w:color w:val="FF0000"/>
          <w:sz w:val="24"/>
          <w:szCs w:val="24"/>
        </w:rPr>
        <w:t>lutamente fundamental para ello”</w:t>
      </w:r>
      <w:r w:rsidRPr="00FF6E2A">
        <w:rPr>
          <w:rFonts w:ascii="Times New Roman" w:hAnsi="Times New Roman" w:cs="Times New Roman"/>
          <w:color w:val="FF0000"/>
          <w:sz w:val="24"/>
          <w:szCs w:val="24"/>
        </w:rPr>
        <w:t>, recalca</w:t>
      </w:r>
    </w:p>
    <w:p w:rsidR="007E3D39" w:rsidRPr="00FF6E2A" w:rsidRDefault="007E3D39" w:rsidP="007E3D39">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Según él, “</w:t>
      </w:r>
      <w:r w:rsidRPr="00FF6E2A">
        <w:rPr>
          <w:rFonts w:ascii="Times New Roman" w:hAnsi="Times New Roman" w:cs="Times New Roman"/>
          <w:color w:val="FF0000"/>
          <w:sz w:val="24"/>
          <w:szCs w:val="24"/>
        </w:rPr>
        <w:t>el propio mercado est</w:t>
      </w:r>
      <w:r>
        <w:rPr>
          <w:rFonts w:ascii="Times New Roman" w:hAnsi="Times New Roman" w:cs="Times New Roman"/>
          <w:color w:val="FF0000"/>
          <w:sz w:val="24"/>
          <w:szCs w:val="24"/>
        </w:rPr>
        <w:t>á dudando de la Reserva Federal”</w:t>
      </w:r>
    </w:p>
    <w:p w:rsidR="007E3D39" w:rsidRPr="00FF6E2A" w:rsidRDefault="007E3D39" w:rsidP="007E3D39">
      <w:pPr>
        <w:spacing w:line="240" w:lineRule="auto"/>
        <w:jc w:val="both"/>
        <w:rPr>
          <w:rFonts w:ascii="Times New Roman" w:hAnsi="Times New Roman" w:cs="Times New Roman"/>
          <w:sz w:val="24"/>
          <w:szCs w:val="24"/>
          <w:u w:val="single"/>
        </w:rPr>
      </w:pPr>
      <w:r w:rsidRPr="00B54C14">
        <w:rPr>
          <w:rFonts w:ascii="Times New Roman" w:hAnsi="Times New Roman" w:cs="Times New Roman"/>
          <w:sz w:val="24"/>
          <w:szCs w:val="24"/>
        </w:rPr>
        <w:t xml:space="preserve">Si por algo es conocido Mohamed El-Erian, el presidente del Queens College de la Universidad de Cambridge y asesor económico jefe de Allianz, es por no tener pelos en la lengua a la hora de dar su opinión sobre los mensajes y las políticas monetarias de la Reserva Federal de EEUU (Fed) para controlar la inflación. </w:t>
      </w:r>
      <w:r w:rsidRPr="00FF6E2A">
        <w:rPr>
          <w:rFonts w:ascii="Times New Roman" w:hAnsi="Times New Roman" w:cs="Times New Roman"/>
          <w:sz w:val="24"/>
          <w:szCs w:val="24"/>
          <w:u w:val="single"/>
        </w:rPr>
        <w:t>Hace apenas un mes, llegó a decir que los comentarios del presidente de la entid</w:t>
      </w:r>
      <w:r>
        <w:rPr>
          <w:rFonts w:ascii="Times New Roman" w:hAnsi="Times New Roman" w:cs="Times New Roman"/>
          <w:sz w:val="24"/>
          <w:szCs w:val="24"/>
          <w:u w:val="single"/>
        </w:rPr>
        <w:t>ad, Jerome Powell, alimentaban “</w:t>
      </w:r>
      <w:r w:rsidRPr="00FF6E2A">
        <w:rPr>
          <w:rFonts w:ascii="Times New Roman" w:hAnsi="Times New Roman" w:cs="Times New Roman"/>
          <w:sz w:val="24"/>
          <w:szCs w:val="24"/>
          <w:u w:val="single"/>
        </w:rPr>
        <w:t>una considera</w:t>
      </w:r>
      <w:r>
        <w:rPr>
          <w:rFonts w:ascii="Times New Roman" w:hAnsi="Times New Roman" w:cs="Times New Roman"/>
          <w:sz w:val="24"/>
          <w:szCs w:val="24"/>
          <w:u w:val="single"/>
        </w:rPr>
        <w:t>ble volatilidad en los mercados”</w:t>
      </w:r>
      <w:r w:rsidRPr="00FF6E2A">
        <w:rPr>
          <w:rFonts w:ascii="Times New Roman" w:hAnsi="Times New Roman" w:cs="Times New Roman"/>
          <w:sz w:val="24"/>
          <w:szCs w:val="24"/>
          <w:u w:val="single"/>
        </w:rPr>
        <w:t xml:space="preserve"> y, por consiguiente, suponían una amenaza para la estabilidad financiera y económica. Ahora, el economista va un paso más allá y asegura que la entidad, así como el resto de bancos centrales, corren el riesgo de perder su autonomía.</w:t>
      </w:r>
    </w:p>
    <w:p w:rsidR="007E3D39" w:rsidRPr="00FF6E2A" w:rsidRDefault="007E3D39" w:rsidP="007E3D39">
      <w:pPr>
        <w:spacing w:line="240" w:lineRule="auto"/>
        <w:jc w:val="both"/>
        <w:rPr>
          <w:rFonts w:ascii="Times New Roman" w:hAnsi="Times New Roman" w:cs="Times New Roman"/>
          <w:color w:val="FF0000"/>
          <w:sz w:val="24"/>
          <w:szCs w:val="24"/>
          <w:u w:val="single"/>
        </w:rPr>
      </w:pPr>
      <w:r w:rsidRPr="00FF6E2A">
        <w:rPr>
          <w:rFonts w:ascii="Times New Roman" w:hAnsi="Times New Roman" w:cs="Times New Roman"/>
          <w:color w:val="FF0000"/>
          <w:sz w:val="24"/>
          <w:szCs w:val="24"/>
          <w:u w:val="single"/>
        </w:rPr>
        <w:t>En concreto, El-Erian se refiere al p</w:t>
      </w:r>
      <w:r>
        <w:rPr>
          <w:rFonts w:ascii="Times New Roman" w:hAnsi="Times New Roman" w:cs="Times New Roman"/>
          <w:color w:val="FF0000"/>
          <w:sz w:val="24"/>
          <w:szCs w:val="24"/>
          <w:u w:val="single"/>
        </w:rPr>
        <w:t>eligro que al que se enfrentan “</w:t>
      </w:r>
      <w:r w:rsidRPr="00FF6E2A">
        <w:rPr>
          <w:rFonts w:ascii="Times New Roman" w:hAnsi="Times New Roman" w:cs="Times New Roman"/>
          <w:color w:val="FF0000"/>
          <w:sz w:val="24"/>
          <w:szCs w:val="24"/>
          <w:u w:val="single"/>
        </w:rPr>
        <w:t>si no asumen sus errores, si no aprenden de ell</w:t>
      </w:r>
      <w:r>
        <w:rPr>
          <w:rFonts w:ascii="Times New Roman" w:hAnsi="Times New Roman" w:cs="Times New Roman"/>
          <w:color w:val="FF0000"/>
          <w:sz w:val="24"/>
          <w:szCs w:val="24"/>
          <w:u w:val="single"/>
        </w:rPr>
        <w:t>os y hacen público este proceso”</w:t>
      </w:r>
      <w:r w:rsidRPr="00FF6E2A">
        <w:rPr>
          <w:rFonts w:ascii="Times New Roman" w:hAnsi="Times New Roman" w:cs="Times New Roman"/>
          <w:color w:val="FF0000"/>
          <w:sz w:val="24"/>
          <w:szCs w:val="24"/>
          <w:u w:val="single"/>
        </w:rPr>
        <w:t>. Y es que, de no hacerlo, los ciudadanos podrían pens</w:t>
      </w:r>
      <w:r>
        <w:rPr>
          <w:rFonts w:ascii="Times New Roman" w:hAnsi="Times New Roman" w:cs="Times New Roman"/>
          <w:color w:val="FF0000"/>
          <w:sz w:val="24"/>
          <w:szCs w:val="24"/>
          <w:u w:val="single"/>
        </w:rPr>
        <w:t>ar que las entidades bancarias “</w:t>
      </w:r>
      <w:r w:rsidRPr="00FF6E2A">
        <w:rPr>
          <w:rFonts w:ascii="Times New Roman" w:hAnsi="Times New Roman" w:cs="Times New Roman"/>
          <w:color w:val="FF0000"/>
          <w:sz w:val="24"/>
          <w:szCs w:val="24"/>
          <w:u w:val="single"/>
        </w:rPr>
        <w:t xml:space="preserve">no son </w:t>
      </w:r>
      <w:r>
        <w:rPr>
          <w:rFonts w:ascii="Times New Roman" w:hAnsi="Times New Roman" w:cs="Times New Roman"/>
          <w:color w:val="FF0000"/>
          <w:sz w:val="24"/>
          <w:szCs w:val="24"/>
          <w:u w:val="single"/>
        </w:rPr>
        <w:t>lo suficientemente responsables”</w:t>
      </w:r>
      <w:r w:rsidRPr="00FF6E2A">
        <w:rPr>
          <w:rFonts w:ascii="Times New Roman" w:hAnsi="Times New Roman" w:cs="Times New Roman"/>
          <w:color w:val="FF0000"/>
          <w:sz w:val="24"/>
          <w:szCs w:val="24"/>
          <w:u w:val="single"/>
        </w:rPr>
        <w:t xml:space="preserve">, lo que las incapacita para tener la autonomía política </w:t>
      </w:r>
      <w:r>
        <w:rPr>
          <w:rFonts w:ascii="Times New Roman" w:hAnsi="Times New Roman" w:cs="Times New Roman"/>
          <w:color w:val="FF0000"/>
          <w:sz w:val="24"/>
          <w:szCs w:val="24"/>
          <w:u w:val="single"/>
        </w:rPr>
        <w:t>que ostentan en la actualidad. “</w:t>
      </w:r>
      <w:r w:rsidRPr="00FF6E2A">
        <w:rPr>
          <w:rFonts w:ascii="Times New Roman" w:hAnsi="Times New Roman" w:cs="Times New Roman"/>
          <w:color w:val="FF0000"/>
          <w:sz w:val="24"/>
          <w:szCs w:val="24"/>
          <w:u w:val="single"/>
        </w:rPr>
        <w:t>La autonomía operativa es absolutamente fundam</w:t>
      </w:r>
      <w:r>
        <w:rPr>
          <w:rFonts w:ascii="Times New Roman" w:hAnsi="Times New Roman" w:cs="Times New Roman"/>
          <w:color w:val="FF0000"/>
          <w:sz w:val="24"/>
          <w:szCs w:val="24"/>
          <w:u w:val="single"/>
        </w:rPr>
        <w:t>ental para los bancos centrales”</w:t>
      </w:r>
      <w:r w:rsidRPr="00FF6E2A">
        <w:rPr>
          <w:rFonts w:ascii="Times New Roman" w:hAnsi="Times New Roman" w:cs="Times New Roman"/>
          <w:color w:val="FF0000"/>
          <w:sz w:val="24"/>
          <w:szCs w:val="24"/>
          <w:u w:val="single"/>
        </w:rPr>
        <w:t>, recalca el presidente del Queens College de la Universidad de Cambridge.</w:t>
      </w:r>
    </w:p>
    <w:p w:rsidR="007E3D39" w:rsidRPr="00B54C14" w:rsidRDefault="007E3D39" w:rsidP="007E3D39">
      <w:pPr>
        <w:spacing w:line="240" w:lineRule="auto"/>
        <w:jc w:val="both"/>
        <w:rPr>
          <w:rFonts w:ascii="Times New Roman" w:hAnsi="Times New Roman" w:cs="Times New Roman"/>
          <w:sz w:val="24"/>
          <w:szCs w:val="24"/>
        </w:rPr>
      </w:pPr>
      <w:r w:rsidRPr="00B54C14">
        <w:rPr>
          <w:rFonts w:ascii="Times New Roman" w:hAnsi="Times New Roman" w:cs="Times New Roman"/>
          <w:sz w:val="24"/>
          <w:szCs w:val="24"/>
        </w:rPr>
        <w:t>Para el economista, todo esto se suma a una gran desconfianza en las previsiones de la Fed sobre los tipos de interés, que en marzo eran del 5,1%. Un recelo</w:t>
      </w:r>
      <w:r>
        <w:rPr>
          <w:rFonts w:ascii="Times New Roman" w:hAnsi="Times New Roman" w:cs="Times New Roman"/>
          <w:sz w:val="24"/>
          <w:szCs w:val="24"/>
        </w:rPr>
        <w:t xml:space="preserve"> que no siente solo él, ya que “</w:t>
      </w:r>
      <w:r w:rsidRPr="00B54C14">
        <w:rPr>
          <w:rFonts w:ascii="Times New Roman" w:hAnsi="Times New Roman" w:cs="Times New Roman"/>
          <w:sz w:val="24"/>
          <w:szCs w:val="24"/>
        </w:rPr>
        <w:t>el propio mercado est</w:t>
      </w:r>
      <w:r>
        <w:rPr>
          <w:rFonts w:ascii="Times New Roman" w:hAnsi="Times New Roman" w:cs="Times New Roman"/>
          <w:sz w:val="24"/>
          <w:szCs w:val="24"/>
        </w:rPr>
        <w:t>á dudando de la Reserva Federal”</w:t>
      </w:r>
      <w:r w:rsidRPr="00B54C14">
        <w:rPr>
          <w:rFonts w:ascii="Times New Roman" w:hAnsi="Times New Roman" w:cs="Times New Roman"/>
          <w:sz w:val="24"/>
          <w:szCs w:val="24"/>
        </w:rPr>
        <w:t>.</w:t>
      </w:r>
    </w:p>
    <w:p w:rsidR="007E3D39" w:rsidRPr="00B54C14" w:rsidRDefault="007E3D39" w:rsidP="007E3D39">
      <w:pPr>
        <w:spacing w:line="240" w:lineRule="auto"/>
        <w:jc w:val="both"/>
        <w:rPr>
          <w:rFonts w:ascii="Times New Roman" w:hAnsi="Times New Roman" w:cs="Times New Roman"/>
          <w:sz w:val="24"/>
          <w:szCs w:val="24"/>
        </w:rPr>
      </w:pPr>
      <w:r w:rsidRPr="00B54C14">
        <w:rPr>
          <w:rFonts w:ascii="Times New Roman" w:hAnsi="Times New Roman" w:cs="Times New Roman"/>
          <w:sz w:val="24"/>
          <w:szCs w:val="24"/>
        </w:rPr>
        <w:t xml:space="preserve">Sin embargo, los bancos centrales no son los únicos que se enfrentan a serios peligros derivados de la subida de tipos de interés y su efecto en la estabilidad financiera, apunta El-Erian y recoge Bloomberg. El asesor económico jefe de Allianz lo dice por los responsables </w:t>
      </w:r>
      <w:r w:rsidRPr="00B54C14">
        <w:rPr>
          <w:rFonts w:ascii="Times New Roman" w:hAnsi="Times New Roman" w:cs="Times New Roman"/>
          <w:sz w:val="24"/>
          <w:szCs w:val="24"/>
        </w:rPr>
        <w:lastRenderedPageBreak/>
        <w:t>políticos, quiene</w:t>
      </w:r>
      <w:r>
        <w:rPr>
          <w:rFonts w:ascii="Times New Roman" w:hAnsi="Times New Roman" w:cs="Times New Roman"/>
          <w:sz w:val="24"/>
          <w:szCs w:val="24"/>
        </w:rPr>
        <w:t>s tendrán que enfrentarse a un “</w:t>
      </w:r>
      <w:r w:rsidRPr="00B54C14">
        <w:rPr>
          <w:rFonts w:ascii="Times New Roman" w:hAnsi="Times New Roman" w:cs="Times New Roman"/>
          <w:sz w:val="24"/>
          <w:szCs w:val="24"/>
        </w:rPr>
        <w:t>mundo de tip</w:t>
      </w:r>
      <w:r>
        <w:rPr>
          <w:rFonts w:ascii="Times New Roman" w:hAnsi="Times New Roman" w:cs="Times New Roman"/>
          <w:sz w:val="24"/>
          <w:szCs w:val="24"/>
        </w:rPr>
        <w:t>os más altos durante más tiempo”</w:t>
      </w:r>
      <w:r w:rsidRPr="00B54C14">
        <w:rPr>
          <w:rFonts w:ascii="Times New Roman" w:hAnsi="Times New Roman" w:cs="Times New Roman"/>
          <w:sz w:val="24"/>
          <w:szCs w:val="24"/>
        </w:rPr>
        <w:t>, tan diferente al viviendo hasta el año pasado, dond</w:t>
      </w:r>
      <w:r>
        <w:rPr>
          <w:rFonts w:ascii="Times New Roman" w:hAnsi="Times New Roman" w:cs="Times New Roman"/>
          <w:sz w:val="24"/>
          <w:szCs w:val="24"/>
        </w:rPr>
        <w:t>e el sistema financiero estaba “</w:t>
      </w:r>
      <w:r w:rsidRPr="00B54C14">
        <w:rPr>
          <w:rFonts w:ascii="Times New Roman" w:hAnsi="Times New Roman" w:cs="Times New Roman"/>
          <w:sz w:val="24"/>
          <w:szCs w:val="24"/>
        </w:rPr>
        <w:t>condicionado a vivir con tipos ul</w:t>
      </w:r>
      <w:r>
        <w:rPr>
          <w:rFonts w:ascii="Times New Roman" w:hAnsi="Times New Roman" w:cs="Times New Roman"/>
          <w:sz w:val="24"/>
          <w:szCs w:val="24"/>
        </w:rPr>
        <w:t>trabajos y abundante liquidez”...</w:t>
      </w:r>
    </w:p>
    <w:p w:rsidR="007E3D39" w:rsidRPr="00B54C14"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54C14">
        <w:rPr>
          <w:rFonts w:ascii="Times New Roman" w:hAnsi="Times New Roman" w:cs="Times New Roman"/>
          <w:sz w:val="24"/>
          <w:szCs w:val="24"/>
          <w:u w:val="single"/>
        </w:rPr>
        <w:t>El riesgo de hacernos adictos a la inflación: la argentinización de la economía global</w:t>
      </w:r>
      <w:r>
        <w:rPr>
          <w:rFonts w:ascii="Times New Roman" w:hAnsi="Times New Roman" w:cs="Times New Roman"/>
          <w:sz w:val="24"/>
          <w:szCs w:val="24"/>
        </w:rPr>
        <w:t xml:space="preserve"> (Libertad Digital - </w:t>
      </w:r>
      <w:r w:rsidRPr="00B54C14">
        <w:rPr>
          <w:rFonts w:ascii="Times New Roman" w:hAnsi="Times New Roman" w:cs="Times New Roman"/>
          <w:b/>
          <w:sz w:val="24"/>
          <w:szCs w:val="24"/>
        </w:rPr>
        <w:t>16/4/23</w:t>
      </w:r>
      <w:r>
        <w:rPr>
          <w:rFonts w:ascii="Times New Roman" w:hAnsi="Times New Roman" w:cs="Times New Roman"/>
          <w:sz w:val="24"/>
          <w:szCs w:val="24"/>
        </w:rPr>
        <w:t>)</w:t>
      </w:r>
    </w:p>
    <w:p w:rsidR="007E3D39" w:rsidRPr="00FF6E2A" w:rsidRDefault="007E3D39" w:rsidP="007E3D39">
      <w:pPr>
        <w:spacing w:line="240" w:lineRule="auto"/>
        <w:jc w:val="both"/>
        <w:rPr>
          <w:rFonts w:ascii="Times New Roman" w:hAnsi="Times New Roman" w:cs="Times New Roman"/>
          <w:color w:val="FF0000"/>
          <w:sz w:val="24"/>
          <w:szCs w:val="24"/>
        </w:rPr>
      </w:pPr>
      <w:r w:rsidRPr="00FF6E2A">
        <w:rPr>
          <w:rFonts w:ascii="Times New Roman" w:hAnsi="Times New Roman" w:cs="Times New Roman"/>
          <w:color w:val="FF0000"/>
          <w:sz w:val="24"/>
          <w:szCs w:val="24"/>
        </w:rPr>
        <w:t>Mientras los bancos centrales afirman que están retirando los estímulos, la cantidad de dinero en circulación ha vuelto a máximos del mes de enero.</w:t>
      </w:r>
    </w:p>
    <w:p w:rsidR="007E3D39" w:rsidRPr="00B54C14"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(Por Daniel Rodríguez Asensio)</w:t>
      </w:r>
    </w:p>
    <w:p w:rsidR="007E3D39" w:rsidRPr="00B54C14" w:rsidRDefault="007E3D39" w:rsidP="007E3D39">
      <w:pPr>
        <w:spacing w:line="240" w:lineRule="auto"/>
        <w:jc w:val="both"/>
        <w:rPr>
          <w:rFonts w:ascii="Times New Roman" w:hAnsi="Times New Roman" w:cs="Times New Roman"/>
          <w:sz w:val="24"/>
          <w:szCs w:val="24"/>
        </w:rPr>
      </w:pPr>
      <w:r w:rsidRPr="00B54C14">
        <w:rPr>
          <w:rFonts w:ascii="Times New Roman" w:hAnsi="Times New Roman" w:cs="Times New Roman"/>
          <w:sz w:val="24"/>
          <w:szCs w:val="24"/>
        </w:rPr>
        <w:t>La mayor parte de las economías desarrolladas navegan en una senda de relativa estabilidad, en la que las variables de coyuntura y actividad no anticipan ni de lejos una situación como la de 2008, pero tampoco un crecimiento fuerte, robusto y sostenible.</w:t>
      </w:r>
    </w:p>
    <w:p w:rsidR="007E3D39" w:rsidRPr="00B54C14" w:rsidRDefault="007E3D39" w:rsidP="007E3D39">
      <w:pPr>
        <w:spacing w:line="240" w:lineRule="auto"/>
        <w:jc w:val="both"/>
        <w:rPr>
          <w:rFonts w:ascii="Times New Roman" w:hAnsi="Times New Roman" w:cs="Times New Roman"/>
          <w:sz w:val="24"/>
          <w:szCs w:val="24"/>
        </w:rPr>
      </w:pPr>
      <w:r w:rsidRPr="00B54C14">
        <w:rPr>
          <w:rFonts w:ascii="Times New Roman" w:hAnsi="Times New Roman" w:cs="Times New Roman"/>
          <w:sz w:val="24"/>
          <w:szCs w:val="24"/>
        </w:rPr>
        <w:t>La monitorización de las variables macro es clara: desde el punto de vista económico, estabilidad, y la crisis bancaria aún no se ha trasladado a los mercados financieros. Se mantiene la alerta naranja, pero el riesgo (p</w:t>
      </w:r>
      <w:r>
        <w:rPr>
          <w:rFonts w:ascii="Times New Roman" w:hAnsi="Times New Roman" w:cs="Times New Roman"/>
          <w:sz w:val="24"/>
          <w:szCs w:val="24"/>
        </w:rPr>
        <w:t>or el momento) no ha ido a más.</w:t>
      </w:r>
    </w:p>
    <w:p w:rsidR="007E3D39" w:rsidRPr="00B54C14" w:rsidRDefault="007E3D39" w:rsidP="007E3D39">
      <w:pPr>
        <w:spacing w:line="240" w:lineRule="auto"/>
        <w:jc w:val="both"/>
        <w:rPr>
          <w:rFonts w:ascii="Times New Roman" w:hAnsi="Times New Roman" w:cs="Times New Roman"/>
          <w:sz w:val="24"/>
          <w:szCs w:val="24"/>
        </w:rPr>
      </w:pPr>
      <w:r w:rsidRPr="00B54C14">
        <w:rPr>
          <w:rFonts w:ascii="Times New Roman" w:hAnsi="Times New Roman" w:cs="Times New Roman"/>
          <w:sz w:val="24"/>
          <w:szCs w:val="24"/>
        </w:rPr>
        <w:t>Y esto es importante porque la inflación sí que continúa moderándose, aunque a pasos cada vez más reducidos. Estabilidad económica, situación financiera dentro de unos límites razonables y una inflación que se aleja de los niveles que vimos el año pasado del 10%. Los bancos centrales más importantes (FED, BCE y Banco de Inglaterra) toman nota y el fin de las subidas de tipos parece cada vez más evidente.</w:t>
      </w:r>
    </w:p>
    <w:p w:rsidR="007E3D39" w:rsidRPr="00B54C14" w:rsidRDefault="007E3D39" w:rsidP="007E3D39">
      <w:pPr>
        <w:spacing w:line="240" w:lineRule="auto"/>
        <w:jc w:val="both"/>
        <w:rPr>
          <w:rFonts w:ascii="Times New Roman" w:hAnsi="Times New Roman" w:cs="Times New Roman"/>
          <w:sz w:val="24"/>
          <w:szCs w:val="24"/>
        </w:rPr>
      </w:pPr>
      <w:r w:rsidRPr="00B54C14">
        <w:rPr>
          <w:rFonts w:ascii="Times New Roman" w:hAnsi="Times New Roman" w:cs="Times New Roman"/>
          <w:sz w:val="24"/>
          <w:szCs w:val="24"/>
        </w:rPr>
        <w:t>Ahora bien, ¿necesit</w:t>
      </w:r>
      <w:r>
        <w:rPr>
          <w:rFonts w:ascii="Times New Roman" w:hAnsi="Times New Roman" w:cs="Times New Roman"/>
          <w:sz w:val="24"/>
          <w:szCs w:val="24"/>
        </w:rPr>
        <w:t>amos una nueva bajada de tipos?</w:t>
      </w:r>
    </w:p>
    <w:p w:rsidR="007E3D39" w:rsidRPr="00B54C14" w:rsidRDefault="007E3D39" w:rsidP="007E3D39">
      <w:pPr>
        <w:spacing w:line="240" w:lineRule="auto"/>
        <w:jc w:val="both"/>
        <w:rPr>
          <w:rFonts w:ascii="Times New Roman" w:hAnsi="Times New Roman" w:cs="Times New Roman"/>
          <w:sz w:val="24"/>
          <w:szCs w:val="24"/>
        </w:rPr>
      </w:pPr>
      <w:r w:rsidRPr="00B54C14">
        <w:rPr>
          <w:rFonts w:ascii="Times New Roman" w:hAnsi="Times New Roman" w:cs="Times New Roman"/>
          <w:sz w:val="24"/>
          <w:szCs w:val="24"/>
        </w:rPr>
        <w:t>La situación por la que atravesamos ahora mismo es la del funambulista que está a mitad de camino entre dos acantilados y debajo solamente tiene un cable y un vacío que con la vista no alcanza a vislumbrar. Una ráfaga de viento, una mala decisión que haga perder el equilibrio o, en general, cualquier cosa que no sea realizar su ejercicio de una forma perfecta tendrá</w:t>
      </w:r>
      <w:r>
        <w:rPr>
          <w:rFonts w:ascii="Times New Roman" w:hAnsi="Times New Roman" w:cs="Times New Roman"/>
          <w:sz w:val="24"/>
          <w:szCs w:val="24"/>
        </w:rPr>
        <w:t xml:space="preserve"> unos resultados catastróficos.</w:t>
      </w:r>
    </w:p>
    <w:p w:rsidR="007E3D39" w:rsidRPr="00B54C14" w:rsidRDefault="007E3D39" w:rsidP="007E3D39">
      <w:pPr>
        <w:spacing w:line="240" w:lineRule="auto"/>
        <w:jc w:val="both"/>
        <w:rPr>
          <w:rFonts w:ascii="Times New Roman" w:hAnsi="Times New Roman" w:cs="Times New Roman"/>
          <w:sz w:val="24"/>
          <w:szCs w:val="24"/>
        </w:rPr>
      </w:pPr>
      <w:r w:rsidRPr="00B54C14">
        <w:rPr>
          <w:rFonts w:ascii="Times New Roman" w:hAnsi="Times New Roman" w:cs="Times New Roman"/>
          <w:sz w:val="24"/>
          <w:szCs w:val="24"/>
        </w:rPr>
        <w:t>Pero por el momento anda, y lo hace ca</w:t>
      </w:r>
      <w:r>
        <w:rPr>
          <w:rFonts w:ascii="Times New Roman" w:hAnsi="Times New Roman" w:cs="Times New Roman"/>
          <w:sz w:val="24"/>
          <w:szCs w:val="24"/>
        </w:rPr>
        <w:t>da vez de una forma más sólida.</w:t>
      </w:r>
    </w:p>
    <w:p w:rsidR="007E3D39" w:rsidRPr="00FF6E2A" w:rsidRDefault="007E3D39" w:rsidP="007E3D39">
      <w:pPr>
        <w:spacing w:line="240" w:lineRule="auto"/>
        <w:jc w:val="both"/>
        <w:rPr>
          <w:rFonts w:ascii="Times New Roman" w:hAnsi="Times New Roman" w:cs="Times New Roman"/>
          <w:color w:val="FF0000"/>
          <w:sz w:val="24"/>
          <w:szCs w:val="24"/>
          <w:u w:val="single"/>
        </w:rPr>
      </w:pPr>
      <w:r w:rsidRPr="00FF6E2A">
        <w:rPr>
          <w:rFonts w:ascii="Times New Roman" w:hAnsi="Times New Roman" w:cs="Times New Roman"/>
          <w:color w:val="FF0000"/>
          <w:sz w:val="24"/>
          <w:szCs w:val="24"/>
          <w:u w:val="single"/>
        </w:rPr>
        <w:t>Las economías más importantes del mundo se han vuelto adictas a la deuda, especialmente la pública. La política monetaria está en su tramo decreciente de los rendimientos desde hace ya años, y por ello se necesitan varios euros de endeudamiento para producir un euro de PIB/riqueza.</w:t>
      </w:r>
    </w:p>
    <w:p w:rsidR="007E3D39" w:rsidRPr="00B54C14" w:rsidRDefault="007E3D39" w:rsidP="007E3D39">
      <w:pPr>
        <w:spacing w:line="240" w:lineRule="auto"/>
        <w:jc w:val="both"/>
        <w:rPr>
          <w:rFonts w:ascii="Times New Roman" w:hAnsi="Times New Roman" w:cs="Times New Roman"/>
          <w:sz w:val="24"/>
          <w:szCs w:val="24"/>
        </w:rPr>
      </w:pPr>
      <w:r w:rsidRPr="00B54C14">
        <w:rPr>
          <w:rFonts w:ascii="Times New Roman" w:hAnsi="Times New Roman" w:cs="Times New Roman"/>
          <w:sz w:val="24"/>
          <w:szCs w:val="24"/>
        </w:rPr>
        <w:t>El informe que ha presentado el FMI esta semana es claro: la economía global tiene por delante 3 años de crecimiento muy débil. ¿Qué motivo tienen los políticos de todo el mundo para no salir en tromba a por los bancos centrales? Es mucho más fácil que unos gestores que solamente saben vivir del dinero ajeno acudan al banquero central que les pertenezca a convencerle de que debe bajar tipos antes que hacer las reformas estructurales (muchas veces impopulares) necesarias.</w:t>
      </w:r>
    </w:p>
    <w:p w:rsidR="007E3D39" w:rsidRPr="00FF6E2A" w:rsidRDefault="007E3D39" w:rsidP="007E3D39">
      <w:pPr>
        <w:spacing w:line="240" w:lineRule="auto"/>
        <w:jc w:val="both"/>
        <w:rPr>
          <w:rFonts w:ascii="Times New Roman" w:hAnsi="Times New Roman" w:cs="Times New Roman"/>
          <w:color w:val="FF0000"/>
          <w:sz w:val="24"/>
          <w:szCs w:val="24"/>
          <w:u w:val="single"/>
        </w:rPr>
      </w:pPr>
      <w:r w:rsidRPr="00FF6E2A">
        <w:rPr>
          <w:rFonts w:ascii="Times New Roman" w:hAnsi="Times New Roman" w:cs="Times New Roman"/>
          <w:color w:val="FF0000"/>
          <w:sz w:val="24"/>
          <w:szCs w:val="24"/>
          <w:u w:val="single"/>
        </w:rPr>
        <w:t xml:space="preserve">Cuando la inflación se acabe de estabilizar en torno al 5/5,5% comenzaremos a ver grandes análisis económicos, difundidos por altavoces mediáticos de primer nivel, en los que se afirme dos cosas: i) Que la inflación no es tan mala (esto es, no ha tenido los efectos que en principio se preveía); y ii) Que debemos cambiar la composición de la cesta de la compra del </w:t>
      </w:r>
      <w:r w:rsidRPr="00FF6E2A">
        <w:rPr>
          <w:rFonts w:ascii="Times New Roman" w:hAnsi="Times New Roman" w:cs="Times New Roman"/>
          <w:color w:val="FF0000"/>
          <w:sz w:val="24"/>
          <w:szCs w:val="24"/>
          <w:u w:val="single"/>
        </w:rPr>
        <w:lastRenderedPageBreak/>
        <w:t>IPC para reflejar la nueva situación (esto es, reducir la inflación artificialmente) y a la vez elevar los objetivos de los bancos centrales en materia de contención de precios.</w:t>
      </w:r>
    </w:p>
    <w:p w:rsidR="007E3D39" w:rsidRPr="00FF6E2A" w:rsidRDefault="007E3D39" w:rsidP="007E3D39">
      <w:pPr>
        <w:spacing w:line="240" w:lineRule="auto"/>
        <w:jc w:val="both"/>
        <w:rPr>
          <w:rFonts w:ascii="Times New Roman" w:hAnsi="Times New Roman" w:cs="Times New Roman"/>
          <w:color w:val="FF0000"/>
          <w:sz w:val="24"/>
          <w:szCs w:val="24"/>
          <w:u w:val="single"/>
        </w:rPr>
      </w:pPr>
      <w:r w:rsidRPr="00FF6E2A">
        <w:rPr>
          <w:rFonts w:ascii="Times New Roman" w:hAnsi="Times New Roman" w:cs="Times New Roman"/>
          <w:color w:val="FF0000"/>
          <w:sz w:val="24"/>
          <w:szCs w:val="24"/>
          <w:u w:val="single"/>
        </w:rPr>
        <w:t>Con esto se acaban de un plumazo todos los problemas políticos, de control de déficit público y de debilidad en las perspectivas económicas que tenemos. Los bancos centrales pueden volver a bajar los tipos de interés sin problema y a inyectar masa monetaria, ya que (según afirman los intervencionistas) la inflación es multicausal y viene provocada por un cúmulo de circunstancias.</w:t>
      </w:r>
    </w:p>
    <w:p w:rsidR="007E3D39" w:rsidRPr="00FF6E2A" w:rsidRDefault="007E3D39" w:rsidP="007E3D39">
      <w:pPr>
        <w:spacing w:line="240" w:lineRule="auto"/>
        <w:jc w:val="both"/>
        <w:rPr>
          <w:rFonts w:ascii="Times New Roman" w:hAnsi="Times New Roman" w:cs="Times New Roman"/>
          <w:color w:val="FF0000"/>
          <w:sz w:val="24"/>
          <w:szCs w:val="24"/>
          <w:u w:val="single"/>
        </w:rPr>
      </w:pPr>
      <w:r w:rsidRPr="00FF6E2A">
        <w:rPr>
          <w:rFonts w:ascii="Times New Roman" w:hAnsi="Times New Roman" w:cs="Times New Roman"/>
          <w:color w:val="FF0000"/>
          <w:sz w:val="24"/>
          <w:szCs w:val="24"/>
          <w:u w:val="single"/>
        </w:rPr>
        <w:t>Fíjense si está cerca este escenario que la masa monetaria global ha crecido 2 trillones de dólares en el mes de marzo. Mientras los bancos centrales afirman que están retirando los estímulos, la cantidad de dinero en circulación ha vuelto a máximos del mes de enero.</w:t>
      </w:r>
    </w:p>
    <w:p w:rsidR="007E3D39" w:rsidRPr="00B54C14" w:rsidRDefault="007E3D39" w:rsidP="007E3D39">
      <w:pPr>
        <w:spacing w:line="240" w:lineRule="auto"/>
        <w:jc w:val="both"/>
        <w:rPr>
          <w:rFonts w:ascii="Times New Roman" w:hAnsi="Times New Roman" w:cs="Times New Roman"/>
          <w:sz w:val="24"/>
          <w:szCs w:val="24"/>
        </w:rPr>
      </w:pPr>
      <w:r>
        <w:rPr>
          <w:noProof/>
          <w:lang w:eastAsia="es-ES"/>
        </w:rPr>
        <w:drawing>
          <wp:inline distT="0" distB="0" distL="0" distR="0" wp14:anchorId="26ADDB4D" wp14:editId="76C2E206">
            <wp:extent cx="5731510" cy="2294608"/>
            <wp:effectExtent l="0" t="0" r="2540" b="0"/>
            <wp:docPr id="80" name="Imagen 80" descr="https://s.libertaddigital.com/2023/04/15/dine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https://s.libertaddigital.com/2023/04/15/dinero.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31510" cy="2294608"/>
                    </a:xfrm>
                    <a:prstGeom prst="rect">
                      <a:avLst/>
                    </a:prstGeom>
                    <a:noFill/>
                    <a:ln>
                      <a:noFill/>
                    </a:ln>
                  </pic:spPr>
                </pic:pic>
              </a:graphicData>
            </a:graphic>
          </wp:inline>
        </w:drawing>
      </w:r>
    </w:p>
    <w:p w:rsidR="007E3D39" w:rsidRPr="00FF6E2A" w:rsidRDefault="007E3D39" w:rsidP="007E3D39">
      <w:pPr>
        <w:spacing w:line="240" w:lineRule="auto"/>
        <w:jc w:val="both"/>
        <w:rPr>
          <w:rFonts w:ascii="Times New Roman" w:hAnsi="Times New Roman" w:cs="Times New Roman"/>
          <w:b/>
          <w:color w:val="FF0000"/>
          <w:sz w:val="24"/>
          <w:szCs w:val="24"/>
          <w:u w:val="single"/>
        </w:rPr>
      </w:pPr>
      <w:r w:rsidRPr="00FF6E2A">
        <w:rPr>
          <w:rFonts w:ascii="Times New Roman" w:hAnsi="Times New Roman" w:cs="Times New Roman"/>
          <w:b/>
          <w:color w:val="FF0000"/>
          <w:sz w:val="24"/>
          <w:szCs w:val="24"/>
          <w:u w:val="single"/>
        </w:rPr>
        <w:t>¿Cuál es el problema? La argentinización de la economía global. El paso de la situación actual a la falacia de la Teoría Monetaria Moderna (MMT, por sus siglas en inglés) es muy pequeño, y las consecuencias de darlo enormes.</w:t>
      </w:r>
    </w:p>
    <w:p w:rsidR="007E3D39" w:rsidRPr="00B54C14" w:rsidRDefault="007E3D39" w:rsidP="007E3D39">
      <w:pPr>
        <w:spacing w:line="240" w:lineRule="auto"/>
        <w:jc w:val="both"/>
        <w:rPr>
          <w:rFonts w:ascii="Times New Roman" w:hAnsi="Times New Roman" w:cs="Times New Roman"/>
          <w:sz w:val="24"/>
          <w:szCs w:val="24"/>
        </w:rPr>
      </w:pPr>
      <w:r w:rsidRPr="00B54C14">
        <w:rPr>
          <w:rFonts w:ascii="Times New Roman" w:hAnsi="Times New Roman" w:cs="Times New Roman"/>
          <w:sz w:val="24"/>
          <w:szCs w:val="24"/>
        </w:rPr>
        <w:t>Argentina hace no mucho tiempo era uno de los países más prósperos del mundo. Hoy tiene una deuda inasumible, una tasa de inflación del 100% y, sobre todo, un modelo económico que le deja fuera de cualquier ranking internacional en materia de inversión, atracción de tale</w:t>
      </w:r>
      <w:r>
        <w:rPr>
          <w:rFonts w:ascii="Times New Roman" w:hAnsi="Times New Roman" w:cs="Times New Roman"/>
          <w:sz w:val="24"/>
          <w:szCs w:val="24"/>
        </w:rPr>
        <w:t>nto o de crecimiento económico.</w:t>
      </w:r>
    </w:p>
    <w:p w:rsidR="007E3D39" w:rsidRPr="00B54C14" w:rsidRDefault="007E3D39" w:rsidP="007E3D39">
      <w:pPr>
        <w:spacing w:line="240" w:lineRule="auto"/>
        <w:jc w:val="both"/>
        <w:rPr>
          <w:rFonts w:ascii="Times New Roman" w:hAnsi="Times New Roman" w:cs="Times New Roman"/>
          <w:sz w:val="24"/>
          <w:szCs w:val="24"/>
        </w:rPr>
      </w:pPr>
      <w:r w:rsidRPr="00B54C14">
        <w:rPr>
          <w:rFonts w:ascii="Times New Roman" w:hAnsi="Times New Roman" w:cs="Times New Roman"/>
          <w:sz w:val="24"/>
          <w:szCs w:val="24"/>
        </w:rPr>
        <w:t>El salto hacia el blanqueo de la inflación es peligroso. Primero, porque la inflación no se va a estabilizar con una política monetaria ultraexpansiva; segundo, porque la pérdida de productividad de los últimos años ha sido muy relevante en prácticamente todo el mundo; y, tercero, porque las consecuencias sociales son de tal gravedad que podrían llegar a suponer un cambio de modelo de conv</w:t>
      </w:r>
      <w:r>
        <w:rPr>
          <w:rFonts w:ascii="Times New Roman" w:hAnsi="Times New Roman" w:cs="Times New Roman"/>
          <w:sz w:val="24"/>
          <w:szCs w:val="24"/>
        </w:rPr>
        <w:t>ivencia por la puerta de atrás.</w:t>
      </w:r>
    </w:p>
    <w:p w:rsidR="007E3D39" w:rsidRPr="00B54C14" w:rsidRDefault="007E3D39" w:rsidP="007E3D39">
      <w:pPr>
        <w:spacing w:line="240" w:lineRule="auto"/>
        <w:jc w:val="both"/>
        <w:rPr>
          <w:rFonts w:ascii="Times New Roman" w:hAnsi="Times New Roman" w:cs="Times New Roman"/>
          <w:sz w:val="24"/>
          <w:szCs w:val="24"/>
        </w:rPr>
      </w:pPr>
      <w:r w:rsidRPr="00B54C14">
        <w:rPr>
          <w:rFonts w:ascii="Times New Roman" w:hAnsi="Times New Roman" w:cs="Times New Roman"/>
          <w:sz w:val="24"/>
          <w:szCs w:val="24"/>
        </w:rPr>
        <w:t>Los ciclos económicos existen. Las recesiones son positivas y permiten un proceso de reciclaje en las economías, donde los mejores ganan y los que peor lo han hecho tienen que volver a empezar. Crecer de forma indefinida, en base solamente a endeudamiento masivo, y sin hacer ningún caso a las variables de coyuntura y actividad económica del sector privado es un error de primer nivel que pone a los intervencionistas la cabeza de las de</w:t>
      </w:r>
      <w:r>
        <w:rPr>
          <w:rFonts w:ascii="Times New Roman" w:hAnsi="Times New Roman" w:cs="Times New Roman"/>
          <w:sz w:val="24"/>
          <w:szCs w:val="24"/>
        </w:rPr>
        <w:t>mocracias liberales en bandeja.</w:t>
      </w:r>
    </w:p>
    <w:p w:rsidR="007E3D39" w:rsidRDefault="007E3D39" w:rsidP="007E3D39">
      <w:pPr>
        <w:spacing w:line="240" w:lineRule="auto"/>
        <w:jc w:val="both"/>
        <w:rPr>
          <w:rFonts w:ascii="Times New Roman" w:hAnsi="Times New Roman" w:cs="Times New Roman"/>
          <w:sz w:val="24"/>
          <w:szCs w:val="24"/>
        </w:rPr>
      </w:pPr>
      <w:r w:rsidRPr="00B54C14">
        <w:rPr>
          <w:rFonts w:ascii="Times New Roman" w:hAnsi="Times New Roman" w:cs="Times New Roman"/>
          <w:sz w:val="24"/>
          <w:szCs w:val="24"/>
        </w:rPr>
        <w:t>Es muy importante frenar la inflación. Como también es importante recuperar la estabilidad fiscal perdida desde hace años, especialmente durante la época del covid19. No todo vale, y está en juego la prosperidad y la paz social de las próximas generaciones.</w:t>
      </w:r>
    </w:p>
    <w:p w:rsidR="007E3D39" w:rsidRPr="00146B36"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sz w:val="24"/>
          <w:szCs w:val="24"/>
          <w:u w:val="single"/>
        </w:rPr>
        <w:t>La “doble subida de tipos”</w:t>
      </w:r>
      <w:r w:rsidRPr="00AA35F9">
        <w:rPr>
          <w:rFonts w:ascii="Times New Roman" w:hAnsi="Times New Roman" w:cs="Times New Roman"/>
          <w:sz w:val="24"/>
          <w:szCs w:val="24"/>
          <w:u w:val="single"/>
        </w:rPr>
        <w:t xml:space="preserve"> que amenaza con desatar un credit crunch en la economía de EEUU</w:t>
      </w:r>
      <w:r>
        <w:rPr>
          <w:rFonts w:ascii="Times New Roman" w:hAnsi="Times New Roman" w:cs="Times New Roman"/>
          <w:sz w:val="24"/>
          <w:szCs w:val="24"/>
        </w:rPr>
        <w:t xml:space="preserve"> (El Economista - </w:t>
      </w:r>
      <w:r w:rsidRPr="00AA35F9">
        <w:rPr>
          <w:rFonts w:ascii="Times New Roman" w:hAnsi="Times New Roman" w:cs="Times New Roman"/>
          <w:b/>
          <w:sz w:val="24"/>
          <w:szCs w:val="24"/>
        </w:rPr>
        <w:t>17/4/23</w:t>
      </w:r>
      <w:r>
        <w:rPr>
          <w:rFonts w:ascii="Times New Roman" w:hAnsi="Times New Roman" w:cs="Times New Roman"/>
          <w:sz w:val="24"/>
          <w:szCs w:val="24"/>
        </w:rPr>
        <w:t>)</w:t>
      </w:r>
    </w:p>
    <w:p w:rsidR="007E3D39" w:rsidRPr="003D03E0" w:rsidRDefault="007E3D39" w:rsidP="007E3D39">
      <w:pPr>
        <w:spacing w:line="240" w:lineRule="auto"/>
        <w:jc w:val="both"/>
        <w:rPr>
          <w:rFonts w:ascii="Times New Roman" w:hAnsi="Times New Roman" w:cs="Times New Roman"/>
          <w:color w:val="FF0000"/>
          <w:sz w:val="24"/>
          <w:szCs w:val="24"/>
        </w:rPr>
      </w:pPr>
      <w:r w:rsidRPr="003D03E0">
        <w:rPr>
          <w:rFonts w:ascii="Times New Roman" w:hAnsi="Times New Roman" w:cs="Times New Roman"/>
          <w:color w:val="FF0000"/>
          <w:sz w:val="24"/>
          <w:szCs w:val="24"/>
        </w:rPr>
        <w:t>Goldman Sachs calcula que el menor crédito puede restar hasta medio punto de PIB</w:t>
      </w:r>
    </w:p>
    <w:p w:rsidR="007E3D39" w:rsidRPr="003D03E0" w:rsidRDefault="007E3D39" w:rsidP="007E3D39">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w:t>
      </w:r>
      <w:r w:rsidRPr="003D03E0">
        <w:rPr>
          <w:rFonts w:ascii="Times New Roman" w:hAnsi="Times New Roman" w:cs="Times New Roman"/>
          <w:color w:val="FF0000"/>
          <w:sz w:val="24"/>
          <w:szCs w:val="24"/>
        </w:rPr>
        <w:t xml:space="preserve">El crédito es realmente el lubricante </w:t>
      </w:r>
      <w:r>
        <w:rPr>
          <w:rFonts w:ascii="Times New Roman" w:hAnsi="Times New Roman" w:cs="Times New Roman"/>
          <w:color w:val="FF0000"/>
          <w:sz w:val="24"/>
          <w:szCs w:val="24"/>
        </w:rPr>
        <w:t>que engrasa la economía de EEUU”</w:t>
      </w:r>
    </w:p>
    <w:p w:rsidR="007E3D39" w:rsidRPr="003D03E0" w:rsidRDefault="007E3D39" w:rsidP="007E3D39">
      <w:pPr>
        <w:spacing w:line="240" w:lineRule="auto"/>
        <w:jc w:val="both"/>
        <w:rPr>
          <w:rFonts w:ascii="Times New Roman" w:hAnsi="Times New Roman" w:cs="Times New Roman"/>
          <w:color w:val="FF0000"/>
          <w:sz w:val="24"/>
          <w:szCs w:val="24"/>
        </w:rPr>
      </w:pPr>
      <w:r w:rsidRPr="003D03E0">
        <w:rPr>
          <w:rFonts w:ascii="Times New Roman" w:hAnsi="Times New Roman" w:cs="Times New Roman"/>
          <w:color w:val="FF0000"/>
          <w:sz w:val="24"/>
          <w:szCs w:val="24"/>
        </w:rPr>
        <w:t>Los préstamos cayeron en 105.000 millones de dólares en solo dos semanas</w:t>
      </w:r>
    </w:p>
    <w:p w:rsidR="007E3D39" w:rsidRPr="00146B36"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146B36">
        <w:rPr>
          <w:rFonts w:ascii="Times New Roman" w:hAnsi="Times New Roman" w:cs="Times New Roman"/>
          <w:sz w:val="24"/>
          <w:szCs w:val="24"/>
        </w:rPr>
        <w:t>Vicente Nieves</w:t>
      </w:r>
      <w:r>
        <w:rPr>
          <w:rFonts w:ascii="Times New Roman" w:hAnsi="Times New Roman" w:cs="Times New Roman"/>
          <w:sz w:val="24"/>
          <w:szCs w:val="24"/>
        </w:rPr>
        <w:t>)</w:t>
      </w:r>
    </w:p>
    <w:p w:rsidR="007E3D39" w:rsidRPr="002819B1" w:rsidRDefault="007E3D39" w:rsidP="007E3D39">
      <w:pPr>
        <w:spacing w:line="240" w:lineRule="auto"/>
        <w:jc w:val="both"/>
        <w:rPr>
          <w:rFonts w:ascii="Times New Roman" w:hAnsi="Times New Roman" w:cs="Times New Roman"/>
          <w:color w:val="FF0000"/>
          <w:sz w:val="24"/>
          <w:szCs w:val="24"/>
          <w:u w:val="single"/>
        </w:rPr>
      </w:pPr>
      <w:r w:rsidRPr="002819B1">
        <w:rPr>
          <w:rFonts w:ascii="Times New Roman" w:hAnsi="Times New Roman" w:cs="Times New Roman"/>
          <w:color w:val="FF0000"/>
          <w:sz w:val="24"/>
          <w:szCs w:val="24"/>
          <w:u w:val="single"/>
        </w:rPr>
        <w:t>Las señales sobre un parón del crédito en EEUU se están multiplicando. A los avisos de casas de análisis y la propia Reserva Federal, se ha unido este fin de semana el de Janet Yellen, secretaria del Tesoro. “Ya estábamos viendo un endurecimiento de los estándares crediticios en el sistema bancario antes de ese episodio (la caída de Silicon Valley Bank), y puede haber más por venir”, advertía la que fuera presidenta de la Reserva Federal. Una contracción del crédito puede desembocar en lo que se conoce como un credit crunch (crisis de crédito). Este riesgo se ha convertido en una amenaza real para la economía de EEUU tras las últimas turbulencias financieras y los recientes datos de préstamos publicados por la Fed.</w:t>
      </w:r>
    </w:p>
    <w:p w:rsidR="007E3D39" w:rsidRPr="002819B1" w:rsidRDefault="007E3D39" w:rsidP="007E3D39">
      <w:pPr>
        <w:spacing w:line="240" w:lineRule="auto"/>
        <w:jc w:val="both"/>
        <w:rPr>
          <w:rFonts w:ascii="Times New Roman" w:hAnsi="Times New Roman" w:cs="Times New Roman"/>
          <w:b/>
          <w:color w:val="FF0000"/>
          <w:sz w:val="24"/>
          <w:szCs w:val="24"/>
          <w:u w:val="single"/>
        </w:rPr>
      </w:pPr>
      <w:r w:rsidRPr="002819B1">
        <w:rPr>
          <w:rFonts w:ascii="Times New Roman" w:hAnsi="Times New Roman" w:cs="Times New Roman"/>
          <w:b/>
          <w:color w:val="FF0000"/>
          <w:sz w:val="24"/>
          <w:szCs w:val="24"/>
          <w:u w:val="single"/>
        </w:rPr>
        <w:t>Un credit crunch o crisis de crédito es un evento que se produce por una disminución en la actividad crediticia de las instituciones financieras, provocada por una escasez repentina de fondos (ya sea porque se seque el mercado interbancario, una fuga de depósitos, una pérdida de confianza, una subida de tipos devastadora...).</w:t>
      </w:r>
    </w:p>
    <w:p w:rsidR="007E3D39" w:rsidRPr="00146B36" w:rsidRDefault="007E3D39" w:rsidP="007E3D39">
      <w:pPr>
        <w:spacing w:line="240" w:lineRule="auto"/>
        <w:jc w:val="both"/>
        <w:rPr>
          <w:rFonts w:ascii="Times New Roman" w:hAnsi="Times New Roman" w:cs="Times New Roman"/>
          <w:sz w:val="24"/>
          <w:szCs w:val="24"/>
        </w:rPr>
      </w:pPr>
      <w:r w:rsidRPr="002819B1">
        <w:rPr>
          <w:rFonts w:ascii="Times New Roman" w:hAnsi="Times New Roman" w:cs="Times New Roman"/>
          <w:color w:val="FF0000"/>
          <w:sz w:val="24"/>
          <w:szCs w:val="24"/>
          <w:u w:val="single"/>
        </w:rPr>
        <w:t>A menudo, este tipo de eventos vienen acompañados de una recesión o viceversa (cuando el credit crunch provoca la caída de la actividad económica).</w:t>
      </w:r>
      <w:r w:rsidRPr="002819B1">
        <w:rPr>
          <w:rFonts w:ascii="Times New Roman" w:hAnsi="Times New Roman" w:cs="Times New Roman"/>
          <w:color w:val="FF0000"/>
          <w:sz w:val="24"/>
          <w:szCs w:val="24"/>
        </w:rPr>
        <w:t xml:space="preserve"> </w:t>
      </w:r>
      <w:r w:rsidRPr="00146B36">
        <w:rPr>
          <w:rFonts w:ascii="Times New Roman" w:hAnsi="Times New Roman" w:cs="Times New Roman"/>
          <w:sz w:val="24"/>
          <w:szCs w:val="24"/>
        </w:rPr>
        <w:t xml:space="preserve">Una crisis crediticia hace que sea muy complejo para las empresas encontrar financiación, puesto que los bancos y otros prestamistas tienen miedo de que produzcan quiebras o incumplimientos. </w:t>
      </w:r>
      <w:r w:rsidRPr="002819B1">
        <w:rPr>
          <w:rFonts w:ascii="Times New Roman" w:hAnsi="Times New Roman" w:cs="Times New Roman"/>
          <w:sz w:val="24"/>
          <w:szCs w:val="24"/>
          <w:u w:val="single"/>
        </w:rPr>
        <w:t>En la actualidad, son los bancos medianos, pequeños y regionales los que están sufriendo en mayor medida la presión (los problemas de financiación). Esta banca tiene un peso muy notable en el crédito de la economía americana, por lo que sus problemas son los problemas de miles de</w:t>
      </w:r>
      <w:r w:rsidRPr="00146B36">
        <w:rPr>
          <w:rFonts w:ascii="Times New Roman" w:hAnsi="Times New Roman" w:cs="Times New Roman"/>
          <w:sz w:val="24"/>
          <w:szCs w:val="24"/>
        </w:rPr>
        <w:t xml:space="preserve"> empresas.</w:t>
      </w:r>
    </w:p>
    <w:p w:rsidR="007E3D39" w:rsidRPr="00146B36" w:rsidRDefault="007E3D39" w:rsidP="007E3D39">
      <w:pPr>
        <w:spacing w:line="240" w:lineRule="auto"/>
        <w:jc w:val="both"/>
        <w:rPr>
          <w:rFonts w:ascii="Times New Roman" w:hAnsi="Times New Roman" w:cs="Times New Roman"/>
          <w:sz w:val="24"/>
          <w:szCs w:val="24"/>
        </w:rPr>
      </w:pPr>
      <w:r w:rsidRPr="00146B36">
        <w:rPr>
          <w:rFonts w:ascii="Times New Roman" w:hAnsi="Times New Roman" w:cs="Times New Roman"/>
          <w:sz w:val="24"/>
          <w:szCs w:val="24"/>
        </w:rPr>
        <w:t>El resultado de esta incertidumbre es una subida de tipos en el mercado: los bancos piden un tipo de interés mucho más alto a cambio de conceder financiación (rentabilidad/riesgo). Es decir, sin necesidad de que el banco central suba más los tipos de interés se produce de forma automática un endurecimiento notable de las condiciones financ</w:t>
      </w:r>
      <w:r>
        <w:rPr>
          <w:rFonts w:ascii="Times New Roman" w:hAnsi="Times New Roman" w:cs="Times New Roman"/>
          <w:sz w:val="24"/>
          <w:szCs w:val="24"/>
        </w:rPr>
        <w:t>ieras del mercado.</w:t>
      </w:r>
    </w:p>
    <w:p w:rsidR="007E3D39" w:rsidRPr="00146B36" w:rsidRDefault="007E3D39" w:rsidP="007E3D39">
      <w:pPr>
        <w:spacing w:line="240" w:lineRule="auto"/>
        <w:jc w:val="both"/>
        <w:rPr>
          <w:rFonts w:ascii="Times New Roman" w:hAnsi="Times New Roman" w:cs="Times New Roman"/>
          <w:sz w:val="24"/>
          <w:szCs w:val="24"/>
        </w:rPr>
      </w:pPr>
      <w:r w:rsidRPr="00146B36">
        <w:rPr>
          <w:rFonts w:ascii="Times New Roman" w:hAnsi="Times New Roman" w:cs="Times New Roman"/>
          <w:sz w:val="24"/>
          <w:szCs w:val="24"/>
        </w:rPr>
        <w:t>Aunque Janet Yellen no ha hablado en ningún momento de credit crunch (este escenario es aún una posibilidad, pero ni mucho menos una realidad), la secretaria del Tesoro si ha advertido de que el reciente endurecimiento de las condiciones financieras puede funcionar c</w:t>
      </w:r>
      <w:r>
        <w:rPr>
          <w:rFonts w:ascii="Times New Roman" w:hAnsi="Times New Roman" w:cs="Times New Roman"/>
          <w:sz w:val="24"/>
          <w:szCs w:val="24"/>
        </w:rPr>
        <w:t xml:space="preserve">omo una nueva subida de tipos. </w:t>
      </w:r>
    </w:p>
    <w:p w:rsidR="007E3D39" w:rsidRDefault="007E3D39" w:rsidP="007E3D39">
      <w:pPr>
        <w:spacing w:line="240" w:lineRule="auto"/>
        <w:jc w:val="both"/>
        <w:rPr>
          <w:rFonts w:ascii="Times New Roman" w:hAnsi="Times New Roman" w:cs="Times New Roman"/>
          <w:sz w:val="24"/>
          <w:szCs w:val="24"/>
        </w:rPr>
      </w:pPr>
      <w:r w:rsidRPr="00146B36">
        <w:rPr>
          <w:rFonts w:ascii="Times New Roman" w:hAnsi="Times New Roman" w:cs="Times New Roman"/>
          <w:sz w:val="24"/>
          <w:szCs w:val="24"/>
        </w:rPr>
        <w:t>Además, Yellen ve probable que los bancos sigan restringiendo los préstamos tras las recientes quiebras bancarias, lo que posiblemente anule la necesidad de nuevas subidas de los tipos de interés por parte de la Fed, según la transcripción de una entrevista de CNN publicada el sábado.</w:t>
      </w:r>
    </w:p>
    <w:p w:rsidR="007E3D39" w:rsidRDefault="007E3D39" w:rsidP="007E3D39">
      <w:pPr>
        <w:spacing w:line="240" w:lineRule="auto"/>
        <w:jc w:val="both"/>
        <w:rPr>
          <w:rFonts w:ascii="Times New Roman" w:hAnsi="Times New Roman" w:cs="Times New Roman"/>
          <w:sz w:val="24"/>
          <w:szCs w:val="24"/>
        </w:rPr>
      </w:pPr>
      <w:r w:rsidRPr="00146B36">
        <w:rPr>
          <w:rFonts w:ascii="Times New Roman" w:hAnsi="Times New Roman" w:cs="Times New Roman"/>
          <w:sz w:val="24"/>
          <w:szCs w:val="24"/>
        </w:rPr>
        <w:t>Yellen aseguró en dicha entrevista que las medidas políticas para frenar la amenaza sistémica causada por las quiebras el mes pasado de Silicon Valley Bank y Signature Bank habían provocado que las salidas de depós</w:t>
      </w:r>
      <w:r>
        <w:rPr>
          <w:rFonts w:ascii="Times New Roman" w:hAnsi="Times New Roman" w:cs="Times New Roman"/>
          <w:sz w:val="24"/>
          <w:szCs w:val="24"/>
        </w:rPr>
        <w:t>itos se estabilizaran, “y las cosas se han calmado”</w:t>
      </w:r>
      <w:r w:rsidRPr="00146B36">
        <w:rPr>
          <w:rFonts w:ascii="Times New Roman" w:hAnsi="Times New Roman" w:cs="Times New Roman"/>
          <w:sz w:val="24"/>
          <w:szCs w:val="24"/>
        </w:rPr>
        <w:t xml:space="preserve">. Los depósitos se han mantenido por encima de los 17 billones de dólares, aunque se puede ver </w:t>
      </w:r>
      <w:r w:rsidRPr="00146B36">
        <w:rPr>
          <w:rFonts w:ascii="Times New Roman" w:hAnsi="Times New Roman" w:cs="Times New Roman"/>
          <w:sz w:val="24"/>
          <w:szCs w:val="24"/>
        </w:rPr>
        <w:lastRenderedPageBreak/>
        <w:t>todavía de forma clara la drástica caída que han sufrido en cosas se meses. Sin embargo, los problemas no han terminado.</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46B36">
        <w:rPr>
          <w:rFonts w:ascii="Times New Roman" w:hAnsi="Times New Roman" w:cs="Times New Roman"/>
          <w:sz w:val="24"/>
          <w:szCs w:val="24"/>
        </w:rPr>
        <w:t xml:space="preserve">Es probable que los bancos se vuelvan </w:t>
      </w:r>
      <w:r>
        <w:rPr>
          <w:rFonts w:ascii="Times New Roman" w:hAnsi="Times New Roman" w:cs="Times New Roman"/>
          <w:sz w:val="24"/>
          <w:szCs w:val="24"/>
        </w:rPr>
        <w:t>algo más cautos en este entorno”</w:t>
      </w:r>
      <w:r w:rsidRPr="00146B36">
        <w:rPr>
          <w:rFonts w:ascii="Times New Roman" w:hAnsi="Times New Roman" w:cs="Times New Roman"/>
          <w:sz w:val="24"/>
          <w:szCs w:val="24"/>
        </w:rPr>
        <w:t>, admi</w:t>
      </w:r>
      <w:r>
        <w:rPr>
          <w:rFonts w:ascii="Times New Roman" w:hAnsi="Times New Roman" w:cs="Times New Roman"/>
          <w:sz w:val="24"/>
          <w:szCs w:val="24"/>
        </w:rPr>
        <w:t>tió la expresidenta de la Fed. “</w:t>
      </w:r>
      <w:r w:rsidRPr="00146B36">
        <w:rPr>
          <w:rFonts w:ascii="Times New Roman" w:hAnsi="Times New Roman" w:cs="Times New Roman"/>
          <w:sz w:val="24"/>
          <w:szCs w:val="24"/>
        </w:rPr>
        <w:t>Ya vimos cierto endurecimiento de las normas de préstamo en el sistema bancario antes de ese episodio, y es posible que haya algo más po</w:t>
      </w:r>
      <w:r>
        <w:rPr>
          <w:rFonts w:ascii="Times New Roman" w:hAnsi="Times New Roman" w:cs="Times New Roman"/>
          <w:sz w:val="24"/>
          <w:szCs w:val="24"/>
        </w:rPr>
        <w:t>r venir”</w:t>
      </w:r>
      <w:r w:rsidRPr="00146B36">
        <w:rPr>
          <w:rFonts w:ascii="Times New Roman" w:hAnsi="Times New Roman" w:cs="Times New Roman"/>
          <w:sz w:val="24"/>
          <w:szCs w:val="24"/>
        </w:rPr>
        <w:t xml:space="preserve">. Yellen también aseguró que eso llevaría a una restricción </w:t>
      </w:r>
      <w:r>
        <w:rPr>
          <w:rFonts w:ascii="Times New Roman" w:hAnsi="Times New Roman" w:cs="Times New Roman"/>
          <w:sz w:val="24"/>
          <w:szCs w:val="24"/>
        </w:rPr>
        <w:t>del crédito en la economía que “</w:t>
      </w:r>
      <w:r w:rsidRPr="00146B36">
        <w:rPr>
          <w:rFonts w:ascii="Times New Roman" w:hAnsi="Times New Roman" w:cs="Times New Roman"/>
          <w:sz w:val="24"/>
          <w:szCs w:val="24"/>
        </w:rPr>
        <w:t>podría ser un sustituto de nuevas subidas de tipos de int</w:t>
      </w:r>
      <w:r>
        <w:rPr>
          <w:rFonts w:ascii="Times New Roman" w:hAnsi="Times New Roman" w:cs="Times New Roman"/>
          <w:sz w:val="24"/>
          <w:szCs w:val="24"/>
        </w:rPr>
        <w:t>erés que la Fed necesita hacer”.</w:t>
      </w:r>
    </w:p>
    <w:p w:rsidR="007E3D39" w:rsidRPr="00146B36" w:rsidRDefault="007E3D39" w:rsidP="007E3D39">
      <w:pPr>
        <w:spacing w:line="240" w:lineRule="auto"/>
        <w:jc w:val="both"/>
        <w:rPr>
          <w:rFonts w:ascii="Times New Roman" w:hAnsi="Times New Roman" w:cs="Times New Roman"/>
          <w:sz w:val="24"/>
          <w:szCs w:val="24"/>
        </w:rPr>
      </w:pPr>
      <w:r w:rsidRPr="00AA35F9">
        <w:rPr>
          <w:rFonts w:ascii="Times New Roman" w:hAnsi="Times New Roman" w:cs="Times New Roman"/>
          <w:noProof/>
          <w:sz w:val="24"/>
          <w:szCs w:val="24"/>
          <w:lang w:eastAsia="es-ES"/>
        </w:rPr>
        <w:drawing>
          <wp:inline distT="0" distB="0" distL="0" distR="0" wp14:anchorId="05219809" wp14:editId="74D25527">
            <wp:extent cx="5732542" cy="3206750"/>
            <wp:effectExtent l="0" t="0" r="1905" b="0"/>
            <wp:docPr id="81" name="Imagen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5"/>
                    <a:stretch>
                      <a:fillRect/>
                    </a:stretch>
                  </pic:blipFill>
                  <pic:spPr>
                    <a:xfrm>
                      <a:off x="0" y="0"/>
                      <a:ext cx="5731510" cy="3206173"/>
                    </a:xfrm>
                    <a:prstGeom prst="rect">
                      <a:avLst/>
                    </a:prstGeom>
                  </pic:spPr>
                </pic:pic>
              </a:graphicData>
            </a:graphic>
          </wp:inline>
        </w:drawing>
      </w:r>
    </w:p>
    <w:p w:rsidR="007E3D39" w:rsidRPr="00146B36" w:rsidRDefault="007E3D39" w:rsidP="007E3D39">
      <w:pPr>
        <w:spacing w:line="240" w:lineRule="auto"/>
        <w:jc w:val="both"/>
        <w:rPr>
          <w:rFonts w:ascii="Times New Roman" w:hAnsi="Times New Roman" w:cs="Times New Roman"/>
          <w:sz w:val="24"/>
          <w:szCs w:val="24"/>
        </w:rPr>
      </w:pPr>
      <w:r w:rsidRPr="00146B36">
        <w:rPr>
          <w:rFonts w:ascii="Times New Roman" w:hAnsi="Times New Roman" w:cs="Times New Roman"/>
          <w:sz w:val="24"/>
          <w:szCs w:val="24"/>
        </w:rPr>
        <w:t>¿Calma antes de la tormenta?</w:t>
      </w:r>
    </w:p>
    <w:p w:rsidR="007E3D39" w:rsidRPr="002819B1" w:rsidRDefault="007E3D39" w:rsidP="007E3D39">
      <w:pPr>
        <w:spacing w:line="240" w:lineRule="auto"/>
        <w:jc w:val="both"/>
        <w:rPr>
          <w:rFonts w:ascii="Times New Roman" w:hAnsi="Times New Roman" w:cs="Times New Roman"/>
          <w:color w:val="FF0000"/>
          <w:sz w:val="24"/>
          <w:szCs w:val="24"/>
          <w:u w:val="single"/>
        </w:rPr>
      </w:pPr>
      <w:r w:rsidRPr="002819B1">
        <w:rPr>
          <w:rFonts w:ascii="Times New Roman" w:hAnsi="Times New Roman" w:cs="Times New Roman"/>
          <w:color w:val="FF0000"/>
          <w:sz w:val="24"/>
          <w:szCs w:val="24"/>
          <w:u w:val="single"/>
        </w:rPr>
        <w:t>El sistema bancario estadounidense parece estabilizado, por ahora, tras las medidas extraordinarias adoptadas por las autoridades para evitar un desastre total tras la quiebra de Silicon Valley Bank (SVB). Sin embargo, los economistas de Wall Street y la Reserva Federal esperan cada vez más que las secuelas de ese colapso persistan en los próximos meses, a medida que los bancos regionales y comunitarios reduzcan su actividad crediticia.</w:t>
      </w:r>
    </w:p>
    <w:p w:rsidR="007E3D39" w:rsidRPr="002819B1" w:rsidRDefault="007E3D39" w:rsidP="007E3D39">
      <w:pPr>
        <w:spacing w:line="240" w:lineRule="auto"/>
        <w:jc w:val="both"/>
        <w:rPr>
          <w:rFonts w:ascii="Times New Roman" w:hAnsi="Times New Roman" w:cs="Times New Roman"/>
          <w:color w:val="FF0000"/>
          <w:sz w:val="24"/>
          <w:szCs w:val="24"/>
          <w:u w:val="single"/>
        </w:rPr>
      </w:pPr>
      <w:r w:rsidRPr="002819B1">
        <w:rPr>
          <w:rFonts w:ascii="Times New Roman" w:hAnsi="Times New Roman" w:cs="Times New Roman"/>
          <w:color w:val="FF0000"/>
          <w:sz w:val="24"/>
          <w:szCs w:val="24"/>
          <w:u w:val="single"/>
        </w:rPr>
        <w:t>Los bancos se enfrentan a un doble riesgo al ser una cuestión de activos y pasivos. Las condiciones crediticias podrían endurecerse a medida que los ciudadanos retiren más depósitos bancarios (que son pasivos) y ante las nuevas pérdidas en préstamos (morosidad) y valores (activos como bonos).</w:t>
      </w:r>
    </w:p>
    <w:p w:rsidR="007E3D39" w:rsidRPr="00146B36" w:rsidRDefault="007E3D39" w:rsidP="007E3D39">
      <w:pPr>
        <w:spacing w:line="240" w:lineRule="auto"/>
        <w:jc w:val="both"/>
        <w:rPr>
          <w:rFonts w:ascii="Times New Roman" w:hAnsi="Times New Roman" w:cs="Times New Roman"/>
          <w:sz w:val="24"/>
          <w:szCs w:val="24"/>
        </w:rPr>
      </w:pPr>
      <w:r w:rsidRPr="00146B36">
        <w:rPr>
          <w:rFonts w:ascii="Times New Roman" w:hAnsi="Times New Roman" w:cs="Times New Roman"/>
          <w:sz w:val="24"/>
          <w:szCs w:val="24"/>
        </w:rPr>
        <w:t>Si esto se acelera debido al temor por la seguridad de los depósitos, los bancos afectados tendrían que reducir el activo de sus balances, principalmente concediendo menos préstamos. Los depósitos suelen ser la fuente de financiación más barata de los bancos, por lo que una reducción podría limitar la concesión de préstamos. Los grandes bancos no han dejado de perder depósitos en los últimos 12 meses, a medida que la</w:t>
      </w:r>
      <w:r>
        <w:rPr>
          <w:rFonts w:ascii="Times New Roman" w:hAnsi="Times New Roman" w:cs="Times New Roman"/>
          <w:sz w:val="24"/>
          <w:szCs w:val="24"/>
        </w:rPr>
        <w:t xml:space="preserve"> Fed ha ido subiendo los tipos.</w:t>
      </w:r>
    </w:p>
    <w:p w:rsidR="007E3D39" w:rsidRPr="002819B1" w:rsidRDefault="007E3D39" w:rsidP="007E3D39">
      <w:pPr>
        <w:spacing w:line="240" w:lineRule="auto"/>
        <w:jc w:val="both"/>
        <w:rPr>
          <w:rFonts w:ascii="Times New Roman" w:hAnsi="Times New Roman" w:cs="Times New Roman"/>
          <w:sz w:val="24"/>
          <w:szCs w:val="24"/>
          <w:u w:val="single"/>
        </w:rPr>
      </w:pPr>
      <w:r w:rsidRPr="002819B1">
        <w:rPr>
          <w:rFonts w:ascii="Times New Roman" w:hAnsi="Times New Roman" w:cs="Times New Roman"/>
          <w:sz w:val="24"/>
          <w:szCs w:val="24"/>
          <w:u w:val="single"/>
        </w:rPr>
        <w:t xml:space="preserve">“En general, las pérdidas no realizadas (caída del precio, por ejemplo, los bonos en balance y otros activos que se mantienen) reducen el valor de los activos de los bancos y erosionan sus niveles de capital. Un mayor riesgo bancario puede conducir a mayores costes de financiación de capital y deuda y una menor rentabilidad. El aumento del riesgo puede alentar a los bancos a limitar el crecimiento de sus balances, posiblemente reduciendo la cantidad de </w:t>
      </w:r>
      <w:r w:rsidRPr="002819B1">
        <w:rPr>
          <w:rFonts w:ascii="Times New Roman" w:hAnsi="Times New Roman" w:cs="Times New Roman"/>
          <w:sz w:val="24"/>
          <w:szCs w:val="24"/>
          <w:u w:val="single"/>
        </w:rPr>
        <w:lastRenderedPageBreak/>
        <w:t>nuevos préstamos”, aseguran W. Blake Marsh y Brendan Laliberte, economistas de la Reserva Federal de Kansas.</w:t>
      </w:r>
    </w:p>
    <w:p w:rsidR="007E3D39" w:rsidRPr="002819B1" w:rsidRDefault="007E3D39" w:rsidP="007E3D39">
      <w:pPr>
        <w:spacing w:line="240" w:lineRule="auto"/>
        <w:jc w:val="both"/>
        <w:rPr>
          <w:rFonts w:ascii="Times New Roman" w:hAnsi="Times New Roman" w:cs="Times New Roman"/>
          <w:color w:val="FF0000"/>
          <w:sz w:val="24"/>
          <w:szCs w:val="24"/>
          <w:u w:val="single"/>
        </w:rPr>
      </w:pPr>
      <w:r w:rsidRPr="002819B1">
        <w:rPr>
          <w:rFonts w:ascii="Times New Roman" w:hAnsi="Times New Roman" w:cs="Times New Roman"/>
          <w:color w:val="FF0000"/>
          <w:sz w:val="24"/>
          <w:szCs w:val="24"/>
          <w:u w:val="single"/>
        </w:rPr>
        <w:t>La agencia Reuters cree que el credit crunch, uno de los eventos más temidos por la Reserva Federal, ya podría estar en marcha. El potencial de una crisis crediticia peor de lo esperada sigue siendo elevado a raíz de los colapsos de Silicon Valley Bank y Signature Bank, aseguran los expertos a la agencia. Aunque las aguas se han calmado, el gran aviso para los bancos ya ha llegado, ahora el sector comenzará a ser mucho más cauto y podría buscar reducir su activo para reducir riesgos.</w:t>
      </w:r>
    </w:p>
    <w:p w:rsidR="007E3D39" w:rsidRPr="00146B36" w:rsidRDefault="007E3D39" w:rsidP="007E3D39">
      <w:pPr>
        <w:spacing w:line="240" w:lineRule="auto"/>
        <w:jc w:val="both"/>
        <w:rPr>
          <w:rFonts w:ascii="Times New Roman" w:hAnsi="Times New Roman" w:cs="Times New Roman"/>
          <w:sz w:val="24"/>
          <w:szCs w:val="24"/>
        </w:rPr>
      </w:pPr>
      <w:r w:rsidRPr="00146B36">
        <w:rPr>
          <w:rFonts w:ascii="Times New Roman" w:hAnsi="Times New Roman" w:cs="Times New Roman"/>
          <w:sz w:val="24"/>
          <w:szCs w:val="24"/>
        </w:rPr>
        <w:t>Similitudes con el 2000</w:t>
      </w:r>
    </w:p>
    <w:p w:rsidR="007E3D39" w:rsidRPr="00146B36" w:rsidRDefault="007E3D39" w:rsidP="007E3D39">
      <w:pPr>
        <w:spacing w:line="240" w:lineRule="auto"/>
        <w:jc w:val="both"/>
        <w:rPr>
          <w:rFonts w:ascii="Times New Roman" w:hAnsi="Times New Roman" w:cs="Times New Roman"/>
          <w:sz w:val="24"/>
          <w:szCs w:val="24"/>
        </w:rPr>
      </w:pPr>
      <w:r w:rsidRPr="00146B36">
        <w:rPr>
          <w:rFonts w:ascii="Times New Roman" w:hAnsi="Times New Roman" w:cs="Times New Roman"/>
          <w:sz w:val="24"/>
          <w:szCs w:val="24"/>
        </w:rPr>
        <w:t xml:space="preserve">Desde Arcano Research señalan en un informe que los próximos meses podrían ser similares a lo ocurrido entre el cuarto trimestre del año 2000 al cuarto trimestre de 2001. Durante ese periodo, el crédito pasó de un crecimiento intenso a frenarse de forma rápida, lo que redujo sobremanera el crecimiento económico. No obstante, estos expertos creen que la economía de EEUU podría mantener un crecimiento anual positivo, pero </w:t>
      </w:r>
      <w:r>
        <w:rPr>
          <w:rFonts w:ascii="Times New Roman" w:hAnsi="Times New Roman" w:cs="Times New Roman"/>
          <w:sz w:val="24"/>
          <w:szCs w:val="24"/>
        </w:rPr>
        <w:t>consideran que los riesgos son “bajistas”</w:t>
      </w:r>
      <w:r w:rsidRPr="00146B36">
        <w:rPr>
          <w:rFonts w:ascii="Times New Roman" w:hAnsi="Times New Roman" w:cs="Times New Roman"/>
          <w:sz w:val="24"/>
          <w:szCs w:val="24"/>
        </w:rPr>
        <w:t>, puesto que existe una gran incertidumbre acerca de la salud f</w:t>
      </w:r>
      <w:r>
        <w:rPr>
          <w:rFonts w:ascii="Times New Roman" w:hAnsi="Times New Roman" w:cs="Times New Roman"/>
          <w:sz w:val="24"/>
          <w:szCs w:val="24"/>
        </w:rPr>
        <w:t>inanciera de la banca regional.</w:t>
      </w:r>
    </w:p>
    <w:p w:rsidR="007E3D39" w:rsidRPr="00146B36" w:rsidRDefault="007E3D39" w:rsidP="007E3D39">
      <w:pPr>
        <w:spacing w:line="240" w:lineRule="auto"/>
        <w:jc w:val="both"/>
        <w:rPr>
          <w:rFonts w:ascii="Times New Roman" w:hAnsi="Times New Roman" w:cs="Times New Roman"/>
          <w:sz w:val="24"/>
          <w:szCs w:val="24"/>
        </w:rPr>
      </w:pPr>
      <w:r w:rsidRPr="00146B36">
        <w:rPr>
          <w:rFonts w:ascii="Times New Roman" w:hAnsi="Times New Roman" w:cs="Times New Roman"/>
          <w:sz w:val="24"/>
          <w:szCs w:val="24"/>
        </w:rPr>
        <w:t>Esta banca regional supone un tercio del saldo de crédito de todo el país. Los últimos datos revelan que en las últimas semanas de marzo se produjo una contracción del crédito de 105.000 millones de dólares, la mayor desde que se realizan estos registros, sosti</w:t>
      </w:r>
      <w:r>
        <w:rPr>
          <w:rFonts w:ascii="Times New Roman" w:hAnsi="Times New Roman" w:cs="Times New Roman"/>
          <w:sz w:val="24"/>
          <w:szCs w:val="24"/>
        </w:rPr>
        <w:t>ene la nota de Arcano Research.</w:t>
      </w:r>
    </w:p>
    <w:p w:rsidR="007E3D39" w:rsidRPr="00146B36" w:rsidRDefault="007E3D39" w:rsidP="007E3D39">
      <w:pPr>
        <w:spacing w:line="240" w:lineRule="auto"/>
        <w:jc w:val="both"/>
        <w:rPr>
          <w:rFonts w:ascii="Times New Roman" w:hAnsi="Times New Roman" w:cs="Times New Roman"/>
          <w:sz w:val="24"/>
          <w:szCs w:val="24"/>
        </w:rPr>
      </w:pPr>
      <w:r w:rsidRPr="00146B36">
        <w:rPr>
          <w:rFonts w:ascii="Times New Roman" w:hAnsi="Times New Roman" w:cs="Times New Roman"/>
          <w:sz w:val="24"/>
          <w:szCs w:val="24"/>
        </w:rPr>
        <w:t>Crédito y crecimiento</w:t>
      </w:r>
    </w:p>
    <w:p w:rsidR="007E3D39" w:rsidRPr="00146B36"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46B36">
        <w:rPr>
          <w:rFonts w:ascii="Times New Roman" w:hAnsi="Times New Roman" w:cs="Times New Roman"/>
          <w:sz w:val="24"/>
          <w:szCs w:val="24"/>
        </w:rPr>
        <w:t>La creación de crédito es un motor clave del crecimiento económico. En la medida en que los nuevos depósitos conducen a una nueva ampliación del crédito, lo contrario también es cierto: las salidas de depósitos provocan una contracción de la creación de crédito. Si los bancos siguen registrando salidas de depósitos, pensamos que esto supondrá un endurecimiento adicional de la economía. Los bancos se verán obligados a retener liquidez y a endurecer las normas de concesión de créditos, concediendo menos préstamos, menos arriesgados y más caros, lo que en última instancia facilitará una ralentiz</w:t>
      </w:r>
      <w:r>
        <w:rPr>
          <w:rFonts w:ascii="Times New Roman" w:hAnsi="Times New Roman" w:cs="Times New Roman"/>
          <w:sz w:val="24"/>
          <w:szCs w:val="24"/>
        </w:rPr>
        <w:t>ación de la actividad económica”</w:t>
      </w:r>
      <w:r w:rsidRPr="00146B36">
        <w:rPr>
          <w:rFonts w:ascii="Times New Roman" w:hAnsi="Times New Roman" w:cs="Times New Roman"/>
          <w:sz w:val="24"/>
          <w:szCs w:val="24"/>
        </w:rPr>
        <w:t>, explican en una nota para clientes Greg Wilensky y Michael Keoug</w:t>
      </w:r>
      <w:r>
        <w:rPr>
          <w:rFonts w:ascii="Times New Roman" w:hAnsi="Times New Roman" w:cs="Times New Roman"/>
          <w:sz w:val="24"/>
          <w:szCs w:val="24"/>
        </w:rPr>
        <w:t>h, gestores de Janus Henderson.</w:t>
      </w:r>
    </w:p>
    <w:p w:rsidR="007E3D39" w:rsidRPr="00146B36"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146B36">
        <w:rPr>
          <w:rFonts w:ascii="Times New Roman" w:hAnsi="Times New Roman" w:cs="Times New Roman"/>
          <w:sz w:val="24"/>
          <w:szCs w:val="24"/>
        </w:rPr>
        <w:t>Los ban</w:t>
      </w:r>
      <w:r>
        <w:rPr>
          <w:rFonts w:ascii="Times New Roman" w:hAnsi="Times New Roman" w:cs="Times New Roman"/>
          <w:sz w:val="24"/>
          <w:szCs w:val="24"/>
        </w:rPr>
        <w:t>cos podrían decir básicamente: “</w:t>
      </w:r>
      <w:r w:rsidRPr="00146B36">
        <w:rPr>
          <w:rFonts w:ascii="Times New Roman" w:hAnsi="Times New Roman" w:cs="Times New Roman"/>
          <w:sz w:val="24"/>
          <w:szCs w:val="24"/>
        </w:rPr>
        <w:t>no po</w:t>
      </w:r>
      <w:r>
        <w:rPr>
          <w:rFonts w:ascii="Times New Roman" w:hAnsi="Times New Roman" w:cs="Times New Roman"/>
          <w:sz w:val="24"/>
          <w:szCs w:val="24"/>
        </w:rPr>
        <w:t>demos conceder tantos préstamos”</w:t>
      </w:r>
      <w:r w:rsidRPr="00146B36">
        <w:rPr>
          <w:rFonts w:ascii="Times New Roman" w:hAnsi="Times New Roman" w:cs="Times New Roman"/>
          <w:sz w:val="24"/>
          <w:szCs w:val="24"/>
        </w:rPr>
        <w:t xml:space="preserve"> porque temen no tener liquidez sufi</w:t>
      </w:r>
      <w:r>
        <w:rPr>
          <w:rFonts w:ascii="Times New Roman" w:hAnsi="Times New Roman" w:cs="Times New Roman"/>
          <w:sz w:val="24"/>
          <w:szCs w:val="24"/>
        </w:rPr>
        <w:t>ciente para pagar los depósitos”</w:t>
      </w:r>
      <w:r w:rsidRPr="00146B36">
        <w:rPr>
          <w:rFonts w:ascii="Times New Roman" w:hAnsi="Times New Roman" w:cs="Times New Roman"/>
          <w:sz w:val="24"/>
          <w:szCs w:val="24"/>
        </w:rPr>
        <w:t>, afirma a Axios Kathy Bostjancic, econom</w:t>
      </w:r>
      <w:r>
        <w:rPr>
          <w:rFonts w:ascii="Times New Roman" w:hAnsi="Times New Roman" w:cs="Times New Roman"/>
          <w:sz w:val="24"/>
          <w:szCs w:val="24"/>
        </w:rPr>
        <w:t>ista jefe de Nationwide.</w:t>
      </w:r>
    </w:p>
    <w:p w:rsidR="007E3D39" w:rsidRPr="002819B1" w:rsidRDefault="007E3D39" w:rsidP="007E3D39">
      <w:pPr>
        <w:spacing w:line="240" w:lineRule="auto"/>
        <w:jc w:val="both"/>
        <w:rPr>
          <w:rFonts w:ascii="Times New Roman" w:hAnsi="Times New Roman" w:cs="Times New Roman"/>
          <w:sz w:val="24"/>
          <w:szCs w:val="24"/>
          <w:u w:val="single"/>
        </w:rPr>
      </w:pPr>
      <w:r w:rsidRPr="002819B1">
        <w:rPr>
          <w:rFonts w:ascii="Times New Roman" w:hAnsi="Times New Roman" w:cs="Times New Roman"/>
          <w:sz w:val="24"/>
          <w:szCs w:val="24"/>
          <w:u w:val="single"/>
        </w:rPr>
        <w:t>Un desplazamiento de los bancos más pequeños hacia los más grandes mantendría estables las cifras globales, pero seguiría restringiendo la disponibilidad de crédito para el tipo de pequeñas empresas e inversores inmobiliarios que dependen de los bancos comunitarios.</w:t>
      </w:r>
    </w:p>
    <w:p w:rsidR="007E3D39" w:rsidRPr="00146B36" w:rsidRDefault="007E3D39" w:rsidP="007E3D39">
      <w:pPr>
        <w:spacing w:line="240" w:lineRule="auto"/>
        <w:jc w:val="both"/>
        <w:rPr>
          <w:rFonts w:ascii="Times New Roman" w:hAnsi="Times New Roman" w:cs="Times New Roman"/>
          <w:sz w:val="24"/>
          <w:szCs w:val="24"/>
        </w:rPr>
      </w:pPr>
      <w:r w:rsidRPr="00146B36">
        <w:rPr>
          <w:rFonts w:ascii="Times New Roman" w:hAnsi="Times New Roman" w:cs="Times New Roman"/>
          <w:sz w:val="24"/>
          <w:szCs w:val="24"/>
        </w:rPr>
        <w:t>A los bancos también podría preocuparles que, tras la crisis bancaria, los reguladores y supervisores los examinen aún más de cerca, lo que les haría ser más cautelosos a la hora de ampliar sus balances. Las empresas tendrían más dificultades para acceder al efectivo necesario para contratar a más trabajadores o gastar en nuevos equipos necesarios para ampliar el negocio. También los consumidores podrían tener más dificul</w:t>
      </w:r>
      <w:r>
        <w:rPr>
          <w:rFonts w:ascii="Times New Roman" w:hAnsi="Times New Roman" w:cs="Times New Roman"/>
          <w:sz w:val="24"/>
          <w:szCs w:val="24"/>
        </w:rPr>
        <w:t>tades para obtener un préstamo.</w:t>
      </w:r>
    </w:p>
    <w:p w:rsidR="007E3D39" w:rsidRPr="00146B36" w:rsidRDefault="007E3D39" w:rsidP="007E3D39">
      <w:pPr>
        <w:spacing w:line="240" w:lineRule="auto"/>
        <w:jc w:val="both"/>
        <w:rPr>
          <w:rFonts w:ascii="Times New Roman" w:hAnsi="Times New Roman" w:cs="Times New Roman"/>
          <w:sz w:val="24"/>
          <w:szCs w:val="24"/>
        </w:rPr>
      </w:pPr>
      <w:r w:rsidRPr="00146B36">
        <w:rPr>
          <w:rFonts w:ascii="Times New Roman" w:hAnsi="Times New Roman" w:cs="Times New Roman"/>
          <w:sz w:val="24"/>
          <w:szCs w:val="24"/>
        </w:rPr>
        <w:lastRenderedPageBreak/>
        <w:t xml:space="preserve">Nadie sabe, sin embargo, hasta qué punto se avecina una contracción del crédito y en qué medida afectará a la actividad económica. </w:t>
      </w:r>
      <w:r w:rsidRPr="002819B1">
        <w:rPr>
          <w:rFonts w:ascii="Times New Roman" w:hAnsi="Times New Roman" w:cs="Times New Roman"/>
          <w:sz w:val="24"/>
          <w:szCs w:val="24"/>
          <w:u w:val="single"/>
        </w:rPr>
        <w:t>Los economistas de Goldman Sachs afirman que la restricción del crédito supondría un lastre de hasta medio punto porcentual para el crecimiento de Estados Unidos a lo largo de este año. Pero los economistas advierten de que el lastre podría ser mayor, sobre todo en caso de nuevas quiebras bancarias, cambios regulatorios significativos o continuas salidas de depósitos…</w:t>
      </w:r>
    </w:p>
    <w:p w:rsidR="007E3D39" w:rsidRPr="00333A2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33A29">
        <w:rPr>
          <w:rFonts w:ascii="Times New Roman" w:hAnsi="Times New Roman" w:cs="Times New Roman"/>
          <w:sz w:val="24"/>
          <w:szCs w:val="24"/>
        </w:rPr>
        <w:t>¿</w:t>
      </w:r>
      <w:r w:rsidRPr="00333A29">
        <w:rPr>
          <w:rFonts w:ascii="Times New Roman" w:hAnsi="Times New Roman" w:cs="Times New Roman"/>
          <w:sz w:val="24"/>
          <w:szCs w:val="24"/>
          <w:u w:val="single"/>
        </w:rPr>
        <w:t>Era este el dolor del que hablaba Powell</w:t>
      </w:r>
      <w:r w:rsidRPr="00333A29">
        <w:rPr>
          <w:rFonts w:ascii="Times New Roman" w:hAnsi="Times New Roman" w:cs="Times New Roman"/>
          <w:sz w:val="24"/>
          <w:szCs w:val="24"/>
        </w:rPr>
        <w:t>?</w:t>
      </w:r>
      <w:r>
        <w:rPr>
          <w:rFonts w:ascii="Times New Roman" w:hAnsi="Times New Roman" w:cs="Times New Roman"/>
          <w:sz w:val="24"/>
          <w:szCs w:val="24"/>
        </w:rPr>
        <w:t xml:space="preserve"> (Cinco Días - </w:t>
      </w:r>
      <w:r w:rsidRPr="00333A29">
        <w:rPr>
          <w:rFonts w:ascii="Times New Roman" w:hAnsi="Times New Roman" w:cs="Times New Roman"/>
          <w:b/>
          <w:sz w:val="24"/>
          <w:szCs w:val="24"/>
        </w:rPr>
        <w:t>18/4/23</w:t>
      </w:r>
      <w:r>
        <w:rPr>
          <w:rFonts w:ascii="Times New Roman" w:hAnsi="Times New Roman" w:cs="Times New Roman"/>
          <w:sz w:val="24"/>
          <w:szCs w:val="24"/>
        </w:rPr>
        <w:t>)</w:t>
      </w:r>
    </w:p>
    <w:p w:rsidR="007E3D39" w:rsidRPr="003D03E0" w:rsidRDefault="007E3D39" w:rsidP="007E3D39">
      <w:pPr>
        <w:spacing w:line="240" w:lineRule="auto"/>
        <w:jc w:val="both"/>
        <w:rPr>
          <w:rFonts w:ascii="Times New Roman" w:hAnsi="Times New Roman" w:cs="Times New Roman"/>
          <w:color w:val="FF0000"/>
          <w:sz w:val="24"/>
          <w:szCs w:val="24"/>
        </w:rPr>
      </w:pPr>
      <w:r w:rsidRPr="003D03E0">
        <w:rPr>
          <w:rFonts w:ascii="Times New Roman" w:hAnsi="Times New Roman" w:cs="Times New Roman"/>
          <w:color w:val="FF0000"/>
          <w:sz w:val="24"/>
          <w:szCs w:val="24"/>
        </w:rPr>
        <w:t>El discurso del presidente de la Fed, seguido de una crisis bancaria, ha generado miedo y ha aumentado la peligrosa brecha que existe entre riesgo real y percibido</w:t>
      </w:r>
    </w:p>
    <w:p w:rsidR="007E3D39" w:rsidRPr="00333A2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333A29">
        <w:rPr>
          <w:rFonts w:ascii="Times New Roman" w:hAnsi="Times New Roman" w:cs="Times New Roman"/>
          <w:sz w:val="24"/>
          <w:szCs w:val="24"/>
        </w:rPr>
        <w:t>C</w:t>
      </w:r>
      <w:r>
        <w:rPr>
          <w:rFonts w:ascii="Times New Roman" w:hAnsi="Times New Roman" w:cs="Times New Roman"/>
          <w:sz w:val="24"/>
          <w:szCs w:val="24"/>
        </w:rPr>
        <w:t>arlos Balado García)</w:t>
      </w:r>
    </w:p>
    <w:p w:rsidR="007E3D39" w:rsidRPr="002819B1" w:rsidRDefault="007E3D39" w:rsidP="007E3D39">
      <w:pPr>
        <w:spacing w:line="240" w:lineRule="auto"/>
        <w:jc w:val="both"/>
        <w:rPr>
          <w:rFonts w:ascii="Times New Roman" w:hAnsi="Times New Roman" w:cs="Times New Roman"/>
          <w:color w:val="FF0000"/>
          <w:sz w:val="24"/>
          <w:szCs w:val="24"/>
          <w:u w:val="single"/>
        </w:rPr>
      </w:pPr>
      <w:r w:rsidRPr="002819B1">
        <w:rPr>
          <w:rFonts w:ascii="Times New Roman" w:hAnsi="Times New Roman" w:cs="Times New Roman"/>
          <w:color w:val="FF0000"/>
          <w:sz w:val="24"/>
          <w:szCs w:val="24"/>
          <w:u w:val="single"/>
        </w:rPr>
        <w:t>En el tradicional discurso veraniego del simposio de política monetaria que celebró la Reserva Federal en Jackson Hole el 26 de agosto de 2022, Powell manifestó: “Restaurar la estabilidad de precios llevará algo de tiempo y necesita que usemos nuestras herramientas con fuerza para llevar a un mejor equilibrio a la demanda y la oferta. Aunque los tipos de interés más altos, el menor crecimiento y la relajación de las condiciones laborales reduzcan la inflación, también infligirán algo de dolor a hogares y empresas”.</w:t>
      </w:r>
    </w:p>
    <w:p w:rsidR="007E3D39" w:rsidRPr="00333A29" w:rsidRDefault="007E3D39" w:rsidP="007E3D39">
      <w:pPr>
        <w:spacing w:line="240" w:lineRule="auto"/>
        <w:jc w:val="both"/>
        <w:rPr>
          <w:rFonts w:ascii="Times New Roman" w:hAnsi="Times New Roman" w:cs="Times New Roman"/>
          <w:sz w:val="24"/>
          <w:szCs w:val="24"/>
        </w:rPr>
      </w:pPr>
      <w:r w:rsidRPr="00333A29">
        <w:rPr>
          <w:rFonts w:ascii="Times New Roman" w:hAnsi="Times New Roman" w:cs="Times New Roman"/>
          <w:sz w:val="24"/>
          <w:szCs w:val="24"/>
        </w:rPr>
        <w:t>La elevada inflación ha llevado al final a los bancos centrales a ser drásticos en la retirada de estímulos y en la subida de los tipos de interés. En un año y dos meses los tipos han subido nueve veces consecutivas en Estados Unidos, del 0,25% al 4,75% y seis en Europa, hasta el 3,5%. Esta subida ha generado, entre otras consecuencias, la caída de Silvergate, Silicon Valley, Signature Bank, una inyección de 30.000 millones de dólares por un grupo de bancos americanos para limitar la fuga de liquidez del First Republic Bank, entidad regional norteamericana, y la compra de Credit Suisse por UBS forzada por las autoridades suizas para evitar su colapso, así como cierto desasosiego entre la opinión pública sobre la banca.</w:t>
      </w:r>
    </w:p>
    <w:p w:rsidR="007E3D39" w:rsidRPr="002819B1" w:rsidRDefault="007E3D39" w:rsidP="007E3D39">
      <w:pPr>
        <w:spacing w:line="240" w:lineRule="auto"/>
        <w:jc w:val="both"/>
        <w:rPr>
          <w:rFonts w:ascii="Times New Roman" w:hAnsi="Times New Roman" w:cs="Times New Roman"/>
          <w:sz w:val="24"/>
          <w:szCs w:val="24"/>
          <w:u w:val="single"/>
        </w:rPr>
      </w:pPr>
      <w:r w:rsidRPr="002819B1">
        <w:rPr>
          <w:rFonts w:ascii="Times New Roman" w:hAnsi="Times New Roman" w:cs="Times New Roman"/>
          <w:sz w:val="24"/>
          <w:szCs w:val="24"/>
          <w:u w:val="single"/>
        </w:rPr>
        <w:t>Se han adoptado medidas extraordinarias muy rápidas para solucionar los problemas en las entidades más débiles. Por un lado, garantizando la totalidad de los depósitos de los clientes de los bancos fallidos, e incluso con la posibilidad de aumentar con carácter general la garantía actual de 250.000 dólares. Por otro, mediante el Bank Term Funding Program se ofrece liquidez a las entidades a cambio de bonos como garantía de esos préstamos, sin que se tengan que valorar a precios de mercado esos bonos entregados como garantía, de forma que se evita que se vean forzadas a vender activos y reconocer pérdidas, como le ocurrió a SVB.</w:t>
      </w:r>
    </w:p>
    <w:p w:rsidR="007E3D39" w:rsidRPr="002819B1" w:rsidRDefault="007E3D39" w:rsidP="007E3D39">
      <w:pPr>
        <w:spacing w:line="240" w:lineRule="auto"/>
        <w:jc w:val="both"/>
        <w:rPr>
          <w:rFonts w:ascii="Times New Roman" w:hAnsi="Times New Roman" w:cs="Times New Roman"/>
          <w:sz w:val="24"/>
          <w:szCs w:val="24"/>
          <w:u w:val="single"/>
        </w:rPr>
      </w:pPr>
      <w:r w:rsidRPr="002819B1">
        <w:rPr>
          <w:rFonts w:ascii="Times New Roman" w:hAnsi="Times New Roman" w:cs="Times New Roman"/>
          <w:sz w:val="24"/>
          <w:szCs w:val="24"/>
          <w:u w:val="single"/>
        </w:rPr>
        <w:t>A diferencia de otras crisis bancarias, los problemas no están vinculados a la calidad de los activos en el caso americano, sino a una mala gestión del riesgo de la curva de tipos de interés; y en el caso del Credit Suisse, a problemas de rentabilidad y dificultades en la gestión.</w:t>
      </w:r>
    </w:p>
    <w:p w:rsidR="007E3D39" w:rsidRPr="00333A29" w:rsidRDefault="007E3D39" w:rsidP="007E3D39">
      <w:pPr>
        <w:spacing w:line="240" w:lineRule="auto"/>
        <w:jc w:val="both"/>
        <w:rPr>
          <w:rFonts w:ascii="Times New Roman" w:hAnsi="Times New Roman" w:cs="Times New Roman"/>
          <w:sz w:val="24"/>
          <w:szCs w:val="24"/>
        </w:rPr>
      </w:pPr>
      <w:r w:rsidRPr="00333A29">
        <w:rPr>
          <w:rFonts w:ascii="Times New Roman" w:hAnsi="Times New Roman" w:cs="Times New Roman"/>
          <w:sz w:val="24"/>
          <w:szCs w:val="24"/>
        </w:rPr>
        <w:t>Como las comparaciones son inevitables en casos de crisis, y más adelante veremos por qué, es imprescindible conocer las notables diferencias entre los bancos en Estados Unidos y en Europa. Los bancos de la eurozona tienen una regulación de liquidez mucho más estricta que los estadounidenses. En Europa los bancos con activos totales de solo 30.000 millones de euros suelen estar sujetos a la supervisión del BCE, incluidas las pruebas de resistencia de una salida rápida de depósitos; mientras que los bancos estadounidenses, mucho más grandes, incluido SVB, con activos totales de más de 200.000 millones de dólares no están sujetos a una re</w:t>
      </w:r>
      <w:r>
        <w:rPr>
          <w:rFonts w:ascii="Times New Roman" w:hAnsi="Times New Roman" w:cs="Times New Roman"/>
          <w:sz w:val="24"/>
          <w:szCs w:val="24"/>
        </w:rPr>
        <w:t>gulación o supervisión similar.</w:t>
      </w:r>
    </w:p>
    <w:p w:rsidR="007E3D39" w:rsidRPr="002819B1" w:rsidRDefault="007E3D39" w:rsidP="007E3D39">
      <w:pPr>
        <w:spacing w:line="240" w:lineRule="auto"/>
        <w:jc w:val="both"/>
        <w:rPr>
          <w:rFonts w:ascii="Times New Roman" w:hAnsi="Times New Roman" w:cs="Times New Roman"/>
          <w:sz w:val="24"/>
          <w:szCs w:val="24"/>
          <w:u w:val="single"/>
        </w:rPr>
      </w:pPr>
      <w:r w:rsidRPr="002819B1">
        <w:rPr>
          <w:rFonts w:ascii="Times New Roman" w:hAnsi="Times New Roman" w:cs="Times New Roman"/>
          <w:sz w:val="24"/>
          <w:szCs w:val="24"/>
          <w:u w:val="single"/>
        </w:rPr>
        <w:lastRenderedPageBreak/>
        <w:t>Los reguladores europeos definen políticas detalladas de gestión del riesgo de tipos de interés, como ilustra, por ejemplo, el marcado aumento de las actividades de swaps de tipos desde 2021, y como muestra y analiza el Informe de estabilidad financiera del BCE de noviembre. Por el contrario, SVB mantuvo posiciones masivas de tasas sin cobertura sin que, aparentemente, ni la administración del banco (que operaba en su mayoría de forma remota y sin un jefe de gestión de riesgos) o los supervisores se preocupasen.</w:t>
      </w:r>
    </w:p>
    <w:p w:rsidR="007E3D39" w:rsidRPr="002819B1" w:rsidRDefault="007E3D39" w:rsidP="007E3D39">
      <w:pPr>
        <w:spacing w:line="240" w:lineRule="auto"/>
        <w:jc w:val="both"/>
        <w:rPr>
          <w:rFonts w:ascii="Times New Roman" w:hAnsi="Times New Roman" w:cs="Times New Roman"/>
          <w:sz w:val="24"/>
          <w:szCs w:val="24"/>
          <w:u w:val="single"/>
        </w:rPr>
      </w:pPr>
      <w:r w:rsidRPr="002819B1">
        <w:rPr>
          <w:rFonts w:ascii="Times New Roman" w:hAnsi="Times New Roman" w:cs="Times New Roman"/>
          <w:sz w:val="24"/>
          <w:szCs w:val="24"/>
          <w:u w:val="single"/>
        </w:rPr>
        <w:t>Otra diferencia importante reside en el hecho de que los movimientos recientes de los precios de los bonos ya se reflejan en un grado mucho mayor en los balances de los bancos europeos que en los de Estados Unidos; esto se debe a que las normas contables europeas son más estrictas y, por tanto, reducen al máximo las sorpresas negativas. Además, los depósitos en los bancos europeos se mantienen firmes (crecieron un 3,7% en 2022). Finalmente el BCE, mediante sus operaciones de mercados abiertos, proporciona una fuerte liquidez a los bancos de la eurozona.</w:t>
      </w:r>
    </w:p>
    <w:p w:rsidR="007E3D39" w:rsidRPr="00333A29" w:rsidRDefault="007E3D39" w:rsidP="007E3D39">
      <w:pPr>
        <w:spacing w:line="240" w:lineRule="auto"/>
        <w:jc w:val="both"/>
        <w:rPr>
          <w:rFonts w:ascii="Times New Roman" w:hAnsi="Times New Roman" w:cs="Times New Roman"/>
          <w:sz w:val="24"/>
          <w:szCs w:val="24"/>
        </w:rPr>
      </w:pPr>
      <w:r w:rsidRPr="002819B1">
        <w:rPr>
          <w:rFonts w:ascii="Times New Roman" w:hAnsi="Times New Roman" w:cs="Times New Roman"/>
          <w:color w:val="FF0000"/>
          <w:sz w:val="24"/>
          <w:szCs w:val="24"/>
          <w:u w:val="single"/>
        </w:rPr>
        <w:t>Paradójicamente, la crisis de esos bancos producirá en la economía real los efectos que buscaban los bancos centrales con una política monetaria más dura: condiciones financieras más restrictivas, un coste de capital más alto y una reducción de la oferta de crédito por estándares bancarios más duros. Esto último puede equivaler a una o varias subidas de tipos, aunque es difícil de cuantificar. Sin embargo, esa crisis no se queda solo en los efectos técnicos, sino que genera un alto impacto social que no se debe despreciar como la creación en la opinión pública de un desfase entre el riesgo real y el riesgo percibido, situación muy delicada cuando se trata de los bancos</w:t>
      </w:r>
      <w:r w:rsidRPr="00333A29">
        <w:rPr>
          <w:rFonts w:ascii="Times New Roman" w:hAnsi="Times New Roman" w:cs="Times New Roman"/>
          <w:sz w:val="24"/>
          <w:szCs w:val="24"/>
        </w:rPr>
        <w:t>. Puede ser útil recordar las ideas de uno de los investigadores más destacados sobre análisis de riesgos, Paul Slovic: “Las personas basan sus juicios sobre una actividad o una tecnología no solo en su conocimiento racional y objetivo sobre ella, sino también en los sentimientos suscitados. (…) Si les gusta una actividad se sienten movidos a juzgar los riesgos como bajos y los beneficios como altos; si no les gusta, tienden a juzgar lo contrario,</w:t>
      </w:r>
      <w:r>
        <w:rPr>
          <w:rFonts w:ascii="Times New Roman" w:hAnsi="Times New Roman" w:cs="Times New Roman"/>
          <w:sz w:val="24"/>
          <w:szCs w:val="24"/>
        </w:rPr>
        <w:t xml:space="preserve"> alto riesgo y bajo beneficio”.</w:t>
      </w:r>
    </w:p>
    <w:p w:rsidR="007E3D39" w:rsidRPr="004F6A46" w:rsidRDefault="007E3D39" w:rsidP="007E3D39">
      <w:pPr>
        <w:spacing w:line="240" w:lineRule="auto"/>
        <w:jc w:val="both"/>
        <w:rPr>
          <w:rFonts w:ascii="Times New Roman" w:hAnsi="Times New Roman" w:cs="Times New Roman"/>
          <w:color w:val="FF0000"/>
          <w:sz w:val="24"/>
          <w:szCs w:val="24"/>
          <w:u w:val="single"/>
        </w:rPr>
      </w:pPr>
      <w:r w:rsidRPr="004F6A46">
        <w:rPr>
          <w:rFonts w:ascii="Times New Roman" w:hAnsi="Times New Roman" w:cs="Times New Roman"/>
          <w:color w:val="FF0000"/>
          <w:sz w:val="24"/>
          <w:szCs w:val="24"/>
          <w:u w:val="single"/>
        </w:rPr>
        <w:t>Pero si se entra en una crisis, a esa predisposición natural se le añaden dos variables: el miedo y la familiaridad. “A la hora de evaluar dos amenazas A y B, dice Slovic, cuanto más miedo infunda y menos familiar resulte una de las dos, más alto se percibirá su nivel de riesgo al comparar una con otra”. Por esa razón, los bancos centrales están obligados a reducir el miedo y a convertir sus decisiones en algo muy familiar y cercano, fácil de entender, y a transmitir la seguridad de que las situaciones, por muy difíciles que sean, tienen solución. Hablar de “algo de dolor” de forma tan ambigua como lo hizo Powell es recurrir al miedo, y si tras esas palabras se tiene además que afrontar una crisis en algunos bancos, un asunto que por su componente técnico y regulatorio es poco familiar para la mayoría de la población, lo que se consigue es abrir una peligrosa distancia entre el riesgo real y el percibido muy difícil de cerrar. Con total franqueza, no es fácil entender para qué se hace eso.</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33A29">
        <w:rPr>
          <w:rFonts w:ascii="Times New Roman" w:hAnsi="Times New Roman" w:cs="Times New Roman"/>
          <w:sz w:val="24"/>
          <w:szCs w:val="24"/>
        </w:rPr>
        <w:t>Carlos Balado es profesor de OBS Business School y director de Eurocofín</w:t>
      </w:r>
      <w:r>
        <w:rPr>
          <w:rFonts w:ascii="Times New Roman" w:hAnsi="Times New Roman" w:cs="Times New Roman"/>
          <w:sz w:val="24"/>
          <w:szCs w:val="24"/>
        </w:rPr>
        <w:t>)</w:t>
      </w:r>
    </w:p>
    <w:p w:rsidR="007E3D39" w:rsidRPr="000502E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0502E9">
        <w:rPr>
          <w:rFonts w:ascii="Times New Roman" w:hAnsi="Times New Roman" w:cs="Times New Roman"/>
          <w:sz w:val="24"/>
          <w:szCs w:val="24"/>
          <w:u w:val="single"/>
        </w:rPr>
        <w:t>Las líneas de defensa necesarias para evitar una nueva crisis financiera</w:t>
      </w:r>
      <w:r>
        <w:rPr>
          <w:rFonts w:ascii="Times New Roman" w:hAnsi="Times New Roman" w:cs="Times New Roman"/>
          <w:sz w:val="24"/>
          <w:szCs w:val="24"/>
        </w:rPr>
        <w:t xml:space="preserve"> (Cinco Días - </w:t>
      </w:r>
      <w:r w:rsidRPr="000502E9">
        <w:rPr>
          <w:rFonts w:ascii="Times New Roman" w:hAnsi="Times New Roman" w:cs="Times New Roman"/>
          <w:b/>
          <w:sz w:val="24"/>
          <w:szCs w:val="24"/>
        </w:rPr>
        <w:t>20/4/23</w:t>
      </w:r>
      <w:r>
        <w:rPr>
          <w:rFonts w:ascii="Times New Roman" w:hAnsi="Times New Roman" w:cs="Times New Roman"/>
          <w:sz w:val="24"/>
          <w:szCs w:val="24"/>
        </w:rPr>
        <w:t>)</w:t>
      </w:r>
    </w:p>
    <w:p w:rsidR="007E3D39" w:rsidRPr="000502E9" w:rsidRDefault="007E3D39" w:rsidP="007E3D39">
      <w:pPr>
        <w:spacing w:line="240" w:lineRule="auto"/>
        <w:jc w:val="both"/>
        <w:rPr>
          <w:rFonts w:ascii="Times New Roman" w:hAnsi="Times New Roman" w:cs="Times New Roman"/>
          <w:sz w:val="24"/>
          <w:szCs w:val="24"/>
        </w:rPr>
      </w:pPr>
      <w:r w:rsidRPr="000502E9">
        <w:rPr>
          <w:rFonts w:ascii="Times New Roman" w:hAnsi="Times New Roman" w:cs="Times New Roman"/>
          <w:sz w:val="24"/>
          <w:szCs w:val="24"/>
        </w:rPr>
        <w:t>Los bancos centrales han sido las estrellas del rock&amp;roll económico de las dos últimas décadas, pero no pueden hacerlo todo: que cada cual asuma su carga</w:t>
      </w:r>
    </w:p>
    <w:p w:rsidR="007E3D39" w:rsidRPr="000502E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502E9">
        <w:rPr>
          <w:rFonts w:ascii="Times New Roman" w:hAnsi="Times New Roman" w:cs="Times New Roman"/>
          <w:sz w:val="24"/>
          <w:szCs w:val="24"/>
        </w:rPr>
        <w:t>Santiago Carbó</w:t>
      </w:r>
      <w:r>
        <w:rPr>
          <w:rFonts w:ascii="Times New Roman" w:hAnsi="Times New Roman" w:cs="Times New Roman"/>
          <w:sz w:val="24"/>
          <w:szCs w:val="24"/>
        </w:rPr>
        <w:t>)</w:t>
      </w:r>
    </w:p>
    <w:p w:rsidR="007E3D39" w:rsidRPr="000502E9" w:rsidRDefault="007E3D39" w:rsidP="007E3D39">
      <w:pPr>
        <w:spacing w:line="240" w:lineRule="auto"/>
        <w:jc w:val="both"/>
        <w:rPr>
          <w:rFonts w:ascii="Times New Roman" w:hAnsi="Times New Roman" w:cs="Times New Roman"/>
          <w:sz w:val="24"/>
          <w:szCs w:val="24"/>
        </w:rPr>
      </w:pPr>
      <w:r w:rsidRPr="000502E9">
        <w:rPr>
          <w:rFonts w:ascii="Times New Roman" w:hAnsi="Times New Roman" w:cs="Times New Roman"/>
          <w:sz w:val="24"/>
          <w:szCs w:val="24"/>
        </w:rPr>
        <w:lastRenderedPageBreak/>
        <w:t xml:space="preserve">Han sido oportunas las palabras del </w:t>
      </w:r>
      <w:r>
        <w:rPr>
          <w:rFonts w:ascii="Times New Roman" w:hAnsi="Times New Roman" w:cs="Times New Roman"/>
          <w:sz w:val="24"/>
          <w:szCs w:val="24"/>
        </w:rPr>
        <w:t>Gobernador del Banco de España -</w:t>
      </w:r>
      <w:r w:rsidRPr="000502E9">
        <w:rPr>
          <w:rFonts w:ascii="Times New Roman" w:hAnsi="Times New Roman" w:cs="Times New Roman"/>
          <w:sz w:val="24"/>
          <w:szCs w:val="24"/>
        </w:rPr>
        <w:t xml:space="preserve">y Presidente del Comité de </w:t>
      </w:r>
      <w:r>
        <w:rPr>
          <w:rFonts w:ascii="Times New Roman" w:hAnsi="Times New Roman" w:cs="Times New Roman"/>
          <w:sz w:val="24"/>
          <w:szCs w:val="24"/>
        </w:rPr>
        <w:t>Supervisión Bancaria de Basilea-</w:t>
      </w:r>
      <w:r w:rsidRPr="000502E9">
        <w:rPr>
          <w:rFonts w:ascii="Times New Roman" w:hAnsi="Times New Roman" w:cs="Times New Roman"/>
          <w:sz w:val="24"/>
          <w:szCs w:val="24"/>
        </w:rPr>
        <w:t>, Pablo Hernández de Cos, hace unos días con motivos de las reuniones del FMI en Washington. Apuntaba que para evitar nuevas sacudidas financieras era necesaria una mayor implicación de gobiernos, banqueros y accionistas. Cierto es que, cada uno con su gorro (sus mandatos), son líneas de defensa. Palabras pertinentes porque siempre que hay procesos de inestabilidad económica o financiera llega</w:t>
      </w:r>
      <w:r>
        <w:rPr>
          <w:rFonts w:ascii="Times New Roman" w:hAnsi="Times New Roman" w:cs="Times New Roman"/>
          <w:sz w:val="24"/>
          <w:szCs w:val="24"/>
        </w:rPr>
        <w:t xml:space="preserve"> el momento de repartir culpas.</w:t>
      </w:r>
    </w:p>
    <w:p w:rsidR="007E3D39" w:rsidRPr="004F6A46" w:rsidRDefault="007E3D39" w:rsidP="007E3D39">
      <w:pPr>
        <w:spacing w:line="240" w:lineRule="auto"/>
        <w:jc w:val="both"/>
        <w:rPr>
          <w:rFonts w:ascii="Times New Roman" w:hAnsi="Times New Roman" w:cs="Times New Roman"/>
          <w:sz w:val="24"/>
          <w:szCs w:val="24"/>
          <w:u w:val="single"/>
        </w:rPr>
      </w:pPr>
      <w:r w:rsidRPr="004F6A46">
        <w:rPr>
          <w:rFonts w:ascii="Times New Roman" w:hAnsi="Times New Roman" w:cs="Times New Roman"/>
          <w:sz w:val="24"/>
          <w:szCs w:val="24"/>
          <w:u w:val="single"/>
        </w:rPr>
        <w:t>En Estados Unidos, ese día de ajuste de cuentas (day of reckoning) está generando no pocas controversias. Qué menos, teniendo en cuenta que, desde la crisis financiera, se había asumido que la supervisión bancaria en tierra estadounidense había mejorado de forma notable. Algunos señalan que la culpa exclusivamente es de bancos como SVB, porque su gestión era deficiente. Parece algo simplista. Un mal gestor siempre debe ser detectado por el supervisor. Tampoco es aceptable (aunque históricamente irrebatible) la idea de que los bancos gestionan riesgo y, como tales, la incertidumbre los acompaña y, a veces, zarandea. Para evitarlo se diseña y rediseña la regulación y la supervisión bancaria. Por supuesto, hay quienes miran directamente a la Reserva Federal de Estados Unidos para preguntar cómo es posible que estos episodios de inestabilidad financiera ocurran cuando proceden de fallos de gestión y de reporte básicos. No se trata de operaciones financieras complejas de dudosa innovación, sino de errores de primer curso de banca que no deberían haberse permitido. Tampoco faltan los que miran al supervisor estadounidense que, tras grandes alharacas al comprobar las consecuencias de la crisis financiera, emprendió una reforma que se consideraba ambiciosa, la Dodd-Frank Act, con nombre Wall Street Reform and Consumer Protection Act de 2010.</w:t>
      </w:r>
    </w:p>
    <w:p w:rsidR="007E3D39" w:rsidRPr="004F6A46" w:rsidRDefault="007E3D39" w:rsidP="007E3D39">
      <w:pPr>
        <w:spacing w:line="240" w:lineRule="auto"/>
        <w:jc w:val="both"/>
        <w:rPr>
          <w:rFonts w:ascii="Times New Roman" w:hAnsi="Times New Roman" w:cs="Times New Roman"/>
          <w:color w:val="FF0000"/>
          <w:sz w:val="24"/>
          <w:szCs w:val="24"/>
          <w:u w:val="single"/>
        </w:rPr>
      </w:pPr>
      <w:r w:rsidRPr="004F6A46">
        <w:rPr>
          <w:rFonts w:ascii="Times New Roman" w:hAnsi="Times New Roman" w:cs="Times New Roman"/>
          <w:color w:val="FF0000"/>
          <w:sz w:val="24"/>
          <w:szCs w:val="24"/>
          <w:u w:val="single"/>
        </w:rPr>
        <w:t>Sin embargo, la Administración Trump aligeró enormemente en 2018 la carga regulatoria y de cumplimiento normativo a los bancos regionales y de dimensión mediana y pequeña, con la Economic Growth, Regulatory Relief, and Consumer Protection Act. Esto pudo haber creado una laguna en el perímetro supervisor que facilitó la crisis del SVB. Asimismo, Estados Unidos cuenta con un número demasiado amplio de agencias supervisoras a distintos niveles territoriales, que pueden haber facilitado los problemas que han tenido algunos bancos medianos. Eso sí, cuando arrecian tempestades, todos miran a la Reserva Federal pidiendo grandes ayudas. En esta ocasión, como en otras anteriores, con un gran cañón de liquidez.</w:t>
      </w:r>
    </w:p>
    <w:p w:rsidR="007E3D39" w:rsidRPr="004F6A46" w:rsidRDefault="007E3D39" w:rsidP="007E3D39">
      <w:pPr>
        <w:spacing w:line="240" w:lineRule="auto"/>
        <w:jc w:val="both"/>
        <w:rPr>
          <w:rFonts w:ascii="Times New Roman" w:hAnsi="Times New Roman" w:cs="Times New Roman"/>
          <w:color w:val="FF0000"/>
          <w:sz w:val="24"/>
          <w:szCs w:val="24"/>
          <w:u w:val="single"/>
        </w:rPr>
      </w:pPr>
      <w:r w:rsidRPr="004F6A46">
        <w:rPr>
          <w:rFonts w:ascii="Times New Roman" w:hAnsi="Times New Roman" w:cs="Times New Roman"/>
          <w:color w:val="FF0000"/>
          <w:sz w:val="24"/>
          <w:szCs w:val="24"/>
          <w:u w:val="single"/>
        </w:rPr>
        <w:t>Europa, afortunadamente, parece alejada de este galimatías regulatorio del otro lado del Atlántico. Ha permitido afrontar las últimas turbulencias financieras con mayores fortalezas relativas. En todo caso, hay que aprender de las lecciones de lo acontecido en otras latitudes.</w:t>
      </w:r>
    </w:p>
    <w:p w:rsidR="007E3D39" w:rsidRPr="004F6A46" w:rsidRDefault="007E3D39" w:rsidP="007E3D39">
      <w:pPr>
        <w:spacing w:line="240" w:lineRule="auto"/>
        <w:jc w:val="both"/>
        <w:rPr>
          <w:rFonts w:ascii="Times New Roman" w:hAnsi="Times New Roman" w:cs="Times New Roman"/>
          <w:b/>
          <w:color w:val="FF0000"/>
          <w:sz w:val="24"/>
          <w:szCs w:val="24"/>
          <w:u w:val="single"/>
        </w:rPr>
      </w:pPr>
      <w:r w:rsidRPr="004F6A46">
        <w:rPr>
          <w:rFonts w:ascii="Times New Roman" w:hAnsi="Times New Roman" w:cs="Times New Roman"/>
          <w:b/>
          <w:color w:val="FF0000"/>
          <w:sz w:val="24"/>
          <w:szCs w:val="24"/>
          <w:u w:val="single"/>
        </w:rPr>
        <w:t>Luego están los que, desde un prisma más amplio, identifican otras causas. La principal es que la acumulación de deuda y su renegociación han sido muy sencillas en épocas en las que los tipos de interés han sido nulos o negativos. Era terreno inexplorado de consecuencias imprevisibles. A nadie pilla desprevenido buena parte de lo que pasa cuando los tipos han subido. Todas aquellas empresas que no eran demasiado solventes y sobrevivían con deuda casi gratuita se las ven y las desean ahora. Aquí también hay muchas categorías de predicción dentro del mismo problema. Para algunos, esto es sólo el principio de una gran crisis de deuda en la que cada cual (familias, empresas y Gobiernos) va a tener que demostrar su viabilidad y credibilidad, pero ya sin dinero barato ni protección indefinida de los bancos centrales. Para otros, es solo una transición necesaria en la que algunos van a sufrir, pero el sistema funcionará y la normalización financiera se acabará imponiendo.</w:t>
      </w:r>
    </w:p>
    <w:p w:rsidR="007E3D39" w:rsidRPr="000502E9" w:rsidRDefault="007E3D39" w:rsidP="007E3D39">
      <w:pPr>
        <w:spacing w:line="240" w:lineRule="auto"/>
        <w:jc w:val="both"/>
        <w:rPr>
          <w:rFonts w:ascii="Times New Roman" w:hAnsi="Times New Roman" w:cs="Times New Roman"/>
          <w:sz w:val="24"/>
          <w:szCs w:val="24"/>
        </w:rPr>
      </w:pPr>
      <w:r w:rsidRPr="000502E9">
        <w:rPr>
          <w:rFonts w:ascii="Times New Roman" w:hAnsi="Times New Roman" w:cs="Times New Roman"/>
          <w:sz w:val="24"/>
          <w:szCs w:val="24"/>
        </w:rPr>
        <w:lastRenderedPageBreak/>
        <w:t>Para completar la lista de diagnósticos, no podemos olvidar que la economía de todo el mundo está viviendo una transición hacia un modelo más verde y digital, pero también más automatizado. El debate actual sobre el papel de la inteligencia artificial es tan apasionante como inquietante, a la vista de las enormes capacidades existentes ya, cuando esta tecnología apenas está en sus primeras fases de desarrollo.</w:t>
      </w:r>
    </w:p>
    <w:p w:rsidR="007E3D39" w:rsidRPr="004F6A46" w:rsidRDefault="007E3D39" w:rsidP="007E3D39">
      <w:pPr>
        <w:spacing w:line="240" w:lineRule="auto"/>
        <w:jc w:val="both"/>
        <w:rPr>
          <w:rFonts w:ascii="Times New Roman" w:hAnsi="Times New Roman" w:cs="Times New Roman"/>
          <w:color w:val="FF0000"/>
          <w:sz w:val="24"/>
          <w:szCs w:val="24"/>
          <w:u w:val="single"/>
        </w:rPr>
      </w:pPr>
      <w:r w:rsidRPr="004F6A46">
        <w:rPr>
          <w:rFonts w:ascii="Times New Roman" w:hAnsi="Times New Roman" w:cs="Times New Roman"/>
          <w:color w:val="FF0000"/>
          <w:sz w:val="24"/>
          <w:szCs w:val="24"/>
          <w:u w:val="single"/>
        </w:rPr>
        <w:t>Con este panorama, uno se imagina a un banquero central, la estrella del rock-and-roll económico de las dos últimas décadas, que comienza a sentirse cansado de ser cabeza de cartel en los conciertos. Tienen el gorro de autoridad monetaria y, a menudo, el de supervisor bancario. Algunos tienen competencias cuasi-fiscales y otros, incluso sin tenerlas, son los que suplen las cosas que no hacen los Tesoros de los países. Muchos gorros.</w:t>
      </w:r>
    </w:p>
    <w:p w:rsidR="007E3D39" w:rsidRPr="000502E9" w:rsidRDefault="007E3D39" w:rsidP="007E3D39">
      <w:pPr>
        <w:spacing w:line="240" w:lineRule="auto"/>
        <w:jc w:val="both"/>
        <w:rPr>
          <w:rFonts w:ascii="Times New Roman" w:hAnsi="Times New Roman" w:cs="Times New Roman"/>
          <w:sz w:val="24"/>
          <w:szCs w:val="24"/>
        </w:rPr>
      </w:pPr>
      <w:r w:rsidRPr="004F6A46">
        <w:rPr>
          <w:rFonts w:ascii="Times New Roman" w:hAnsi="Times New Roman" w:cs="Times New Roman"/>
          <w:b/>
          <w:color w:val="FF0000"/>
          <w:sz w:val="24"/>
          <w:szCs w:val="24"/>
          <w:u w:val="single"/>
        </w:rPr>
        <w:t>No sorprende, en este contexto, la comentada llamada de algunos de los responsables de estas instituciones monetarias proponiendo repartir un poco las cargas. En el fondo, se trata de líneas de defensa para evitar nuevos episodios de inestabilidad financiera. Que cada cual asuma su gorro. Las empresas y bancos en su responsabilidad corporativa y adecuado reporting, las familias aprovechado las oportunidades que existen para mejorar su cultura financiera y tomar decisiones adecuadas de gasto y ahorro. Pero también los Gobiernos, asumiendo que esto va con ellos.</w:t>
      </w:r>
      <w:r w:rsidRPr="000502E9">
        <w:rPr>
          <w:rFonts w:ascii="Times New Roman" w:hAnsi="Times New Roman" w:cs="Times New Roman"/>
          <w:sz w:val="24"/>
          <w:szCs w:val="24"/>
        </w:rPr>
        <w:t xml:space="preserve"> No solo la inflación, que parece siempre algo externo sobre lo que intentan protegernos, cuando en realidad muchas de sus políticas alimentan el fuego de los precios. También en la adecuada sintonía y pedagogía para hacer entender la solidez económica y financiera allí donde la hay y la necesidad de ser prevenidos y cautos ante un mundo que cambia muy rápido. Luces largas para todos y no sol</w:t>
      </w:r>
      <w:r>
        <w:rPr>
          <w:rFonts w:ascii="Times New Roman" w:hAnsi="Times New Roman" w:cs="Times New Roman"/>
          <w:sz w:val="24"/>
          <w:szCs w:val="24"/>
        </w:rPr>
        <w:t>o para los banqueros centrales.</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0502E9">
        <w:rPr>
          <w:rFonts w:ascii="Times New Roman" w:hAnsi="Times New Roman" w:cs="Times New Roman"/>
          <w:sz w:val="24"/>
          <w:szCs w:val="24"/>
        </w:rPr>
        <w:t>Santiago Carbó es Catedrático de Análisis Económico de la Universitat de València y Director de Estudios Financieros de Funcas</w:t>
      </w:r>
      <w:r>
        <w:rPr>
          <w:rFonts w:ascii="Times New Roman" w:hAnsi="Times New Roman" w:cs="Times New Roman"/>
          <w:sz w:val="24"/>
          <w:szCs w:val="24"/>
        </w:rPr>
        <w:t>)</w:t>
      </w:r>
    </w:p>
    <w:p w:rsidR="007E3D39" w:rsidRPr="0049749F"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9749F">
        <w:rPr>
          <w:rFonts w:ascii="Times New Roman" w:hAnsi="Times New Roman" w:cs="Times New Roman"/>
          <w:sz w:val="24"/>
          <w:szCs w:val="24"/>
          <w:u w:val="single"/>
        </w:rPr>
        <w:t>Así funcionará la nueva herramienta de la Comisión Europea para evitar futuras crisis bancarias</w:t>
      </w:r>
      <w:r>
        <w:rPr>
          <w:rFonts w:ascii="Times New Roman" w:hAnsi="Times New Roman" w:cs="Times New Roman"/>
          <w:sz w:val="24"/>
          <w:szCs w:val="24"/>
        </w:rPr>
        <w:t xml:space="preserve"> (El Economista - </w:t>
      </w:r>
      <w:r w:rsidRPr="0049749F">
        <w:rPr>
          <w:rFonts w:ascii="Times New Roman" w:hAnsi="Times New Roman" w:cs="Times New Roman"/>
          <w:b/>
          <w:sz w:val="24"/>
          <w:szCs w:val="24"/>
        </w:rPr>
        <w:t>19/4/23</w:t>
      </w:r>
      <w:r>
        <w:rPr>
          <w:rFonts w:ascii="Times New Roman" w:hAnsi="Times New Roman" w:cs="Times New Roman"/>
          <w:sz w:val="24"/>
          <w:szCs w:val="24"/>
        </w:rPr>
        <w:t>)</w:t>
      </w:r>
    </w:p>
    <w:p w:rsidR="007E3D39" w:rsidRPr="0049749F"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9749F">
        <w:rPr>
          <w:rFonts w:ascii="Times New Roman" w:hAnsi="Times New Roman" w:cs="Times New Roman"/>
          <w:sz w:val="24"/>
          <w:szCs w:val="24"/>
        </w:rPr>
        <w:t>Lidia Montes</w:t>
      </w:r>
      <w:r>
        <w:rPr>
          <w:rFonts w:ascii="Times New Roman" w:hAnsi="Times New Roman" w:cs="Times New Roman"/>
          <w:sz w:val="24"/>
          <w:szCs w:val="24"/>
        </w:rPr>
        <w:t>)</w:t>
      </w:r>
    </w:p>
    <w:p w:rsidR="007E3D39" w:rsidRPr="004F6A46" w:rsidRDefault="007E3D39" w:rsidP="007E3D39">
      <w:pPr>
        <w:spacing w:line="240" w:lineRule="auto"/>
        <w:jc w:val="both"/>
        <w:rPr>
          <w:rFonts w:ascii="Times New Roman" w:hAnsi="Times New Roman" w:cs="Times New Roman"/>
          <w:color w:val="FF0000"/>
          <w:sz w:val="24"/>
          <w:szCs w:val="24"/>
          <w:u w:val="single"/>
        </w:rPr>
      </w:pPr>
      <w:r w:rsidRPr="004F6A46">
        <w:rPr>
          <w:rFonts w:ascii="Times New Roman" w:hAnsi="Times New Roman" w:cs="Times New Roman"/>
          <w:color w:val="FF0000"/>
          <w:sz w:val="24"/>
          <w:szCs w:val="24"/>
          <w:u w:val="single"/>
        </w:rPr>
        <w:t>Tras el seísmo en el sector bancario del último mes, propiciado por la crisis de tres entidades estadounidenses y seguida por la caída y compra de la suiza Credit Suisse por UBS, la UE trata de avanzar en su aletargado proyecto de unión bancaria. Así es que la Comisión Europea ha presentado una propuesta para modificar al marco de gestión de crisis y seguro de depósitos.</w:t>
      </w:r>
    </w:p>
    <w:p w:rsidR="007E3D39" w:rsidRPr="004F6A46" w:rsidRDefault="007E3D39" w:rsidP="007E3D39">
      <w:pPr>
        <w:spacing w:line="240" w:lineRule="auto"/>
        <w:jc w:val="both"/>
        <w:rPr>
          <w:rFonts w:ascii="Times New Roman" w:hAnsi="Times New Roman" w:cs="Times New Roman"/>
          <w:color w:val="FF0000"/>
          <w:sz w:val="24"/>
          <w:szCs w:val="24"/>
        </w:rPr>
      </w:pPr>
      <w:r w:rsidRPr="004F6A46">
        <w:rPr>
          <w:rFonts w:ascii="Times New Roman" w:hAnsi="Times New Roman" w:cs="Times New Roman"/>
          <w:color w:val="FF0000"/>
          <w:sz w:val="24"/>
          <w:szCs w:val="24"/>
        </w:rPr>
        <w:t>Los fondos de garantía de depósitos tendrán un rol prioritario</w:t>
      </w:r>
    </w:p>
    <w:p w:rsidR="007E3D39" w:rsidRPr="0049749F" w:rsidRDefault="007E3D39" w:rsidP="007E3D39">
      <w:pPr>
        <w:spacing w:line="240" w:lineRule="auto"/>
        <w:jc w:val="both"/>
        <w:rPr>
          <w:rFonts w:ascii="Times New Roman" w:hAnsi="Times New Roman" w:cs="Times New Roman"/>
          <w:sz w:val="24"/>
          <w:szCs w:val="24"/>
        </w:rPr>
      </w:pPr>
      <w:r w:rsidRPr="004F6A46">
        <w:rPr>
          <w:rFonts w:ascii="Times New Roman" w:hAnsi="Times New Roman" w:cs="Times New Roman"/>
          <w:color w:val="FF0000"/>
          <w:sz w:val="24"/>
          <w:szCs w:val="24"/>
          <w:u w:val="single"/>
        </w:rPr>
        <w:t>La propuesta del Ejecutivo comunitario plantea que puedan utilizarse los fondos de garantía de depósitos nacionales -pagado por los propios bancos- para financiar la resolución de entidades que carezcan de un colchón de capital suficiente</w:t>
      </w:r>
      <w:r w:rsidRPr="0049749F">
        <w:rPr>
          <w:rFonts w:ascii="Times New Roman" w:hAnsi="Times New Roman" w:cs="Times New Roman"/>
          <w:sz w:val="24"/>
          <w:szCs w:val="24"/>
        </w:rPr>
        <w:t>. Una medida con la que pretende conferir mayor eficacia al sistema de gestión de quiebras bancarias y protección de los depositantes, especialmente para los bancos pequeños y medianos.</w:t>
      </w:r>
    </w:p>
    <w:p w:rsidR="007E3D39" w:rsidRPr="0049749F" w:rsidRDefault="007E3D39" w:rsidP="007E3D39">
      <w:pPr>
        <w:spacing w:line="240" w:lineRule="auto"/>
        <w:jc w:val="both"/>
        <w:rPr>
          <w:rFonts w:ascii="Times New Roman" w:hAnsi="Times New Roman" w:cs="Times New Roman"/>
          <w:sz w:val="24"/>
          <w:szCs w:val="24"/>
        </w:rPr>
      </w:pPr>
      <w:r w:rsidRPr="0049749F">
        <w:rPr>
          <w:rFonts w:ascii="Times New Roman" w:hAnsi="Times New Roman" w:cs="Times New Roman"/>
          <w:sz w:val="24"/>
          <w:szCs w:val="24"/>
        </w:rPr>
        <w:t>¿Qué en</w:t>
      </w:r>
      <w:r>
        <w:rPr>
          <w:rFonts w:ascii="Times New Roman" w:hAnsi="Times New Roman" w:cs="Times New Roman"/>
          <w:sz w:val="24"/>
          <w:szCs w:val="24"/>
        </w:rPr>
        <w:t>tidades se verían beneficiadas?</w:t>
      </w:r>
    </w:p>
    <w:p w:rsidR="007E3D39" w:rsidRPr="0049749F" w:rsidRDefault="007E3D39" w:rsidP="007E3D39">
      <w:pPr>
        <w:spacing w:line="240" w:lineRule="auto"/>
        <w:jc w:val="both"/>
        <w:rPr>
          <w:rFonts w:ascii="Times New Roman" w:hAnsi="Times New Roman" w:cs="Times New Roman"/>
          <w:sz w:val="24"/>
          <w:szCs w:val="24"/>
        </w:rPr>
      </w:pPr>
      <w:r w:rsidRPr="0049749F">
        <w:rPr>
          <w:rFonts w:ascii="Times New Roman" w:hAnsi="Times New Roman" w:cs="Times New Roman"/>
          <w:sz w:val="24"/>
          <w:szCs w:val="24"/>
        </w:rPr>
        <w:t xml:space="preserve">Los bancos de tamaño intermedio y pequeño y que son demasiado grandes para iniciar un proceso de liquidación judicial. Un proceso que, actualmente, solo se aplica a los grandes bancos, too big to fail, es decir, demasiado grandes para caer. Con esta medida se ampliaría el </w:t>
      </w:r>
      <w:r w:rsidRPr="0049749F">
        <w:rPr>
          <w:rFonts w:ascii="Times New Roman" w:hAnsi="Times New Roman" w:cs="Times New Roman"/>
          <w:sz w:val="24"/>
          <w:szCs w:val="24"/>
        </w:rPr>
        <w:lastRenderedPageBreak/>
        <w:t>número de entidades que se ampararían bajo el proceso de resolución en lugar de ir a proceso de liquidación.</w:t>
      </w:r>
    </w:p>
    <w:p w:rsidR="007E3D39" w:rsidRPr="004F6A46" w:rsidRDefault="007E3D39" w:rsidP="007E3D39">
      <w:pPr>
        <w:spacing w:line="240" w:lineRule="auto"/>
        <w:jc w:val="both"/>
        <w:rPr>
          <w:rFonts w:ascii="Times New Roman" w:hAnsi="Times New Roman" w:cs="Times New Roman"/>
          <w:color w:val="FF0000"/>
          <w:sz w:val="24"/>
          <w:szCs w:val="24"/>
        </w:rPr>
      </w:pPr>
      <w:r w:rsidRPr="004F6A46">
        <w:rPr>
          <w:rFonts w:ascii="Times New Roman" w:hAnsi="Times New Roman" w:cs="Times New Roman"/>
          <w:color w:val="FF0000"/>
          <w:sz w:val="24"/>
          <w:szCs w:val="24"/>
        </w:rPr>
        <w:t>¿Otro punto novedoso de la propuesta?</w:t>
      </w:r>
    </w:p>
    <w:p w:rsidR="007E3D39" w:rsidRPr="004F6A46" w:rsidRDefault="007E3D39" w:rsidP="007E3D39">
      <w:pPr>
        <w:spacing w:line="240" w:lineRule="auto"/>
        <w:jc w:val="both"/>
        <w:rPr>
          <w:rFonts w:ascii="Times New Roman" w:hAnsi="Times New Roman" w:cs="Times New Roman"/>
          <w:color w:val="FF0000"/>
          <w:sz w:val="24"/>
          <w:szCs w:val="24"/>
          <w:u w:val="single"/>
        </w:rPr>
      </w:pPr>
      <w:r w:rsidRPr="004F6A46">
        <w:rPr>
          <w:rFonts w:ascii="Times New Roman" w:hAnsi="Times New Roman" w:cs="Times New Roman"/>
          <w:color w:val="FF0000"/>
          <w:sz w:val="24"/>
          <w:szCs w:val="24"/>
          <w:u w:val="single"/>
        </w:rPr>
        <w:t>La propuesta de normativa de Bruselas mantiene la protección para los depositantes con un nivel de cobertura de hasta 100.000 euros por depositante y banco, tal y como fija la directiva sobre sistemas de garantía de depósitos. Como novedad principal, amplía protección de los depositantes a las entidades públicas (hospitales, escuelas, municipios), así como al dinero de los clientes depositado en determinados tipos de entidades de crédito, como fondos de inversión o entidades de divisas digitales.</w:t>
      </w:r>
    </w:p>
    <w:p w:rsidR="007E3D39" w:rsidRPr="004F6A46" w:rsidRDefault="007E3D39" w:rsidP="007E3D39">
      <w:pPr>
        <w:spacing w:line="240" w:lineRule="auto"/>
        <w:jc w:val="both"/>
        <w:rPr>
          <w:rFonts w:ascii="Times New Roman" w:hAnsi="Times New Roman" w:cs="Times New Roman"/>
          <w:color w:val="FF0000"/>
          <w:sz w:val="24"/>
          <w:szCs w:val="24"/>
        </w:rPr>
      </w:pPr>
      <w:r w:rsidRPr="004F6A46">
        <w:rPr>
          <w:rFonts w:ascii="Times New Roman" w:hAnsi="Times New Roman" w:cs="Times New Roman"/>
          <w:color w:val="FF0000"/>
          <w:sz w:val="24"/>
          <w:szCs w:val="24"/>
        </w:rPr>
        <w:t>El papel de la JUR</w:t>
      </w:r>
    </w:p>
    <w:p w:rsidR="007E3D39" w:rsidRPr="004F6A46" w:rsidRDefault="007E3D39" w:rsidP="007E3D39">
      <w:pPr>
        <w:spacing w:line="240" w:lineRule="auto"/>
        <w:jc w:val="both"/>
        <w:rPr>
          <w:rFonts w:ascii="Times New Roman" w:hAnsi="Times New Roman" w:cs="Times New Roman"/>
          <w:color w:val="FF0000"/>
          <w:sz w:val="24"/>
          <w:szCs w:val="24"/>
          <w:u w:val="single"/>
        </w:rPr>
      </w:pPr>
      <w:r w:rsidRPr="004F6A46">
        <w:rPr>
          <w:rFonts w:ascii="Times New Roman" w:hAnsi="Times New Roman" w:cs="Times New Roman"/>
          <w:color w:val="FF0000"/>
          <w:sz w:val="24"/>
          <w:szCs w:val="24"/>
          <w:u w:val="single"/>
        </w:rPr>
        <w:t>La propuesta confiere poderes a la Junta Única de Resolución para intervenir una entidad bancaria y reestructurarla con el objetivo de evitar un golpe sobre el sistema financiero o el efecto contagio sobre otras entidades.</w:t>
      </w:r>
    </w:p>
    <w:p w:rsidR="007E3D39" w:rsidRPr="004F6A46" w:rsidRDefault="007E3D39" w:rsidP="007E3D39">
      <w:pPr>
        <w:spacing w:line="240" w:lineRule="auto"/>
        <w:jc w:val="both"/>
        <w:rPr>
          <w:rFonts w:ascii="Times New Roman" w:hAnsi="Times New Roman" w:cs="Times New Roman"/>
          <w:color w:val="FF0000"/>
          <w:sz w:val="24"/>
          <w:szCs w:val="24"/>
        </w:rPr>
      </w:pPr>
      <w:r w:rsidRPr="004F6A46">
        <w:rPr>
          <w:rFonts w:ascii="Times New Roman" w:hAnsi="Times New Roman" w:cs="Times New Roman"/>
          <w:color w:val="FF0000"/>
          <w:sz w:val="24"/>
          <w:szCs w:val="24"/>
        </w:rPr>
        <w:t>¿Cuál es el objetivo?</w:t>
      </w:r>
    </w:p>
    <w:p w:rsidR="007E3D39" w:rsidRPr="004F6A46" w:rsidRDefault="007E3D39" w:rsidP="007E3D39">
      <w:pPr>
        <w:spacing w:line="240" w:lineRule="auto"/>
        <w:jc w:val="both"/>
        <w:rPr>
          <w:rFonts w:ascii="Times New Roman" w:hAnsi="Times New Roman" w:cs="Times New Roman"/>
          <w:color w:val="FF0000"/>
          <w:sz w:val="24"/>
          <w:szCs w:val="24"/>
          <w:u w:val="single"/>
        </w:rPr>
      </w:pPr>
      <w:r w:rsidRPr="004F6A46">
        <w:rPr>
          <w:rFonts w:ascii="Times New Roman" w:hAnsi="Times New Roman" w:cs="Times New Roman"/>
          <w:color w:val="FF0000"/>
          <w:sz w:val="24"/>
          <w:szCs w:val="24"/>
          <w:u w:val="single"/>
        </w:rPr>
        <w:t>La propuesta de Bruselas busca preservar la estabilidad financiera y la protección del dinero de los contribuyentes. Además, persigue mejorar la protección de los depositantes y proteger la economía del impacto de la quiebra bancaria.</w:t>
      </w:r>
    </w:p>
    <w:p w:rsidR="007E3D39" w:rsidRPr="0049749F" w:rsidRDefault="007E3D39" w:rsidP="007E3D39">
      <w:pPr>
        <w:spacing w:line="240" w:lineRule="auto"/>
        <w:jc w:val="both"/>
        <w:rPr>
          <w:rFonts w:ascii="Times New Roman" w:hAnsi="Times New Roman" w:cs="Times New Roman"/>
          <w:sz w:val="24"/>
          <w:szCs w:val="24"/>
        </w:rPr>
      </w:pPr>
      <w:r w:rsidRPr="0049749F">
        <w:rPr>
          <w:rFonts w:ascii="Times New Roman" w:hAnsi="Times New Roman" w:cs="Times New Roman"/>
          <w:sz w:val="24"/>
          <w:szCs w:val="24"/>
        </w:rPr>
        <w:t>Niveles de las redes de seguridad financiadas por el sector bancar</w:t>
      </w:r>
      <w:r>
        <w:rPr>
          <w:rFonts w:ascii="Times New Roman" w:hAnsi="Times New Roman" w:cs="Times New Roman"/>
          <w:sz w:val="24"/>
          <w:szCs w:val="24"/>
        </w:rPr>
        <w:t>io en la Unión Bancaria en 2024</w:t>
      </w:r>
    </w:p>
    <w:p w:rsidR="007E3D39" w:rsidRPr="0049749F" w:rsidRDefault="007E3D39" w:rsidP="007E3D39">
      <w:pPr>
        <w:spacing w:line="240" w:lineRule="auto"/>
        <w:jc w:val="both"/>
        <w:rPr>
          <w:rFonts w:ascii="Times New Roman" w:hAnsi="Times New Roman" w:cs="Times New Roman"/>
          <w:sz w:val="24"/>
          <w:szCs w:val="24"/>
        </w:rPr>
      </w:pPr>
      <w:r w:rsidRPr="0049749F">
        <w:rPr>
          <w:rFonts w:ascii="Times New Roman" w:hAnsi="Times New Roman" w:cs="Times New Roman"/>
          <w:sz w:val="24"/>
          <w:szCs w:val="24"/>
        </w:rPr>
        <w:t>-Fondo Único de Resol</w:t>
      </w:r>
      <w:r>
        <w:rPr>
          <w:rFonts w:ascii="Times New Roman" w:hAnsi="Times New Roman" w:cs="Times New Roman"/>
          <w:sz w:val="24"/>
          <w:szCs w:val="24"/>
        </w:rPr>
        <w:t>ución: 80.000 millones de euros</w:t>
      </w:r>
    </w:p>
    <w:p w:rsidR="007E3D39" w:rsidRPr="0049749F" w:rsidRDefault="007E3D39" w:rsidP="007E3D39">
      <w:pPr>
        <w:spacing w:line="240" w:lineRule="auto"/>
        <w:jc w:val="both"/>
        <w:rPr>
          <w:rFonts w:ascii="Times New Roman" w:hAnsi="Times New Roman" w:cs="Times New Roman"/>
          <w:sz w:val="24"/>
          <w:szCs w:val="24"/>
        </w:rPr>
      </w:pPr>
      <w:r w:rsidRPr="0049749F">
        <w:rPr>
          <w:rFonts w:ascii="Times New Roman" w:hAnsi="Times New Roman" w:cs="Times New Roman"/>
          <w:sz w:val="24"/>
          <w:szCs w:val="24"/>
        </w:rPr>
        <w:t>-Sistema de garantía de depó</w:t>
      </w:r>
      <w:r>
        <w:rPr>
          <w:rFonts w:ascii="Times New Roman" w:hAnsi="Times New Roman" w:cs="Times New Roman"/>
          <w:sz w:val="24"/>
          <w:szCs w:val="24"/>
        </w:rPr>
        <w:t>sitos: 55.000 millones de euros</w:t>
      </w:r>
    </w:p>
    <w:p w:rsidR="007E3D39" w:rsidRPr="0049749F"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Estrictas condiciones</w:t>
      </w:r>
    </w:p>
    <w:p w:rsidR="007E3D39" w:rsidRPr="0049749F" w:rsidRDefault="007E3D39" w:rsidP="007E3D39">
      <w:pPr>
        <w:spacing w:line="240" w:lineRule="auto"/>
        <w:jc w:val="both"/>
        <w:rPr>
          <w:rFonts w:ascii="Times New Roman" w:hAnsi="Times New Roman" w:cs="Times New Roman"/>
          <w:sz w:val="24"/>
          <w:szCs w:val="24"/>
        </w:rPr>
      </w:pPr>
      <w:r w:rsidRPr="0049749F">
        <w:rPr>
          <w:rFonts w:ascii="Times New Roman" w:hAnsi="Times New Roman" w:cs="Times New Roman"/>
          <w:sz w:val="24"/>
          <w:szCs w:val="24"/>
        </w:rPr>
        <w:t>Se podrá recurrir a este mecanismo en caso de que así lo decida la autoridad de resolución para salvaguardar la estabilidad financiera. Para financiar una salida del mercado, no para salvar bancos en quiebra. Para aquellos bancos que están preparados para la resolución y han construido un sistema interno de absorción de pérdidas. Si es más barato para los sistemas de garantía de depósitos que pagar y asegurar el depósito del banco, de h</w:t>
      </w:r>
      <w:r>
        <w:rPr>
          <w:rFonts w:ascii="Times New Roman" w:hAnsi="Times New Roman" w:cs="Times New Roman"/>
          <w:sz w:val="24"/>
          <w:szCs w:val="24"/>
        </w:rPr>
        <w:t>asta 100.000 euros por persona.</w:t>
      </w:r>
    </w:p>
    <w:p w:rsidR="007E3D39" w:rsidRPr="0049749F"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Siguientes pasos</w:t>
      </w:r>
    </w:p>
    <w:p w:rsidR="007E3D39" w:rsidRDefault="007E3D39" w:rsidP="007E3D39">
      <w:pPr>
        <w:spacing w:line="240" w:lineRule="auto"/>
        <w:jc w:val="both"/>
        <w:rPr>
          <w:rFonts w:ascii="Times New Roman" w:hAnsi="Times New Roman" w:cs="Times New Roman"/>
          <w:sz w:val="24"/>
          <w:szCs w:val="24"/>
        </w:rPr>
      </w:pPr>
      <w:r w:rsidRPr="0049749F">
        <w:rPr>
          <w:rFonts w:ascii="Times New Roman" w:hAnsi="Times New Roman" w:cs="Times New Roman"/>
          <w:sz w:val="24"/>
          <w:szCs w:val="24"/>
        </w:rPr>
        <w:t>La propuesta debe ser ahora debatida por el Parlamento Europeo y el Consejo de la UE.</w:t>
      </w:r>
    </w:p>
    <w:p w:rsidR="007E3D39" w:rsidRPr="00F20D3E"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20D3E">
        <w:rPr>
          <w:rFonts w:ascii="Times New Roman" w:hAnsi="Times New Roman" w:cs="Times New Roman"/>
          <w:sz w:val="24"/>
          <w:szCs w:val="24"/>
          <w:u w:val="single"/>
        </w:rPr>
        <w:t>El pufo de las SPAC: las cajas negras eran de Pandora</w:t>
      </w:r>
      <w:r>
        <w:rPr>
          <w:rFonts w:ascii="Times New Roman" w:hAnsi="Times New Roman" w:cs="Times New Roman"/>
          <w:sz w:val="24"/>
          <w:szCs w:val="24"/>
        </w:rPr>
        <w:t xml:space="preserve"> (Cinco Días - 23/4/23)</w:t>
      </w:r>
    </w:p>
    <w:p w:rsidR="007E3D39" w:rsidRPr="00E56683" w:rsidRDefault="007E3D39" w:rsidP="007E3D39">
      <w:pPr>
        <w:spacing w:line="240" w:lineRule="auto"/>
        <w:jc w:val="both"/>
        <w:rPr>
          <w:rFonts w:ascii="Times New Roman" w:hAnsi="Times New Roman" w:cs="Times New Roman"/>
          <w:color w:val="FF0000"/>
          <w:sz w:val="24"/>
          <w:szCs w:val="24"/>
        </w:rPr>
      </w:pPr>
      <w:r w:rsidRPr="00E56683">
        <w:rPr>
          <w:rFonts w:ascii="Times New Roman" w:hAnsi="Times New Roman" w:cs="Times New Roman"/>
          <w:color w:val="FF0000"/>
          <w:sz w:val="24"/>
          <w:szCs w:val="24"/>
        </w:rPr>
        <w:t xml:space="preserve">Estas </w:t>
      </w:r>
      <w:r w:rsidRPr="00E56683">
        <w:rPr>
          <w:rFonts w:ascii="Times New Roman" w:hAnsi="Times New Roman" w:cs="Times New Roman"/>
          <w:b/>
          <w:color w:val="FF0000"/>
          <w:sz w:val="24"/>
          <w:szCs w:val="24"/>
        </w:rPr>
        <w:t>carcasas vacías</w:t>
      </w:r>
      <w:r w:rsidRPr="00E56683">
        <w:rPr>
          <w:rFonts w:ascii="Times New Roman" w:hAnsi="Times New Roman" w:cs="Times New Roman"/>
          <w:color w:val="FF0000"/>
          <w:sz w:val="24"/>
          <w:szCs w:val="24"/>
        </w:rPr>
        <w:t xml:space="preserve"> levantaron cerca de 200.000 millones en 2021 y 2022 para salir a Bolsa y luego hacer compras</w:t>
      </w:r>
    </w:p>
    <w:p w:rsidR="007E3D39" w:rsidRPr="00F20D3E"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20D3E">
        <w:rPr>
          <w:rFonts w:ascii="Times New Roman" w:hAnsi="Times New Roman" w:cs="Times New Roman"/>
          <w:sz w:val="24"/>
          <w:szCs w:val="24"/>
        </w:rPr>
        <w:t>Miguel Moreno Mendieta</w:t>
      </w:r>
      <w:r>
        <w:rPr>
          <w:rFonts w:ascii="Times New Roman" w:hAnsi="Times New Roman" w:cs="Times New Roman"/>
          <w:sz w:val="24"/>
          <w:szCs w:val="24"/>
        </w:rPr>
        <w:t>)</w:t>
      </w:r>
    </w:p>
    <w:p w:rsidR="007E3D39" w:rsidRPr="00F20D3E" w:rsidRDefault="007E3D39" w:rsidP="007E3D39">
      <w:pPr>
        <w:spacing w:line="240" w:lineRule="auto"/>
        <w:jc w:val="both"/>
        <w:rPr>
          <w:rFonts w:ascii="Times New Roman" w:hAnsi="Times New Roman" w:cs="Times New Roman"/>
          <w:sz w:val="24"/>
          <w:szCs w:val="24"/>
        </w:rPr>
      </w:pPr>
      <w:r w:rsidRPr="00E56683">
        <w:rPr>
          <w:rFonts w:ascii="Times New Roman" w:hAnsi="Times New Roman" w:cs="Times New Roman"/>
          <w:b/>
          <w:color w:val="FF0000"/>
          <w:sz w:val="24"/>
          <w:szCs w:val="24"/>
          <w:u w:val="single"/>
        </w:rPr>
        <w:t>Las compañías creadas con el propósito específico de salir a Bolsa para buscar compras (special purpose acquisition company, SPAC) van a pasar la historia financiera como uno de los elementos folclóricos más sorprendentes de la postpandemia, acompañadas de las acciones meme y las inversiones inmobiliarias en el metaverso</w:t>
      </w:r>
      <w:r w:rsidRPr="00F20D3E">
        <w:rPr>
          <w:rFonts w:ascii="Times New Roman" w:hAnsi="Times New Roman" w:cs="Times New Roman"/>
          <w:sz w:val="24"/>
          <w:szCs w:val="24"/>
        </w:rPr>
        <w:t xml:space="preserve">. Pero, ¿cómo </w:t>
      </w:r>
      <w:r w:rsidRPr="00F20D3E">
        <w:rPr>
          <w:rFonts w:ascii="Times New Roman" w:hAnsi="Times New Roman" w:cs="Times New Roman"/>
          <w:sz w:val="24"/>
          <w:szCs w:val="24"/>
        </w:rPr>
        <w:lastRenderedPageBreak/>
        <w:t>funcionan las SPAC? Su esquema consiste financiar a un inversor famoso/ex directivo/jugador de baloncesto/celebridad/Donald Trump para que saque a Bolsa un cascarón vacío que des</w:t>
      </w:r>
      <w:r>
        <w:rPr>
          <w:rFonts w:ascii="Times New Roman" w:hAnsi="Times New Roman" w:cs="Times New Roman"/>
          <w:sz w:val="24"/>
          <w:szCs w:val="24"/>
        </w:rPr>
        <w:t>pués haga adquisiciones -</w:t>
      </w:r>
      <w:r w:rsidRPr="00F20D3E">
        <w:rPr>
          <w:rFonts w:ascii="Times New Roman" w:hAnsi="Times New Roman" w:cs="Times New Roman"/>
          <w:sz w:val="24"/>
          <w:szCs w:val="24"/>
        </w:rPr>
        <w:t>sobr</w:t>
      </w:r>
      <w:r>
        <w:rPr>
          <w:rFonts w:ascii="Times New Roman" w:hAnsi="Times New Roman" w:cs="Times New Roman"/>
          <w:sz w:val="24"/>
          <w:szCs w:val="24"/>
        </w:rPr>
        <w:t>e todo de empresas no cotizadas-</w:t>
      </w:r>
      <w:r w:rsidRPr="00F20D3E">
        <w:rPr>
          <w:rFonts w:ascii="Times New Roman" w:hAnsi="Times New Roman" w:cs="Times New Roman"/>
          <w:sz w:val="24"/>
          <w:szCs w:val="24"/>
        </w:rPr>
        <w:t xml:space="preserve"> y así logre estupendas r</w:t>
      </w:r>
      <w:r>
        <w:rPr>
          <w:rFonts w:ascii="Times New Roman" w:hAnsi="Times New Roman" w:cs="Times New Roman"/>
          <w:sz w:val="24"/>
          <w:szCs w:val="24"/>
        </w:rPr>
        <w:t>entabilidades para el inversor.</w:t>
      </w:r>
    </w:p>
    <w:p w:rsidR="007E3D39" w:rsidRPr="00E56683" w:rsidRDefault="007E3D39" w:rsidP="007E3D39">
      <w:pPr>
        <w:spacing w:line="240" w:lineRule="auto"/>
        <w:jc w:val="both"/>
        <w:rPr>
          <w:rFonts w:ascii="Times New Roman" w:hAnsi="Times New Roman" w:cs="Times New Roman"/>
          <w:color w:val="FF0000"/>
          <w:sz w:val="24"/>
          <w:szCs w:val="24"/>
          <w:u w:val="single"/>
        </w:rPr>
      </w:pPr>
      <w:r w:rsidRPr="00E56683">
        <w:rPr>
          <w:rFonts w:ascii="Times New Roman" w:hAnsi="Times New Roman" w:cs="Times New Roman"/>
          <w:color w:val="FF0000"/>
          <w:sz w:val="24"/>
          <w:szCs w:val="24"/>
          <w:u w:val="single"/>
        </w:rPr>
        <w:t>Pero las llamadas en Estados Unidos “compañías del cheque en blanco” eran más bien cajas negras que se han convertido en cajas de Pandora. Al abrirlas se han destapado todos los males del mundo de la inversión: la falta de control, la codicia, la infraestimación del riesgo, las modas, la desinformación...</w:t>
      </w:r>
    </w:p>
    <w:p w:rsidR="007E3D39" w:rsidRPr="00800876" w:rsidRDefault="007E3D39" w:rsidP="007E3D39">
      <w:pPr>
        <w:spacing w:line="240" w:lineRule="auto"/>
        <w:jc w:val="both"/>
        <w:rPr>
          <w:rFonts w:ascii="Times New Roman" w:hAnsi="Times New Roman" w:cs="Times New Roman"/>
          <w:sz w:val="24"/>
          <w:szCs w:val="24"/>
          <w:u w:val="single"/>
        </w:rPr>
      </w:pPr>
      <w:r w:rsidRPr="00F20D3E">
        <w:rPr>
          <w:rFonts w:ascii="Times New Roman" w:hAnsi="Times New Roman" w:cs="Times New Roman"/>
          <w:sz w:val="24"/>
          <w:szCs w:val="24"/>
        </w:rPr>
        <w:t xml:space="preserve">La agencia Bloomberg monitoriza un índice bursátil que reúne la cotización de aquellas SPAC que llegaron a estrenarse en Bolsa. </w:t>
      </w:r>
      <w:r w:rsidRPr="00800876">
        <w:rPr>
          <w:rFonts w:ascii="Times New Roman" w:hAnsi="Times New Roman" w:cs="Times New Roman"/>
          <w:sz w:val="24"/>
          <w:szCs w:val="24"/>
          <w:u w:val="single"/>
        </w:rPr>
        <w:t>Desde los máximos de febrero de 2021, el desplome medio de su valor ha sido del 45%, lo que indica que muchas han perdido casi todo el dinero, y que muy pocas han ganado algo.</w:t>
      </w:r>
    </w:p>
    <w:p w:rsidR="007E3D39" w:rsidRPr="00F20D3E" w:rsidRDefault="007E3D39" w:rsidP="007E3D39">
      <w:pPr>
        <w:spacing w:line="240" w:lineRule="auto"/>
        <w:jc w:val="both"/>
        <w:rPr>
          <w:rFonts w:ascii="Times New Roman" w:hAnsi="Times New Roman" w:cs="Times New Roman"/>
          <w:sz w:val="24"/>
          <w:szCs w:val="24"/>
        </w:rPr>
      </w:pPr>
      <w:r w:rsidRPr="00F20D3E">
        <w:rPr>
          <w:rFonts w:ascii="Times New Roman" w:hAnsi="Times New Roman" w:cs="Times New Roman"/>
          <w:sz w:val="24"/>
          <w:szCs w:val="24"/>
        </w:rPr>
        <w:t>Advertencias de los reguladores</w:t>
      </w:r>
    </w:p>
    <w:p w:rsidR="007E3D39" w:rsidRPr="00800876" w:rsidRDefault="007E3D39" w:rsidP="007E3D39">
      <w:pPr>
        <w:spacing w:line="240" w:lineRule="auto"/>
        <w:jc w:val="both"/>
        <w:rPr>
          <w:rFonts w:ascii="Times New Roman" w:hAnsi="Times New Roman" w:cs="Times New Roman"/>
          <w:sz w:val="24"/>
          <w:szCs w:val="24"/>
          <w:u w:val="single"/>
        </w:rPr>
      </w:pPr>
      <w:r w:rsidRPr="00F20D3E">
        <w:rPr>
          <w:rFonts w:ascii="Times New Roman" w:hAnsi="Times New Roman" w:cs="Times New Roman"/>
          <w:sz w:val="24"/>
          <w:szCs w:val="24"/>
        </w:rPr>
        <w:t xml:space="preserve">SEC. </w:t>
      </w:r>
      <w:r w:rsidRPr="00800876">
        <w:rPr>
          <w:rFonts w:ascii="Times New Roman" w:hAnsi="Times New Roman" w:cs="Times New Roman"/>
          <w:sz w:val="24"/>
          <w:szCs w:val="24"/>
          <w:u w:val="single"/>
        </w:rPr>
        <w:t>El supervisor de los mercados financieros de Estados Unidos (la SEC) emitió el año pasado una advertencia al gran público para que no se dejara llevar por la popularidad de los promotores de las SPAC. Advertía también de la gran opacidad que suponía una inversión de este tipo.</w:t>
      </w:r>
    </w:p>
    <w:p w:rsidR="007E3D39" w:rsidRPr="00F20D3E"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Famosos. Muchas SPAC de EE</w:t>
      </w:r>
      <w:r w:rsidRPr="00F20D3E">
        <w:rPr>
          <w:rFonts w:ascii="Times New Roman" w:hAnsi="Times New Roman" w:cs="Times New Roman"/>
          <w:sz w:val="24"/>
          <w:szCs w:val="24"/>
        </w:rPr>
        <w:t>UU se han valido de la popularidad de su promotor para captar dinero. Donald Trump, el baloncestista Shaquille O’Neal; la tenista Serena Williams; el futbolista Robert Lewandowski; el rapero Jay-Z; el ex consejero delegado de Credit Suisse, Tidjane Thiam, son algunos ejemplos.</w:t>
      </w:r>
    </w:p>
    <w:p w:rsidR="007E3D39" w:rsidRPr="00800876" w:rsidRDefault="007E3D39" w:rsidP="007E3D39">
      <w:pPr>
        <w:spacing w:line="240" w:lineRule="auto"/>
        <w:jc w:val="both"/>
        <w:rPr>
          <w:rFonts w:ascii="Times New Roman" w:hAnsi="Times New Roman" w:cs="Times New Roman"/>
          <w:color w:val="FF0000"/>
          <w:sz w:val="24"/>
          <w:szCs w:val="24"/>
          <w:u w:val="single"/>
        </w:rPr>
      </w:pPr>
      <w:r w:rsidRPr="00800876">
        <w:rPr>
          <w:rFonts w:ascii="Times New Roman" w:hAnsi="Times New Roman" w:cs="Times New Roman"/>
          <w:color w:val="FF0000"/>
          <w:sz w:val="24"/>
          <w:szCs w:val="24"/>
          <w:u w:val="single"/>
        </w:rPr>
        <w:t xml:space="preserve">Las SPAC son hijas predilectas del largo periodo de bajos tipos de interés. Cuando el dinero era gratis había decenas de bancos de inversión interesados en proponer todo tipo de operaciones, incluso disparatadas. E inversores buscando rentabilidad debajo de las piedras. Ahora, con los costes financieros superando el 7, el 8 </w:t>
      </w:r>
      <w:r w:rsidR="00E92717" w:rsidRPr="00800876">
        <w:rPr>
          <w:rFonts w:ascii="Times New Roman" w:hAnsi="Times New Roman" w:cs="Times New Roman"/>
          <w:color w:val="FF0000"/>
          <w:sz w:val="24"/>
          <w:szCs w:val="24"/>
          <w:u w:val="single"/>
        </w:rPr>
        <w:t>o</w:t>
      </w:r>
      <w:r w:rsidRPr="00800876">
        <w:rPr>
          <w:rFonts w:ascii="Times New Roman" w:hAnsi="Times New Roman" w:cs="Times New Roman"/>
          <w:color w:val="FF0000"/>
          <w:sz w:val="24"/>
          <w:szCs w:val="24"/>
          <w:u w:val="single"/>
        </w:rPr>
        <w:t xml:space="preserve"> el 9%, según el sector y el tipo de activo, ya no salen las cuentas de la lechera.</w:t>
      </w:r>
    </w:p>
    <w:p w:rsidR="007E3D39" w:rsidRPr="00F20D3E" w:rsidRDefault="007E3D39" w:rsidP="007E3D39">
      <w:pPr>
        <w:spacing w:line="240" w:lineRule="auto"/>
        <w:jc w:val="both"/>
        <w:rPr>
          <w:rFonts w:ascii="Times New Roman" w:hAnsi="Times New Roman" w:cs="Times New Roman"/>
          <w:sz w:val="24"/>
          <w:szCs w:val="24"/>
        </w:rPr>
      </w:pPr>
      <w:r w:rsidRPr="00F20D3E">
        <w:rPr>
          <w:rFonts w:ascii="Times New Roman" w:hAnsi="Times New Roman" w:cs="Times New Roman"/>
          <w:sz w:val="24"/>
          <w:szCs w:val="24"/>
        </w:rPr>
        <w:t xml:space="preserve">Las costuras se les empezaron a romper a las SPAC a mediados del año pasado. El mayor de estos vehículos, promovido por el multimillonario inversor Bill Ackman, llegó a levantar 4.000 millones de dólares para compras. Pero en junio de 2022 anunció a sus accionistas que les devolvería el dinero, ante la imposibilidad de cerrar ninguna operación interesante. Dentro de lo que cabe, este es el mejor supuesto para los inversores iniciales, puesto que este tipo de instrumentos tiene el compromiso de reintegrar el dinero aportado por los clientes, </w:t>
      </w:r>
      <w:r>
        <w:rPr>
          <w:rFonts w:ascii="Times New Roman" w:hAnsi="Times New Roman" w:cs="Times New Roman"/>
          <w:sz w:val="24"/>
          <w:szCs w:val="24"/>
        </w:rPr>
        <w:t>con un pequeño tipo de interés.</w:t>
      </w:r>
    </w:p>
    <w:p w:rsidR="007E3D39" w:rsidRPr="00F20D3E" w:rsidRDefault="007E3D39" w:rsidP="007E3D39">
      <w:pPr>
        <w:spacing w:line="240" w:lineRule="auto"/>
        <w:jc w:val="both"/>
        <w:rPr>
          <w:rFonts w:ascii="Times New Roman" w:hAnsi="Times New Roman" w:cs="Times New Roman"/>
          <w:sz w:val="24"/>
          <w:szCs w:val="24"/>
        </w:rPr>
      </w:pPr>
      <w:r w:rsidRPr="00F20D3E">
        <w:rPr>
          <w:rFonts w:ascii="Times New Roman" w:hAnsi="Times New Roman" w:cs="Times New Roman"/>
          <w:sz w:val="24"/>
          <w:szCs w:val="24"/>
        </w:rPr>
        <w:t>No siempre el repliegue es tan limpio. La SPAC Victory Park Capital Advisors ha sido demandada por los inversores porque sus promotores se habrían quedado de forma fraudulenta con 50 millones de dólares de los levantados para adquisiciones. En este caso, llegó a haber un proyecto de compra, pero la otra empresa se echó atrás. En un caso así, ¿quién corre con los gastos de bancos de inversión, asesores legales, auditores y expert</w:t>
      </w:r>
      <w:r>
        <w:rPr>
          <w:rFonts w:ascii="Times New Roman" w:hAnsi="Times New Roman" w:cs="Times New Roman"/>
          <w:sz w:val="24"/>
          <w:szCs w:val="24"/>
        </w:rPr>
        <w:t>os en comunicación corporativa?</w:t>
      </w:r>
    </w:p>
    <w:p w:rsidR="007E3D39" w:rsidRPr="00F20D3E" w:rsidRDefault="007E3D39" w:rsidP="007E3D39">
      <w:pPr>
        <w:spacing w:line="240" w:lineRule="auto"/>
        <w:jc w:val="both"/>
        <w:rPr>
          <w:rFonts w:ascii="Times New Roman" w:hAnsi="Times New Roman" w:cs="Times New Roman"/>
          <w:sz w:val="24"/>
          <w:szCs w:val="24"/>
        </w:rPr>
      </w:pPr>
      <w:r w:rsidRPr="00F20D3E">
        <w:rPr>
          <w:rFonts w:ascii="Times New Roman" w:hAnsi="Times New Roman" w:cs="Times New Roman"/>
          <w:sz w:val="24"/>
          <w:szCs w:val="24"/>
        </w:rPr>
        <w:t xml:space="preserve">La semana pasada, la mayor SPAC que se creó en Europa, Pegasus Acquisition (fundada por ex directivos del banco italiano Unicredit y respaldada por el millonario francés Bernard Arnault) anunció a sus inversores que se iba a disolver al no haber encontrado oportunidades de negocio. En esta SPAC, Jean-Pierre Mustier, antiguo consejero delegado de Unicredit, y Diego De Giorgi, antiguo ejecutivo de Bank of America lograron levantar 500 millones de </w:t>
      </w:r>
      <w:r w:rsidRPr="00F20D3E">
        <w:rPr>
          <w:rFonts w:ascii="Times New Roman" w:hAnsi="Times New Roman" w:cs="Times New Roman"/>
          <w:sz w:val="24"/>
          <w:szCs w:val="24"/>
        </w:rPr>
        <w:lastRenderedPageBreak/>
        <w:t>euros en la salida a Bolsa en abril de 2021, con el objetivo de encontrar una adquisición en el secto</w:t>
      </w:r>
      <w:r>
        <w:rPr>
          <w:rFonts w:ascii="Times New Roman" w:hAnsi="Times New Roman" w:cs="Times New Roman"/>
          <w:sz w:val="24"/>
          <w:szCs w:val="24"/>
        </w:rPr>
        <w:t>r de los servicios financieros.</w:t>
      </w:r>
    </w:p>
    <w:p w:rsidR="007E3D39" w:rsidRPr="00F20D3E" w:rsidRDefault="007E3D39" w:rsidP="007E3D39">
      <w:pPr>
        <w:spacing w:line="240" w:lineRule="auto"/>
        <w:jc w:val="both"/>
        <w:rPr>
          <w:rFonts w:ascii="Times New Roman" w:hAnsi="Times New Roman" w:cs="Times New Roman"/>
          <w:sz w:val="24"/>
          <w:szCs w:val="24"/>
        </w:rPr>
      </w:pPr>
      <w:r w:rsidRPr="00F20D3E">
        <w:rPr>
          <w:rFonts w:ascii="Times New Roman" w:hAnsi="Times New Roman" w:cs="Times New Roman"/>
          <w:sz w:val="24"/>
          <w:szCs w:val="24"/>
        </w:rPr>
        <w:t>Estas devoluciones de dinero se van a disparar estos meses, porque en casi todos los casos las SPAC tenían el compromiso de encontrar un objetivo de compra en un plazo de dos años. Como el primer semestre de 2021 fue la época dorada de la creación de estos vehículos, es ahora cuando se cumple el límite en muchos casos. En aquellos tiempos, las SPAC llegaron a acaparar el 45% de todo el dinero que s</w:t>
      </w:r>
      <w:r>
        <w:rPr>
          <w:rFonts w:ascii="Times New Roman" w:hAnsi="Times New Roman" w:cs="Times New Roman"/>
          <w:sz w:val="24"/>
          <w:szCs w:val="24"/>
        </w:rPr>
        <w:t>e levantaba en salidas a Bolsa.</w:t>
      </w:r>
    </w:p>
    <w:p w:rsidR="007E3D39" w:rsidRPr="00800876" w:rsidRDefault="007E3D39" w:rsidP="007E3D39">
      <w:pPr>
        <w:spacing w:line="240" w:lineRule="auto"/>
        <w:jc w:val="both"/>
        <w:rPr>
          <w:rFonts w:ascii="Times New Roman" w:hAnsi="Times New Roman" w:cs="Times New Roman"/>
          <w:color w:val="FF0000"/>
          <w:sz w:val="24"/>
          <w:szCs w:val="24"/>
          <w:u w:val="single"/>
        </w:rPr>
      </w:pPr>
      <w:r w:rsidRPr="00800876">
        <w:rPr>
          <w:rFonts w:ascii="Times New Roman" w:hAnsi="Times New Roman" w:cs="Times New Roman"/>
          <w:color w:val="FF0000"/>
          <w:sz w:val="24"/>
          <w:szCs w:val="24"/>
          <w:u w:val="single"/>
        </w:rPr>
        <w:t>Entre los más acérrimos enemigos de las SPAC hay dos entrañables nonagenarios estadounidenses: el mítico inversor Warren Buffett (92) y su mano derecha, Charlie Munger (99). “Son unas asesinas”, dijo Buffett en 2021, porque encarecen las compañías que ellos estaban interesados en comprar. “Esto no durará siempre, pero es donde está el dinero ahora y Wall Street va donde está el dinero”, señalaban entonces.</w:t>
      </w:r>
    </w:p>
    <w:p w:rsidR="007E3D39" w:rsidRPr="00F20D3E"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1364B">
        <w:rPr>
          <w:rFonts w:ascii="Times New Roman" w:hAnsi="Times New Roman" w:cs="Times New Roman"/>
          <w:sz w:val="24"/>
          <w:szCs w:val="24"/>
          <w:u w:val="single"/>
        </w:rPr>
        <w:t>Larry Fink (BlackRock) advierte de que el riesgo de</w:t>
      </w:r>
      <w:r>
        <w:rPr>
          <w:rFonts w:ascii="Times New Roman" w:hAnsi="Times New Roman" w:cs="Times New Roman"/>
          <w:sz w:val="24"/>
          <w:szCs w:val="24"/>
          <w:u w:val="single"/>
        </w:rPr>
        <w:t xml:space="preserve"> sufrir otra crisis financiera “</w:t>
      </w:r>
      <w:r w:rsidRPr="00F1364B">
        <w:rPr>
          <w:rFonts w:ascii="Times New Roman" w:hAnsi="Times New Roman" w:cs="Times New Roman"/>
          <w:sz w:val="24"/>
          <w:szCs w:val="24"/>
          <w:u w:val="single"/>
        </w:rPr>
        <w:t>aún no ha desaparecido</w:t>
      </w:r>
      <w:r>
        <w:rPr>
          <w:rFonts w:ascii="Times New Roman" w:hAnsi="Times New Roman" w:cs="Times New Roman"/>
          <w:sz w:val="24"/>
          <w:szCs w:val="24"/>
        </w:rPr>
        <w:t xml:space="preserve">” (El Economista - </w:t>
      </w:r>
      <w:r w:rsidRPr="00F1364B">
        <w:rPr>
          <w:rFonts w:ascii="Times New Roman" w:hAnsi="Times New Roman" w:cs="Times New Roman"/>
          <w:b/>
          <w:sz w:val="24"/>
          <w:szCs w:val="24"/>
        </w:rPr>
        <w:t>23/4/23</w:t>
      </w:r>
      <w:r>
        <w:rPr>
          <w:rFonts w:ascii="Times New Roman" w:hAnsi="Times New Roman" w:cs="Times New Roman"/>
          <w:sz w:val="24"/>
          <w:szCs w:val="24"/>
        </w:rPr>
        <w:t>)</w:t>
      </w:r>
    </w:p>
    <w:p w:rsidR="007E3D39" w:rsidRPr="00800876" w:rsidRDefault="007E3D39" w:rsidP="007E3D39">
      <w:pPr>
        <w:spacing w:line="240" w:lineRule="auto"/>
        <w:jc w:val="both"/>
        <w:rPr>
          <w:rFonts w:ascii="Times New Roman" w:hAnsi="Times New Roman" w:cs="Times New Roman"/>
          <w:color w:val="FF0000"/>
          <w:sz w:val="24"/>
          <w:szCs w:val="24"/>
        </w:rPr>
      </w:pPr>
      <w:r w:rsidRPr="00800876">
        <w:rPr>
          <w:rFonts w:ascii="Times New Roman" w:hAnsi="Times New Roman" w:cs="Times New Roman"/>
          <w:color w:val="FF0000"/>
          <w:sz w:val="24"/>
          <w:szCs w:val="24"/>
        </w:rPr>
        <w:t>Cree que no será a gran escala como la 2008</w:t>
      </w:r>
    </w:p>
    <w:p w:rsidR="007E3D39" w:rsidRPr="00800876" w:rsidRDefault="007E3D39" w:rsidP="007E3D39">
      <w:pPr>
        <w:spacing w:line="240" w:lineRule="auto"/>
        <w:jc w:val="both"/>
        <w:rPr>
          <w:rFonts w:ascii="Times New Roman" w:hAnsi="Times New Roman" w:cs="Times New Roman"/>
          <w:color w:val="FF0000"/>
          <w:sz w:val="24"/>
          <w:szCs w:val="24"/>
        </w:rPr>
      </w:pPr>
      <w:r w:rsidRPr="00800876">
        <w:rPr>
          <w:rFonts w:ascii="Times New Roman" w:hAnsi="Times New Roman" w:cs="Times New Roman"/>
          <w:color w:val="FF0000"/>
          <w:sz w:val="24"/>
          <w:szCs w:val="24"/>
        </w:rPr>
        <w:t>El problema ahora es la liquidez, en especial de los fondos de pensiones</w:t>
      </w:r>
    </w:p>
    <w:p w:rsidR="007E3D39" w:rsidRPr="00800876" w:rsidRDefault="007E3D39" w:rsidP="007E3D39">
      <w:pPr>
        <w:spacing w:line="240" w:lineRule="auto"/>
        <w:jc w:val="both"/>
        <w:rPr>
          <w:rFonts w:ascii="Times New Roman" w:hAnsi="Times New Roman" w:cs="Times New Roman"/>
          <w:color w:val="FF0000"/>
          <w:sz w:val="24"/>
          <w:szCs w:val="24"/>
          <w:u w:val="single"/>
        </w:rPr>
      </w:pPr>
      <w:r w:rsidRPr="00800876">
        <w:rPr>
          <w:rFonts w:ascii="Times New Roman" w:hAnsi="Times New Roman" w:cs="Times New Roman"/>
          <w:color w:val="FF0000"/>
          <w:sz w:val="24"/>
          <w:szCs w:val="24"/>
          <w:u w:val="single"/>
        </w:rPr>
        <w:t>El fundador y consejero delegado de BlackRock, Larry Fink, advierte de que el riesgo de</w:t>
      </w:r>
      <w:r>
        <w:rPr>
          <w:rFonts w:ascii="Times New Roman" w:hAnsi="Times New Roman" w:cs="Times New Roman"/>
          <w:color w:val="FF0000"/>
          <w:sz w:val="24"/>
          <w:szCs w:val="24"/>
          <w:u w:val="single"/>
        </w:rPr>
        <w:t xml:space="preserve"> sufrir otra crisis financiera “aún no ha desaparecido”</w:t>
      </w:r>
      <w:r w:rsidRPr="00800876">
        <w:rPr>
          <w:rFonts w:ascii="Times New Roman" w:hAnsi="Times New Roman" w:cs="Times New Roman"/>
          <w:color w:val="FF0000"/>
          <w:sz w:val="24"/>
          <w:szCs w:val="24"/>
          <w:u w:val="single"/>
        </w:rPr>
        <w:t>. Pero no será a gran escala como</w:t>
      </w:r>
      <w:r>
        <w:rPr>
          <w:rFonts w:ascii="Times New Roman" w:hAnsi="Times New Roman" w:cs="Times New Roman"/>
          <w:color w:val="FF0000"/>
          <w:sz w:val="24"/>
          <w:szCs w:val="24"/>
          <w:u w:val="single"/>
        </w:rPr>
        <w:t xml:space="preserve"> la de 2008, asegura, sino que “</w:t>
      </w:r>
      <w:r w:rsidRPr="00800876">
        <w:rPr>
          <w:rFonts w:ascii="Times New Roman" w:hAnsi="Times New Roman" w:cs="Times New Roman"/>
          <w:color w:val="FF0000"/>
          <w:sz w:val="24"/>
          <w:szCs w:val="24"/>
          <w:u w:val="single"/>
        </w:rPr>
        <w:t xml:space="preserve">estamos ante una crisis que afecta sobre todo </w:t>
      </w:r>
      <w:r>
        <w:rPr>
          <w:rFonts w:ascii="Times New Roman" w:hAnsi="Times New Roman" w:cs="Times New Roman"/>
          <w:color w:val="FF0000"/>
          <w:sz w:val="24"/>
          <w:szCs w:val="24"/>
          <w:u w:val="single"/>
        </w:rPr>
        <w:t>a los bancos regionales de EEUU”</w:t>
      </w:r>
      <w:r w:rsidRPr="00800876">
        <w:rPr>
          <w:rFonts w:ascii="Times New Roman" w:hAnsi="Times New Roman" w:cs="Times New Roman"/>
          <w:color w:val="FF0000"/>
          <w:sz w:val="24"/>
          <w:szCs w:val="24"/>
          <w:u w:val="single"/>
        </w:rPr>
        <w:t xml:space="preserve"> debido a su exposición a las subidas de tipos de interés y a que asumieron demasiados riesgos.</w:t>
      </w:r>
    </w:p>
    <w:p w:rsidR="007E3D39" w:rsidRPr="00F20D3E" w:rsidRDefault="007E3D39" w:rsidP="007E3D39">
      <w:pPr>
        <w:spacing w:line="240" w:lineRule="auto"/>
        <w:jc w:val="both"/>
        <w:rPr>
          <w:rFonts w:ascii="Times New Roman" w:hAnsi="Times New Roman" w:cs="Times New Roman"/>
          <w:sz w:val="24"/>
          <w:szCs w:val="24"/>
        </w:rPr>
      </w:pPr>
      <w:r w:rsidRPr="00800876">
        <w:rPr>
          <w:rFonts w:ascii="Times New Roman" w:hAnsi="Times New Roman" w:cs="Times New Roman"/>
          <w:color w:val="FF0000"/>
          <w:sz w:val="24"/>
          <w:szCs w:val="24"/>
          <w:u w:val="single"/>
        </w:rPr>
        <w:t>Fink, en una entrevista concedida al diario El País, explica que la falta de liquidez -una de las tres fichas, junto a la inflación y la solidez de algunos bancos, que darán lugar a una crisis a cámara l</w:t>
      </w:r>
      <w:r>
        <w:rPr>
          <w:rFonts w:ascii="Times New Roman" w:hAnsi="Times New Roman" w:cs="Times New Roman"/>
          <w:color w:val="FF0000"/>
          <w:sz w:val="24"/>
          <w:szCs w:val="24"/>
          <w:u w:val="single"/>
        </w:rPr>
        <w:t>enta, en sus propias palabras- “es un problema mucho mayor”</w:t>
      </w:r>
      <w:r w:rsidRPr="00800876">
        <w:rPr>
          <w:rFonts w:ascii="Times New Roman" w:hAnsi="Times New Roman" w:cs="Times New Roman"/>
          <w:color w:val="FF0000"/>
          <w:sz w:val="24"/>
          <w:szCs w:val="24"/>
          <w:u w:val="single"/>
        </w:rPr>
        <w:t xml:space="preserve"> que afecta especialmente a los fondos de pensiones.</w:t>
      </w:r>
      <w:r w:rsidRPr="00800876">
        <w:rPr>
          <w:rFonts w:ascii="Times New Roman" w:hAnsi="Times New Roman" w:cs="Times New Roman"/>
          <w:color w:val="FF0000"/>
          <w:sz w:val="24"/>
          <w:szCs w:val="24"/>
        </w:rPr>
        <w:t xml:space="preserve"> </w:t>
      </w:r>
      <w:r w:rsidRPr="00F20D3E">
        <w:rPr>
          <w:rFonts w:ascii="Times New Roman" w:hAnsi="Times New Roman" w:cs="Times New Roman"/>
          <w:sz w:val="24"/>
          <w:szCs w:val="24"/>
        </w:rPr>
        <w:t>El motivo es que, con los tipos de interés al 0%, la inversión más atractiva eran activos ilíquidos, pues daban un plus</w:t>
      </w:r>
      <w:r>
        <w:rPr>
          <w:rFonts w:ascii="Times New Roman" w:hAnsi="Times New Roman" w:cs="Times New Roman"/>
          <w:sz w:val="24"/>
          <w:szCs w:val="24"/>
        </w:rPr>
        <w:t xml:space="preserve"> de rentabilidad. Sin embargo, “ahora la liquidez cuesta un 5%”</w:t>
      </w:r>
      <w:r w:rsidRPr="00F20D3E">
        <w:rPr>
          <w:rFonts w:ascii="Times New Roman" w:hAnsi="Times New Roman" w:cs="Times New Roman"/>
          <w:sz w:val="24"/>
          <w:szCs w:val="24"/>
        </w:rPr>
        <w:t xml:space="preserve">, lo que significa que, para costearla, muchos inversores a largo plazo se van a ver </w:t>
      </w:r>
      <w:r>
        <w:rPr>
          <w:rFonts w:ascii="Times New Roman" w:hAnsi="Times New Roman" w:cs="Times New Roman"/>
          <w:sz w:val="24"/>
          <w:szCs w:val="24"/>
        </w:rPr>
        <w:t>obligados a vender sus activos “</w:t>
      </w:r>
      <w:r w:rsidRPr="00F20D3E">
        <w:rPr>
          <w:rFonts w:ascii="Times New Roman" w:hAnsi="Times New Roman" w:cs="Times New Roman"/>
          <w:sz w:val="24"/>
          <w:szCs w:val="24"/>
        </w:rPr>
        <w:t>en muchas ocasiones co</w:t>
      </w:r>
      <w:r>
        <w:rPr>
          <w:rFonts w:ascii="Times New Roman" w:hAnsi="Times New Roman" w:cs="Times New Roman"/>
          <w:sz w:val="24"/>
          <w:szCs w:val="24"/>
        </w:rPr>
        <w:t>n un deterioro en su valoración”</w:t>
      </w:r>
      <w:r w:rsidRPr="00F20D3E">
        <w:rPr>
          <w:rFonts w:ascii="Times New Roman" w:hAnsi="Times New Roman" w:cs="Times New Roman"/>
          <w:sz w:val="24"/>
          <w:szCs w:val="24"/>
        </w:rPr>
        <w:t>.</w:t>
      </w:r>
    </w:p>
    <w:p w:rsidR="007E3D39" w:rsidRPr="00F20D3E" w:rsidRDefault="007E3D39" w:rsidP="007E3D39">
      <w:pPr>
        <w:spacing w:line="240" w:lineRule="auto"/>
        <w:jc w:val="both"/>
        <w:rPr>
          <w:rFonts w:ascii="Times New Roman" w:hAnsi="Times New Roman" w:cs="Times New Roman"/>
          <w:sz w:val="24"/>
          <w:szCs w:val="24"/>
        </w:rPr>
      </w:pPr>
      <w:r w:rsidRPr="00800876">
        <w:rPr>
          <w:rFonts w:ascii="Times New Roman" w:hAnsi="Times New Roman" w:cs="Times New Roman"/>
          <w:color w:val="FF0000"/>
          <w:sz w:val="24"/>
          <w:szCs w:val="24"/>
          <w:u w:val="single"/>
        </w:rPr>
        <w:t>En cuanto a la inflación y si sigue siendo la principal amenaza económica, el CEO de la empresa de gestión de activos más grande del mund</w:t>
      </w:r>
      <w:r>
        <w:rPr>
          <w:rFonts w:ascii="Times New Roman" w:hAnsi="Times New Roman" w:cs="Times New Roman"/>
          <w:color w:val="FF0000"/>
          <w:sz w:val="24"/>
          <w:szCs w:val="24"/>
          <w:u w:val="single"/>
        </w:rPr>
        <w:t>o apunta que ésta no surge por “arte de magia”. “</w:t>
      </w:r>
      <w:r w:rsidRPr="00800876">
        <w:rPr>
          <w:rFonts w:ascii="Times New Roman" w:hAnsi="Times New Roman" w:cs="Times New Roman"/>
          <w:color w:val="FF0000"/>
          <w:sz w:val="24"/>
          <w:szCs w:val="24"/>
          <w:u w:val="single"/>
        </w:rPr>
        <w:t>La inflación es una consecuencia del populismo y también es resultado de la fragmen</w:t>
      </w:r>
      <w:r>
        <w:rPr>
          <w:rFonts w:ascii="Times New Roman" w:hAnsi="Times New Roman" w:cs="Times New Roman"/>
          <w:color w:val="FF0000"/>
          <w:sz w:val="24"/>
          <w:szCs w:val="24"/>
          <w:u w:val="single"/>
        </w:rPr>
        <w:t>tación”</w:t>
      </w:r>
      <w:r w:rsidRPr="00800876">
        <w:rPr>
          <w:rFonts w:ascii="Times New Roman" w:hAnsi="Times New Roman" w:cs="Times New Roman"/>
          <w:color w:val="FF0000"/>
          <w:sz w:val="24"/>
          <w:szCs w:val="24"/>
          <w:u w:val="single"/>
        </w:rPr>
        <w:t>, detalla Fink</w:t>
      </w:r>
      <w:r w:rsidRPr="00F20D3E">
        <w:rPr>
          <w:rFonts w:ascii="Times New Roman" w:hAnsi="Times New Roman" w:cs="Times New Roman"/>
          <w:sz w:val="24"/>
          <w:szCs w:val="24"/>
        </w:rPr>
        <w:t>. En el caso del primero</w:t>
      </w:r>
      <w:r>
        <w:rPr>
          <w:rFonts w:ascii="Times New Roman" w:hAnsi="Times New Roman" w:cs="Times New Roman"/>
          <w:sz w:val="24"/>
          <w:szCs w:val="24"/>
        </w:rPr>
        <w:t>, se refiere a medidas que van “</w:t>
      </w:r>
      <w:r w:rsidRPr="00F20D3E">
        <w:rPr>
          <w:rFonts w:ascii="Times New Roman" w:hAnsi="Times New Roman" w:cs="Times New Roman"/>
          <w:sz w:val="24"/>
          <w:szCs w:val="24"/>
        </w:rPr>
        <w:t>desde los estímulos fiscales hasta las medida</w:t>
      </w:r>
      <w:r>
        <w:rPr>
          <w:rFonts w:ascii="Times New Roman" w:hAnsi="Times New Roman" w:cs="Times New Roman"/>
          <w:sz w:val="24"/>
          <w:szCs w:val="24"/>
        </w:rPr>
        <w:t>s que restringen la inmigración”</w:t>
      </w:r>
      <w:r w:rsidRPr="00F20D3E">
        <w:rPr>
          <w:rFonts w:ascii="Times New Roman" w:hAnsi="Times New Roman" w:cs="Times New Roman"/>
          <w:sz w:val="24"/>
          <w:szCs w:val="24"/>
        </w:rPr>
        <w:t>. Y respecto a la segunda, se trata de los cambios que se están produciendo dentro de los gobiernos ad</w:t>
      </w:r>
      <w:r>
        <w:rPr>
          <w:rFonts w:ascii="Times New Roman" w:hAnsi="Times New Roman" w:cs="Times New Roman"/>
          <w:sz w:val="24"/>
          <w:szCs w:val="24"/>
        </w:rPr>
        <w:t>uciendo “</w:t>
      </w:r>
      <w:r w:rsidRPr="00F20D3E">
        <w:rPr>
          <w:rFonts w:ascii="Times New Roman" w:hAnsi="Times New Roman" w:cs="Times New Roman"/>
          <w:sz w:val="24"/>
          <w:szCs w:val="24"/>
        </w:rPr>
        <w:t>por ejemplo</w:t>
      </w:r>
      <w:r>
        <w:rPr>
          <w:rFonts w:ascii="Times New Roman" w:hAnsi="Times New Roman" w:cs="Times New Roman"/>
          <w:sz w:val="24"/>
          <w:szCs w:val="24"/>
        </w:rPr>
        <w:t>, razones de seguridad nacional”</w:t>
      </w:r>
      <w:r w:rsidRPr="00F20D3E">
        <w:rPr>
          <w:rFonts w:ascii="Times New Roman" w:hAnsi="Times New Roman" w:cs="Times New Roman"/>
          <w:sz w:val="24"/>
          <w:szCs w:val="24"/>
        </w:rPr>
        <w:t>.</w:t>
      </w:r>
    </w:p>
    <w:p w:rsidR="007E3D39" w:rsidRPr="00800876" w:rsidRDefault="007E3D39" w:rsidP="007E3D39">
      <w:pPr>
        <w:spacing w:line="240" w:lineRule="auto"/>
        <w:jc w:val="both"/>
        <w:rPr>
          <w:rFonts w:ascii="Times New Roman" w:hAnsi="Times New Roman" w:cs="Times New Roman"/>
          <w:color w:val="FF0000"/>
          <w:sz w:val="24"/>
          <w:szCs w:val="24"/>
          <w:u w:val="single"/>
        </w:rPr>
      </w:pPr>
      <w:r w:rsidRPr="00800876">
        <w:rPr>
          <w:rFonts w:ascii="Times New Roman" w:hAnsi="Times New Roman" w:cs="Times New Roman"/>
          <w:color w:val="FF0000"/>
          <w:sz w:val="24"/>
          <w:szCs w:val="24"/>
          <w:u w:val="single"/>
        </w:rPr>
        <w:t>Asimismo, aclara que no cree que los bancos centrales hayan ido demasiado lejos con las subidas de tipos de int</w:t>
      </w:r>
      <w:r>
        <w:rPr>
          <w:rFonts w:ascii="Times New Roman" w:hAnsi="Times New Roman" w:cs="Times New Roman"/>
          <w:color w:val="FF0000"/>
          <w:sz w:val="24"/>
          <w:szCs w:val="24"/>
          <w:u w:val="single"/>
        </w:rPr>
        <w:t>erés para enfriar los precios. “</w:t>
      </w:r>
      <w:r w:rsidRPr="00800876">
        <w:rPr>
          <w:rFonts w:ascii="Times New Roman" w:hAnsi="Times New Roman" w:cs="Times New Roman"/>
          <w:color w:val="FF0000"/>
          <w:sz w:val="24"/>
          <w:szCs w:val="24"/>
          <w:u w:val="single"/>
        </w:rPr>
        <w:t>Su deber es controlar la inflación y mantener la estabilida</w:t>
      </w:r>
      <w:r>
        <w:rPr>
          <w:rFonts w:ascii="Times New Roman" w:hAnsi="Times New Roman" w:cs="Times New Roman"/>
          <w:color w:val="FF0000"/>
          <w:sz w:val="24"/>
          <w:szCs w:val="24"/>
          <w:u w:val="single"/>
        </w:rPr>
        <w:t>d financiera”</w:t>
      </w:r>
      <w:r w:rsidRPr="00800876">
        <w:rPr>
          <w:rFonts w:ascii="Times New Roman" w:hAnsi="Times New Roman" w:cs="Times New Roman"/>
          <w:color w:val="FF0000"/>
          <w:sz w:val="24"/>
          <w:szCs w:val="24"/>
          <w:u w:val="single"/>
        </w:rPr>
        <w:t>, recuerda. A lo que añade que el problema es que su tarea se ha complicado debido a que, al mismo tiempo que se han llevado a cabo esas alzas, muchos gobiernos han puesto en marcha agresivos planes fiscales.</w:t>
      </w:r>
    </w:p>
    <w:p w:rsidR="007E3D39" w:rsidRDefault="007E3D39" w:rsidP="007E3D39">
      <w:pPr>
        <w:spacing w:line="240" w:lineRule="auto"/>
        <w:jc w:val="both"/>
        <w:rPr>
          <w:rFonts w:ascii="Times New Roman" w:hAnsi="Times New Roman" w:cs="Times New Roman"/>
          <w:sz w:val="24"/>
          <w:szCs w:val="24"/>
        </w:rPr>
      </w:pPr>
      <w:r w:rsidRPr="00F20D3E">
        <w:rPr>
          <w:rFonts w:ascii="Times New Roman" w:hAnsi="Times New Roman" w:cs="Times New Roman"/>
          <w:sz w:val="24"/>
          <w:szCs w:val="24"/>
        </w:rPr>
        <w:t>Preguntado por si BlackRock no vio nada raro en la gestión del balance del Silicon Valley Bank, en el cual la gestora e</w:t>
      </w:r>
      <w:r>
        <w:rPr>
          <w:rFonts w:ascii="Times New Roman" w:hAnsi="Times New Roman" w:cs="Times New Roman"/>
          <w:sz w:val="24"/>
          <w:szCs w:val="24"/>
        </w:rPr>
        <w:t>ra accionista, Fink aclara que “</w:t>
      </w:r>
      <w:r w:rsidRPr="00F20D3E">
        <w:rPr>
          <w:rFonts w:ascii="Times New Roman" w:hAnsi="Times New Roman" w:cs="Times New Roman"/>
          <w:sz w:val="24"/>
          <w:szCs w:val="24"/>
        </w:rPr>
        <w:t xml:space="preserve">eso era por nuestros fondos </w:t>
      </w:r>
      <w:r w:rsidRPr="00F20D3E">
        <w:rPr>
          <w:rFonts w:ascii="Times New Roman" w:hAnsi="Times New Roman" w:cs="Times New Roman"/>
          <w:sz w:val="24"/>
          <w:szCs w:val="24"/>
        </w:rPr>
        <w:lastRenderedPageBreak/>
        <w:t xml:space="preserve">indexados que replican la composición de los </w:t>
      </w:r>
      <w:r>
        <w:rPr>
          <w:rFonts w:ascii="Times New Roman" w:hAnsi="Times New Roman" w:cs="Times New Roman"/>
          <w:sz w:val="24"/>
          <w:szCs w:val="24"/>
        </w:rPr>
        <w:t>índices, incluidas las acciones”. Y continúa diciendo que “</w:t>
      </w:r>
      <w:r w:rsidRPr="00F20D3E">
        <w:rPr>
          <w:rFonts w:ascii="Times New Roman" w:hAnsi="Times New Roman" w:cs="Times New Roman"/>
          <w:sz w:val="24"/>
          <w:szCs w:val="24"/>
        </w:rPr>
        <w:t>nuestra posición no era fruto de</w:t>
      </w:r>
      <w:r>
        <w:rPr>
          <w:rFonts w:ascii="Times New Roman" w:hAnsi="Times New Roman" w:cs="Times New Roman"/>
          <w:sz w:val="24"/>
          <w:szCs w:val="24"/>
        </w:rPr>
        <w:t xml:space="preserve"> una decisión de gestión activa”</w:t>
      </w:r>
      <w:r w:rsidRPr="00F20D3E">
        <w:rPr>
          <w:rFonts w:ascii="Times New Roman" w:hAnsi="Times New Roman" w:cs="Times New Roman"/>
          <w:sz w:val="24"/>
          <w:szCs w:val="24"/>
        </w:rPr>
        <w:t>.</w:t>
      </w:r>
    </w:p>
    <w:p w:rsidR="007E3D39" w:rsidRPr="00CF4BF8" w:rsidRDefault="007E3D39" w:rsidP="007E3D3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F4BF8">
        <w:rPr>
          <w:rFonts w:ascii="Times New Roman" w:hAnsi="Times New Roman" w:cs="Times New Roman"/>
          <w:sz w:val="24"/>
          <w:szCs w:val="24"/>
          <w:u w:val="single"/>
        </w:rPr>
        <w:t>La japonización monetaria se instala en los bancos centrales</w:t>
      </w:r>
      <w:r>
        <w:rPr>
          <w:rFonts w:ascii="Times New Roman" w:hAnsi="Times New Roman" w:cs="Times New Roman"/>
          <w:sz w:val="24"/>
          <w:szCs w:val="24"/>
        </w:rPr>
        <w:t xml:space="preserve"> (Cinco Días - </w:t>
      </w:r>
      <w:r w:rsidRPr="00CF4BF8">
        <w:rPr>
          <w:rFonts w:ascii="Times New Roman" w:hAnsi="Times New Roman" w:cs="Times New Roman"/>
          <w:b/>
          <w:sz w:val="24"/>
          <w:szCs w:val="24"/>
        </w:rPr>
        <w:t>26/4/23</w:t>
      </w:r>
      <w:r>
        <w:rPr>
          <w:rFonts w:ascii="Times New Roman" w:hAnsi="Times New Roman" w:cs="Times New Roman"/>
          <w:sz w:val="24"/>
          <w:szCs w:val="24"/>
        </w:rPr>
        <w:t>)</w:t>
      </w:r>
    </w:p>
    <w:p w:rsidR="007E3D39" w:rsidRPr="00ED1E6A" w:rsidRDefault="007E3D39" w:rsidP="007E3D39">
      <w:pPr>
        <w:spacing w:beforeAutospacing="1" w:after="0" w:afterAutospacing="1" w:line="240" w:lineRule="auto"/>
        <w:jc w:val="both"/>
        <w:rPr>
          <w:rFonts w:ascii="Times New Roman" w:hAnsi="Times New Roman" w:cs="Times New Roman"/>
          <w:color w:val="FF0000"/>
          <w:sz w:val="24"/>
          <w:szCs w:val="24"/>
        </w:rPr>
      </w:pPr>
      <w:r w:rsidRPr="00ED1E6A">
        <w:rPr>
          <w:rFonts w:ascii="Times New Roman" w:hAnsi="Times New Roman" w:cs="Times New Roman"/>
          <w:color w:val="FF0000"/>
          <w:sz w:val="24"/>
          <w:szCs w:val="24"/>
        </w:rPr>
        <w:t>El mundo subsiste gracias a la generosidad de la Fed y el BCE, pero no esperen que imprimir dinero de la nada derive en un crecimiento económico vigoroso</w:t>
      </w:r>
    </w:p>
    <w:p w:rsidR="007E3D39" w:rsidRPr="00CF4BF8" w:rsidRDefault="007E3D39" w:rsidP="007E3D3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F4BF8">
        <w:rPr>
          <w:rFonts w:ascii="Times New Roman" w:hAnsi="Times New Roman" w:cs="Times New Roman"/>
          <w:sz w:val="24"/>
          <w:szCs w:val="24"/>
        </w:rPr>
        <w:t>A</w:t>
      </w:r>
      <w:r>
        <w:rPr>
          <w:rFonts w:ascii="Times New Roman" w:hAnsi="Times New Roman" w:cs="Times New Roman"/>
          <w:sz w:val="24"/>
          <w:szCs w:val="24"/>
        </w:rPr>
        <w:t>lberto Espelosín)</w:t>
      </w:r>
    </w:p>
    <w:p w:rsidR="007E3D39" w:rsidRDefault="007E3D39" w:rsidP="007E3D39">
      <w:pPr>
        <w:spacing w:beforeAutospacing="1" w:after="0" w:afterAutospacing="1" w:line="240" w:lineRule="auto"/>
        <w:jc w:val="both"/>
        <w:rPr>
          <w:rFonts w:ascii="Times New Roman" w:hAnsi="Times New Roman" w:cs="Times New Roman"/>
          <w:sz w:val="24"/>
          <w:szCs w:val="24"/>
          <w:u w:val="single"/>
        </w:rPr>
      </w:pPr>
      <w:r w:rsidRPr="00ED1E6A">
        <w:rPr>
          <w:rFonts w:ascii="Times New Roman" w:hAnsi="Times New Roman" w:cs="Times New Roman"/>
          <w:sz w:val="24"/>
          <w:szCs w:val="24"/>
          <w:u w:val="single"/>
        </w:rPr>
        <w:t>Ni optimista</w:t>
      </w:r>
      <w:r>
        <w:rPr>
          <w:rFonts w:ascii="Times New Roman" w:hAnsi="Times New Roman" w:cs="Times New Roman"/>
          <w:sz w:val="24"/>
          <w:szCs w:val="24"/>
          <w:u w:val="single"/>
        </w:rPr>
        <w:t xml:space="preserve"> o pesimista, pero la realidad -</w:t>
      </w:r>
      <w:r w:rsidRPr="00ED1E6A">
        <w:rPr>
          <w:rFonts w:ascii="Times New Roman" w:hAnsi="Times New Roman" w:cs="Times New Roman"/>
          <w:sz w:val="24"/>
          <w:szCs w:val="24"/>
          <w:u w:val="single"/>
        </w:rPr>
        <w:t>que no sé el estado anímico que tiene pero que es</w:t>
      </w:r>
      <w:r>
        <w:rPr>
          <w:rFonts w:ascii="Times New Roman" w:hAnsi="Times New Roman" w:cs="Times New Roman"/>
          <w:sz w:val="24"/>
          <w:szCs w:val="24"/>
          <w:u w:val="single"/>
        </w:rPr>
        <w:t xml:space="preserve"> la más fiable en macroeconomía-</w:t>
      </w:r>
      <w:r w:rsidRPr="00ED1E6A">
        <w:rPr>
          <w:rFonts w:ascii="Times New Roman" w:hAnsi="Times New Roman" w:cs="Times New Roman"/>
          <w:sz w:val="24"/>
          <w:szCs w:val="24"/>
          <w:u w:val="single"/>
        </w:rPr>
        <w:t>, nos dice que el mundo ha subsistido durante los últimos años gracias a la excelente generosidad monetaria de los bancos centrales. No hay crisis que no podamos evitar, o recesión que esquivar, o solucionar la salud de cualquier banco comercial o de inversión que esté en la cuerda floja. ¿Límite de toda está expansión monetaria? La que nos vaya marcando las fuerzas que presionan la necesidad de acudir al rescate de la economía con la utilización del balance del banco central.</w:t>
      </w:r>
    </w:p>
    <w:p w:rsidR="007E3D39" w:rsidRPr="00ED1E6A" w:rsidRDefault="007E3D39" w:rsidP="007E3D39">
      <w:pPr>
        <w:spacing w:beforeAutospacing="1" w:after="0" w:afterAutospacing="1" w:line="240" w:lineRule="auto"/>
        <w:jc w:val="both"/>
        <w:rPr>
          <w:rFonts w:ascii="Times New Roman" w:hAnsi="Times New Roman" w:cs="Times New Roman"/>
          <w:sz w:val="24"/>
          <w:szCs w:val="24"/>
          <w:u w:val="single"/>
        </w:rPr>
      </w:pPr>
      <w:r>
        <w:rPr>
          <w:noProof/>
          <w:lang w:eastAsia="es-ES"/>
        </w:rPr>
        <w:drawing>
          <wp:inline distT="0" distB="0" distL="0" distR="0" wp14:anchorId="36D55F32" wp14:editId="32B1C8F2">
            <wp:extent cx="5731510" cy="2623820"/>
            <wp:effectExtent l="0" t="0" r="2540" b="5080"/>
            <wp:docPr id="64" name="Imagen 64" descr="https://imagenes.elpais.com/resizer/4Woq9GgWdSP9MXsBsZTMfg1DlPE=/1960x0/filters:focal(145x72:155x82)/cloudfront-eu-central-1.images.arcpublishing.com/prisa/ROBD6ED5SNG73NF2WZC6OA3LW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imagenes.elpais.com/resizer/4Woq9GgWdSP9MXsBsZTMfg1DlPE=/1960x0/filters:focal(145x72:155x82)/cloudfront-eu-central-1.images.arcpublishing.com/prisa/ROBD6ED5SNG73NF2WZC6OA3LWA.pn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5731510" cy="2623820"/>
                    </a:xfrm>
                    <a:prstGeom prst="rect">
                      <a:avLst/>
                    </a:prstGeom>
                    <a:noFill/>
                    <a:ln>
                      <a:noFill/>
                    </a:ln>
                  </pic:spPr>
                </pic:pic>
              </a:graphicData>
            </a:graphic>
          </wp:inline>
        </w:drawing>
      </w:r>
    </w:p>
    <w:p w:rsidR="007E3D39" w:rsidRPr="00CF4BF8" w:rsidRDefault="007E3D39" w:rsidP="007E3D39">
      <w:pPr>
        <w:spacing w:beforeAutospacing="1" w:after="0" w:afterAutospacing="1" w:line="240" w:lineRule="auto"/>
        <w:jc w:val="both"/>
        <w:rPr>
          <w:rFonts w:ascii="Times New Roman" w:hAnsi="Times New Roman" w:cs="Times New Roman"/>
          <w:sz w:val="24"/>
          <w:szCs w:val="24"/>
        </w:rPr>
      </w:pPr>
      <w:r w:rsidRPr="00ED1E6A">
        <w:rPr>
          <w:rFonts w:ascii="Times New Roman" w:hAnsi="Times New Roman" w:cs="Times New Roman"/>
          <w:color w:val="FF0000"/>
          <w:sz w:val="24"/>
          <w:szCs w:val="24"/>
          <w:u w:val="single"/>
        </w:rPr>
        <w:t>En subvención monetaria hay un Master and Commander que es Japón, donde el balance del banco central está en el 131% sobre PIB y en los últimos 10 años lo ha expandido un 100%. Japón tiene una drogodependencia sistemática de la emisión de billetes de la nada, ya que sus ingresos son de 76,9 trillones de yenes pero gastan 107,6 trillones</w:t>
      </w:r>
      <w:r w:rsidRPr="00CF4BF8">
        <w:rPr>
          <w:rFonts w:ascii="Times New Roman" w:hAnsi="Times New Roman" w:cs="Times New Roman"/>
          <w:sz w:val="24"/>
          <w:szCs w:val="24"/>
        </w:rPr>
        <w:t>. Y esto va a ser así ya que el envejecimiento poblacional es el que es y no creo que ahora admitan abrir las puertas a la inmigración para aumentar el potencial del PIB. Ni la lengua y escritura nipona son fáciles para adaptarse rápidamente a un ciclo productivo. En los años 90 Japón tenía un equilibrio entre gastos e ingresos, pero las dinámicas poblacionales y la mochila de la deuda acumulada hace que ahora gaste 41,4 tril</w:t>
      </w:r>
      <w:r>
        <w:rPr>
          <w:rFonts w:ascii="Times New Roman" w:hAnsi="Times New Roman" w:cs="Times New Roman"/>
          <w:sz w:val="24"/>
          <w:szCs w:val="24"/>
        </w:rPr>
        <w:t>lones de yenes más que en 1990 -</w:t>
      </w:r>
      <w:r w:rsidRPr="00CF4BF8">
        <w:rPr>
          <w:rFonts w:ascii="Times New Roman" w:hAnsi="Times New Roman" w:cs="Times New Roman"/>
          <w:sz w:val="24"/>
          <w:szCs w:val="24"/>
        </w:rPr>
        <w:t>24,7 trillones de yenes vienen de la seguridad social y otros diez del incremento de los g</w:t>
      </w:r>
      <w:r>
        <w:rPr>
          <w:rFonts w:ascii="Times New Roman" w:hAnsi="Times New Roman" w:cs="Times New Roman"/>
          <w:sz w:val="24"/>
          <w:szCs w:val="24"/>
        </w:rPr>
        <w:t>astos por el pago de la deuda-.</w:t>
      </w:r>
    </w:p>
    <w:p w:rsidR="007E3D39" w:rsidRPr="00551B2D" w:rsidRDefault="007E3D39" w:rsidP="007E3D39">
      <w:pPr>
        <w:spacing w:beforeAutospacing="1" w:after="0" w:afterAutospacing="1" w:line="240" w:lineRule="auto"/>
        <w:jc w:val="both"/>
        <w:rPr>
          <w:rFonts w:ascii="Times New Roman" w:hAnsi="Times New Roman" w:cs="Times New Roman"/>
          <w:color w:val="FF0000"/>
          <w:sz w:val="24"/>
          <w:szCs w:val="24"/>
          <w:u w:val="single"/>
        </w:rPr>
      </w:pPr>
      <w:r w:rsidRPr="00551B2D">
        <w:rPr>
          <w:rFonts w:ascii="Times New Roman" w:hAnsi="Times New Roman" w:cs="Times New Roman"/>
          <w:color w:val="FF0000"/>
          <w:sz w:val="24"/>
          <w:szCs w:val="24"/>
          <w:u w:val="single"/>
        </w:rPr>
        <w:t>Cuando una economía gasta más de lo que ingresa entra en déficit y hay que emitir deuda para financiarlo, y cuando los particulares ya no quieren comprar más esa deuda, porque el tipo de interés es bajo o porque ya no se fían de su propio país pues ahí que llega el banco central y aumenta la masa monetaria y compra la deuda del Gobierno o el bono tóxico de empresas que haga falta.</w:t>
      </w:r>
    </w:p>
    <w:p w:rsidR="007E3D39" w:rsidRPr="00551B2D" w:rsidRDefault="007E3D39" w:rsidP="007E3D39">
      <w:pPr>
        <w:spacing w:beforeAutospacing="1" w:after="0" w:afterAutospacing="1" w:line="240" w:lineRule="auto"/>
        <w:jc w:val="both"/>
        <w:rPr>
          <w:rFonts w:ascii="Times New Roman" w:hAnsi="Times New Roman" w:cs="Times New Roman"/>
          <w:sz w:val="24"/>
          <w:szCs w:val="24"/>
          <w:u w:val="single"/>
        </w:rPr>
      </w:pPr>
      <w:r w:rsidRPr="00551B2D">
        <w:rPr>
          <w:rFonts w:ascii="Times New Roman" w:hAnsi="Times New Roman" w:cs="Times New Roman"/>
          <w:sz w:val="24"/>
          <w:szCs w:val="24"/>
          <w:u w:val="single"/>
        </w:rPr>
        <w:lastRenderedPageBreak/>
        <w:t>Eso sí, no esperen luego que el país crezca mucho a medida que la subvención monetaria va creciendo. Con sorna e ironía macro, no se preocupen por el estado de salud de la macro europea o americana, a Estados Unidos le quedan 98 puntos de PIB para que la Reserva Federal (Fed) se equipare al Banco Central de Japón (BOJ) y al Banco Central Europeo (BCE) le queda por utilizar 74 puntos de PIB para gastar en lo que haga falta para mantener a flote la economía, rescatar el sistema financiero que haga falta, integrar la Europa de los 25 o recuperarnos de cualquier “cisne negro” que nos visite.</w:t>
      </w:r>
    </w:p>
    <w:p w:rsidR="007E3D39" w:rsidRDefault="007E3D39" w:rsidP="007E3D39">
      <w:pPr>
        <w:spacing w:beforeAutospacing="1" w:after="0" w:afterAutospacing="1" w:line="240" w:lineRule="auto"/>
        <w:jc w:val="both"/>
        <w:rPr>
          <w:rFonts w:ascii="Times New Roman" w:hAnsi="Times New Roman" w:cs="Times New Roman"/>
          <w:sz w:val="24"/>
          <w:szCs w:val="24"/>
        </w:rPr>
      </w:pPr>
      <w:r w:rsidRPr="00551B2D">
        <w:rPr>
          <w:rFonts w:ascii="Times New Roman" w:hAnsi="Times New Roman" w:cs="Times New Roman"/>
          <w:color w:val="FF0000"/>
          <w:sz w:val="24"/>
          <w:szCs w:val="24"/>
          <w:u w:val="single"/>
        </w:rPr>
        <w:t>Y esta munición monetaria que le queda a la Fed y al BCE da para muchos años. Eso sí, no esperen que esto de imprimir dinero de la nada nos lleve a un crecimiento económico vigoroso y a un aumento de la confianza en el valor de euro y el dólar</w:t>
      </w:r>
      <w:r w:rsidRPr="00CF4BF8">
        <w:rPr>
          <w:rFonts w:ascii="Times New Roman" w:hAnsi="Times New Roman" w:cs="Times New Roman"/>
          <w:sz w:val="24"/>
          <w:szCs w:val="24"/>
        </w:rPr>
        <w:t>. La época de las inversiones en activos alternativos para protegerse de la devastación del dinero no ha hecho más que empezar. Pregunten al domador de cisnes si tiene uno amarillo (oro) o un NFT con la imagen de uno.</w:t>
      </w:r>
    </w:p>
    <w:p w:rsidR="007E3D39" w:rsidRPr="00CF7AD7" w:rsidRDefault="007E3D39" w:rsidP="007E3D3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5D3438">
        <w:rPr>
          <w:rFonts w:ascii="Times New Roman" w:hAnsi="Times New Roman" w:cs="Times New Roman"/>
          <w:sz w:val="24"/>
          <w:szCs w:val="24"/>
          <w:u w:val="single"/>
        </w:rPr>
        <w:t>La Reserva Federal critica su propia supervisión sobre el Silicon Valley Bank</w:t>
      </w:r>
      <w:r>
        <w:rPr>
          <w:rFonts w:ascii="Times New Roman" w:hAnsi="Times New Roman" w:cs="Times New Roman"/>
          <w:sz w:val="24"/>
          <w:szCs w:val="24"/>
        </w:rPr>
        <w:t xml:space="preserve"> (Cinco Días - </w:t>
      </w:r>
      <w:r w:rsidRPr="005D3438">
        <w:rPr>
          <w:rFonts w:ascii="Times New Roman" w:hAnsi="Times New Roman" w:cs="Times New Roman"/>
          <w:b/>
          <w:sz w:val="24"/>
          <w:szCs w:val="24"/>
        </w:rPr>
        <w:t>28/4/23</w:t>
      </w:r>
      <w:r>
        <w:rPr>
          <w:rFonts w:ascii="Times New Roman" w:hAnsi="Times New Roman" w:cs="Times New Roman"/>
          <w:sz w:val="24"/>
          <w:szCs w:val="24"/>
        </w:rPr>
        <w:t>)</w:t>
      </w:r>
    </w:p>
    <w:p w:rsidR="007E3D39" w:rsidRPr="00C51D47" w:rsidRDefault="007E3D39" w:rsidP="007E3D39">
      <w:pPr>
        <w:spacing w:beforeAutospacing="1" w:after="0" w:afterAutospacing="1" w:line="240" w:lineRule="auto"/>
        <w:jc w:val="both"/>
        <w:rPr>
          <w:rFonts w:ascii="Times New Roman" w:hAnsi="Times New Roman" w:cs="Times New Roman"/>
          <w:color w:val="FF0000"/>
          <w:sz w:val="24"/>
          <w:szCs w:val="24"/>
        </w:rPr>
      </w:pPr>
      <w:r w:rsidRPr="00C51D47">
        <w:rPr>
          <w:rFonts w:ascii="Times New Roman" w:hAnsi="Times New Roman" w:cs="Times New Roman"/>
          <w:color w:val="FF0000"/>
          <w:sz w:val="24"/>
          <w:szCs w:val="24"/>
        </w:rPr>
        <w:t>El regulador estadounidense señala que tardaron en comprender el alcance real de los problemas del SVB, lo que llevó a que la entidad conservara una buena calificación</w:t>
      </w:r>
    </w:p>
    <w:p w:rsidR="007E3D39" w:rsidRPr="00CF7AD7" w:rsidRDefault="007E3D39" w:rsidP="007E3D3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F7AD7">
        <w:rPr>
          <w:rFonts w:ascii="Times New Roman" w:hAnsi="Times New Roman" w:cs="Times New Roman"/>
          <w:sz w:val="24"/>
          <w:szCs w:val="24"/>
        </w:rPr>
        <w:t>Leandro Hernández</w:t>
      </w:r>
      <w:r>
        <w:rPr>
          <w:rFonts w:ascii="Times New Roman" w:hAnsi="Times New Roman" w:cs="Times New Roman"/>
          <w:sz w:val="24"/>
          <w:szCs w:val="24"/>
        </w:rPr>
        <w:t>)</w:t>
      </w:r>
    </w:p>
    <w:p w:rsidR="007E3D39" w:rsidRPr="00C51D47" w:rsidRDefault="007E3D39" w:rsidP="007E3D39">
      <w:pPr>
        <w:spacing w:beforeAutospacing="1" w:after="0" w:afterAutospacing="1" w:line="240" w:lineRule="auto"/>
        <w:jc w:val="both"/>
        <w:rPr>
          <w:rFonts w:ascii="Times New Roman" w:hAnsi="Times New Roman" w:cs="Times New Roman"/>
          <w:color w:val="FF0000"/>
          <w:sz w:val="24"/>
          <w:szCs w:val="24"/>
          <w:u w:val="single"/>
        </w:rPr>
      </w:pPr>
      <w:r w:rsidRPr="00C51D47">
        <w:rPr>
          <w:rFonts w:ascii="Times New Roman" w:hAnsi="Times New Roman" w:cs="Times New Roman"/>
          <w:color w:val="FF0000"/>
          <w:sz w:val="24"/>
          <w:szCs w:val="24"/>
          <w:u w:val="single"/>
        </w:rPr>
        <w:t>La autopsia ha terminado. Los reguladores bancarios estadounidenses han hecho público este viernes su disección de los hechos que llevaron al colapso del Silicon Valley Bank. La combinación de un gran porcentaje de depósitos no asegurados, la inversión en valores de renta fija que perdieron valor ante la subida de tipo de interés y el rápido crecimiento del negocio generaron una crisis perfecta que el banco regional no pudo superar. La novedad es que tres de las cuatro claves del informe señalan deficiencias en la supervisión oficial. La pregunta es si la sacudida ha terminado: las acciones del First Republic, otra firma regional, aún se tambalean a la espera de algún tipo de rescate oficial o privado.</w:t>
      </w:r>
    </w:p>
    <w:p w:rsidR="007E3D39" w:rsidRPr="00C51D47" w:rsidRDefault="007E3D39" w:rsidP="007E3D39">
      <w:pPr>
        <w:spacing w:beforeAutospacing="1" w:after="0" w:afterAutospacing="1" w:line="240" w:lineRule="auto"/>
        <w:jc w:val="both"/>
        <w:rPr>
          <w:rFonts w:ascii="Times New Roman" w:hAnsi="Times New Roman" w:cs="Times New Roman"/>
          <w:b/>
          <w:color w:val="FF0000"/>
          <w:sz w:val="24"/>
          <w:szCs w:val="24"/>
          <w:u w:val="single"/>
        </w:rPr>
      </w:pPr>
      <w:r w:rsidRPr="00C51D47">
        <w:rPr>
          <w:rFonts w:ascii="Times New Roman" w:hAnsi="Times New Roman" w:cs="Times New Roman"/>
          <w:b/>
          <w:color w:val="FF0000"/>
          <w:sz w:val="24"/>
          <w:szCs w:val="24"/>
          <w:u w:val="single"/>
        </w:rPr>
        <w:t>En un mordaz informe de 114 páginas liderado por la Reserva Federal, se destaca que los propios supervisores tardaron en comprender el alcance real de los problemas del SVB y que, cuando se identificaron los problemas, las autoridades no actuaron con la suficiente agresividad para garantizar la solución de los problemas.</w:t>
      </w:r>
    </w:p>
    <w:p w:rsidR="007E3D39" w:rsidRPr="00D445F3" w:rsidRDefault="007E3D39" w:rsidP="007E3D39">
      <w:pPr>
        <w:spacing w:beforeAutospacing="1" w:after="0" w:afterAutospacing="1" w:line="240" w:lineRule="auto"/>
        <w:jc w:val="both"/>
        <w:rPr>
          <w:rFonts w:ascii="Times New Roman" w:hAnsi="Times New Roman" w:cs="Times New Roman"/>
          <w:color w:val="FF0000"/>
          <w:sz w:val="24"/>
          <w:szCs w:val="24"/>
          <w:u w:val="single"/>
        </w:rPr>
      </w:pPr>
      <w:r w:rsidRPr="00D445F3">
        <w:rPr>
          <w:rFonts w:ascii="Times New Roman" w:hAnsi="Times New Roman" w:cs="Times New Roman"/>
          <w:color w:val="FF0000"/>
          <w:sz w:val="24"/>
          <w:szCs w:val="24"/>
          <w:u w:val="single"/>
        </w:rPr>
        <w:t>El SVB tenía 31 “advertencias de supervisión de seguridad y solidez” sin resolver al momento de su quiebra, el triple de la media de los bancos comparables, según señala la Reserva Federal. Estas alertas se extendían a áreas fundamentales para la operación de una entidad financiera, como la gobernanza y gestión de riesgos, la liquidez y el uso de herramientas tecnológicas.</w:t>
      </w:r>
    </w:p>
    <w:p w:rsidR="007E3D39" w:rsidRPr="00CF7AD7" w:rsidRDefault="007E3D39" w:rsidP="007E3D39">
      <w:pPr>
        <w:spacing w:beforeAutospacing="1" w:after="0" w:afterAutospacing="1" w:line="240" w:lineRule="auto"/>
        <w:jc w:val="both"/>
        <w:rPr>
          <w:rFonts w:ascii="Times New Roman" w:hAnsi="Times New Roman" w:cs="Times New Roman"/>
          <w:sz w:val="24"/>
          <w:szCs w:val="24"/>
        </w:rPr>
      </w:pPr>
      <w:r w:rsidRPr="00D445F3">
        <w:rPr>
          <w:rFonts w:ascii="Times New Roman" w:hAnsi="Times New Roman" w:cs="Times New Roman"/>
          <w:b/>
          <w:color w:val="FF0000"/>
          <w:sz w:val="24"/>
          <w:szCs w:val="24"/>
          <w:u w:val="single"/>
        </w:rPr>
        <w:t>A la vez, el informe responsabiliza directamente a una serie de cambios regulatorios ejecutados en 2019 que eximieron a todos los bancos, salvo los ocho más grandes, de un mayor escrutinio en algunas de las operaciones. Esto se tradujo, según la autopsia oficial, en menos requisitos de capital y liquidez</w:t>
      </w:r>
      <w:r w:rsidRPr="00CF7AD7">
        <w:rPr>
          <w:rFonts w:ascii="Times New Roman" w:hAnsi="Times New Roman" w:cs="Times New Roman"/>
          <w:sz w:val="24"/>
          <w:szCs w:val="24"/>
        </w:rPr>
        <w:t xml:space="preserve">. Sin embargo, el impacto de este cambio aprobado durante la administración Trump es limitado. “Aunque es posible que unos requisitos de supervisión y regulación más estrictos no hubieran evitado la quiebra de la </w:t>
      </w:r>
      <w:r w:rsidRPr="00CF7AD7">
        <w:rPr>
          <w:rFonts w:ascii="Times New Roman" w:hAnsi="Times New Roman" w:cs="Times New Roman"/>
          <w:sz w:val="24"/>
          <w:szCs w:val="24"/>
        </w:rPr>
        <w:lastRenderedPageBreak/>
        <w:t>empresa, probablemente habrían reforzado la capacidad de resiliencia de</w:t>
      </w:r>
      <w:r>
        <w:rPr>
          <w:rFonts w:ascii="Times New Roman" w:hAnsi="Times New Roman" w:cs="Times New Roman"/>
          <w:sz w:val="24"/>
          <w:szCs w:val="24"/>
        </w:rPr>
        <w:t>l SVB”, matizan las autoridades</w:t>
      </w:r>
    </w:p>
    <w:p w:rsidR="007E3D39" w:rsidRPr="00D445F3" w:rsidRDefault="007E3D39" w:rsidP="007E3D39">
      <w:pPr>
        <w:spacing w:beforeAutospacing="1" w:after="0" w:afterAutospacing="1" w:line="240" w:lineRule="auto"/>
        <w:jc w:val="both"/>
        <w:rPr>
          <w:rFonts w:ascii="Times New Roman" w:hAnsi="Times New Roman" w:cs="Times New Roman"/>
          <w:color w:val="FF0000"/>
          <w:sz w:val="24"/>
          <w:szCs w:val="24"/>
          <w:u w:val="single"/>
        </w:rPr>
      </w:pPr>
      <w:r w:rsidRPr="00CF7AD7">
        <w:rPr>
          <w:rFonts w:ascii="Times New Roman" w:hAnsi="Times New Roman" w:cs="Times New Roman"/>
          <w:sz w:val="24"/>
          <w:szCs w:val="24"/>
        </w:rPr>
        <w:t xml:space="preserve">Los reguladores tomaron finalmente el control de SVB, con sede en Santa Clara, California, el 10 de marzo. El colapso provocó un pánico que llevó a la caída rápidamente de Signature Bank, con sede en Nueva York, y a una intervención de los reguladores financieros. Sin embargo, </w:t>
      </w:r>
      <w:r w:rsidRPr="00D445F3">
        <w:rPr>
          <w:rFonts w:ascii="Times New Roman" w:hAnsi="Times New Roman" w:cs="Times New Roman"/>
          <w:color w:val="FF0000"/>
          <w:sz w:val="24"/>
          <w:szCs w:val="24"/>
          <w:u w:val="single"/>
        </w:rPr>
        <w:t>la autopsia señala que las autoridades deberían haber apreciado antes las “deficiencias críticas” de la entidad, que en solo tres años había triplicado sus activos. Los problemas de apreciación por parte de la Reserva Federal hicieron que el SVB “mantuviera una buena calificación, incluso cuando la situación se deterioró y surgieron riesgos significativos para la seguridad y solidez de la empresa”, señala el estudio</w:t>
      </w:r>
    </w:p>
    <w:p w:rsidR="007E3D39" w:rsidRPr="00CF7AD7" w:rsidRDefault="007E3D39" w:rsidP="007E3D39">
      <w:pPr>
        <w:spacing w:beforeAutospacing="1" w:after="0" w:afterAutospacing="1" w:line="240" w:lineRule="auto"/>
        <w:jc w:val="both"/>
        <w:rPr>
          <w:rFonts w:ascii="Times New Roman" w:hAnsi="Times New Roman" w:cs="Times New Roman"/>
          <w:sz w:val="24"/>
          <w:szCs w:val="24"/>
        </w:rPr>
      </w:pPr>
      <w:r w:rsidRPr="00CF7AD7">
        <w:rPr>
          <w:rFonts w:ascii="Times New Roman" w:hAnsi="Times New Roman" w:cs="Times New Roman"/>
          <w:sz w:val="24"/>
          <w:szCs w:val="24"/>
        </w:rPr>
        <w:t xml:space="preserve">Los funcionarios estadounidenses afirmaron rápidamente que investigarían lo que salió mal para evitar que se volviera a repetir. “Tras la quiebra del Silicon Valley Bank, debemos reforzar la supervisión y regulación de la Reserva Federal, basándonos en lo que hemos aprendido”, ha comentado este viernes Michael Barr, el vicepresidente de Supervisión de la Reserva Federal. Barr ya había informado el mes pasado que la autoridad había otorgado varias veces malas calificaciones al Silicon Valley Bank, a la vez que habían planteado preocupaciones en privado </w:t>
      </w:r>
      <w:r>
        <w:rPr>
          <w:rFonts w:ascii="Times New Roman" w:hAnsi="Times New Roman" w:cs="Times New Roman"/>
          <w:sz w:val="24"/>
          <w:szCs w:val="24"/>
        </w:rPr>
        <w:t>a los directivos de la entidad...</w:t>
      </w:r>
    </w:p>
    <w:p w:rsidR="007E3D39" w:rsidRPr="00D445F3" w:rsidRDefault="007E3D39" w:rsidP="007E3D39">
      <w:pPr>
        <w:spacing w:beforeAutospacing="1" w:after="0" w:afterAutospacing="1" w:line="240" w:lineRule="auto"/>
        <w:jc w:val="both"/>
        <w:rPr>
          <w:rFonts w:ascii="Times New Roman" w:hAnsi="Times New Roman" w:cs="Times New Roman"/>
          <w:b/>
          <w:color w:val="FF0000"/>
          <w:sz w:val="24"/>
          <w:szCs w:val="24"/>
          <w:u w:val="single"/>
        </w:rPr>
      </w:pPr>
      <w:r w:rsidRPr="00D445F3">
        <w:rPr>
          <w:rFonts w:ascii="Times New Roman" w:hAnsi="Times New Roman" w:cs="Times New Roman"/>
          <w:b/>
          <w:color w:val="FF0000"/>
          <w:sz w:val="24"/>
          <w:szCs w:val="24"/>
          <w:u w:val="single"/>
        </w:rPr>
        <w:t>En particular, el reporte acusa a la dirección de la entidad de no gestionar los riesgos asociados a los tipos de interés “centrándose solo en los beneficios a corto plazo” al eliminar las coberturas de tipo de interés. En ese caso, el banco modificó sus supuestos de gestión de riesgos para “reducir las formas en que se medían los mismos”, en vez de abordar los verdaderos desafíos</w:t>
      </w:r>
      <w:r>
        <w:rPr>
          <w:rFonts w:ascii="Times New Roman" w:hAnsi="Times New Roman" w:cs="Times New Roman"/>
          <w:b/>
          <w:color w:val="FF0000"/>
          <w:sz w:val="24"/>
          <w:szCs w:val="24"/>
          <w:u w:val="single"/>
        </w:rPr>
        <w:t>…</w:t>
      </w:r>
    </w:p>
    <w:p w:rsidR="007E3D39" w:rsidRDefault="007E3D39" w:rsidP="007E3D3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70C8A">
        <w:rPr>
          <w:rFonts w:ascii="Times New Roman" w:hAnsi="Times New Roman" w:cs="Times New Roman"/>
          <w:noProof/>
          <w:sz w:val="24"/>
          <w:szCs w:val="24"/>
          <w:lang w:eastAsia="es-ES"/>
        </w:rPr>
        <w:drawing>
          <wp:inline distT="0" distB="0" distL="0" distR="0" wp14:anchorId="00B80AF7" wp14:editId="2F895ADB">
            <wp:extent cx="4800599" cy="3086100"/>
            <wp:effectExtent l="0" t="0" r="635" b="0"/>
            <wp:docPr id="83" name="Imagen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7"/>
                    <a:stretch>
                      <a:fillRect/>
                    </a:stretch>
                  </pic:blipFill>
                  <pic:spPr>
                    <a:xfrm>
                      <a:off x="0" y="0"/>
                      <a:ext cx="4801270" cy="3086531"/>
                    </a:xfrm>
                    <a:prstGeom prst="rect">
                      <a:avLst/>
                    </a:prstGeom>
                  </pic:spPr>
                </pic:pic>
              </a:graphicData>
            </a:graphic>
          </wp:inline>
        </w:drawing>
      </w:r>
    </w:p>
    <w:p w:rsidR="007E3D39" w:rsidRDefault="007E3D39" w:rsidP="007E3D3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5D3438">
        <w:rPr>
          <w:rFonts w:ascii="Times New Roman" w:hAnsi="Times New Roman" w:cs="Times New Roman"/>
          <w:noProof/>
          <w:sz w:val="24"/>
          <w:szCs w:val="24"/>
          <w:lang w:eastAsia="es-ES"/>
        </w:rPr>
        <w:drawing>
          <wp:inline distT="0" distB="0" distL="0" distR="0" wp14:anchorId="211FDD96" wp14:editId="5E848248">
            <wp:extent cx="4820323" cy="5734851"/>
            <wp:effectExtent l="0" t="0" r="0" b="0"/>
            <wp:docPr id="84" name="Imagen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4820323" cy="5734851"/>
                    </a:xfrm>
                    <a:prstGeom prst="rect">
                      <a:avLst/>
                    </a:prstGeom>
                  </pic:spPr>
                </pic:pic>
              </a:graphicData>
            </a:graphic>
          </wp:inline>
        </w:drawing>
      </w:r>
    </w:p>
    <w:p w:rsidR="007E3D39" w:rsidRDefault="007E3D39" w:rsidP="007E3D3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(El Economista - </w:t>
      </w:r>
      <w:r w:rsidRPr="00A70C8A">
        <w:rPr>
          <w:rFonts w:ascii="Times New Roman" w:hAnsi="Times New Roman" w:cs="Times New Roman"/>
          <w:b/>
          <w:sz w:val="24"/>
          <w:szCs w:val="24"/>
        </w:rPr>
        <w:t>29/4/23</w:t>
      </w:r>
      <w:r>
        <w:rPr>
          <w:rFonts w:ascii="Times New Roman" w:hAnsi="Times New Roman" w:cs="Times New Roman"/>
          <w:sz w:val="24"/>
          <w:szCs w:val="24"/>
        </w:rPr>
        <w:t>)</w:t>
      </w:r>
    </w:p>
    <w:p w:rsidR="007E3D39" w:rsidRPr="00A70C8A" w:rsidRDefault="007E3D39" w:rsidP="007E3D39">
      <w:pPr>
        <w:spacing w:beforeAutospacing="1" w:after="0" w:afterAutospacing="1"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F77E3">
        <w:rPr>
          <w:rFonts w:ascii="Times New Roman" w:hAnsi="Times New Roman" w:cs="Times New Roman"/>
          <w:sz w:val="24"/>
          <w:szCs w:val="24"/>
          <w:u w:val="single"/>
        </w:rPr>
        <w:t>Roubini a</w:t>
      </w:r>
      <w:r>
        <w:rPr>
          <w:rFonts w:ascii="Times New Roman" w:hAnsi="Times New Roman" w:cs="Times New Roman"/>
          <w:sz w:val="24"/>
          <w:szCs w:val="24"/>
          <w:u w:val="single"/>
        </w:rPr>
        <w:t>dvierte que la Fed afronta una “misión imposible”</w:t>
      </w:r>
      <w:r w:rsidRPr="001F77E3">
        <w:rPr>
          <w:rFonts w:ascii="Times New Roman" w:hAnsi="Times New Roman" w:cs="Times New Roman"/>
          <w:sz w:val="24"/>
          <w:szCs w:val="24"/>
          <w:u w:val="single"/>
        </w:rPr>
        <w:t xml:space="preserve"> y prevé un desplome del mercado</w:t>
      </w:r>
      <w:r>
        <w:rPr>
          <w:rFonts w:ascii="Times New Roman" w:hAnsi="Times New Roman" w:cs="Times New Roman"/>
          <w:sz w:val="24"/>
          <w:szCs w:val="24"/>
        </w:rPr>
        <w:t xml:space="preserve"> (El Confidencial - </w:t>
      </w:r>
      <w:r w:rsidRPr="001F77E3">
        <w:rPr>
          <w:rFonts w:ascii="Times New Roman" w:hAnsi="Times New Roman" w:cs="Times New Roman"/>
          <w:b/>
          <w:sz w:val="24"/>
          <w:szCs w:val="24"/>
        </w:rPr>
        <w:t>28/4/23</w:t>
      </w:r>
      <w:r>
        <w:rPr>
          <w:rFonts w:ascii="Times New Roman" w:hAnsi="Times New Roman" w:cs="Times New Roman"/>
          <w:sz w:val="24"/>
          <w:szCs w:val="24"/>
        </w:rPr>
        <w:t>)</w:t>
      </w:r>
    </w:p>
    <w:p w:rsidR="007E3D39" w:rsidRPr="00D445F3" w:rsidRDefault="007E3D39" w:rsidP="007E3D39">
      <w:pPr>
        <w:spacing w:beforeAutospacing="1" w:after="0" w:afterAutospacing="1" w:line="240" w:lineRule="auto"/>
        <w:jc w:val="both"/>
        <w:rPr>
          <w:rFonts w:ascii="Times New Roman" w:hAnsi="Times New Roman" w:cs="Times New Roman"/>
          <w:color w:val="FF0000"/>
          <w:sz w:val="24"/>
          <w:szCs w:val="24"/>
        </w:rPr>
      </w:pPr>
      <w:r w:rsidRPr="00D445F3">
        <w:rPr>
          <w:rFonts w:ascii="Times New Roman" w:hAnsi="Times New Roman" w:cs="Times New Roman"/>
          <w:color w:val="FF0000"/>
          <w:sz w:val="24"/>
          <w:szCs w:val="24"/>
        </w:rPr>
        <w:t>No es la primera vez que realiza una advertencia de este tipo, aunque ahora parece que los datos económicos publicados recientemente la respaldan más que nunca</w:t>
      </w:r>
    </w:p>
    <w:p w:rsidR="007E3D39" w:rsidRPr="00D445F3" w:rsidRDefault="007E3D39" w:rsidP="007E3D39">
      <w:pPr>
        <w:spacing w:beforeAutospacing="1" w:after="0" w:afterAutospacing="1" w:line="240" w:lineRule="auto"/>
        <w:jc w:val="both"/>
        <w:rPr>
          <w:rFonts w:ascii="Times New Roman" w:hAnsi="Times New Roman" w:cs="Times New Roman"/>
          <w:b/>
          <w:color w:val="FF0000"/>
          <w:sz w:val="24"/>
          <w:szCs w:val="24"/>
          <w:u w:val="single"/>
        </w:rPr>
      </w:pPr>
      <w:r w:rsidRPr="00D445F3">
        <w:rPr>
          <w:rFonts w:ascii="Times New Roman" w:hAnsi="Times New Roman" w:cs="Times New Roman"/>
          <w:color w:val="FF0000"/>
          <w:sz w:val="24"/>
          <w:szCs w:val="24"/>
          <w:u w:val="single"/>
        </w:rPr>
        <w:t>Nouriel Roubini considera que la Reserva Federal de Estados Unidos (Fed) tendrá que mantener los tipos de interés en cotas elevadas para contener la curva de la inflación, que no termina de estabilizarse</w:t>
      </w:r>
      <w:r w:rsidRPr="00A70C8A">
        <w:rPr>
          <w:rFonts w:ascii="Times New Roman" w:hAnsi="Times New Roman" w:cs="Times New Roman"/>
          <w:sz w:val="24"/>
          <w:szCs w:val="24"/>
        </w:rPr>
        <w:t xml:space="preserve">. Este economista, que cuenta con un importante historial de predicciones catastróficas a sus espaldas, </w:t>
      </w:r>
      <w:r w:rsidRPr="00D445F3">
        <w:rPr>
          <w:rFonts w:ascii="Times New Roman" w:hAnsi="Times New Roman" w:cs="Times New Roman"/>
          <w:color w:val="FF0000"/>
          <w:sz w:val="24"/>
          <w:szCs w:val="24"/>
          <w:u w:val="single"/>
        </w:rPr>
        <w:t>ya ha advertido a los inversores de que esta situación va a desembocar en un desplome del mercado por la venta masiva de bonos y acciones.</w:t>
      </w:r>
      <w:r w:rsidRPr="00A70C8A">
        <w:rPr>
          <w:rFonts w:ascii="Times New Roman" w:hAnsi="Times New Roman" w:cs="Times New Roman"/>
          <w:sz w:val="24"/>
          <w:szCs w:val="24"/>
        </w:rPr>
        <w:t xml:space="preserve"> </w:t>
      </w:r>
      <w:r w:rsidRPr="00D445F3">
        <w:rPr>
          <w:rFonts w:ascii="Times New Roman" w:hAnsi="Times New Roman" w:cs="Times New Roman"/>
          <w:b/>
          <w:color w:val="FF0000"/>
          <w:sz w:val="24"/>
          <w:szCs w:val="24"/>
          <w:u w:val="single"/>
        </w:rPr>
        <w:t>El banco central estadounidense presidido por Jerome Powell se encuentra ante tres problemas que Roubini ha calif</w:t>
      </w:r>
      <w:r>
        <w:rPr>
          <w:rFonts w:ascii="Times New Roman" w:hAnsi="Times New Roman" w:cs="Times New Roman"/>
          <w:b/>
          <w:color w:val="FF0000"/>
          <w:sz w:val="24"/>
          <w:szCs w:val="24"/>
          <w:u w:val="single"/>
        </w:rPr>
        <w:t>icado como “muy serios”</w:t>
      </w:r>
      <w:r w:rsidRPr="00D445F3">
        <w:rPr>
          <w:rFonts w:ascii="Times New Roman" w:hAnsi="Times New Roman" w:cs="Times New Roman"/>
          <w:b/>
          <w:color w:val="FF0000"/>
          <w:sz w:val="24"/>
          <w:szCs w:val="24"/>
          <w:u w:val="single"/>
        </w:rPr>
        <w:t xml:space="preserve"> en una entrevista concedida a Bloomberg TV este viernes. En concreto, ha apuntado a la complicada </w:t>
      </w:r>
      <w:r w:rsidRPr="00D445F3">
        <w:rPr>
          <w:rFonts w:ascii="Times New Roman" w:hAnsi="Times New Roman" w:cs="Times New Roman"/>
          <w:b/>
          <w:color w:val="FF0000"/>
          <w:sz w:val="24"/>
          <w:szCs w:val="24"/>
          <w:u w:val="single"/>
        </w:rPr>
        <w:lastRenderedPageBreak/>
        <w:t>situación que tiene el organismo presidido por Jerome Powell para estabilizar los precios, asentar el crecimiento económico y normaliz</w:t>
      </w:r>
      <w:r>
        <w:rPr>
          <w:rFonts w:ascii="Times New Roman" w:hAnsi="Times New Roman" w:cs="Times New Roman"/>
          <w:b/>
          <w:color w:val="FF0000"/>
          <w:sz w:val="24"/>
          <w:szCs w:val="24"/>
          <w:u w:val="single"/>
        </w:rPr>
        <w:t>ar la situación financiera. “Me parece una misión imposible”</w:t>
      </w:r>
      <w:r w:rsidRPr="00D445F3">
        <w:rPr>
          <w:rFonts w:ascii="Times New Roman" w:hAnsi="Times New Roman" w:cs="Times New Roman"/>
          <w:b/>
          <w:color w:val="FF0000"/>
          <w:sz w:val="24"/>
          <w:szCs w:val="24"/>
          <w:u w:val="single"/>
        </w:rPr>
        <w:t>, ha recalcado.</w:t>
      </w:r>
    </w:p>
    <w:p w:rsidR="007E3D39" w:rsidRPr="00A70C8A" w:rsidRDefault="007E3D39" w:rsidP="007E3D39">
      <w:pPr>
        <w:spacing w:beforeAutospacing="1" w:after="0" w:afterAutospacing="1" w:line="240" w:lineRule="auto"/>
        <w:jc w:val="both"/>
        <w:rPr>
          <w:rFonts w:ascii="Times New Roman" w:hAnsi="Times New Roman" w:cs="Times New Roman"/>
          <w:sz w:val="24"/>
          <w:szCs w:val="24"/>
        </w:rPr>
      </w:pPr>
      <w:r w:rsidRPr="00A70C8A">
        <w:rPr>
          <w:rFonts w:ascii="Times New Roman" w:hAnsi="Times New Roman" w:cs="Times New Roman"/>
          <w:sz w:val="24"/>
          <w:szCs w:val="24"/>
        </w:rPr>
        <w:t>No es la primera vez que realiza una advertencia de este tipo, aunque ahora parece que los datos económicos publicados recientemente la respaldan más que nunca. Por ejemplo, el PIB estadounidense se incrementó en un 1,1% interanual durante el primer trimestre, una evolución que se sitúa por debajo del 1,9% que estimaban los economistas. Para Roubini, esta cifra muestra los obstáculos que la fragmentación de las potencias mundial</w:t>
      </w:r>
      <w:r>
        <w:rPr>
          <w:rFonts w:ascii="Times New Roman" w:hAnsi="Times New Roman" w:cs="Times New Roman"/>
          <w:sz w:val="24"/>
          <w:szCs w:val="24"/>
        </w:rPr>
        <w:t>es</w:t>
      </w:r>
      <w:r w:rsidRPr="00A70C8A">
        <w:rPr>
          <w:rFonts w:ascii="Times New Roman" w:hAnsi="Times New Roman" w:cs="Times New Roman"/>
          <w:sz w:val="24"/>
          <w:szCs w:val="24"/>
        </w:rPr>
        <w:t xml:space="preserve"> está suponiendo para las economías, ya que existe el riesgo de que reduzca el libre comercio.</w:t>
      </w:r>
    </w:p>
    <w:p w:rsidR="007E3D39" w:rsidRDefault="007E3D39" w:rsidP="007E3D39">
      <w:pPr>
        <w:spacing w:beforeAutospacing="1" w:after="0" w:afterAutospacing="1" w:line="240" w:lineRule="auto"/>
        <w:jc w:val="both"/>
        <w:rPr>
          <w:rFonts w:ascii="Times New Roman" w:hAnsi="Times New Roman" w:cs="Times New Roman"/>
          <w:sz w:val="24"/>
          <w:szCs w:val="24"/>
        </w:rPr>
      </w:pPr>
      <w:r w:rsidRPr="00A70C8A">
        <w:rPr>
          <w:rFonts w:ascii="Times New Roman" w:hAnsi="Times New Roman" w:cs="Times New Roman"/>
          <w:sz w:val="24"/>
          <w:szCs w:val="24"/>
        </w:rPr>
        <w:t xml:space="preserve"> El economista también ha advertido que ya se está produciendo una crisis crediticia en EEUU, derivada de la quiebra de entidades prestamistas medianas, como First Republic Bank o Silicon Valley Bank, que son una fuente importante de crédito para hogares y empresas. De hecho, este jueves se publicaron datos que mostraban que los bancos aumentaron los préstamos de emergencia de la Fed por segunda semana consecutiva.</w:t>
      </w:r>
    </w:p>
    <w:p w:rsidR="007E3D39" w:rsidRPr="00897DE6"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897DE6">
        <w:rPr>
          <w:rFonts w:ascii="Times New Roman" w:hAnsi="Times New Roman" w:cs="Times New Roman"/>
          <w:sz w:val="24"/>
          <w:szCs w:val="24"/>
          <w:u w:val="single"/>
        </w:rPr>
        <w:t>El euro y el riesgo de volver a una ficción con 19 velocidades</w:t>
      </w:r>
      <w:r>
        <w:rPr>
          <w:rFonts w:ascii="Times New Roman" w:hAnsi="Times New Roman" w:cs="Times New Roman"/>
          <w:sz w:val="24"/>
          <w:szCs w:val="24"/>
        </w:rPr>
        <w:t xml:space="preserve"> (Cinco Días - </w:t>
      </w:r>
      <w:r w:rsidRPr="00897DE6">
        <w:rPr>
          <w:rFonts w:ascii="Times New Roman" w:hAnsi="Times New Roman" w:cs="Times New Roman"/>
          <w:b/>
          <w:sz w:val="24"/>
          <w:szCs w:val="24"/>
        </w:rPr>
        <w:t>2/5/23</w:t>
      </w:r>
      <w:r>
        <w:rPr>
          <w:rFonts w:ascii="Times New Roman" w:hAnsi="Times New Roman" w:cs="Times New Roman"/>
          <w:sz w:val="24"/>
          <w:szCs w:val="24"/>
        </w:rPr>
        <w:t>)</w:t>
      </w:r>
    </w:p>
    <w:p w:rsidR="007E3D39" w:rsidRPr="00C91279" w:rsidRDefault="007E3D39" w:rsidP="007E3D39">
      <w:pPr>
        <w:spacing w:line="240" w:lineRule="auto"/>
        <w:jc w:val="both"/>
        <w:rPr>
          <w:rFonts w:ascii="Times New Roman" w:hAnsi="Times New Roman" w:cs="Times New Roman"/>
          <w:color w:val="FF0000"/>
          <w:sz w:val="24"/>
          <w:szCs w:val="24"/>
        </w:rPr>
      </w:pPr>
      <w:r w:rsidRPr="00C91279">
        <w:rPr>
          <w:rFonts w:ascii="Times New Roman" w:hAnsi="Times New Roman" w:cs="Times New Roman"/>
          <w:color w:val="FF0000"/>
          <w:sz w:val="24"/>
          <w:szCs w:val="24"/>
        </w:rPr>
        <w:t>Las acomodaticias reglas fiscales que prepara Bruselas auguran más divergencia que convergencia y dejan la</w:t>
      </w:r>
      <w:r>
        <w:rPr>
          <w:rFonts w:ascii="Times New Roman" w:hAnsi="Times New Roman" w:cs="Times New Roman"/>
          <w:color w:val="FF0000"/>
          <w:sz w:val="24"/>
          <w:szCs w:val="24"/>
        </w:rPr>
        <w:t xml:space="preserve"> corrección de sus defectos al “oyente”</w:t>
      </w:r>
      <w:r w:rsidRPr="00C91279">
        <w:rPr>
          <w:rFonts w:ascii="Times New Roman" w:hAnsi="Times New Roman" w:cs="Times New Roman"/>
          <w:color w:val="FF0000"/>
          <w:sz w:val="24"/>
          <w:szCs w:val="24"/>
        </w:rPr>
        <w:t xml:space="preserve"> BCE</w:t>
      </w:r>
    </w:p>
    <w:p w:rsidR="007E3D39" w:rsidRPr="00897DE6"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897DE6">
        <w:rPr>
          <w:rFonts w:ascii="Times New Roman" w:hAnsi="Times New Roman" w:cs="Times New Roman"/>
          <w:sz w:val="24"/>
          <w:szCs w:val="24"/>
        </w:rPr>
        <w:t>J</w:t>
      </w:r>
      <w:r>
        <w:rPr>
          <w:rFonts w:ascii="Times New Roman" w:hAnsi="Times New Roman" w:cs="Times New Roman"/>
          <w:sz w:val="24"/>
          <w:szCs w:val="24"/>
        </w:rPr>
        <w:t>osé Antonio Vega)</w:t>
      </w:r>
    </w:p>
    <w:p w:rsidR="007E3D39" w:rsidRPr="00C91279" w:rsidRDefault="007E3D39" w:rsidP="007E3D39">
      <w:pPr>
        <w:spacing w:line="240" w:lineRule="auto"/>
        <w:jc w:val="both"/>
        <w:rPr>
          <w:rFonts w:ascii="Times New Roman" w:hAnsi="Times New Roman" w:cs="Times New Roman"/>
          <w:color w:val="FF0000"/>
          <w:sz w:val="24"/>
          <w:szCs w:val="24"/>
          <w:u w:val="single"/>
        </w:rPr>
      </w:pPr>
      <w:r w:rsidRPr="00C91279">
        <w:rPr>
          <w:rFonts w:ascii="Times New Roman" w:hAnsi="Times New Roman" w:cs="Times New Roman"/>
          <w:color w:val="FF0000"/>
          <w:sz w:val="24"/>
          <w:szCs w:val="24"/>
          <w:u w:val="single"/>
        </w:rPr>
        <w:t>Tras cuatro años de anestesia presupuestaria para superar las dolencias de la pandemia de Covid y las de la Guerra de Ucrania, las 19 economías que comparten el euro deberán someterse de nuevo a unas reglas de disciplina fiscal para recuperar un grado de simetría suficiente que haga del euro una divisa perdurable y fuerte en el mundo. Algo parecido a lo que se pretendía en los noventa cuando se puso en marcha, pero que nunca llegó a depurarse y que, junto con otras deficiencias de la estructura política y económica de la Unión Monetaria, estuvieron a punto de hacer colapsar el euro cuando llegó la crisis financiera.</w:t>
      </w:r>
    </w:p>
    <w:p w:rsidR="007E3D39" w:rsidRPr="00897DE6" w:rsidRDefault="007E3D39" w:rsidP="007E3D39">
      <w:pPr>
        <w:spacing w:line="240" w:lineRule="auto"/>
        <w:jc w:val="both"/>
        <w:rPr>
          <w:rFonts w:ascii="Times New Roman" w:hAnsi="Times New Roman" w:cs="Times New Roman"/>
          <w:sz w:val="24"/>
          <w:szCs w:val="24"/>
        </w:rPr>
      </w:pPr>
      <w:r w:rsidRPr="00C91279">
        <w:rPr>
          <w:rFonts w:ascii="Times New Roman" w:hAnsi="Times New Roman" w:cs="Times New Roman"/>
          <w:color w:val="FF0000"/>
          <w:sz w:val="24"/>
          <w:szCs w:val="24"/>
          <w:u w:val="single"/>
        </w:rPr>
        <w:t>Pero 25 años después, la situación de las economías no es la misma, y someterlas a parecidas exigencias a las que el Tratado de Maastricht implantó sería, simplemente, una ilusión vana.</w:t>
      </w:r>
      <w:r w:rsidRPr="00C91279">
        <w:rPr>
          <w:rFonts w:ascii="Times New Roman" w:hAnsi="Times New Roman" w:cs="Times New Roman"/>
          <w:color w:val="FF0000"/>
          <w:sz w:val="24"/>
          <w:szCs w:val="24"/>
        </w:rPr>
        <w:t xml:space="preserve"> </w:t>
      </w:r>
      <w:r w:rsidRPr="00897DE6">
        <w:rPr>
          <w:rFonts w:ascii="Times New Roman" w:hAnsi="Times New Roman" w:cs="Times New Roman"/>
          <w:sz w:val="24"/>
          <w:szCs w:val="24"/>
        </w:rPr>
        <w:t>Si la más complicada de las variables a controlar era la deuda pública cuando la inmensa mayoría de los países superaban ya en las cotas pretendidas, cómo lograrlo ahora cuando la media de los países de la eurozona supera en un 50% largo el umbral del 60% del PIB. La media ha cerrado 2022 en el 9</w:t>
      </w:r>
      <w:r>
        <w:rPr>
          <w:rFonts w:ascii="Times New Roman" w:hAnsi="Times New Roman" w:cs="Times New Roman"/>
          <w:sz w:val="24"/>
          <w:szCs w:val="24"/>
        </w:rPr>
        <w:t>1,5% del PIB, y algunos países -</w:t>
      </w:r>
      <w:r w:rsidRPr="00897DE6">
        <w:rPr>
          <w:rFonts w:ascii="Times New Roman" w:hAnsi="Times New Roman" w:cs="Times New Roman"/>
          <w:sz w:val="24"/>
          <w:szCs w:val="24"/>
        </w:rPr>
        <w:t>España</w:t>
      </w:r>
      <w:r>
        <w:rPr>
          <w:rFonts w:ascii="Times New Roman" w:hAnsi="Times New Roman" w:cs="Times New Roman"/>
          <w:sz w:val="24"/>
          <w:szCs w:val="24"/>
        </w:rPr>
        <w:t>, sin ir más lejos-</w:t>
      </w:r>
      <w:r w:rsidRPr="00897DE6">
        <w:rPr>
          <w:rFonts w:ascii="Times New Roman" w:hAnsi="Times New Roman" w:cs="Times New Roman"/>
          <w:sz w:val="24"/>
          <w:szCs w:val="24"/>
        </w:rPr>
        <w:t xml:space="preserve"> duplica el</w:t>
      </w:r>
      <w:r>
        <w:rPr>
          <w:rFonts w:ascii="Times New Roman" w:hAnsi="Times New Roman" w:cs="Times New Roman"/>
          <w:sz w:val="24"/>
          <w:szCs w:val="24"/>
        </w:rPr>
        <w:t xml:space="preserve"> umbral deseado (113% del PIB).</w:t>
      </w:r>
    </w:p>
    <w:p w:rsidR="007E3D39" w:rsidRPr="008D0B25" w:rsidRDefault="007E3D39" w:rsidP="007E3D39">
      <w:pPr>
        <w:spacing w:line="240" w:lineRule="auto"/>
        <w:jc w:val="both"/>
        <w:rPr>
          <w:rFonts w:ascii="Times New Roman" w:hAnsi="Times New Roman" w:cs="Times New Roman"/>
          <w:b/>
          <w:color w:val="FF0000"/>
          <w:sz w:val="24"/>
          <w:szCs w:val="24"/>
          <w:u w:val="single"/>
        </w:rPr>
      </w:pPr>
      <w:r w:rsidRPr="008D0B25">
        <w:rPr>
          <w:rFonts w:ascii="Times New Roman" w:hAnsi="Times New Roman" w:cs="Times New Roman"/>
          <w:color w:val="FF0000"/>
          <w:sz w:val="24"/>
          <w:szCs w:val="24"/>
          <w:u w:val="single"/>
        </w:rPr>
        <w:t>Sensible a tal dificultad, y convencida de que las recetas de la austeridad solo lograron agravar los problemas de varios países, poner a la divisa al borde de su desaparición y alumbrar un populismo político radical (de izquierdas en el sur y de derechas en el centro y norte del continente), la Comisión pretende aplicar una especie de volubles reglas a la carta.</w:t>
      </w:r>
      <w:r w:rsidRPr="008D0B25">
        <w:rPr>
          <w:rFonts w:ascii="Times New Roman" w:hAnsi="Times New Roman" w:cs="Times New Roman"/>
          <w:color w:val="FF0000"/>
          <w:sz w:val="24"/>
          <w:szCs w:val="24"/>
        </w:rPr>
        <w:t xml:space="preserve"> </w:t>
      </w:r>
      <w:r w:rsidRPr="008D0B25">
        <w:rPr>
          <w:rFonts w:ascii="Times New Roman" w:hAnsi="Times New Roman" w:cs="Times New Roman"/>
          <w:b/>
          <w:color w:val="FF0000"/>
          <w:sz w:val="24"/>
          <w:szCs w:val="24"/>
          <w:u w:val="single"/>
        </w:rPr>
        <w:t>Unos itinerarios que cada país puede diseñar a su antojo para ciclos de cuatro o siete años (la medida de una legislatura o de dos) y que únicamente responderán a la necesidad de impedir que el gasto público (sin intereses ni cobertura de desempleo) crezca más que el PIB nominal, y reducir el déficit público en 0,5% del PIB cada año si se sobrepasa el 3%.</w:t>
      </w:r>
    </w:p>
    <w:p w:rsidR="007E3D39" w:rsidRPr="008D0B25" w:rsidRDefault="007E3D39" w:rsidP="007E3D39">
      <w:pPr>
        <w:spacing w:line="240" w:lineRule="auto"/>
        <w:jc w:val="both"/>
        <w:rPr>
          <w:rFonts w:ascii="Times New Roman" w:hAnsi="Times New Roman" w:cs="Times New Roman"/>
          <w:sz w:val="24"/>
          <w:szCs w:val="24"/>
          <w:u w:val="single"/>
        </w:rPr>
      </w:pPr>
      <w:r w:rsidRPr="008D0B25">
        <w:rPr>
          <w:rFonts w:ascii="Times New Roman" w:hAnsi="Times New Roman" w:cs="Times New Roman"/>
          <w:color w:val="FF0000"/>
          <w:sz w:val="24"/>
          <w:szCs w:val="24"/>
          <w:u w:val="single"/>
        </w:rPr>
        <w:t>Un tránsito de laxa exigencia y que solo puede ser castigado con multas del 0,05% del PIB si se vulnera</w:t>
      </w:r>
      <w:r w:rsidRPr="00897DE6">
        <w:rPr>
          <w:rFonts w:ascii="Times New Roman" w:hAnsi="Times New Roman" w:cs="Times New Roman"/>
          <w:sz w:val="24"/>
          <w:szCs w:val="24"/>
        </w:rPr>
        <w:t xml:space="preserve">. </w:t>
      </w:r>
      <w:r w:rsidRPr="008D0B25">
        <w:rPr>
          <w:rFonts w:ascii="Times New Roman" w:hAnsi="Times New Roman" w:cs="Times New Roman"/>
          <w:sz w:val="24"/>
          <w:szCs w:val="24"/>
          <w:u w:val="single"/>
        </w:rPr>
        <w:t xml:space="preserve">Parece poca cosa para forzar a la disciplina en el gasto, y más que un castigo por </w:t>
      </w:r>
      <w:r w:rsidRPr="008D0B25">
        <w:rPr>
          <w:rFonts w:ascii="Times New Roman" w:hAnsi="Times New Roman" w:cs="Times New Roman"/>
          <w:sz w:val="24"/>
          <w:szCs w:val="24"/>
          <w:u w:val="single"/>
        </w:rPr>
        <w:lastRenderedPageBreak/>
        <w:t>no cumplir parece un incentivo benévolo a incumplir. La Comisión cree con ingenuidad que un monto tan limitado será más fácil de aplicar que las multas de antaño, de cuantía diez veces superior y que a España y Portugal en su día le fueron impuestas y condonadas, porque Francia y Alemania, los supuestos virtuosos habituales, se vieron incursos en parecida situación.</w:t>
      </w:r>
    </w:p>
    <w:p w:rsidR="007E3D39" w:rsidRPr="008D0B25" w:rsidRDefault="007E3D39" w:rsidP="007E3D39">
      <w:pPr>
        <w:spacing w:line="240" w:lineRule="auto"/>
        <w:jc w:val="both"/>
        <w:rPr>
          <w:rFonts w:ascii="Times New Roman" w:hAnsi="Times New Roman" w:cs="Times New Roman"/>
          <w:sz w:val="24"/>
          <w:szCs w:val="24"/>
          <w:u w:val="single"/>
        </w:rPr>
      </w:pPr>
      <w:r w:rsidRPr="008D0B25">
        <w:rPr>
          <w:rFonts w:ascii="Times New Roman" w:hAnsi="Times New Roman" w:cs="Times New Roman"/>
          <w:color w:val="FF0000"/>
          <w:sz w:val="24"/>
          <w:szCs w:val="24"/>
          <w:u w:val="single"/>
        </w:rPr>
        <w:t>Con la propuesta actual, hablar de plan de convergencia, cuyos detalles deberán ser depurados en la presidencia española de la Unión para activarlos en enero próximo, es una exageración</w:t>
      </w:r>
      <w:r w:rsidRPr="00897DE6">
        <w:rPr>
          <w:rFonts w:ascii="Times New Roman" w:hAnsi="Times New Roman" w:cs="Times New Roman"/>
          <w:sz w:val="24"/>
          <w:szCs w:val="24"/>
        </w:rPr>
        <w:t>. Porque con unos ritmos marcados que invitan a la relajación en la gestión de los dineros públicos, esperar que el control del gasto y la reducción del déficit</w:t>
      </w:r>
      <w:r>
        <w:rPr>
          <w:rFonts w:ascii="Times New Roman" w:hAnsi="Times New Roman" w:cs="Times New Roman"/>
          <w:sz w:val="24"/>
          <w:szCs w:val="24"/>
        </w:rPr>
        <w:t>,</w:t>
      </w:r>
      <w:r w:rsidRPr="00897DE6">
        <w:rPr>
          <w:rFonts w:ascii="Times New Roman" w:hAnsi="Times New Roman" w:cs="Times New Roman"/>
          <w:sz w:val="24"/>
          <w:szCs w:val="24"/>
        </w:rPr>
        <w:t xml:space="preserve"> van a lograr devolver la deuda pública al 60% del PIB, cuando la mayoría de países están por encima del 100%, es una ilusión quimérica. </w:t>
      </w:r>
      <w:r w:rsidRPr="008D0B25">
        <w:rPr>
          <w:rFonts w:ascii="Times New Roman" w:hAnsi="Times New Roman" w:cs="Times New Roman"/>
          <w:sz w:val="24"/>
          <w:szCs w:val="24"/>
          <w:u w:val="single"/>
        </w:rPr>
        <w:t>Y tal falta de rigor y de esfuerzo, tendrá consecuencias, con grave riesgo de repetir la crisis de antaño.</w:t>
      </w:r>
    </w:p>
    <w:p w:rsidR="007E3D39" w:rsidRPr="008D0B25" w:rsidRDefault="007E3D39" w:rsidP="007E3D39">
      <w:pPr>
        <w:spacing w:line="240" w:lineRule="auto"/>
        <w:jc w:val="both"/>
        <w:rPr>
          <w:rFonts w:ascii="Times New Roman" w:hAnsi="Times New Roman" w:cs="Times New Roman"/>
          <w:color w:val="FF0000"/>
          <w:sz w:val="24"/>
          <w:szCs w:val="24"/>
          <w:u w:val="single"/>
        </w:rPr>
      </w:pPr>
      <w:r w:rsidRPr="008D0B25">
        <w:rPr>
          <w:rFonts w:ascii="Times New Roman" w:hAnsi="Times New Roman" w:cs="Times New Roman"/>
          <w:color w:val="FF0000"/>
          <w:sz w:val="24"/>
          <w:szCs w:val="24"/>
          <w:u w:val="single"/>
        </w:rPr>
        <w:t>Ahora, nada menos que 18 de los 27 miembros de la Unión Europea tienen déficits superiores al 3%, (Alemania, Francia, Italia y España entre ellos), con crecimientos en algunos casos de los ingresos sorprendentemente elevados (récord de recaudación en España) como consecuencia de una inflación persistente, esa subida de la fiscalidad en frío de la que hablan los fiscalistas.</w:t>
      </w:r>
    </w:p>
    <w:p w:rsidR="007E3D39" w:rsidRPr="008D0B25" w:rsidRDefault="007E3D39" w:rsidP="007E3D39">
      <w:pPr>
        <w:spacing w:line="240" w:lineRule="auto"/>
        <w:jc w:val="both"/>
        <w:rPr>
          <w:rFonts w:ascii="Times New Roman" w:hAnsi="Times New Roman" w:cs="Times New Roman"/>
          <w:color w:val="FF0000"/>
          <w:sz w:val="24"/>
          <w:szCs w:val="24"/>
          <w:u w:val="single"/>
        </w:rPr>
      </w:pPr>
      <w:r w:rsidRPr="008D0B25">
        <w:rPr>
          <w:rFonts w:ascii="Times New Roman" w:hAnsi="Times New Roman" w:cs="Times New Roman"/>
          <w:color w:val="FF0000"/>
          <w:sz w:val="24"/>
          <w:szCs w:val="24"/>
          <w:u w:val="single"/>
        </w:rPr>
        <w:t>El escenario recuperará naturalidad cuando los precios se estabilicen, pero cambiará a peor en casos como el español cuando los capítulos de gasto estructural crezcan a ritmos elevados por el envejecimiento, o cuando el calendario ejecute refinanciaciones de la inmensa bola de deuda emitida a precios más caros (ahora ya por encima del 3%), que forzarán una elevación inevitable de la factura financiera. Entonces será complicado someter el gasto a guarismos de avance inferior al PIB nominal, aunque el gasto de la deuda, como el de desempleo, esté exento de tal limitación como si fuesen inevitables.</w:t>
      </w:r>
    </w:p>
    <w:p w:rsidR="007E3D39" w:rsidRPr="008D0B25" w:rsidRDefault="007E3D39" w:rsidP="007E3D39">
      <w:pPr>
        <w:spacing w:line="240" w:lineRule="auto"/>
        <w:jc w:val="both"/>
        <w:rPr>
          <w:rFonts w:ascii="Times New Roman" w:hAnsi="Times New Roman" w:cs="Times New Roman"/>
          <w:b/>
          <w:color w:val="FF0000"/>
          <w:sz w:val="24"/>
          <w:szCs w:val="24"/>
          <w:u w:val="single"/>
        </w:rPr>
      </w:pPr>
      <w:r w:rsidRPr="008D0B25">
        <w:rPr>
          <w:rFonts w:ascii="Times New Roman" w:hAnsi="Times New Roman" w:cs="Times New Roman"/>
          <w:b/>
          <w:color w:val="FF0000"/>
          <w:sz w:val="24"/>
          <w:szCs w:val="24"/>
          <w:u w:val="single"/>
        </w:rPr>
        <w:t>En fin, parece que las reglas las ha diseñado un enemigo de la divisa común y de la necesaria convergencia para defenderlo en las etapas de crisis. Manteniendo las asimetrías tradicionales de deuda y déficit, será muy complicado que los mercados financieros respeten al euro como si existiese uno solo. Volverán a exigir un coste (prima de riesgo o riesgo país) acorde con el grado de sostenibilidad de las finanzas de cada país. Volverán a comportarse como si existiesen 19 euros distintos, como en 2010-2012 ya advirtieron con la crisis de la deuda, y tendrá que volver la involuntaria mutualización de los pasivos por parte del BCE para evitar la ruptura. Si en 2010 hubo una crisis de deuda con los niveles de entonces, alimentada por la desconfianza de la ocultación griega, el riesgo con los niveles actuales es evidente.</w:t>
      </w:r>
    </w:p>
    <w:p w:rsidR="007E3D39" w:rsidRPr="008D0B25" w:rsidRDefault="007E3D39" w:rsidP="007E3D39">
      <w:pPr>
        <w:spacing w:line="240" w:lineRule="auto"/>
        <w:jc w:val="both"/>
        <w:rPr>
          <w:rFonts w:ascii="Times New Roman" w:hAnsi="Times New Roman" w:cs="Times New Roman"/>
          <w:b/>
          <w:color w:val="FF0000"/>
          <w:sz w:val="24"/>
          <w:szCs w:val="24"/>
          <w:u w:val="single"/>
        </w:rPr>
      </w:pPr>
      <w:r w:rsidRPr="008D0B25">
        <w:rPr>
          <w:rFonts w:ascii="Times New Roman" w:hAnsi="Times New Roman" w:cs="Times New Roman"/>
          <w:b/>
          <w:color w:val="FF0000"/>
          <w:sz w:val="24"/>
          <w:szCs w:val="24"/>
          <w:u w:val="single"/>
        </w:rPr>
        <w:t>La flexibilidad y laxitud de lo que se prepara para que no vuelva a ocurrir lo que ya ocurrió en el trienio que puso al euro en el disparadero, reproducirá lo vivido; volverán las dos o tres o 19 velocidades de la Unión Monetaria que tanto atormentaron a los políticos del sur de Europa en los noventa.</w:t>
      </w:r>
    </w:p>
    <w:p w:rsidR="007E3D39" w:rsidRPr="00EA3214" w:rsidRDefault="007E3D39" w:rsidP="007E3D39">
      <w:pPr>
        <w:spacing w:line="240" w:lineRule="auto"/>
        <w:jc w:val="both"/>
        <w:rPr>
          <w:rFonts w:ascii="Times New Roman" w:hAnsi="Times New Roman" w:cs="Times New Roman"/>
          <w:color w:val="FF0000"/>
          <w:sz w:val="24"/>
          <w:szCs w:val="24"/>
          <w:u w:val="single"/>
        </w:rPr>
      </w:pPr>
      <w:r w:rsidRPr="008D0B25">
        <w:rPr>
          <w:rFonts w:ascii="Times New Roman" w:hAnsi="Times New Roman" w:cs="Times New Roman"/>
          <w:b/>
          <w:color w:val="FF0000"/>
          <w:sz w:val="24"/>
          <w:szCs w:val="24"/>
          <w:u w:val="single"/>
        </w:rPr>
        <w:t>Y el BCE, que no participa en esta decisión mancomunada de políticos más que de oyente, tendrá que practicar, como si de eurobonos se tratase, la compra de último recurso y cebar su balance inflacionista hasta niveles que dejarán los de hoy en poca cosa</w:t>
      </w:r>
      <w:r w:rsidRPr="00897DE6">
        <w:rPr>
          <w:rFonts w:ascii="Times New Roman" w:hAnsi="Times New Roman" w:cs="Times New Roman"/>
          <w:sz w:val="24"/>
          <w:szCs w:val="24"/>
        </w:rPr>
        <w:t xml:space="preserve">. Tendrá dificultades añadidas para evitar la fragmentación y para aplicar con coherencia su política monetaria, que surgen con cualquier episodio crítico. </w:t>
      </w:r>
      <w:r w:rsidRPr="008D0B25">
        <w:rPr>
          <w:rFonts w:ascii="Times New Roman" w:hAnsi="Times New Roman" w:cs="Times New Roman"/>
          <w:color w:val="FF0000"/>
          <w:sz w:val="24"/>
          <w:szCs w:val="24"/>
          <w:u w:val="single"/>
        </w:rPr>
        <w:t xml:space="preserve">Hoy, como ayer y como mañana, el euro precisa de unión fiscal, unión política y unión financiera para sobrevivir a todas las turbulencias. Mientras no se cierre el círculo, el euro seguirá siendo, en buena </w:t>
      </w:r>
      <w:r w:rsidRPr="008D0B25">
        <w:rPr>
          <w:rFonts w:ascii="Times New Roman" w:hAnsi="Times New Roman" w:cs="Times New Roman"/>
          <w:color w:val="FF0000"/>
          <w:sz w:val="24"/>
          <w:szCs w:val="24"/>
          <w:u w:val="single"/>
        </w:rPr>
        <w:lastRenderedPageBreak/>
        <w:t>medida, la ficción con la que en su día lo calificó Miguel Boyer, quien primero formó parte de la co</w:t>
      </w:r>
      <w:r>
        <w:rPr>
          <w:rFonts w:ascii="Times New Roman" w:hAnsi="Times New Roman" w:cs="Times New Roman"/>
          <w:color w:val="FF0000"/>
          <w:sz w:val="24"/>
          <w:szCs w:val="24"/>
          <w:u w:val="single"/>
        </w:rPr>
        <w:t>misión de sabios que lo diseñó.</w:t>
      </w:r>
    </w:p>
    <w:p w:rsidR="007E3D39" w:rsidRDefault="007E3D39" w:rsidP="007E3D39">
      <w:pPr>
        <w:spacing w:line="240" w:lineRule="auto"/>
        <w:jc w:val="both"/>
        <w:rPr>
          <w:rFonts w:ascii="Times New Roman" w:hAnsi="Times New Roman" w:cs="Times New Roman"/>
          <w:sz w:val="24"/>
          <w:szCs w:val="24"/>
        </w:rPr>
      </w:pPr>
      <w:r w:rsidRPr="00220682">
        <w:rPr>
          <w:rFonts w:ascii="Times New Roman" w:hAnsi="Times New Roman" w:cs="Times New Roman"/>
          <w:noProof/>
          <w:sz w:val="24"/>
          <w:szCs w:val="24"/>
          <w:lang w:eastAsia="es-ES"/>
        </w:rPr>
        <w:drawing>
          <wp:inline distT="0" distB="0" distL="0" distR="0" wp14:anchorId="5EB6601E" wp14:editId="15925763">
            <wp:extent cx="5727700" cy="3962400"/>
            <wp:effectExtent l="0" t="0" r="6350" b="0"/>
            <wp:docPr id="85" name="Imagen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5731510" cy="3965036"/>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(El Economista - </w:t>
      </w:r>
      <w:r w:rsidRPr="000921CD">
        <w:rPr>
          <w:rFonts w:ascii="Times New Roman" w:hAnsi="Times New Roman" w:cs="Times New Roman"/>
          <w:b/>
          <w:sz w:val="24"/>
          <w:szCs w:val="24"/>
        </w:rPr>
        <w:t>2/5/23</w:t>
      </w:r>
      <w:r>
        <w:rPr>
          <w:rFonts w:ascii="Times New Roman" w:hAnsi="Times New Roman" w:cs="Times New Roman"/>
          <w:sz w:val="24"/>
          <w:szCs w:val="24"/>
        </w:rPr>
        <w:t>)</w:t>
      </w:r>
    </w:p>
    <w:p w:rsidR="007E3D39" w:rsidRDefault="007E3D39" w:rsidP="007E3D39">
      <w:pPr>
        <w:shd w:val="clear" w:color="auto" w:fill="F9F8F2"/>
        <w:spacing w:after="0" w:line="240" w:lineRule="auto"/>
        <w:jc w:val="both"/>
        <w:rPr>
          <w:rFonts w:ascii="Times New Roman" w:hAnsi="Times New Roman" w:cs="Times New Roman"/>
          <w:sz w:val="24"/>
          <w:szCs w:val="24"/>
          <w:shd w:val="clear" w:color="auto" w:fill="FFFFFF"/>
        </w:rPr>
      </w:pPr>
      <w:r w:rsidRPr="00210ADA">
        <w:rPr>
          <w:rFonts w:ascii="Times New Roman" w:hAnsi="Times New Roman" w:cs="Times New Roman"/>
          <w:sz w:val="24"/>
          <w:szCs w:val="24"/>
          <w:shd w:val="clear" w:color="auto" w:fill="FFFFFF"/>
        </w:rPr>
        <w:t> </w:t>
      </w:r>
      <w:r>
        <w:rPr>
          <w:rFonts w:ascii="Times New Roman" w:hAnsi="Times New Roman" w:cs="Times New Roman"/>
          <w:sz w:val="24"/>
          <w:szCs w:val="24"/>
          <w:shd w:val="clear" w:color="auto" w:fill="FFFFFF"/>
        </w:rPr>
        <w:t xml:space="preserve">- </w:t>
      </w:r>
      <w:r w:rsidRPr="00210ADA">
        <w:rPr>
          <w:rFonts w:ascii="Times New Roman" w:hAnsi="Times New Roman" w:cs="Times New Roman"/>
          <w:sz w:val="24"/>
          <w:szCs w:val="24"/>
          <w:u w:val="single"/>
          <w:shd w:val="clear" w:color="auto" w:fill="FFFFFF"/>
        </w:rPr>
        <w:t>La ingobernable rebaja de la calificación crediticia de Francia es solo el principio de la crisis de deuda</w:t>
      </w:r>
      <w:r>
        <w:rPr>
          <w:rFonts w:ascii="Times New Roman" w:hAnsi="Times New Roman" w:cs="Times New Roman"/>
          <w:sz w:val="24"/>
          <w:szCs w:val="24"/>
          <w:shd w:val="clear" w:color="auto" w:fill="FFFFFF"/>
        </w:rPr>
        <w:t xml:space="preserve"> (El Economista - </w:t>
      </w:r>
      <w:r w:rsidRPr="00210ADA">
        <w:rPr>
          <w:rFonts w:ascii="Times New Roman" w:hAnsi="Times New Roman" w:cs="Times New Roman"/>
          <w:b/>
          <w:sz w:val="24"/>
          <w:szCs w:val="24"/>
          <w:shd w:val="clear" w:color="auto" w:fill="FFFFFF"/>
        </w:rPr>
        <w:t>8/5/23</w:t>
      </w:r>
      <w:r>
        <w:rPr>
          <w:rFonts w:ascii="Times New Roman" w:hAnsi="Times New Roman" w:cs="Times New Roman"/>
          <w:sz w:val="24"/>
          <w:szCs w:val="24"/>
          <w:shd w:val="clear" w:color="auto" w:fill="FFFFFF"/>
        </w:rPr>
        <w:t>)</w:t>
      </w:r>
    </w:p>
    <w:p w:rsidR="007E3D39" w:rsidRPr="00210ADA" w:rsidRDefault="007E3D39" w:rsidP="007E3D39">
      <w:pPr>
        <w:shd w:val="clear" w:color="auto" w:fill="F9F8F2"/>
        <w:spacing w:after="0" w:line="240" w:lineRule="auto"/>
        <w:jc w:val="both"/>
        <w:rPr>
          <w:rFonts w:ascii="Times New Roman" w:hAnsi="Times New Roman" w:cs="Times New Roman"/>
          <w:sz w:val="24"/>
          <w:szCs w:val="24"/>
          <w:shd w:val="clear" w:color="auto" w:fill="FFFFFF"/>
        </w:rPr>
      </w:pPr>
    </w:p>
    <w:p w:rsidR="007E3D39" w:rsidRPr="00503907" w:rsidRDefault="007E3D39" w:rsidP="007E3D39">
      <w:pPr>
        <w:shd w:val="clear" w:color="auto" w:fill="F9F8F2"/>
        <w:spacing w:after="0" w:line="240" w:lineRule="auto"/>
        <w:jc w:val="both"/>
        <w:rPr>
          <w:rFonts w:ascii="Times New Roman" w:hAnsi="Times New Roman" w:cs="Times New Roman"/>
          <w:color w:val="FF0000"/>
          <w:sz w:val="24"/>
          <w:szCs w:val="24"/>
          <w:shd w:val="clear" w:color="auto" w:fill="FFFFFF"/>
        </w:rPr>
      </w:pPr>
      <w:r w:rsidRPr="00503907">
        <w:rPr>
          <w:rFonts w:ascii="Times New Roman" w:hAnsi="Times New Roman" w:cs="Times New Roman"/>
          <w:color w:val="FF0000"/>
          <w:sz w:val="24"/>
          <w:szCs w:val="24"/>
          <w:shd w:val="clear" w:color="auto" w:fill="FFFFFF"/>
        </w:rPr>
        <w:t>Toda Europa se enfrenta a una posible crisis de deuda tras años de despilfarro</w:t>
      </w:r>
    </w:p>
    <w:p w:rsidR="007E3D39" w:rsidRPr="00503907" w:rsidRDefault="007E3D39" w:rsidP="007E3D39">
      <w:pPr>
        <w:shd w:val="clear" w:color="auto" w:fill="F9F8F2"/>
        <w:spacing w:after="0" w:line="240" w:lineRule="auto"/>
        <w:jc w:val="both"/>
        <w:rPr>
          <w:rFonts w:ascii="Times New Roman" w:hAnsi="Times New Roman" w:cs="Times New Roman"/>
          <w:color w:val="FF0000"/>
          <w:sz w:val="24"/>
          <w:szCs w:val="24"/>
          <w:shd w:val="clear" w:color="auto" w:fill="FFFFFF"/>
        </w:rPr>
      </w:pPr>
      <w:r w:rsidRPr="00503907">
        <w:rPr>
          <w:rFonts w:ascii="Times New Roman" w:hAnsi="Times New Roman" w:cs="Times New Roman"/>
          <w:color w:val="FF0000"/>
          <w:sz w:val="24"/>
          <w:szCs w:val="24"/>
          <w:shd w:val="clear" w:color="auto" w:fill="FFFFFF"/>
        </w:rPr>
        <w:t>Macron ya no tiene ningún plan creíble para reducir la deuda, ni ningún posible sucesor</w:t>
      </w:r>
    </w:p>
    <w:p w:rsidR="007E3D39" w:rsidRPr="00503907" w:rsidRDefault="007E3D39" w:rsidP="007E3D39">
      <w:pPr>
        <w:shd w:val="clear" w:color="auto" w:fill="F9F8F2"/>
        <w:spacing w:after="0" w:line="240" w:lineRule="auto"/>
        <w:jc w:val="both"/>
        <w:rPr>
          <w:rFonts w:ascii="Times New Roman" w:hAnsi="Times New Roman" w:cs="Times New Roman"/>
          <w:color w:val="FF0000"/>
          <w:sz w:val="24"/>
          <w:szCs w:val="24"/>
          <w:shd w:val="clear" w:color="auto" w:fill="FFFFFF"/>
        </w:rPr>
      </w:pPr>
    </w:p>
    <w:p w:rsidR="007E3D39" w:rsidRDefault="007E3D39" w:rsidP="007E3D39">
      <w:pPr>
        <w:shd w:val="clear" w:color="auto" w:fill="F9F8F2"/>
        <w:spacing w:after="0"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 xml:space="preserve">(Por </w:t>
      </w:r>
      <w:r w:rsidRPr="00210ADA">
        <w:rPr>
          <w:rFonts w:ascii="Times New Roman" w:hAnsi="Times New Roman" w:cs="Times New Roman"/>
          <w:sz w:val="24"/>
          <w:szCs w:val="24"/>
          <w:shd w:val="clear" w:color="auto" w:fill="FFFFFF"/>
        </w:rPr>
        <w:t>Matthew Lynn</w:t>
      </w:r>
      <w:r>
        <w:rPr>
          <w:rFonts w:ascii="Times New Roman" w:hAnsi="Times New Roman" w:cs="Times New Roman"/>
          <w:sz w:val="24"/>
          <w:szCs w:val="24"/>
          <w:shd w:val="clear" w:color="auto" w:fill="FFFFFF"/>
        </w:rPr>
        <w:t>)</w:t>
      </w:r>
    </w:p>
    <w:p w:rsidR="007E3D39" w:rsidRPr="00210ADA" w:rsidRDefault="007E3D39" w:rsidP="007E3D39">
      <w:pPr>
        <w:shd w:val="clear" w:color="auto" w:fill="F9F8F2"/>
        <w:spacing w:after="0" w:line="240" w:lineRule="auto"/>
        <w:jc w:val="both"/>
        <w:rPr>
          <w:rFonts w:ascii="Times New Roman" w:hAnsi="Times New Roman" w:cs="Times New Roman"/>
          <w:sz w:val="24"/>
          <w:szCs w:val="24"/>
          <w:shd w:val="clear" w:color="auto" w:fill="FFFFFF"/>
        </w:rPr>
      </w:pPr>
    </w:p>
    <w:p w:rsidR="007E3D39" w:rsidRPr="00210ADA" w:rsidRDefault="007E3D39" w:rsidP="007E3D39">
      <w:pPr>
        <w:shd w:val="clear" w:color="auto" w:fill="F9F8F2"/>
        <w:spacing w:after="0" w:line="240" w:lineRule="auto"/>
        <w:jc w:val="both"/>
        <w:rPr>
          <w:rFonts w:ascii="Times New Roman" w:hAnsi="Times New Roman" w:cs="Times New Roman"/>
          <w:sz w:val="24"/>
          <w:szCs w:val="24"/>
          <w:shd w:val="clear" w:color="auto" w:fill="FFFFFF"/>
        </w:rPr>
      </w:pPr>
      <w:r w:rsidRPr="00210ADA">
        <w:rPr>
          <w:rFonts w:ascii="Times New Roman" w:hAnsi="Times New Roman" w:cs="Times New Roman"/>
          <w:sz w:val="24"/>
          <w:szCs w:val="24"/>
          <w:shd w:val="clear" w:color="auto" w:fill="FFFFFF"/>
        </w:rPr>
        <w:t>Los vuelos fueron cancelados mientras los controladores aéreos se ausentaban del trabajo. Muchos trenes no circulaban. Los contenedores seguían sin vaciarse y las calles se llenaron de manifestantes. El pasado lunes, día del trabajo en Francia, las protestas contra los pequeños retoques del presidente Macron a las normas sobre pensiones no fueron tan violentas como algunos de los disturbios que se produjeron en el punto álgido de la crisis. Pero la oposición sigue siendo tan potente como siempre.</w:t>
      </w:r>
    </w:p>
    <w:p w:rsidR="007E3D39" w:rsidRPr="00210ADA" w:rsidRDefault="007E3D39" w:rsidP="007E3D39">
      <w:pPr>
        <w:shd w:val="clear" w:color="auto" w:fill="F9F8F2"/>
        <w:spacing w:after="0" w:line="240" w:lineRule="auto"/>
        <w:jc w:val="both"/>
        <w:rPr>
          <w:rFonts w:ascii="Times New Roman" w:hAnsi="Times New Roman" w:cs="Times New Roman"/>
          <w:sz w:val="24"/>
          <w:szCs w:val="24"/>
          <w:shd w:val="clear" w:color="auto" w:fill="FFFFFF"/>
        </w:rPr>
      </w:pPr>
    </w:p>
    <w:p w:rsidR="007E3D39" w:rsidRPr="00503907" w:rsidRDefault="007E3D39" w:rsidP="007E3D39">
      <w:pPr>
        <w:shd w:val="clear" w:color="auto" w:fill="F9F8F2"/>
        <w:spacing w:after="0" w:line="240" w:lineRule="auto"/>
        <w:jc w:val="both"/>
        <w:rPr>
          <w:rFonts w:ascii="Times New Roman" w:hAnsi="Times New Roman" w:cs="Times New Roman"/>
          <w:color w:val="FF0000"/>
          <w:sz w:val="24"/>
          <w:szCs w:val="24"/>
          <w:u w:val="single"/>
          <w:shd w:val="clear" w:color="auto" w:fill="FFFFFF"/>
        </w:rPr>
      </w:pPr>
      <w:r w:rsidRPr="00210ADA">
        <w:rPr>
          <w:rFonts w:ascii="Times New Roman" w:hAnsi="Times New Roman" w:cs="Times New Roman"/>
          <w:sz w:val="24"/>
          <w:szCs w:val="24"/>
          <w:shd w:val="clear" w:color="auto" w:fill="FFFFFF"/>
        </w:rPr>
        <w:t xml:space="preserve">Sin embargo, ese no es ni mucho menos el peor de los retos de Macron. </w:t>
      </w:r>
      <w:r w:rsidRPr="00503907">
        <w:rPr>
          <w:rFonts w:ascii="Times New Roman" w:hAnsi="Times New Roman" w:cs="Times New Roman"/>
          <w:color w:val="FF0000"/>
          <w:sz w:val="24"/>
          <w:szCs w:val="24"/>
          <w:u w:val="single"/>
          <w:shd w:val="clear" w:color="auto" w:fill="FFFFFF"/>
        </w:rPr>
        <w:t xml:space="preserve">La semana pasada, la agencia de calificación Fitch rebajó la calificación de la deuda francesa, la primera gran rebaja de una economía desarrollada en años. Y eso es sólo el principio. Francia se encuentra ahora atrapada en un círculo vicioso, en el que incluso reformas perfectamente sensatas desencadenan una oleada de protestas, lo que obliga a nuevas rebajas de la calificación a medida que se hace evidente la imposibilidad del cambio, aumentando el coste de todo el </w:t>
      </w:r>
      <w:r w:rsidRPr="00503907">
        <w:rPr>
          <w:rFonts w:ascii="Times New Roman" w:hAnsi="Times New Roman" w:cs="Times New Roman"/>
          <w:color w:val="FF0000"/>
          <w:sz w:val="24"/>
          <w:szCs w:val="24"/>
          <w:u w:val="single"/>
          <w:shd w:val="clear" w:color="auto" w:fill="FFFFFF"/>
        </w:rPr>
        <w:lastRenderedPageBreak/>
        <w:t>dinero que el Estado tiene que seguir pidiendo prestado. Sólo hay un punto final probable. Una crisis de la deuda soberana en toda regla, con París como centro de la tormenta.</w:t>
      </w:r>
    </w:p>
    <w:p w:rsidR="007E3D39" w:rsidRPr="00210ADA" w:rsidRDefault="007E3D39" w:rsidP="007E3D39">
      <w:pPr>
        <w:shd w:val="clear" w:color="auto" w:fill="F9F8F2"/>
        <w:spacing w:after="0" w:line="240" w:lineRule="auto"/>
        <w:jc w:val="both"/>
        <w:rPr>
          <w:rFonts w:ascii="Times New Roman" w:hAnsi="Times New Roman" w:cs="Times New Roman"/>
          <w:sz w:val="24"/>
          <w:szCs w:val="24"/>
          <w:shd w:val="clear" w:color="auto" w:fill="FFFFFF"/>
        </w:rPr>
      </w:pPr>
    </w:p>
    <w:p w:rsidR="007E3D39" w:rsidRPr="00503907" w:rsidRDefault="007E3D39" w:rsidP="007E3D39">
      <w:pPr>
        <w:shd w:val="clear" w:color="auto" w:fill="F9F8F2"/>
        <w:spacing w:after="0" w:line="240" w:lineRule="auto"/>
        <w:jc w:val="both"/>
        <w:rPr>
          <w:rFonts w:ascii="Times New Roman" w:hAnsi="Times New Roman" w:cs="Times New Roman"/>
          <w:sz w:val="24"/>
          <w:szCs w:val="24"/>
          <w:u w:val="single"/>
          <w:shd w:val="clear" w:color="auto" w:fill="FFFFFF"/>
        </w:rPr>
      </w:pPr>
      <w:r w:rsidRPr="00210ADA">
        <w:rPr>
          <w:rFonts w:ascii="Times New Roman" w:hAnsi="Times New Roman" w:cs="Times New Roman"/>
          <w:sz w:val="24"/>
          <w:szCs w:val="24"/>
          <w:shd w:val="clear" w:color="auto" w:fill="FFFFFF"/>
        </w:rPr>
        <w:t xml:space="preserve">En Francia, el 1 de mayo siempre está marcado por manifestaciones sindicales. Pero este año han tenido una potencia adicional. </w:t>
      </w:r>
      <w:r w:rsidRPr="00503907">
        <w:rPr>
          <w:rFonts w:ascii="Times New Roman" w:hAnsi="Times New Roman" w:cs="Times New Roman"/>
          <w:sz w:val="24"/>
          <w:szCs w:val="24"/>
          <w:u w:val="single"/>
          <w:shd w:val="clear" w:color="auto" w:fill="FFFFFF"/>
        </w:rPr>
        <w:t>La determinación del presidente Macron de imponer una reforma del costoso sistema de pensiones del país sin la aprobación del Parlamento ha provocado el peor estallido de descontento social en años</w:t>
      </w:r>
      <w:r w:rsidRPr="00210ADA">
        <w:rPr>
          <w:rFonts w:ascii="Times New Roman" w:hAnsi="Times New Roman" w:cs="Times New Roman"/>
          <w:sz w:val="24"/>
          <w:szCs w:val="24"/>
          <w:shd w:val="clear" w:color="auto" w:fill="FFFFFF"/>
        </w:rPr>
        <w:t xml:space="preserve">. Es cierto que la reforma en sí es bastante menor, y que debería haberse hecho hace mucho tiempo, ya que eleva la edad de jubilación a 64 años durante varios años, una edad mucho más baja que la mayoría de las otras grandes economías. Pero sigue siendo totalmente inaceptable para la opinión pública francesa. </w:t>
      </w:r>
      <w:r w:rsidRPr="00503907">
        <w:rPr>
          <w:rFonts w:ascii="Times New Roman" w:hAnsi="Times New Roman" w:cs="Times New Roman"/>
          <w:sz w:val="24"/>
          <w:szCs w:val="24"/>
          <w:u w:val="single"/>
          <w:shd w:val="clear" w:color="auto" w:fill="FFFFFF"/>
        </w:rPr>
        <w:t>Es posible que Macron pueda forzar su aprobación y sobrevivir en el cargo hasta el final de su mandato. El problema es que es poco probable que pueda hacer más cambios, y nadie puede argumentar seriamente que los ajustes al sistema de pensiones son algo más que un pequeño paso hacia la modernización de la economía francesa.</w:t>
      </w:r>
    </w:p>
    <w:p w:rsidR="007E3D39" w:rsidRPr="00210ADA" w:rsidRDefault="007E3D39" w:rsidP="007E3D39">
      <w:pPr>
        <w:shd w:val="clear" w:color="auto" w:fill="F9F8F2"/>
        <w:spacing w:after="0" w:line="240" w:lineRule="auto"/>
        <w:jc w:val="both"/>
        <w:rPr>
          <w:rFonts w:ascii="Times New Roman" w:hAnsi="Times New Roman" w:cs="Times New Roman"/>
          <w:sz w:val="24"/>
          <w:szCs w:val="24"/>
          <w:shd w:val="clear" w:color="auto" w:fill="FFFFFF"/>
        </w:rPr>
      </w:pPr>
    </w:p>
    <w:p w:rsidR="007E3D39" w:rsidRPr="00503907" w:rsidRDefault="007E3D39" w:rsidP="007E3D39">
      <w:pPr>
        <w:shd w:val="clear" w:color="auto" w:fill="F9F8F2"/>
        <w:spacing w:after="0" w:line="240" w:lineRule="auto"/>
        <w:jc w:val="both"/>
        <w:rPr>
          <w:rFonts w:ascii="Times New Roman" w:hAnsi="Times New Roman" w:cs="Times New Roman"/>
          <w:sz w:val="24"/>
          <w:szCs w:val="24"/>
          <w:u w:val="single"/>
          <w:shd w:val="clear" w:color="auto" w:fill="FFFFFF"/>
        </w:rPr>
      </w:pPr>
      <w:r w:rsidRPr="00503907">
        <w:rPr>
          <w:rFonts w:ascii="Times New Roman" w:hAnsi="Times New Roman" w:cs="Times New Roman"/>
          <w:sz w:val="24"/>
          <w:szCs w:val="24"/>
          <w:u w:val="single"/>
          <w:shd w:val="clear" w:color="auto" w:fill="FFFFFF"/>
        </w:rPr>
        <w:t>Por si fuera poco, los inversores mundiales han empezado a darse cuenta de que Francia se está volviendo ingobernable.</w:t>
      </w:r>
    </w:p>
    <w:p w:rsidR="007E3D39" w:rsidRPr="00503907" w:rsidRDefault="007E3D39" w:rsidP="007E3D39">
      <w:pPr>
        <w:shd w:val="clear" w:color="auto" w:fill="F9F8F2"/>
        <w:spacing w:after="0" w:line="240" w:lineRule="auto"/>
        <w:jc w:val="both"/>
        <w:rPr>
          <w:rFonts w:ascii="Times New Roman" w:hAnsi="Times New Roman" w:cs="Times New Roman"/>
          <w:sz w:val="24"/>
          <w:szCs w:val="24"/>
          <w:u w:val="single"/>
          <w:shd w:val="clear" w:color="auto" w:fill="FFFFFF"/>
        </w:rPr>
      </w:pPr>
    </w:p>
    <w:p w:rsidR="007E3D39" w:rsidRPr="00503907" w:rsidRDefault="007E3D39" w:rsidP="007E3D39">
      <w:pPr>
        <w:shd w:val="clear" w:color="auto" w:fill="F9F8F2"/>
        <w:spacing w:after="0" w:line="240" w:lineRule="auto"/>
        <w:jc w:val="both"/>
        <w:rPr>
          <w:rFonts w:ascii="Times New Roman" w:hAnsi="Times New Roman" w:cs="Times New Roman"/>
          <w:sz w:val="24"/>
          <w:szCs w:val="24"/>
          <w:u w:val="single"/>
          <w:shd w:val="clear" w:color="auto" w:fill="FFFFFF"/>
        </w:rPr>
      </w:pPr>
      <w:r w:rsidRPr="00503907">
        <w:rPr>
          <w:rFonts w:ascii="Times New Roman" w:hAnsi="Times New Roman" w:cs="Times New Roman"/>
          <w:color w:val="FF0000"/>
          <w:sz w:val="24"/>
          <w:szCs w:val="24"/>
          <w:u w:val="single"/>
          <w:shd w:val="clear" w:color="auto" w:fill="FFFFFF"/>
        </w:rPr>
        <w:t>Hace dos semanas, Fitch rebajó la calif</w:t>
      </w:r>
      <w:r>
        <w:rPr>
          <w:rFonts w:ascii="Times New Roman" w:hAnsi="Times New Roman" w:cs="Times New Roman"/>
          <w:color w:val="FF0000"/>
          <w:sz w:val="24"/>
          <w:szCs w:val="24"/>
          <w:u w:val="single"/>
          <w:shd w:val="clear" w:color="auto" w:fill="FFFFFF"/>
        </w:rPr>
        <w:t>icación de la deuda del país a “AA-minus”</w:t>
      </w:r>
      <w:r w:rsidRPr="00503907">
        <w:rPr>
          <w:rFonts w:ascii="Times New Roman" w:hAnsi="Times New Roman" w:cs="Times New Roman"/>
          <w:color w:val="FF0000"/>
          <w:sz w:val="24"/>
          <w:szCs w:val="24"/>
          <w:u w:val="single"/>
          <w:shd w:val="clear" w:color="auto" w:fill="FFFFFF"/>
        </w:rPr>
        <w:t>, la última de una dolorosa serie de rebajas desde que perdió su estatus de Triple A en 2012</w:t>
      </w:r>
      <w:r>
        <w:rPr>
          <w:rFonts w:ascii="Times New Roman" w:hAnsi="Times New Roman" w:cs="Times New Roman"/>
          <w:sz w:val="24"/>
          <w:szCs w:val="24"/>
          <w:shd w:val="clear" w:color="auto" w:fill="FFFFFF"/>
        </w:rPr>
        <w:t>. “</w:t>
      </w:r>
      <w:r w:rsidRPr="00210ADA">
        <w:rPr>
          <w:rFonts w:ascii="Times New Roman" w:hAnsi="Times New Roman" w:cs="Times New Roman"/>
          <w:sz w:val="24"/>
          <w:szCs w:val="24"/>
          <w:shd w:val="clear" w:color="auto" w:fill="FFFFFF"/>
        </w:rPr>
        <w:t>El estancamiento político y los movimientos sociales (a veces violentos) suponen un riesgo para la agenda reformista de Macron y podrían crear presiones para una política fiscal más expansiva o una rever</w:t>
      </w:r>
      <w:r>
        <w:rPr>
          <w:rFonts w:ascii="Times New Roman" w:hAnsi="Times New Roman" w:cs="Times New Roman"/>
          <w:sz w:val="24"/>
          <w:szCs w:val="24"/>
          <w:shd w:val="clear" w:color="auto" w:fill="FFFFFF"/>
        </w:rPr>
        <w:t>sión de las reformas anteriores”</w:t>
      </w:r>
      <w:r w:rsidRPr="00210ADA">
        <w:rPr>
          <w:rFonts w:ascii="Times New Roman" w:hAnsi="Times New Roman" w:cs="Times New Roman"/>
          <w:sz w:val="24"/>
          <w:szCs w:val="24"/>
          <w:shd w:val="clear" w:color="auto" w:fill="FFFFFF"/>
        </w:rPr>
        <w:t xml:space="preserve">, señaló secamente la agencia, añadiendo que </w:t>
      </w:r>
      <w:r>
        <w:rPr>
          <w:rFonts w:ascii="Times New Roman" w:hAnsi="Times New Roman" w:cs="Times New Roman"/>
          <w:sz w:val="24"/>
          <w:szCs w:val="24"/>
          <w:u w:val="single"/>
          <w:shd w:val="clear" w:color="auto" w:fill="FFFFFF"/>
        </w:rPr>
        <w:t>sus “</w:t>
      </w:r>
      <w:r w:rsidRPr="00503907">
        <w:rPr>
          <w:rFonts w:ascii="Times New Roman" w:hAnsi="Times New Roman" w:cs="Times New Roman"/>
          <w:sz w:val="24"/>
          <w:szCs w:val="24"/>
          <w:u w:val="single"/>
          <w:shd w:val="clear" w:color="auto" w:fill="FFFFFF"/>
        </w:rPr>
        <w:t>métricas fiscales son m</w:t>
      </w:r>
      <w:r>
        <w:rPr>
          <w:rFonts w:ascii="Times New Roman" w:hAnsi="Times New Roman" w:cs="Times New Roman"/>
          <w:sz w:val="24"/>
          <w:szCs w:val="24"/>
          <w:u w:val="single"/>
          <w:shd w:val="clear" w:color="auto" w:fill="FFFFFF"/>
        </w:rPr>
        <w:t>ás débiles que las de sus pares”</w:t>
      </w:r>
      <w:r w:rsidRPr="00503907">
        <w:rPr>
          <w:rFonts w:ascii="Times New Roman" w:hAnsi="Times New Roman" w:cs="Times New Roman"/>
          <w:sz w:val="24"/>
          <w:szCs w:val="24"/>
          <w:u w:val="single"/>
          <w:shd w:val="clear" w:color="auto" w:fill="FFFFFF"/>
        </w:rPr>
        <w:t>.</w:t>
      </w:r>
      <w:r w:rsidRPr="00210ADA">
        <w:rPr>
          <w:rFonts w:ascii="Times New Roman" w:hAnsi="Times New Roman" w:cs="Times New Roman"/>
          <w:sz w:val="24"/>
          <w:szCs w:val="24"/>
          <w:shd w:val="clear" w:color="auto" w:fill="FFFFFF"/>
        </w:rPr>
        <w:t xml:space="preserve"> </w:t>
      </w:r>
      <w:r w:rsidRPr="00503907">
        <w:rPr>
          <w:rFonts w:ascii="Times New Roman" w:hAnsi="Times New Roman" w:cs="Times New Roman"/>
          <w:sz w:val="24"/>
          <w:szCs w:val="24"/>
          <w:u w:val="single"/>
          <w:shd w:val="clear" w:color="auto" w:fill="FFFFFF"/>
        </w:rPr>
        <w:t>Sería difícil no estar de acuerdo con este sombrío veredicto. Mientras otros países, como el Reino Unido, se acercan poco a poco al equilibrio presupuestario, se espera que el déficit de Francia se mantenga en el 5 % del PIB este año, y muestra pocos signos de reducirse pronto.</w:t>
      </w:r>
    </w:p>
    <w:p w:rsidR="007E3D39" w:rsidRPr="00210ADA" w:rsidRDefault="007E3D39" w:rsidP="007E3D39">
      <w:pPr>
        <w:shd w:val="clear" w:color="auto" w:fill="F9F8F2"/>
        <w:spacing w:after="0" w:line="240" w:lineRule="auto"/>
        <w:jc w:val="both"/>
        <w:rPr>
          <w:rFonts w:ascii="Times New Roman" w:hAnsi="Times New Roman" w:cs="Times New Roman"/>
          <w:sz w:val="24"/>
          <w:szCs w:val="24"/>
          <w:shd w:val="clear" w:color="auto" w:fill="FFFFFF"/>
        </w:rPr>
      </w:pPr>
    </w:p>
    <w:p w:rsidR="007E3D39" w:rsidRPr="00503907" w:rsidRDefault="007E3D39" w:rsidP="007E3D39">
      <w:pPr>
        <w:shd w:val="clear" w:color="auto" w:fill="F9F8F2"/>
        <w:spacing w:after="0" w:line="240" w:lineRule="auto"/>
        <w:jc w:val="both"/>
        <w:rPr>
          <w:rFonts w:ascii="Times New Roman" w:hAnsi="Times New Roman" w:cs="Times New Roman"/>
          <w:color w:val="FF0000"/>
          <w:sz w:val="24"/>
          <w:szCs w:val="24"/>
          <w:u w:val="single"/>
          <w:shd w:val="clear" w:color="auto" w:fill="FFFFFF"/>
        </w:rPr>
      </w:pPr>
      <w:r w:rsidRPr="00503907">
        <w:rPr>
          <w:rFonts w:ascii="Times New Roman" w:hAnsi="Times New Roman" w:cs="Times New Roman"/>
          <w:color w:val="FF0000"/>
          <w:sz w:val="24"/>
          <w:szCs w:val="24"/>
          <w:u w:val="single"/>
          <w:shd w:val="clear" w:color="auto" w:fill="FFFFFF"/>
        </w:rPr>
        <w:t>En realidad, las cifras de la deuda francesa son aterradoras. La deuda total del Estado asciende a 112 puntos porcentuales del PIB, muy por encima de los 100 puntos porcentuales del Reino Unido o los 66 puntos porcentuales de Alemania, y aumenta cada año que pasa. Su deuda pública ha superado a la de Italia, en términos absolutos, si no en porcentaje del PIB, y ahora es el tercer país más endeudado del mundo después de Estados Unidos y Japón, ambos mucho más grandes.</w:t>
      </w:r>
    </w:p>
    <w:p w:rsidR="007E3D39" w:rsidRPr="00210ADA" w:rsidRDefault="007E3D39" w:rsidP="007E3D39">
      <w:pPr>
        <w:shd w:val="clear" w:color="auto" w:fill="F9F8F2"/>
        <w:spacing w:after="0" w:line="240" w:lineRule="auto"/>
        <w:jc w:val="both"/>
        <w:rPr>
          <w:rFonts w:ascii="Times New Roman" w:hAnsi="Times New Roman" w:cs="Times New Roman"/>
          <w:sz w:val="24"/>
          <w:szCs w:val="24"/>
          <w:shd w:val="clear" w:color="auto" w:fill="FFFFFF"/>
        </w:rPr>
      </w:pPr>
    </w:p>
    <w:p w:rsidR="007E3D39" w:rsidRPr="00503907" w:rsidRDefault="007E3D39" w:rsidP="007E3D39">
      <w:pPr>
        <w:shd w:val="clear" w:color="auto" w:fill="F9F8F2"/>
        <w:spacing w:after="0" w:line="240" w:lineRule="auto"/>
        <w:jc w:val="both"/>
        <w:rPr>
          <w:rFonts w:ascii="Times New Roman" w:hAnsi="Times New Roman" w:cs="Times New Roman"/>
          <w:sz w:val="24"/>
          <w:szCs w:val="24"/>
          <w:u w:val="single"/>
          <w:shd w:val="clear" w:color="auto" w:fill="FFFFFF"/>
        </w:rPr>
      </w:pPr>
      <w:r w:rsidRPr="00503907">
        <w:rPr>
          <w:rFonts w:ascii="Times New Roman" w:hAnsi="Times New Roman" w:cs="Times New Roman"/>
          <w:color w:val="FF0000"/>
          <w:sz w:val="24"/>
          <w:szCs w:val="24"/>
          <w:u w:val="single"/>
          <w:shd w:val="clear" w:color="auto" w:fill="FFFFFF"/>
        </w:rPr>
        <w:t>De hecho, según cifras del Banco de Francia, este país representa por sí solo el 8,1% de la deuda mundial, sólo superado por Estados Unidos y casi el doble que Japón. Todo ese endeudamiento se utiliza principalmente para sostener un Estado financiado a manos llenas que representa ya el 55% de la economía, aplastando la vida de las empresas privadas</w:t>
      </w:r>
      <w:r w:rsidRPr="00210ADA">
        <w:rPr>
          <w:rFonts w:ascii="Times New Roman" w:hAnsi="Times New Roman" w:cs="Times New Roman"/>
          <w:sz w:val="24"/>
          <w:szCs w:val="24"/>
          <w:shd w:val="clear" w:color="auto" w:fill="FFFFFF"/>
        </w:rPr>
        <w:t xml:space="preserve">. Es cierto que tiene algunas empresas excepcionales, como el imperio del lujo LVMH, que recientemente se ha convertido en la primera megacapitalización europea de 500.000 millones de dólares, pero </w:t>
      </w:r>
      <w:r w:rsidRPr="00503907">
        <w:rPr>
          <w:rFonts w:ascii="Times New Roman" w:hAnsi="Times New Roman" w:cs="Times New Roman"/>
          <w:sz w:val="24"/>
          <w:szCs w:val="24"/>
          <w:u w:val="single"/>
          <w:shd w:val="clear" w:color="auto" w:fill="FFFFFF"/>
        </w:rPr>
        <w:t>si se excluyen las casas de moda, apenas quedan grandes industrias de importancia mundial.</w:t>
      </w:r>
      <w:r w:rsidRPr="00210ADA">
        <w:rPr>
          <w:rFonts w:ascii="Times New Roman" w:hAnsi="Times New Roman" w:cs="Times New Roman"/>
          <w:sz w:val="24"/>
          <w:szCs w:val="24"/>
          <w:shd w:val="clear" w:color="auto" w:fill="FFFFFF"/>
        </w:rPr>
        <w:t xml:space="preserve"> Y cuenta con excelentes infraestructuras. Pero lleva más de una década aprovechándose de estos activos sin generar un verdadero crecimiento. Macron hizo algunas reformas útiles en su primer mandato, especialmente para las empresas más pequeñas y tecnológicas, y eso ha ayudado a reducir el desempleo de forma significativa. Pero </w:t>
      </w:r>
      <w:r w:rsidRPr="00503907">
        <w:rPr>
          <w:rFonts w:ascii="Times New Roman" w:hAnsi="Times New Roman" w:cs="Times New Roman"/>
          <w:sz w:val="24"/>
          <w:szCs w:val="24"/>
          <w:u w:val="single"/>
          <w:shd w:val="clear" w:color="auto" w:fill="FFFFFF"/>
        </w:rPr>
        <w:t>las mejoras en su competitividad han sido marginales en el mejor de los casos, e irrelevantes en el peor. Francia sigue sin tener una industria tecnológica significativa, su déficit comercial no deja de aumentar y su tasa de paro sigue estancada en un nivel muy superior al de la mayoría de sus rivales.</w:t>
      </w:r>
    </w:p>
    <w:p w:rsidR="007E3D39" w:rsidRPr="00210ADA" w:rsidRDefault="007E3D39" w:rsidP="007E3D39">
      <w:pPr>
        <w:shd w:val="clear" w:color="auto" w:fill="F9F8F2"/>
        <w:spacing w:after="0" w:line="240" w:lineRule="auto"/>
        <w:jc w:val="both"/>
        <w:rPr>
          <w:rFonts w:ascii="Times New Roman" w:hAnsi="Times New Roman" w:cs="Times New Roman"/>
          <w:sz w:val="24"/>
          <w:szCs w:val="24"/>
          <w:shd w:val="clear" w:color="auto" w:fill="FFFFFF"/>
        </w:rPr>
      </w:pPr>
    </w:p>
    <w:p w:rsidR="007E3D39" w:rsidRPr="00210ADA" w:rsidRDefault="007E3D39" w:rsidP="007E3D39">
      <w:pPr>
        <w:shd w:val="clear" w:color="auto" w:fill="F9F8F2"/>
        <w:spacing w:after="0" w:line="240" w:lineRule="auto"/>
        <w:jc w:val="both"/>
        <w:rPr>
          <w:rFonts w:ascii="Times New Roman" w:hAnsi="Times New Roman" w:cs="Times New Roman"/>
          <w:sz w:val="24"/>
          <w:szCs w:val="24"/>
          <w:shd w:val="clear" w:color="auto" w:fill="FFFFFF"/>
        </w:rPr>
      </w:pPr>
      <w:r w:rsidRPr="00503907">
        <w:rPr>
          <w:rFonts w:ascii="Times New Roman" w:hAnsi="Times New Roman" w:cs="Times New Roman"/>
          <w:sz w:val="24"/>
          <w:szCs w:val="24"/>
          <w:u w:val="single"/>
          <w:shd w:val="clear" w:color="auto" w:fill="FFFFFF"/>
        </w:rPr>
        <w:t>Macron ya no tiene ningún plan creíble para reducir la deuda y tampoco lo tiene ninguno de sus posibles sucesores</w:t>
      </w:r>
      <w:r w:rsidRPr="00210ADA">
        <w:rPr>
          <w:rFonts w:ascii="Times New Roman" w:hAnsi="Times New Roman" w:cs="Times New Roman"/>
          <w:sz w:val="24"/>
          <w:szCs w:val="24"/>
          <w:shd w:val="clear" w:color="auto" w:fill="FFFFFF"/>
        </w:rPr>
        <w:t xml:space="preserve">. </w:t>
      </w:r>
      <w:r w:rsidRPr="00503907">
        <w:rPr>
          <w:rFonts w:ascii="Times New Roman" w:hAnsi="Times New Roman" w:cs="Times New Roman"/>
          <w:sz w:val="24"/>
          <w:szCs w:val="24"/>
          <w:u w:val="single"/>
          <w:shd w:val="clear" w:color="auto" w:fill="FFFFFF"/>
        </w:rPr>
        <w:t>E incluso pequeños retoques para reducir el gasto, como la reforma de las pensiones, son prácticamente imposibles. Los inversores han empezado a darse cuenta</w:t>
      </w:r>
      <w:r w:rsidRPr="00210ADA">
        <w:rPr>
          <w:rFonts w:ascii="Times New Roman" w:hAnsi="Times New Roman" w:cs="Times New Roman"/>
          <w:sz w:val="24"/>
          <w:szCs w:val="24"/>
          <w:shd w:val="clear" w:color="auto" w:fill="FFFFFF"/>
        </w:rPr>
        <w:t>. El rendimiento del bono francés a 10 años no ha dejado de subir en el último año, pasando de menos de 1,5 puntos porcentuales a cerca de 3 puntos porcentuales. Esto encarece el endeudamiento y el pago de los intereses de la deuda acumulada. Es cierto que los tipos de interés han subido en todo el mundo desarrollado, pero el diferencial con los tipos alemanes -un indicador clave de la imagen de Francia en los mercados- no ha dejado de aumentar.</w:t>
      </w:r>
    </w:p>
    <w:p w:rsidR="007E3D39" w:rsidRPr="00210ADA" w:rsidRDefault="007E3D39" w:rsidP="007E3D39">
      <w:pPr>
        <w:shd w:val="clear" w:color="auto" w:fill="F9F8F2"/>
        <w:spacing w:after="0" w:line="240" w:lineRule="auto"/>
        <w:jc w:val="both"/>
        <w:rPr>
          <w:rFonts w:ascii="Times New Roman" w:hAnsi="Times New Roman" w:cs="Times New Roman"/>
          <w:sz w:val="24"/>
          <w:szCs w:val="24"/>
          <w:shd w:val="clear" w:color="auto" w:fill="FFFFFF"/>
        </w:rPr>
      </w:pPr>
    </w:p>
    <w:p w:rsidR="007E3D39" w:rsidRDefault="007E3D39" w:rsidP="007E3D39">
      <w:pPr>
        <w:shd w:val="clear" w:color="auto" w:fill="F9F8F2"/>
        <w:spacing w:after="0" w:line="240" w:lineRule="auto"/>
        <w:jc w:val="both"/>
        <w:rPr>
          <w:rFonts w:ascii="Times New Roman" w:hAnsi="Times New Roman" w:cs="Times New Roman"/>
          <w:color w:val="FF0000"/>
          <w:sz w:val="24"/>
          <w:szCs w:val="24"/>
          <w:u w:val="single"/>
          <w:shd w:val="clear" w:color="auto" w:fill="FFFFFF"/>
        </w:rPr>
      </w:pPr>
      <w:r w:rsidRPr="00503907">
        <w:rPr>
          <w:rFonts w:ascii="Times New Roman" w:hAnsi="Times New Roman" w:cs="Times New Roman"/>
          <w:b/>
          <w:color w:val="FF0000"/>
          <w:sz w:val="24"/>
          <w:szCs w:val="24"/>
          <w:u w:val="single"/>
          <w:shd w:val="clear" w:color="auto" w:fill="FFFFFF"/>
        </w:rPr>
        <w:t>Toda Europa -incluido, por supuesto, el Reino Unido- se enfrenta a una posible crisis de deuda. Todas las grandes economías se han acostumbrado a vivir por encima de sus posibilidades, y la pandemia del Covid-19 no ha hecho sino empeorar la situación. Las economías aletargadas son incapaces de generar el crecimiento necesario para sostener unos sistemas de bienestar hinchados</w:t>
      </w:r>
      <w:r w:rsidRPr="00210ADA">
        <w:rPr>
          <w:rFonts w:ascii="Times New Roman" w:hAnsi="Times New Roman" w:cs="Times New Roman"/>
          <w:sz w:val="24"/>
          <w:szCs w:val="24"/>
          <w:shd w:val="clear" w:color="auto" w:fill="FFFFFF"/>
        </w:rPr>
        <w:t xml:space="preserve">. Pero ahora mismo Francia es el país con más probabilidades de encontrarse en el centro de la tormenta. Fitch se ha dado cuenta de que la reforma está atascada y ha advertido a sus clientes de que la deuda parece cada vez menos sostenible cada año que pasa. Los manifestantes que ayer volvieron a salir a la calle lo ignorarán inevitablemente. Pero los mercados no lo ignorarán para siempre. </w:t>
      </w:r>
      <w:r w:rsidRPr="00503907">
        <w:rPr>
          <w:rFonts w:ascii="Times New Roman" w:hAnsi="Times New Roman" w:cs="Times New Roman"/>
          <w:color w:val="FF0000"/>
          <w:sz w:val="24"/>
          <w:szCs w:val="24"/>
          <w:u w:val="single"/>
          <w:shd w:val="clear" w:color="auto" w:fill="FFFFFF"/>
        </w:rPr>
        <w:t>En algún momento se producirá una crisis de confianza, y cuando llegue será rápida, brutal e imposible de controlar. Esta rebaja no será más que el principio de muchas, hasta que por fin alguien encuentre la manera de volver a equilibrar las cuentas.</w:t>
      </w:r>
    </w:p>
    <w:p w:rsidR="007E3D39" w:rsidRDefault="007E3D39" w:rsidP="007E3D39">
      <w:pPr>
        <w:shd w:val="clear" w:color="auto" w:fill="F9F8F2"/>
        <w:spacing w:after="0" w:line="240" w:lineRule="auto"/>
        <w:jc w:val="both"/>
        <w:rPr>
          <w:rFonts w:ascii="Times New Roman" w:hAnsi="Times New Roman" w:cs="Times New Roman"/>
          <w:color w:val="FF0000"/>
          <w:sz w:val="24"/>
          <w:szCs w:val="24"/>
          <w:u w:val="single"/>
          <w:shd w:val="clear" w:color="auto" w:fill="FFFFFF"/>
        </w:rPr>
      </w:pPr>
    </w:p>
    <w:p w:rsidR="007E3D39" w:rsidRPr="006C45D1" w:rsidRDefault="007E3D39" w:rsidP="007E3D39">
      <w:pPr>
        <w:shd w:val="clear" w:color="auto" w:fill="FDFDFD"/>
        <w:spacing w:after="0" w:line="240" w:lineRule="auto"/>
        <w:jc w:val="both"/>
        <w:rPr>
          <w:rFonts w:ascii="Times New Roman" w:eastAsia="Times New Roman" w:hAnsi="Times New Roman" w:cs="Times New Roman"/>
          <w:color w:val="141414"/>
          <w:sz w:val="24"/>
          <w:szCs w:val="24"/>
          <w:lang w:eastAsia="es-ES"/>
        </w:rPr>
      </w:pPr>
      <w:r>
        <w:rPr>
          <w:rFonts w:ascii="Times New Roman" w:eastAsia="Times New Roman" w:hAnsi="Times New Roman" w:cs="Times New Roman"/>
          <w:color w:val="141414"/>
          <w:sz w:val="24"/>
          <w:szCs w:val="24"/>
          <w:lang w:eastAsia="es-ES"/>
        </w:rPr>
        <w:t xml:space="preserve">- </w:t>
      </w:r>
      <w:r w:rsidRPr="006C45D1">
        <w:rPr>
          <w:rFonts w:ascii="Times New Roman" w:eastAsia="Times New Roman" w:hAnsi="Times New Roman" w:cs="Times New Roman"/>
          <w:color w:val="141414"/>
          <w:sz w:val="24"/>
          <w:szCs w:val="24"/>
          <w:u w:val="single"/>
          <w:lang w:eastAsia="es-ES"/>
        </w:rPr>
        <w:t>La caída en picado de uno de los indicadores más vigilados por el BCE condena a la Eurozona</w:t>
      </w:r>
      <w:r>
        <w:rPr>
          <w:rFonts w:ascii="Times New Roman" w:eastAsia="Times New Roman" w:hAnsi="Times New Roman" w:cs="Times New Roman"/>
          <w:color w:val="141414"/>
          <w:sz w:val="24"/>
          <w:szCs w:val="24"/>
          <w:lang w:eastAsia="es-ES"/>
        </w:rPr>
        <w:t xml:space="preserve"> (El Economista - </w:t>
      </w:r>
      <w:r w:rsidRPr="006C45D1">
        <w:rPr>
          <w:rFonts w:ascii="Times New Roman" w:eastAsia="Times New Roman" w:hAnsi="Times New Roman" w:cs="Times New Roman"/>
          <w:b/>
          <w:color w:val="141414"/>
          <w:sz w:val="24"/>
          <w:szCs w:val="24"/>
          <w:lang w:eastAsia="es-ES"/>
        </w:rPr>
        <w:t>16/5/23</w:t>
      </w:r>
      <w:r>
        <w:rPr>
          <w:rFonts w:ascii="Times New Roman" w:eastAsia="Times New Roman" w:hAnsi="Times New Roman" w:cs="Times New Roman"/>
          <w:color w:val="141414"/>
          <w:sz w:val="24"/>
          <w:szCs w:val="24"/>
          <w:lang w:eastAsia="es-ES"/>
        </w:rPr>
        <w:t>)</w:t>
      </w:r>
    </w:p>
    <w:p w:rsidR="007E3D39" w:rsidRDefault="007E3D39" w:rsidP="007E3D39">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E3D39" w:rsidRPr="004F6A46" w:rsidRDefault="007E3D39" w:rsidP="007E3D39">
      <w:pPr>
        <w:shd w:val="clear" w:color="auto" w:fill="FDFDFD"/>
        <w:spacing w:after="0" w:line="240" w:lineRule="auto"/>
        <w:jc w:val="both"/>
        <w:rPr>
          <w:rFonts w:ascii="Times New Roman" w:eastAsia="Times New Roman" w:hAnsi="Times New Roman" w:cs="Times New Roman"/>
          <w:color w:val="FF0000"/>
          <w:sz w:val="24"/>
          <w:szCs w:val="24"/>
          <w:lang w:eastAsia="es-ES"/>
        </w:rPr>
      </w:pPr>
      <w:r w:rsidRPr="004F6A46">
        <w:rPr>
          <w:rFonts w:ascii="Times New Roman" w:eastAsia="Times New Roman" w:hAnsi="Times New Roman" w:cs="Times New Roman"/>
          <w:color w:val="FF0000"/>
          <w:sz w:val="24"/>
          <w:szCs w:val="24"/>
          <w:lang w:eastAsia="es-ES"/>
        </w:rPr>
        <w:t>La caída en términos reales del agregado monetario M3 no tiene precedentes</w:t>
      </w:r>
    </w:p>
    <w:p w:rsidR="007E3D39" w:rsidRPr="004F6A46" w:rsidRDefault="007E3D39" w:rsidP="007E3D39">
      <w:pPr>
        <w:shd w:val="clear" w:color="auto" w:fill="FDFDFD"/>
        <w:spacing w:after="0" w:line="240" w:lineRule="auto"/>
        <w:jc w:val="both"/>
        <w:rPr>
          <w:rFonts w:ascii="Times New Roman" w:eastAsia="Times New Roman" w:hAnsi="Times New Roman" w:cs="Times New Roman"/>
          <w:color w:val="FF0000"/>
          <w:sz w:val="24"/>
          <w:szCs w:val="24"/>
          <w:lang w:eastAsia="es-ES"/>
        </w:rPr>
      </w:pPr>
      <w:r w:rsidRPr="004F6A46">
        <w:rPr>
          <w:rFonts w:ascii="Times New Roman" w:eastAsia="Times New Roman" w:hAnsi="Times New Roman" w:cs="Times New Roman"/>
          <w:color w:val="FF0000"/>
          <w:sz w:val="24"/>
          <w:szCs w:val="24"/>
          <w:lang w:eastAsia="es-ES"/>
        </w:rPr>
        <w:t>El agregado monetario M1 lleva cayendo ya tres meses consecutivos</w:t>
      </w:r>
    </w:p>
    <w:p w:rsidR="007E3D39" w:rsidRPr="004F6A46" w:rsidRDefault="007E3D39" w:rsidP="007E3D39">
      <w:pPr>
        <w:shd w:val="clear" w:color="auto" w:fill="FDFDFD"/>
        <w:spacing w:after="0" w:line="240" w:lineRule="auto"/>
        <w:jc w:val="both"/>
        <w:rPr>
          <w:rFonts w:ascii="Times New Roman" w:eastAsia="Times New Roman" w:hAnsi="Times New Roman" w:cs="Times New Roman"/>
          <w:color w:val="FF0000"/>
          <w:sz w:val="24"/>
          <w:szCs w:val="24"/>
          <w:lang w:eastAsia="es-ES"/>
        </w:rPr>
      </w:pPr>
      <w:r w:rsidRPr="004F6A46">
        <w:rPr>
          <w:rFonts w:ascii="Times New Roman" w:eastAsia="Times New Roman" w:hAnsi="Times New Roman" w:cs="Times New Roman"/>
          <w:color w:val="FF0000"/>
          <w:sz w:val="24"/>
          <w:szCs w:val="24"/>
          <w:lang w:eastAsia="es-ES"/>
        </w:rPr>
        <w:t>Estos descensos se trasladarán al crédito y de ahí a la economía real</w:t>
      </w:r>
    </w:p>
    <w:p w:rsidR="007E3D39" w:rsidRPr="00EA3214" w:rsidRDefault="007E3D39" w:rsidP="007E3D39">
      <w:pPr>
        <w:shd w:val="clear" w:color="auto" w:fill="FDFDFD"/>
        <w:spacing w:after="0" w:line="240" w:lineRule="auto"/>
        <w:jc w:val="both"/>
        <w:rPr>
          <w:rFonts w:ascii="Times New Roman" w:eastAsia="Times New Roman" w:hAnsi="Times New Roman" w:cs="Times New Roman"/>
          <w:color w:val="141414"/>
          <w:sz w:val="24"/>
          <w:szCs w:val="24"/>
          <w:lang w:eastAsia="es-ES"/>
        </w:rPr>
      </w:pPr>
    </w:p>
    <w:p w:rsidR="007E3D39" w:rsidRDefault="007E3D39" w:rsidP="007E3D39">
      <w:pPr>
        <w:spacing w:line="240" w:lineRule="auto"/>
        <w:jc w:val="both"/>
        <w:rPr>
          <w:rFonts w:ascii="Times New Roman" w:hAnsi="Times New Roman" w:cs="Times New Roman"/>
          <w:sz w:val="24"/>
          <w:szCs w:val="24"/>
        </w:rPr>
      </w:pPr>
      <w:r>
        <w:rPr>
          <w:noProof/>
          <w:lang w:eastAsia="es-ES"/>
        </w:rPr>
        <w:drawing>
          <wp:inline distT="0" distB="0" distL="0" distR="0" wp14:anchorId="2710E4E3" wp14:editId="4E29A185">
            <wp:extent cx="5727700" cy="3530600"/>
            <wp:effectExtent l="0" t="0" r="6350" b="0"/>
            <wp:docPr id="86" name="Imagen 86" descr="https://s03.s3c.es/imag/_v0/2310x1500/f/0/2/caida_historica_agregado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s://s03.s3c.es/imag/_v0/2310x1500/f/0/2/caida_historica_agregados.gif"/>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5730494" cy="3532322"/>
                    </a:xfrm>
                    <a:prstGeom prst="rect">
                      <a:avLst/>
                    </a:prstGeom>
                    <a:noFill/>
                    <a:ln>
                      <a:noFill/>
                    </a:ln>
                  </pic:spPr>
                </pic:pic>
              </a:graphicData>
            </a:graphic>
          </wp:inline>
        </w:drawing>
      </w:r>
    </w:p>
    <w:p w:rsidR="007E3D39" w:rsidRPr="00237B2A" w:rsidRDefault="007E3D39" w:rsidP="007E3D39">
      <w:pPr>
        <w:spacing w:line="240" w:lineRule="auto"/>
        <w:jc w:val="both"/>
        <w:rPr>
          <w:rFonts w:ascii="Times New Roman" w:hAnsi="Times New Roman" w:cs="Times New Roman"/>
          <w:sz w:val="24"/>
          <w:szCs w:val="24"/>
        </w:rPr>
      </w:pPr>
      <w:r w:rsidRPr="00237B2A">
        <w:rPr>
          <w:rFonts w:ascii="Times New Roman" w:hAnsi="Times New Roman" w:cs="Times New Roman"/>
          <w:sz w:val="24"/>
          <w:szCs w:val="24"/>
        </w:rPr>
        <w:lastRenderedPageBreak/>
        <w:t>Así funcionan los agregados monetarios</w:t>
      </w:r>
    </w:p>
    <w:p w:rsidR="007E3D39" w:rsidRPr="004F6A46" w:rsidRDefault="007E3D39" w:rsidP="007E3D39">
      <w:pPr>
        <w:spacing w:line="240" w:lineRule="auto"/>
        <w:jc w:val="both"/>
        <w:rPr>
          <w:rFonts w:ascii="Times New Roman" w:hAnsi="Times New Roman" w:cs="Times New Roman"/>
          <w:sz w:val="24"/>
          <w:szCs w:val="24"/>
          <w:u w:val="single"/>
        </w:rPr>
      </w:pPr>
      <w:r w:rsidRPr="004F6A46">
        <w:rPr>
          <w:rFonts w:ascii="Times New Roman" w:hAnsi="Times New Roman" w:cs="Times New Roman"/>
          <w:sz w:val="24"/>
          <w:szCs w:val="24"/>
          <w:u w:val="single"/>
        </w:rPr>
        <w:t>Los agregados monetarios son unos indicadores financieros que no gozan de demasiada fama en los medios por su complejidad, además de haber caído en el olvido en las últimas décadas. De una forma muy resumida, estos indicadores muestran la cantidad de dinero que hay en circulación en la economía, y están divididos según la liquidez de los componentes que los conforman.</w:t>
      </w:r>
    </w:p>
    <w:p w:rsidR="007E3D39" w:rsidRPr="00237B2A" w:rsidRDefault="007E3D39" w:rsidP="007E3D39">
      <w:pPr>
        <w:spacing w:line="240" w:lineRule="auto"/>
        <w:jc w:val="both"/>
        <w:rPr>
          <w:rFonts w:ascii="Times New Roman" w:hAnsi="Times New Roman" w:cs="Times New Roman"/>
          <w:sz w:val="24"/>
          <w:szCs w:val="24"/>
        </w:rPr>
      </w:pPr>
      <w:r w:rsidRPr="00237B2A">
        <w:rPr>
          <w:rFonts w:ascii="Times New Roman" w:hAnsi="Times New Roman" w:cs="Times New Roman"/>
          <w:sz w:val="24"/>
          <w:szCs w:val="24"/>
        </w:rPr>
        <w:t>El más estrecho o líquido de todos es la base monetaria, también conocido como M0, que es el equivalente a los billetes y monedas en circulación, y las reservas bancarias (el dinero que los bancos mantienen en el banco central). Es típicamente el agregado de menor cuantía, es decir,</w:t>
      </w:r>
      <w:r>
        <w:rPr>
          <w:rFonts w:ascii="Times New Roman" w:hAnsi="Times New Roman" w:cs="Times New Roman"/>
          <w:sz w:val="24"/>
          <w:szCs w:val="24"/>
        </w:rPr>
        <w:t xml:space="preserve"> el más “estrecho”</w:t>
      </w:r>
      <w:r w:rsidRPr="00237B2A">
        <w:rPr>
          <w:rFonts w:ascii="Times New Roman" w:hAnsi="Times New Roman" w:cs="Times New Roman"/>
          <w:sz w:val="24"/>
          <w:szCs w:val="24"/>
        </w:rPr>
        <w:t>, y también aquel sobre el que el banco central tiene un mayor control, motivo por el cual históricamente ha jugado un papel importante en la conducción de la política mone</w:t>
      </w:r>
      <w:r>
        <w:rPr>
          <w:rFonts w:ascii="Times New Roman" w:hAnsi="Times New Roman" w:cs="Times New Roman"/>
          <w:sz w:val="24"/>
          <w:szCs w:val="24"/>
        </w:rPr>
        <w:t>taria.</w:t>
      </w:r>
    </w:p>
    <w:p w:rsidR="007E3D39" w:rsidRPr="00237B2A" w:rsidRDefault="007E3D39" w:rsidP="007E3D39">
      <w:pPr>
        <w:spacing w:line="240" w:lineRule="auto"/>
        <w:jc w:val="both"/>
        <w:rPr>
          <w:rFonts w:ascii="Times New Roman" w:hAnsi="Times New Roman" w:cs="Times New Roman"/>
          <w:sz w:val="24"/>
          <w:szCs w:val="24"/>
        </w:rPr>
      </w:pPr>
      <w:r w:rsidRPr="00237B2A">
        <w:rPr>
          <w:rFonts w:ascii="Times New Roman" w:hAnsi="Times New Roman" w:cs="Times New Roman"/>
          <w:sz w:val="24"/>
          <w:szCs w:val="24"/>
        </w:rPr>
        <w:t>Este indicador comenzó a caer en noviembre de 2022 con el drenaje que inició el BCE sobre las macro-inyecciones de liquidez (TLTRO) que había desplegado el propio BCE en lo peor del covid. Con la caída de la M0 comenzó todo, pero lo realmente importante es lo que</w:t>
      </w:r>
      <w:r>
        <w:rPr>
          <w:rFonts w:ascii="Times New Roman" w:hAnsi="Times New Roman" w:cs="Times New Roman"/>
          <w:sz w:val="24"/>
          <w:szCs w:val="24"/>
        </w:rPr>
        <w:t xml:space="preserve"> ocurre en los otros agregados.</w:t>
      </w:r>
    </w:p>
    <w:p w:rsidR="007E3D39" w:rsidRPr="00237B2A" w:rsidRDefault="007E3D39" w:rsidP="007E3D39">
      <w:pPr>
        <w:spacing w:line="240" w:lineRule="auto"/>
        <w:jc w:val="both"/>
        <w:rPr>
          <w:rFonts w:ascii="Times New Roman" w:hAnsi="Times New Roman" w:cs="Times New Roman"/>
          <w:sz w:val="24"/>
          <w:szCs w:val="24"/>
        </w:rPr>
      </w:pPr>
      <w:r w:rsidRPr="004F6A46">
        <w:rPr>
          <w:rFonts w:ascii="Times New Roman" w:hAnsi="Times New Roman" w:cs="Times New Roman"/>
          <w:sz w:val="24"/>
          <w:szCs w:val="24"/>
          <w:u w:val="single"/>
        </w:rPr>
        <w:t>En los datos publicados por el BCE se puede observar cómo el agregado monetario M1 (billetes y monedas en circulación más depósitos a la vista) sufrió primera tasa negativa en enero (-0,8%), desde entonces la corrección ha seguido aumentado, hasta presentar en marzo un desplome del 4,2%.</w:t>
      </w:r>
      <w:r w:rsidRPr="00237B2A">
        <w:rPr>
          <w:rFonts w:ascii="Times New Roman" w:hAnsi="Times New Roman" w:cs="Times New Roman"/>
          <w:sz w:val="24"/>
          <w:szCs w:val="24"/>
        </w:rPr>
        <w:t xml:space="preserve"> El descenso de la M1 (y los otros agregados más amplios)</w:t>
      </w:r>
      <w:r>
        <w:rPr>
          <w:rFonts w:ascii="Times New Roman" w:hAnsi="Times New Roman" w:cs="Times New Roman"/>
          <w:sz w:val="24"/>
          <w:szCs w:val="24"/>
        </w:rPr>
        <w:t xml:space="preserve"> guarda cierta relación con la “evaporación”</w:t>
      </w:r>
      <w:r w:rsidRPr="00237B2A">
        <w:rPr>
          <w:rFonts w:ascii="Times New Roman" w:hAnsi="Times New Roman" w:cs="Times New Roman"/>
          <w:sz w:val="24"/>
          <w:szCs w:val="24"/>
        </w:rPr>
        <w:t xml:space="preserve"> de depósitos a la vista que están sufriendo algunos bancos. Mientras que el banco central drena liquidez (hace desaparecer el dinero de igual forma que lo creó en el pasado), el dinero que queda circulando se dirige en mayor medida hacia otros activos que presentan una rentabilidad mayor. Esta redist</w:t>
      </w:r>
      <w:r>
        <w:rPr>
          <w:rFonts w:ascii="Times New Roman" w:hAnsi="Times New Roman" w:cs="Times New Roman"/>
          <w:sz w:val="24"/>
          <w:szCs w:val="24"/>
        </w:rPr>
        <w:t>ribución del dinero junto a la “destrucción”</w:t>
      </w:r>
      <w:r w:rsidRPr="00237B2A">
        <w:rPr>
          <w:rFonts w:ascii="Times New Roman" w:hAnsi="Times New Roman" w:cs="Times New Roman"/>
          <w:sz w:val="24"/>
          <w:szCs w:val="24"/>
        </w:rPr>
        <w:t xml:space="preserve"> del mismo afectará de forma contundente a la creación de crédito, sobre todo en la Eurozona, que e</w:t>
      </w:r>
      <w:r>
        <w:rPr>
          <w:rFonts w:ascii="Times New Roman" w:hAnsi="Times New Roman" w:cs="Times New Roman"/>
          <w:sz w:val="24"/>
          <w:szCs w:val="24"/>
        </w:rPr>
        <w:t>s una economía muy bancarizada.</w:t>
      </w:r>
    </w:p>
    <w:p w:rsidR="007E3D39" w:rsidRPr="004F6A46" w:rsidRDefault="007E3D39" w:rsidP="007E3D39">
      <w:pPr>
        <w:spacing w:line="240" w:lineRule="auto"/>
        <w:jc w:val="both"/>
        <w:rPr>
          <w:rFonts w:ascii="Times New Roman" w:hAnsi="Times New Roman" w:cs="Times New Roman"/>
          <w:sz w:val="24"/>
          <w:szCs w:val="24"/>
          <w:u w:val="single"/>
        </w:rPr>
      </w:pPr>
      <w:r w:rsidRPr="004F6A46">
        <w:rPr>
          <w:rFonts w:ascii="Times New Roman" w:hAnsi="Times New Roman" w:cs="Times New Roman"/>
          <w:sz w:val="24"/>
          <w:szCs w:val="24"/>
          <w:u w:val="single"/>
        </w:rPr>
        <w:t>Poco a poco, este drenaje de liquidez se va expandiendo a los agregados monetarios más amplios. El agregado monetario intermedio o M2 incluye el M1 más los depósitos a plazo de hasta dos años y los depósitos disponibles con preaviso de hasta tres meses. Aunque el BCE no publica de forma habitual el M2, en su base de datos se puede ver que todavía se encuentra en territorio positivo, con un crecimiento del 1,2% interanual (en términos mensuales está en territorio muy negativo), la menor tasa de crecimiento de su historia.</w:t>
      </w:r>
    </w:p>
    <w:p w:rsidR="007E3D39" w:rsidRPr="004F6A46" w:rsidRDefault="007E3D39" w:rsidP="007E3D39">
      <w:pPr>
        <w:spacing w:line="240" w:lineRule="auto"/>
        <w:jc w:val="both"/>
        <w:rPr>
          <w:rFonts w:ascii="Times New Roman" w:hAnsi="Times New Roman" w:cs="Times New Roman"/>
          <w:sz w:val="24"/>
          <w:szCs w:val="24"/>
          <w:u w:val="single"/>
        </w:rPr>
      </w:pPr>
      <w:r w:rsidRPr="00237B2A">
        <w:rPr>
          <w:rFonts w:ascii="Times New Roman" w:hAnsi="Times New Roman" w:cs="Times New Roman"/>
          <w:sz w:val="24"/>
          <w:szCs w:val="24"/>
        </w:rPr>
        <w:t>Finalmente, el agregado monetario más vigilado por el BCE y el más importante para el devenir de la economía (pues está directamente relacionado con el crecimiento del crédito y la velocidad del din</w:t>
      </w:r>
      <w:r>
        <w:rPr>
          <w:rFonts w:ascii="Times New Roman" w:hAnsi="Times New Roman" w:cs="Times New Roman"/>
          <w:sz w:val="24"/>
          <w:szCs w:val="24"/>
        </w:rPr>
        <w:t xml:space="preserve">ero), es </w:t>
      </w:r>
      <w:r w:rsidRPr="004F6A46">
        <w:rPr>
          <w:rFonts w:ascii="Times New Roman" w:hAnsi="Times New Roman" w:cs="Times New Roman"/>
          <w:sz w:val="24"/>
          <w:szCs w:val="24"/>
          <w:u w:val="single"/>
        </w:rPr>
        <w:t>el agregado monetario “amplio” o M3, que comprende los pasivos incluidos en M2 más las cesiones temporales, las participaciones en fondos del mercado monetario e instrumentos del mercado monetario y los valores de renta fija de hasta dos años, emitidos por las instituciones financieras monetarias. Este agregado ha reducido su tasa de crecimiento anual hasta 2,5% en marzo, el crecimiento más bajo desde septiembre de 2014.</w:t>
      </w:r>
    </w:p>
    <w:p w:rsidR="007E3D39" w:rsidRPr="004F6A46" w:rsidRDefault="007E3D39" w:rsidP="007E3D39">
      <w:pPr>
        <w:spacing w:line="240" w:lineRule="auto"/>
        <w:jc w:val="both"/>
        <w:rPr>
          <w:rFonts w:ascii="Times New Roman" w:hAnsi="Times New Roman" w:cs="Times New Roman"/>
          <w:sz w:val="24"/>
          <w:szCs w:val="24"/>
          <w:u w:val="single"/>
        </w:rPr>
      </w:pPr>
      <w:r w:rsidRPr="004F6A46">
        <w:rPr>
          <w:rFonts w:ascii="Times New Roman" w:hAnsi="Times New Roman" w:cs="Times New Roman"/>
          <w:sz w:val="24"/>
          <w:szCs w:val="24"/>
          <w:u w:val="single"/>
        </w:rPr>
        <w:t>Este agregado (M3) sí presentó tasas de variación negativas en la parte final de 2010, justo antes de la crisis de deuda soberana de la Eurozona. Sin embargo, en términos reales, nunca había mostrado una corrección tan intensa.</w:t>
      </w:r>
    </w:p>
    <w:p w:rsidR="007E3D39" w:rsidRPr="004F6A46" w:rsidRDefault="007E3D39" w:rsidP="007E3D39">
      <w:pPr>
        <w:spacing w:line="240" w:lineRule="auto"/>
        <w:jc w:val="both"/>
        <w:rPr>
          <w:rFonts w:ascii="Times New Roman" w:hAnsi="Times New Roman" w:cs="Times New Roman"/>
          <w:sz w:val="24"/>
          <w:szCs w:val="24"/>
          <w:u w:val="single"/>
        </w:rPr>
      </w:pPr>
      <w:r w:rsidRPr="00237B2A">
        <w:rPr>
          <w:rFonts w:ascii="Times New Roman" w:hAnsi="Times New Roman" w:cs="Times New Roman"/>
          <w:sz w:val="24"/>
          <w:szCs w:val="24"/>
        </w:rPr>
        <w:t xml:space="preserve">Todos estos datos reflejan la desaceleración del crecimiento del dinero en términos nominales, es decir, teniendo en cuenta la inflación. Pero para analizar la gravedad real de la </w:t>
      </w:r>
      <w:r w:rsidRPr="00237B2A">
        <w:rPr>
          <w:rFonts w:ascii="Times New Roman" w:hAnsi="Times New Roman" w:cs="Times New Roman"/>
          <w:sz w:val="24"/>
          <w:szCs w:val="24"/>
        </w:rPr>
        <w:lastRenderedPageBreak/>
        <w:t xml:space="preserve">situación conviene analizar estos indicadores en términos reales (descontando la inflación). </w:t>
      </w:r>
      <w:r w:rsidRPr="004F6A46">
        <w:rPr>
          <w:rFonts w:ascii="Times New Roman" w:hAnsi="Times New Roman" w:cs="Times New Roman"/>
          <w:sz w:val="24"/>
          <w:szCs w:val="24"/>
          <w:u w:val="single"/>
        </w:rPr>
        <w:t>Imaginen una economía en la que la inflación crece al 10%, mientras que la oferta de dinero crece un 5%. Aunque la oferta de dinero está creciendo, la cantidad de bienes y servicios que puede adquirir ese dinero es menor porque los precios están subiendo más rápido todavía. Algo así está sucediendo ahora mismo en la zona euro.</w:t>
      </w:r>
    </w:p>
    <w:p w:rsidR="007E3D39" w:rsidRPr="00237B2A" w:rsidRDefault="007E3D39" w:rsidP="007E3D39">
      <w:pPr>
        <w:spacing w:line="240" w:lineRule="auto"/>
        <w:jc w:val="both"/>
        <w:rPr>
          <w:rFonts w:ascii="Times New Roman" w:hAnsi="Times New Roman" w:cs="Times New Roman"/>
          <w:sz w:val="24"/>
          <w:szCs w:val="24"/>
        </w:rPr>
      </w:pPr>
      <w:r w:rsidRPr="00237B2A">
        <w:rPr>
          <w:rFonts w:ascii="Times New Roman" w:hAnsi="Times New Roman" w:cs="Times New Roman"/>
          <w:sz w:val="24"/>
          <w:szCs w:val="24"/>
        </w:rPr>
        <w:t>Fabio Panetta, miembro del Comité Ejecutivo del Banco Central Europeo, explica</w:t>
      </w:r>
      <w:r>
        <w:rPr>
          <w:rFonts w:ascii="Times New Roman" w:hAnsi="Times New Roman" w:cs="Times New Roman"/>
          <w:sz w:val="24"/>
          <w:szCs w:val="24"/>
        </w:rPr>
        <w:t>ba en un discurso en abril que “</w:t>
      </w:r>
      <w:r w:rsidRPr="00237B2A">
        <w:rPr>
          <w:rFonts w:ascii="Times New Roman" w:hAnsi="Times New Roman" w:cs="Times New Roman"/>
          <w:sz w:val="24"/>
          <w:szCs w:val="24"/>
        </w:rPr>
        <w:t>en la zona del euro, los efectos del endurecimiento monetario ya son visibles, aunque solo se espera que se materialicen por completo en los próximos meses debido al habitual desfase en la transmi</w:t>
      </w:r>
      <w:r>
        <w:rPr>
          <w:rFonts w:ascii="Times New Roman" w:hAnsi="Times New Roman" w:cs="Times New Roman"/>
          <w:sz w:val="24"/>
          <w:szCs w:val="24"/>
        </w:rPr>
        <w:t>sión de la política monetaria”.</w:t>
      </w:r>
    </w:p>
    <w:p w:rsidR="007E3D39" w:rsidRPr="004F6A46" w:rsidRDefault="007E3D39" w:rsidP="007E3D39">
      <w:pPr>
        <w:spacing w:line="240" w:lineRule="auto"/>
        <w:jc w:val="both"/>
        <w:rPr>
          <w:rFonts w:ascii="Times New Roman" w:hAnsi="Times New Roman" w:cs="Times New Roman"/>
          <w:color w:val="FF0000"/>
          <w:sz w:val="24"/>
          <w:szCs w:val="24"/>
          <w:u w:val="single"/>
        </w:rPr>
      </w:pPr>
      <w:r w:rsidRPr="004F6A46">
        <w:rPr>
          <w:rFonts w:ascii="Times New Roman" w:hAnsi="Times New Roman" w:cs="Times New Roman"/>
          <w:color w:val="FF0000"/>
          <w:sz w:val="24"/>
          <w:szCs w:val="24"/>
          <w:u w:val="single"/>
        </w:rPr>
        <w:t>Los agregados monetarios M1 y M3 se están desacelerando rápidamente. No obstante, “en términos reales, sus tasas de crecimiento se encuentran en territorio negativo y en mínimos históricos, por debajo de los niveles de 2008 y 2011 (grandes crisis de la Eurozona). El crédito bancario también se está desacelerando rápidamente. Como resultado, está disminuyendo como porcentaje del PIB (de hecho, más rápido que en episodios de ajuste anteriores) y los mercados esperan que disminuya de forma significativa más este año”, avisa Panetta.</w:t>
      </w:r>
    </w:p>
    <w:p w:rsidR="007E3D39" w:rsidRPr="00237B2A" w:rsidRDefault="007E3D39" w:rsidP="007E3D39">
      <w:pPr>
        <w:spacing w:line="240" w:lineRule="auto"/>
        <w:jc w:val="both"/>
        <w:rPr>
          <w:rFonts w:ascii="Times New Roman" w:hAnsi="Times New Roman" w:cs="Times New Roman"/>
          <w:sz w:val="24"/>
          <w:szCs w:val="24"/>
        </w:rPr>
      </w:pPr>
      <w:r w:rsidRPr="00237B2A">
        <w:rPr>
          <w:rFonts w:ascii="Times New Roman" w:hAnsi="Times New Roman" w:cs="Times New Roman"/>
          <w:sz w:val="24"/>
          <w:szCs w:val="24"/>
        </w:rPr>
        <w:t>Todo esto se ve agravado por las turbulencias en la banca. El propio economista italian</w:t>
      </w:r>
      <w:r>
        <w:rPr>
          <w:rFonts w:ascii="Times New Roman" w:hAnsi="Times New Roman" w:cs="Times New Roman"/>
          <w:sz w:val="24"/>
          <w:szCs w:val="24"/>
        </w:rPr>
        <w:t>o explicaba en su discurso que “</w:t>
      </w:r>
      <w:r w:rsidRPr="00237B2A">
        <w:rPr>
          <w:rFonts w:ascii="Times New Roman" w:hAnsi="Times New Roman" w:cs="Times New Roman"/>
          <w:sz w:val="24"/>
          <w:szCs w:val="24"/>
        </w:rPr>
        <w:t>el endurecimiento global también puede verse amplificado por las recientes tensiones financieras en los mercados bancarios globales. Además de su impacto sobre la confianza, estas tensiones harán que los bancos sean más sensibles a las salidas de depósitos, induciéndolos a trasladar las subidas de tipos más rápidamente, y en mayor medida, a sus client</w:t>
      </w:r>
      <w:r>
        <w:rPr>
          <w:rFonts w:ascii="Times New Roman" w:hAnsi="Times New Roman" w:cs="Times New Roman"/>
          <w:sz w:val="24"/>
          <w:szCs w:val="24"/>
        </w:rPr>
        <w:t>es de ambos lados del balance”.</w:t>
      </w:r>
    </w:p>
    <w:p w:rsidR="007E3D39" w:rsidRPr="00237B2A" w:rsidRDefault="00E92717"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Además, Pa</w:t>
      </w:r>
      <w:r w:rsidR="007E3D39">
        <w:rPr>
          <w:rFonts w:ascii="Times New Roman" w:hAnsi="Times New Roman" w:cs="Times New Roman"/>
          <w:sz w:val="24"/>
          <w:szCs w:val="24"/>
        </w:rPr>
        <w:t>net</w:t>
      </w:r>
      <w:r>
        <w:rPr>
          <w:rFonts w:ascii="Times New Roman" w:hAnsi="Times New Roman" w:cs="Times New Roman"/>
          <w:sz w:val="24"/>
          <w:szCs w:val="24"/>
        </w:rPr>
        <w:t>t</w:t>
      </w:r>
      <w:r w:rsidR="007E3D39">
        <w:rPr>
          <w:rFonts w:ascii="Times New Roman" w:hAnsi="Times New Roman" w:cs="Times New Roman"/>
          <w:sz w:val="24"/>
          <w:szCs w:val="24"/>
        </w:rPr>
        <w:t>a recalcaba que “</w:t>
      </w:r>
      <w:r w:rsidR="007E3D39" w:rsidRPr="00237B2A">
        <w:rPr>
          <w:rFonts w:ascii="Times New Roman" w:hAnsi="Times New Roman" w:cs="Times New Roman"/>
          <w:sz w:val="24"/>
          <w:szCs w:val="24"/>
        </w:rPr>
        <w:t xml:space="preserve">durante un tiempo, los bancos también pueden volverse más prudentes con respecto a los préstamos y decidir retener efectivo como medida de precaución. En la zona del euro, nuestra encuesta sobre préstamos bancarios ya apuntaba a un endurecimiento de los criterios de concesión de crédito a empresas y familias antes de las tensiones recientes, y este endurecimiento puede agravar la caída del crecimiento del </w:t>
      </w:r>
      <w:r w:rsidR="007E3D39">
        <w:rPr>
          <w:rFonts w:ascii="Times New Roman" w:hAnsi="Times New Roman" w:cs="Times New Roman"/>
          <w:sz w:val="24"/>
          <w:szCs w:val="24"/>
        </w:rPr>
        <w:t>crédito en los próximos meses”.</w:t>
      </w:r>
    </w:p>
    <w:p w:rsidR="007E3D39" w:rsidRPr="00237B2A" w:rsidRDefault="007E3D39" w:rsidP="007E3D39">
      <w:pPr>
        <w:spacing w:line="240" w:lineRule="auto"/>
        <w:jc w:val="both"/>
        <w:rPr>
          <w:rFonts w:ascii="Times New Roman" w:hAnsi="Times New Roman" w:cs="Times New Roman"/>
          <w:sz w:val="24"/>
          <w:szCs w:val="24"/>
        </w:rPr>
      </w:pPr>
      <w:r w:rsidRPr="00237B2A">
        <w:rPr>
          <w:rFonts w:ascii="Times New Roman" w:hAnsi="Times New Roman" w:cs="Times New Roman"/>
          <w:sz w:val="24"/>
          <w:szCs w:val="24"/>
        </w:rPr>
        <w:t>De la economía financiera a la real</w:t>
      </w:r>
    </w:p>
    <w:p w:rsidR="007E3D39" w:rsidRPr="004F6A46" w:rsidRDefault="007E3D39" w:rsidP="007E3D39">
      <w:pPr>
        <w:spacing w:line="240" w:lineRule="auto"/>
        <w:jc w:val="both"/>
        <w:rPr>
          <w:rFonts w:ascii="Times New Roman" w:hAnsi="Times New Roman" w:cs="Times New Roman"/>
          <w:color w:val="FF0000"/>
          <w:sz w:val="24"/>
          <w:szCs w:val="24"/>
          <w:u w:val="single"/>
        </w:rPr>
      </w:pPr>
      <w:r w:rsidRPr="004F6A46">
        <w:rPr>
          <w:rFonts w:ascii="Times New Roman" w:hAnsi="Times New Roman" w:cs="Times New Roman"/>
          <w:color w:val="FF0000"/>
          <w:sz w:val="24"/>
          <w:szCs w:val="24"/>
          <w:u w:val="single"/>
        </w:rPr>
        <w:t>Estos indicadores financieros no solo están mostrando la misma tendencia que en los momentos previos a las recesiones anteriores, sino que los patrones que muestran hoy son todavía más agudos</w:t>
      </w:r>
      <w:r w:rsidRPr="00237B2A">
        <w:rPr>
          <w:rFonts w:ascii="Times New Roman" w:hAnsi="Times New Roman" w:cs="Times New Roman"/>
          <w:sz w:val="24"/>
          <w:szCs w:val="24"/>
        </w:rPr>
        <w:t xml:space="preserve">. Tanto Panetta como los expertos coinciden en que es cuestión de tiempo que estos agregados se trasladen de forma definitiva al crédito y con ello crucen la frontera hacia la economía real. </w:t>
      </w:r>
      <w:r w:rsidRPr="004F6A46">
        <w:rPr>
          <w:rFonts w:ascii="Times New Roman" w:hAnsi="Times New Roman" w:cs="Times New Roman"/>
          <w:color w:val="FF0000"/>
          <w:sz w:val="24"/>
          <w:szCs w:val="24"/>
          <w:u w:val="single"/>
        </w:rPr>
        <w:t>Una caída en la concesión de préstamos y el endurecimiento en la refinanciación de los mismos conducirá a un enfriamiento de la demanda interna (consumo e inversión), que además podría coincidir con una desaceleración de la demanda externa, puesto que buena parte de las regiones que conforman las grandes parejas comerciales de la zona euro están aplicando también políticas monetarias restrictivas.</w:t>
      </w:r>
    </w:p>
    <w:p w:rsidR="007E3D39" w:rsidRPr="00237B2A"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Panetta explicaba que “</w:t>
      </w:r>
      <w:r w:rsidRPr="00237B2A">
        <w:rPr>
          <w:rFonts w:ascii="Times New Roman" w:hAnsi="Times New Roman" w:cs="Times New Roman"/>
          <w:sz w:val="24"/>
          <w:szCs w:val="24"/>
        </w:rPr>
        <w:t>estos desarrollos están relacionados en gran medida con nuestra normalización de políticas. Pero el tamaño y la velocidad del ajuste indican que la transmisión de nuestra política monetaria a la economía puede habe</w:t>
      </w:r>
      <w:r>
        <w:rPr>
          <w:rFonts w:ascii="Times New Roman" w:hAnsi="Times New Roman" w:cs="Times New Roman"/>
          <w:sz w:val="24"/>
          <w:szCs w:val="24"/>
        </w:rPr>
        <w:t>rse fortalecido recientemente”.</w:t>
      </w:r>
    </w:p>
    <w:p w:rsidR="007E3D39" w:rsidRPr="00690D6D" w:rsidRDefault="007E3D39" w:rsidP="007E3D39">
      <w:pPr>
        <w:spacing w:line="240" w:lineRule="auto"/>
        <w:jc w:val="both"/>
        <w:rPr>
          <w:rFonts w:ascii="Times New Roman" w:hAnsi="Times New Roman" w:cs="Times New Roman"/>
          <w:color w:val="FF0000"/>
          <w:sz w:val="24"/>
          <w:szCs w:val="24"/>
          <w:u w:val="single"/>
        </w:rPr>
      </w:pPr>
      <w:r w:rsidRPr="00690D6D">
        <w:rPr>
          <w:rFonts w:ascii="Times New Roman" w:hAnsi="Times New Roman" w:cs="Times New Roman"/>
          <w:color w:val="FF0000"/>
          <w:sz w:val="24"/>
          <w:szCs w:val="24"/>
          <w:u w:val="single"/>
        </w:rPr>
        <w:t xml:space="preserve">Los propios economistas del BCE estudiaron en 2010 la relación de causalidad entre una caída del M3 y otros agregados monetarios y las recesiones en la economía. El documento, </w:t>
      </w:r>
      <w:r w:rsidRPr="00690D6D">
        <w:rPr>
          <w:rFonts w:ascii="Times New Roman" w:hAnsi="Times New Roman" w:cs="Times New Roman"/>
          <w:color w:val="FF0000"/>
          <w:sz w:val="24"/>
          <w:szCs w:val="24"/>
          <w:u w:val="single"/>
        </w:rPr>
        <w:lastRenderedPageBreak/>
        <w:t>realizado a colación de la caída del M3 entonces, señalaba que “para la zona del euro en su conjunto, el único otro episodio en el que el crecimiento anual de M3 se ha acercado a cero (además de en 2010) -y en ese caso solo en términos reales- fue a mediados de la década de 1990. Ese episodio mostró tanto similitudes como diferencias con respecto al período de 2010”.</w:t>
      </w:r>
    </w:p>
    <w:p w:rsidR="007E3D39" w:rsidRPr="00690D6D" w:rsidRDefault="007E3D39" w:rsidP="007E3D39">
      <w:pPr>
        <w:spacing w:line="240" w:lineRule="auto"/>
        <w:jc w:val="both"/>
        <w:rPr>
          <w:rFonts w:ascii="Times New Roman" w:hAnsi="Times New Roman" w:cs="Times New Roman"/>
          <w:color w:val="FF0000"/>
          <w:sz w:val="24"/>
          <w:szCs w:val="24"/>
          <w:u w:val="single"/>
        </w:rPr>
      </w:pPr>
      <w:r w:rsidRPr="00690D6D">
        <w:rPr>
          <w:rFonts w:ascii="Times New Roman" w:hAnsi="Times New Roman" w:cs="Times New Roman"/>
          <w:color w:val="FF0000"/>
          <w:sz w:val="24"/>
          <w:szCs w:val="24"/>
          <w:u w:val="single"/>
        </w:rPr>
        <w:t>Entre las similitudes, los economistas del BCE argumentaban que había parecidos “en el sentido de que el débil crecimiento del dinero siguió a una fuerte caída en el crecimiento anual del PIB real, que entró en territorio negativo y resultó en una recesión”.</w:t>
      </w:r>
    </w:p>
    <w:p w:rsidR="007E3D39" w:rsidRPr="00690D6D" w:rsidRDefault="007E3D39" w:rsidP="007E3D39">
      <w:pPr>
        <w:spacing w:line="240" w:lineRule="auto"/>
        <w:jc w:val="both"/>
        <w:rPr>
          <w:rFonts w:ascii="Times New Roman" w:hAnsi="Times New Roman" w:cs="Times New Roman"/>
          <w:color w:val="FF0000"/>
          <w:sz w:val="24"/>
          <w:szCs w:val="24"/>
          <w:u w:val="single"/>
        </w:rPr>
      </w:pPr>
      <w:r w:rsidRPr="00690D6D">
        <w:rPr>
          <w:rFonts w:ascii="Times New Roman" w:hAnsi="Times New Roman" w:cs="Times New Roman"/>
          <w:color w:val="FF0000"/>
          <w:sz w:val="24"/>
          <w:szCs w:val="24"/>
          <w:u w:val="single"/>
        </w:rPr>
        <w:t>Además, ese documento realizaba otra comparación que se asemeja y mucho a la situación actual: “Ese episodio (a mediados de los 90) también estuvo precedido por un período prolongado en el que el dinero creció por encima de la actividad económica”. Este es un hecho que también se ha producido durante 2021 y 2022, cuando las políticas monetarias y fiscales ultra-expansivas han provocado que el dinero creciera mucho más rápido que la actividad economía. Mucho dinero persiguiendo a una cantidad relativamente estable de bienes y servicios suele concluir en inflación. Y para combatir la inflación hay que revertir el crecimiento del dinero, lo que a su vez suele concluir en una recesión que, ahora, podría estar a la vuelta de la esquina.</w:t>
      </w:r>
    </w:p>
    <w:p w:rsidR="007E3D39" w:rsidRDefault="007E3D39" w:rsidP="007E3D39">
      <w:pPr>
        <w:spacing w:line="240" w:lineRule="auto"/>
        <w:jc w:val="both"/>
        <w:rPr>
          <w:rFonts w:ascii="Times New Roman" w:hAnsi="Times New Roman" w:cs="Times New Roman"/>
          <w:sz w:val="24"/>
          <w:szCs w:val="24"/>
        </w:rPr>
      </w:pPr>
      <w:r>
        <w:rPr>
          <w:noProof/>
          <w:lang w:eastAsia="es-ES"/>
        </w:rPr>
        <w:drawing>
          <wp:inline distT="0" distB="0" distL="0" distR="0" wp14:anchorId="38B2ACE1" wp14:editId="399F0257">
            <wp:extent cx="5930900" cy="4241800"/>
            <wp:effectExtent l="0" t="0" r="0" b="6350"/>
            <wp:docPr id="87" name="Imagen 87" descr="https://imagenes.elpais.com/resizer/yoj0Pk30zRZ9YqPEac3gO5XKu6k=/414x0/cloudfront-eu-central-1.images.arcpublishing.com/prisa/67IRQ5QD4BHNZLDU5FFENHMY3Q.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imagenes.elpais.com/resizer/yoj0Pk30zRZ9YqPEac3gO5XKu6k=/414x0/cloudfront-eu-central-1.images.arcpublishing.com/prisa/67IRQ5QD4BHNZLDU5FFENHMY3Q.pn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30900" cy="4241800"/>
                    </a:xfrm>
                    <a:prstGeom prst="rect">
                      <a:avLst/>
                    </a:prstGeom>
                    <a:noFill/>
                    <a:ln>
                      <a:noFill/>
                    </a:ln>
                  </pic:spPr>
                </pic:pic>
              </a:graphicData>
            </a:graphic>
          </wp:inline>
        </w:drawing>
      </w:r>
    </w:p>
    <w:p w:rsidR="007E3D39" w:rsidRPr="00EA3214" w:rsidRDefault="007E3D39" w:rsidP="007E3D39">
      <w:pPr>
        <w:rPr>
          <w:rFonts w:ascii="Times New Roman" w:hAnsi="Times New Roman" w:cs="Times New Roman"/>
          <w:sz w:val="24"/>
          <w:szCs w:val="24"/>
        </w:rPr>
      </w:pPr>
      <w:r w:rsidRPr="00EA3214">
        <w:rPr>
          <w:rFonts w:ascii="Times New Roman" w:hAnsi="Times New Roman" w:cs="Times New Roman"/>
          <w:sz w:val="24"/>
          <w:szCs w:val="24"/>
        </w:rPr>
        <w:t xml:space="preserve">- </w:t>
      </w:r>
      <w:r w:rsidRPr="00EA3214">
        <w:rPr>
          <w:rFonts w:ascii="Times New Roman" w:hAnsi="Times New Roman" w:cs="Times New Roman"/>
          <w:sz w:val="24"/>
          <w:szCs w:val="24"/>
          <w:u w:val="single"/>
        </w:rPr>
        <w:t>El mundo deja atrás la pandemia con 42 billones de euros más de deuda</w:t>
      </w:r>
      <w:r w:rsidRPr="00EA3214">
        <w:rPr>
          <w:rFonts w:ascii="Times New Roman" w:hAnsi="Times New Roman" w:cs="Times New Roman"/>
          <w:sz w:val="24"/>
          <w:szCs w:val="24"/>
        </w:rPr>
        <w:t xml:space="preserve"> (El Confidencial - </w:t>
      </w:r>
      <w:r w:rsidRPr="00EA3214">
        <w:rPr>
          <w:rFonts w:ascii="Times New Roman" w:hAnsi="Times New Roman" w:cs="Times New Roman"/>
          <w:b/>
          <w:sz w:val="24"/>
          <w:szCs w:val="24"/>
        </w:rPr>
        <w:t>19/5/23</w:t>
      </w:r>
      <w:r w:rsidRPr="00EA3214">
        <w:rPr>
          <w:rFonts w:ascii="Times New Roman" w:hAnsi="Times New Roman" w:cs="Times New Roman"/>
          <w:sz w:val="24"/>
          <w:szCs w:val="24"/>
        </w:rPr>
        <w:t>)</w:t>
      </w:r>
    </w:p>
    <w:p w:rsidR="007E3D39" w:rsidRPr="00EA3214" w:rsidRDefault="007E3D39" w:rsidP="007E3D39">
      <w:pPr>
        <w:spacing w:line="240" w:lineRule="auto"/>
        <w:jc w:val="both"/>
        <w:rPr>
          <w:rFonts w:ascii="Times New Roman" w:hAnsi="Times New Roman" w:cs="Times New Roman"/>
          <w:sz w:val="24"/>
          <w:szCs w:val="24"/>
        </w:rPr>
      </w:pPr>
      <w:r w:rsidRPr="00EA3214">
        <w:rPr>
          <w:rFonts w:ascii="Times New Roman" w:hAnsi="Times New Roman" w:cs="Times New Roman"/>
          <w:sz w:val="24"/>
          <w:szCs w:val="24"/>
        </w:rPr>
        <w:t>La bola de nieve de la deuda, pública y privada, no deja de crecer. Representa el 335% del PIB. La factura la pagarán las próximas generaciones tras crecer en 42 billones de euros desde el comienzo de la pandemia</w:t>
      </w:r>
      <w:r>
        <w:rPr>
          <w:rFonts w:ascii="Times New Roman" w:hAnsi="Times New Roman" w:cs="Times New Roman"/>
          <w:sz w:val="24"/>
          <w:szCs w:val="24"/>
        </w:rPr>
        <w:t>…</w:t>
      </w:r>
      <w:r w:rsidRPr="00EA3214">
        <w:rPr>
          <w:rFonts w:ascii="Times New Roman" w:hAnsi="Times New Roman" w:cs="Times New Roman"/>
          <w:sz w:val="24"/>
          <w:szCs w:val="24"/>
        </w:rPr>
        <w:t> </w:t>
      </w:r>
    </w:p>
    <w:p w:rsidR="007E3D39" w:rsidRPr="00C61A14"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C73CF8">
        <w:rPr>
          <w:rFonts w:ascii="Times New Roman" w:hAnsi="Times New Roman" w:cs="Times New Roman"/>
          <w:sz w:val="24"/>
          <w:szCs w:val="24"/>
          <w:u w:val="single"/>
        </w:rPr>
        <w:t>El BCE alerta de un “efecto dominó” en el sistema financiero por la banca en la sombra</w:t>
      </w:r>
      <w:r>
        <w:rPr>
          <w:rFonts w:ascii="Times New Roman" w:hAnsi="Times New Roman" w:cs="Times New Roman"/>
          <w:sz w:val="24"/>
          <w:szCs w:val="24"/>
        </w:rPr>
        <w:t xml:space="preserve"> (Cinco Días - </w:t>
      </w:r>
      <w:r w:rsidRPr="00C73CF8">
        <w:rPr>
          <w:rFonts w:ascii="Times New Roman" w:hAnsi="Times New Roman" w:cs="Times New Roman"/>
          <w:b/>
          <w:sz w:val="24"/>
          <w:szCs w:val="24"/>
        </w:rPr>
        <w:t>30/5/23</w:t>
      </w:r>
      <w:r>
        <w:rPr>
          <w:rFonts w:ascii="Times New Roman" w:hAnsi="Times New Roman" w:cs="Times New Roman"/>
          <w:sz w:val="24"/>
          <w:szCs w:val="24"/>
        </w:rPr>
        <w:t>)</w:t>
      </w:r>
    </w:p>
    <w:p w:rsidR="007E3D39" w:rsidRPr="00D52267" w:rsidRDefault="007E3D39" w:rsidP="007E3D39">
      <w:pPr>
        <w:spacing w:line="240" w:lineRule="auto"/>
        <w:jc w:val="both"/>
        <w:rPr>
          <w:rFonts w:ascii="Times New Roman" w:hAnsi="Times New Roman" w:cs="Times New Roman"/>
          <w:color w:val="FF0000"/>
          <w:sz w:val="24"/>
          <w:szCs w:val="24"/>
        </w:rPr>
      </w:pPr>
      <w:r w:rsidRPr="00D52267">
        <w:rPr>
          <w:rFonts w:ascii="Times New Roman" w:hAnsi="Times New Roman" w:cs="Times New Roman"/>
          <w:color w:val="FF0000"/>
          <w:sz w:val="24"/>
          <w:szCs w:val="24"/>
        </w:rPr>
        <w:t>Los cinco mayores bancos de la eurozona representan el 50% de la exposición total a préstamos y valores de estas entidades</w:t>
      </w:r>
    </w:p>
    <w:p w:rsidR="007E3D39" w:rsidRPr="00C61A14"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C61A14">
        <w:rPr>
          <w:rFonts w:ascii="Times New Roman" w:hAnsi="Times New Roman" w:cs="Times New Roman"/>
          <w:sz w:val="24"/>
          <w:szCs w:val="24"/>
        </w:rPr>
        <w:t>Denisse López</w:t>
      </w:r>
      <w:r>
        <w:rPr>
          <w:rFonts w:ascii="Times New Roman" w:hAnsi="Times New Roman" w:cs="Times New Roman"/>
          <w:sz w:val="24"/>
          <w:szCs w:val="24"/>
        </w:rPr>
        <w:t>)</w:t>
      </w:r>
    </w:p>
    <w:p w:rsidR="007E3D39" w:rsidRPr="00D52267" w:rsidRDefault="007E3D39" w:rsidP="007E3D39">
      <w:pPr>
        <w:spacing w:line="240" w:lineRule="auto"/>
        <w:jc w:val="both"/>
        <w:rPr>
          <w:rFonts w:ascii="Times New Roman" w:hAnsi="Times New Roman" w:cs="Times New Roman"/>
          <w:color w:val="FF0000"/>
          <w:sz w:val="24"/>
          <w:szCs w:val="24"/>
          <w:u w:val="single"/>
        </w:rPr>
      </w:pPr>
      <w:r w:rsidRPr="00D52267">
        <w:rPr>
          <w:rFonts w:ascii="Times New Roman" w:hAnsi="Times New Roman" w:cs="Times New Roman"/>
          <w:color w:val="FF0000"/>
          <w:sz w:val="24"/>
          <w:szCs w:val="24"/>
          <w:u w:val="single"/>
        </w:rPr>
        <w:t>El Banco Central Europeo (BCE) ha emitido este martes una advertencia sobre los peligros a los que se enfrenta la banca regional convencional debido al crecimiento de las Instituciones Financieras No Bancarias (NBFI, por sus siglas en inglés), la llamada banca en la sombra (realiza actividades de intermediación o financiación por parte de cualquier entidad o plataforma fuera de los bancos tradicionales; abarca los fondos de pensiones, compañías aseguradoras y hedge funds). Los datos publicados muestran que los prestamistas de la zona del euro recurren a firmas financieras externas a la banca para obtener cerca del 14% de su financiación, lo que pone de manifiesto que la industria está expuesta a posibles turbulencias en áreas que carecen de supervisión. El documento apunta a los efectos negativos para la gran banca por su elevada exposición.</w:t>
      </w:r>
    </w:p>
    <w:p w:rsidR="007E3D39" w:rsidRPr="00D52267" w:rsidRDefault="007E3D39" w:rsidP="007E3D39">
      <w:pPr>
        <w:spacing w:line="240" w:lineRule="auto"/>
        <w:jc w:val="both"/>
        <w:rPr>
          <w:rFonts w:ascii="Times New Roman" w:hAnsi="Times New Roman" w:cs="Times New Roman"/>
          <w:color w:val="FF0000"/>
          <w:sz w:val="24"/>
          <w:szCs w:val="24"/>
          <w:u w:val="single"/>
        </w:rPr>
      </w:pPr>
      <w:r w:rsidRPr="00D52267">
        <w:rPr>
          <w:rFonts w:ascii="Times New Roman" w:hAnsi="Times New Roman" w:cs="Times New Roman"/>
          <w:color w:val="FF0000"/>
          <w:sz w:val="24"/>
          <w:szCs w:val="24"/>
          <w:u w:val="single"/>
        </w:rPr>
        <w:t>Los depósitos no garantizados constituyen la mayor parte de esos pasivos de la banca en la sombra, seguidos de los títulos de deuda. La proporción de financiamiento afecta particularmente a los bancos más grandes. En concreto, los cinco mayores bancos de la eurozona representan alrededor del 50% de la exposición total a préstamos y valores; y los 13 bancos principales representan más del 80%. Este grupo incluye los ocho bancos sistémicos de la eurozona, así como otros grandes bancos universales. “Estos bancos juegan un papel central en el mercado, ya que son prácticamente los únicos receptores de la liquidez repo de los fondos de inversión, aseguradoras, fondos de pensiones y fondos del mercado monetario”, señala el BCE.</w:t>
      </w:r>
    </w:p>
    <w:p w:rsidR="007E3D39" w:rsidRPr="00C61A14" w:rsidRDefault="007E3D39" w:rsidP="007E3D39">
      <w:pPr>
        <w:spacing w:line="240" w:lineRule="auto"/>
        <w:jc w:val="both"/>
        <w:rPr>
          <w:rFonts w:ascii="Times New Roman" w:hAnsi="Times New Roman" w:cs="Times New Roman"/>
          <w:sz w:val="24"/>
          <w:szCs w:val="24"/>
        </w:rPr>
      </w:pPr>
      <w:r w:rsidRPr="00C61A14">
        <w:rPr>
          <w:rFonts w:ascii="Times New Roman" w:hAnsi="Times New Roman" w:cs="Times New Roman"/>
          <w:sz w:val="24"/>
          <w:szCs w:val="24"/>
        </w:rPr>
        <w:t>Las autoridades mundiales han debatido cada vez más cómo regular estas firmas después de las tensiones al comienzo de la pandemia, la ruina de Archegos Capital Management en 2021 y el desplome del mercado de bonos del Reino Unido del año pasado. El BCE resalta el potencial de contagio en un momento en que el colapso de varios bancos estadounidenses y el suizo Credit Suisse ha hecho dudar sobre el nivel de resistencia del sistema financiero para soportar la presión sobre su coste de financiación a medida que</w:t>
      </w:r>
      <w:r>
        <w:rPr>
          <w:rFonts w:ascii="Times New Roman" w:hAnsi="Times New Roman" w:cs="Times New Roman"/>
          <w:sz w:val="24"/>
          <w:szCs w:val="24"/>
        </w:rPr>
        <w:t xml:space="preserve"> aumentan las tasas de interés.</w:t>
      </w:r>
    </w:p>
    <w:p w:rsidR="007E3D39" w:rsidRPr="00C61A14" w:rsidRDefault="007E3D39" w:rsidP="007E3D39">
      <w:pPr>
        <w:spacing w:line="240" w:lineRule="auto"/>
        <w:jc w:val="both"/>
        <w:rPr>
          <w:rFonts w:ascii="Times New Roman" w:hAnsi="Times New Roman" w:cs="Times New Roman"/>
          <w:sz w:val="24"/>
          <w:szCs w:val="24"/>
        </w:rPr>
      </w:pPr>
      <w:r w:rsidRPr="00D52267">
        <w:rPr>
          <w:rFonts w:ascii="Times New Roman" w:hAnsi="Times New Roman" w:cs="Times New Roman"/>
          <w:color w:val="FF0000"/>
          <w:sz w:val="24"/>
          <w:szCs w:val="24"/>
          <w:u w:val="single"/>
        </w:rPr>
        <w:t>Si bien los depósitos de las denominadas entidades en la sombra son pequeños en comparación con los de los clientes corporativos o minoristas de los bancos, el BCE apunta a que “pueden ser particularmente vulnerable” a los cambios en las condiciones del mercado.</w:t>
      </w:r>
      <w:r w:rsidRPr="00D52267">
        <w:rPr>
          <w:rFonts w:ascii="Times New Roman" w:hAnsi="Times New Roman" w:cs="Times New Roman"/>
          <w:color w:val="FF0000"/>
          <w:sz w:val="24"/>
          <w:szCs w:val="24"/>
        </w:rPr>
        <w:t xml:space="preserve"> </w:t>
      </w:r>
      <w:r w:rsidRPr="00C61A14">
        <w:rPr>
          <w:rFonts w:ascii="Times New Roman" w:hAnsi="Times New Roman" w:cs="Times New Roman"/>
          <w:sz w:val="24"/>
          <w:szCs w:val="24"/>
        </w:rPr>
        <w:t>Aproximadamente la mitad de dichos depósitos no están relacionados con la compensación, la custodia o la gestión de efectivo y pueden retirarse libremente. Según la entidad, es posible que los bancos deban reemplazar la financiación del mercado de repos muy rápidamente si la banca en la sombra “se viera afectado p</w:t>
      </w:r>
      <w:r>
        <w:rPr>
          <w:rFonts w:ascii="Times New Roman" w:hAnsi="Times New Roman" w:cs="Times New Roman"/>
          <w:sz w:val="24"/>
          <w:szCs w:val="24"/>
        </w:rPr>
        <w:t>or grandes y abruptas salidas”.</w:t>
      </w:r>
    </w:p>
    <w:p w:rsidR="007E3D39" w:rsidRPr="00C61A14" w:rsidRDefault="007E3D39" w:rsidP="007E3D39">
      <w:pPr>
        <w:spacing w:line="240" w:lineRule="auto"/>
        <w:jc w:val="both"/>
        <w:rPr>
          <w:rFonts w:ascii="Times New Roman" w:hAnsi="Times New Roman" w:cs="Times New Roman"/>
          <w:sz w:val="24"/>
          <w:szCs w:val="24"/>
        </w:rPr>
      </w:pPr>
      <w:r w:rsidRPr="00D52267">
        <w:rPr>
          <w:rFonts w:ascii="Times New Roman" w:hAnsi="Times New Roman" w:cs="Times New Roman"/>
          <w:sz w:val="24"/>
          <w:szCs w:val="24"/>
          <w:u w:val="single"/>
        </w:rPr>
        <w:t>Por otro lado, la banca en la sombra posee el 28% de los títulos de deuda bancaria que hay en circulación en la zona euro. Su papel más importante está en el mercado a corto plazo, incluido el papel comercial con inversores clave de fondos del mercado monetario</w:t>
      </w:r>
      <w:r w:rsidRPr="00C61A14">
        <w:rPr>
          <w:rFonts w:ascii="Times New Roman" w:hAnsi="Times New Roman" w:cs="Times New Roman"/>
          <w:sz w:val="24"/>
          <w:szCs w:val="24"/>
        </w:rPr>
        <w:t>. Los fondos de inversión y las aseguradoras están un poco más expuestos a la deuda bancaria a más largo plazo y son una fuente clave de financiación para los bancos que necesitan cumplir con el requerimiento de MREL, un colchón antricrisis.</w:t>
      </w:r>
    </w:p>
    <w:p w:rsidR="007E3D39" w:rsidRPr="00D52267" w:rsidRDefault="007E3D39" w:rsidP="007E3D39">
      <w:pPr>
        <w:spacing w:line="240" w:lineRule="auto"/>
        <w:jc w:val="both"/>
        <w:rPr>
          <w:rFonts w:ascii="Times New Roman" w:hAnsi="Times New Roman" w:cs="Times New Roman"/>
          <w:sz w:val="24"/>
          <w:szCs w:val="24"/>
          <w:u w:val="single"/>
        </w:rPr>
      </w:pPr>
      <w:r w:rsidRPr="00D52267">
        <w:rPr>
          <w:rFonts w:ascii="Times New Roman" w:hAnsi="Times New Roman" w:cs="Times New Roman"/>
          <w:sz w:val="24"/>
          <w:szCs w:val="24"/>
          <w:u w:val="single"/>
        </w:rPr>
        <w:lastRenderedPageBreak/>
        <w:t>El informe señala además que los bancos negocian más del 20% de sus riesgos nocionales brutos en derivados con entidades no bancarias, principalmente fondos de inversión y otras instituciones financieras.</w:t>
      </w:r>
    </w:p>
    <w:p w:rsidR="007E3D39" w:rsidRPr="00C61A14" w:rsidRDefault="007E3D39" w:rsidP="007E3D39">
      <w:pPr>
        <w:spacing w:line="240" w:lineRule="auto"/>
        <w:jc w:val="both"/>
        <w:rPr>
          <w:rFonts w:ascii="Times New Roman" w:hAnsi="Times New Roman" w:cs="Times New Roman"/>
          <w:sz w:val="24"/>
          <w:szCs w:val="24"/>
        </w:rPr>
      </w:pPr>
      <w:r w:rsidRPr="00C61A14">
        <w:rPr>
          <w:rFonts w:ascii="Times New Roman" w:hAnsi="Times New Roman" w:cs="Times New Roman"/>
          <w:sz w:val="24"/>
          <w:szCs w:val="24"/>
        </w:rPr>
        <w:t>Un riesgo global</w:t>
      </w:r>
    </w:p>
    <w:p w:rsidR="007E3D39" w:rsidRPr="00D52267" w:rsidRDefault="007E3D39" w:rsidP="007E3D39">
      <w:pPr>
        <w:spacing w:line="240" w:lineRule="auto"/>
        <w:jc w:val="both"/>
        <w:rPr>
          <w:rFonts w:ascii="Times New Roman" w:hAnsi="Times New Roman" w:cs="Times New Roman"/>
          <w:b/>
          <w:color w:val="FF0000"/>
          <w:sz w:val="24"/>
          <w:szCs w:val="24"/>
          <w:u w:val="single"/>
        </w:rPr>
      </w:pPr>
      <w:r w:rsidRPr="00D52267">
        <w:rPr>
          <w:rFonts w:ascii="Times New Roman" w:hAnsi="Times New Roman" w:cs="Times New Roman"/>
          <w:b/>
          <w:color w:val="FF0000"/>
          <w:sz w:val="24"/>
          <w:szCs w:val="24"/>
          <w:u w:val="single"/>
        </w:rPr>
        <w:t>El BCE no es el único que ha advertido de los riesgos sobre la industria financiera no bancaria. El Fondo Monetario Internacional (FMI) también ha endurecido sus advertencias, que ya representa casi el 50% de la financiación mundial, unos 239 billones de dólares. Según este organismo, la estabilidad financiera mundial depende de que la banca en la sombra resista ante el alza de tipos.</w:t>
      </w:r>
    </w:p>
    <w:p w:rsidR="007E3D39" w:rsidRPr="00C61A14" w:rsidRDefault="007E3D39" w:rsidP="007E3D39">
      <w:pPr>
        <w:spacing w:line="240" w:lineRule="auto"/>
        <w:jc w:val="both"/>
        <w:rPr>
          <w:rFonts w:ascii="Times New Roman" w:hAnsi="Times New Roman" w:cs="Times New Roman"/>
          <w:sz w:val="24"/>
          <w:szCs w:val="24"/>
        </w:rPr>
      </w:pPr>
      <w:r w:rsidRPr="00C61A14">
        <w:rPr>
          <w:rFonts w:ascii="Times New Roman" w:hAnsi="Times New Roman" w:cs="Times New Roman"/>
          <w:sz w:val="24"/>
          <w:szCs w:val="24"/>
        </w:rPr>
        <w:t>Durante años el negocio de estas firmas que agrupan a los fondos de pensiones, compañías aseguradoras y fondos de cobertura, se han visto favorecidos por tipos ultralaxos y una liquidez a raudales, pero el FMI ha asegurado que las recientes quiebras de Silicon Valley Bank y otros bancos regionales estadounidenses “son un poderoso recordatorio de las elevadas vulnerabilidades financieras acumuladas a lo largo de años de tipos bajos”. Unos riesgos que, según el informe, “podrían intensificarse en los próximos meses, en un contexto de endurecimiento continuo de la política monetaria a escala mundial”.</w:t>
      </w:r>
    </w:p>
    <w:p w:rsidR="007E3D39" w:rsidRPr="00A835CA" w:rsidRDefault="007E3D39" w:rsidP="007E3D39">
      <w:pPr>
        <w:spacing w:line="240" w:lineRule="auto"/>
        <w:jc w:val="both"/>
        <w:rPr>
          <w:rFonts w:ascii="Times New Roman" w:hAnsi="Times New Roman" w:cs="Times New Roman"/>
          <w:iCs/>
          <w:color w:val="000000"/>
          <w:sz w:val="24"/>
          <w:szCs w:val="24"/>
        </w:rPr>
      </w:pPr>
      <w:r>
        <w:rPr>
          <w:rFonts w:ascii="Times New Roman" w:hAnsi="Times New Roman" w:cs="Times New Roman"/>
          <w:iCs/>
          <w:color w:val="000000"/>
          <w:sz w:val="24"/>
          <w:szCs w:val="24"/>
        </w:rPr>
        <w:t xml:space="preserve">- </w:t>
      </w:r>
      <w:r w:rsidRPr="00A835CA">
        <w:rPr>
          <w:rFonts w:ascii="Times New Roman" w:hAnsi="Times New Roman" w:cs="Times New Roman"/>
          <w:iCs/>
          <w:color w:val="000000"/>
          <w:sz w:val="24"/>
          <w:szCs w:val="24"/>
        </w:rPr>
        <w:t>¿</w:t>
      </w:r>
      <w:r w:rsidRPr="00FC4F82">
        <w:rPr>
          <w:rFonts w:ascii="Times New Roman" w:hAnsi="Times New Roman" w:cs="Times New Roman"/>
          <w:iCs/>
          <w:color w:val="000000"/>
          <w:sz w:val="24"/>
          <w:szCs w:val="24"/>
          <w:u w:val="single"/>
        </w:rPr>
        <w:t>Por qué la Fed es difícil de predecir</w:t>
      </w:r>
      <w:r w:rsidRPr="00A835CA">
        <w:rPr>
          <w:rFonts w:ascii="Times New Roman" w:hAnsi="Times New Roman" w:cs="Times New Roman"/>
          <w:iCs/>
          <w:color w:val="000000"/>
          <w:sz w:val="24"/>
          <w:szCs w:val="24"/>
        </w:rPr>
        <w:t>?</w:t>
      </w:r>
      <w:r>
        <w:rPr>
          <w:rFonts w:ascii="Times New Roman" w:hAnsi="Times New Roman" w:cs="Times New Roman"/>
          <w:iCs/>
          <w:color w:val="000000"/>
          <w:sz w:val="24"/>
          <w:szCs w:val="24"/>
        </w:rPr>
        <w:t xml:space="preserve"> (El Economista - </w:t>
      </w:r>
      <w:r w:rsidRPr="00FC4F82">
        <w:rPr>
          <w:rFonts w:ascii="Times New Roman" w:hAnsi="Times New Roman" w:cs="Times New Roman"/>
          <w:b/>
          <w:iCs/>
          <w:color w:val="000000"/>
          <w:sz w:val="24"/>
          <w:szCs w:val="24"/>
        </w:rPr>
        <w:t>1/6/23</w:t>
      </w:r>
      <w:r>
        <w:rPr>
          <w:rFonts w:ascii="Times New Roman" w:hAnsi="Times New Roman" w:cs="Times New Roman"/>
          <w:iCs/>
          <w:color w:val="000000"/>
          <w:sz w:val="24"/>
          <w:szCs w:val="24"/>
        </w:rPr>
        <w:t>)</w:t>
      </w:r>
    </w:p>
    <w:p w:rsidR="007E3D39" w:rsidRPr="00A835CA" w:rsidRDefault="007E3D39" w:rsidP="007E3D39">
      <w:pPr>
        <w:spacing w:line="240" w:lineRule="auto"/>
        <w:jc w:val="both"/>
        <w:rPr>
          <w:rFonts w:ascii="Times New Roman" w:hAnsi="Times New Roman" w:cs="Times New Roman"/>
          <w:iCs/>
          <w:color w:val="000000"/>
          <w:sz w:val="24"/>
          <w:szCs w:val="24"/>
        </w:rPr>
      </w:pPr>
      <w:r>
        <w:rPr>
          <w:rFonts w:ascii="Times New Roman" w:hAnsi="Times New Roman" w:cs="Times New Roman"/>
          <w:iCs/>
          <w:color w:val="000000"/>
          <w:sz w:val="24"/>
          <w:szCs w:val="24"/>
        </w:rPr>
        <w:t xml:space="preserve">(Por </w:t>
      </w:r>
      <w:r w:rsidRPr="00A835CA">
        <w:rPr>
          <w:rFonts w:ascii="Times New Roman" w:hAnsi="Times New Roman" w:cs="Times New Roman"/>
          <w:iCs/>
          <w:color w:val="000000"/>
          <w:sz w:val="24"/>
          <w:szCs w:val="24"/>
        </w:rPr>
        <w:t>Mohamed A. El-Erian</w:t>
      </w:r>
      <w:r>
        <w:rPr>
          <w:rFonts w:ascii="Times New Roman" w:hAnsi="Times New Roman" w:cs="Times New Roman"/>
          <w:iCs/>
          <w:color w:val="000000"/>
          <w:sz w:val="24"/>
          <w:szCs w:val="24"/>
        </w:rPr>
        <w:t>)</w:t>
      </w:r>
    </w:p>
    <w:p w:rsidR="007E3D39" w:rsidRPr="0002409D" w:rsidRDefault="007E3D39" w:rsidP="007E3D39">
      <w:pPr>
        <w:spacing w:line="240" w:lineRule="auto"/>
        <w:jc w:val="both"/>
        <w:rPr>
          <w:rFonts w:ascii="Times New Roman" w:hAnsi="Times New Roman" w:cs="Times New Roman"/>
          <w:iCs/>
          <w:color w:val="FF0000"/>
          <w:sz w:val="24"/>
          <w:szCs w:val="24"/>
          <w:u w:val="single"/>
        </w:rPr>
      </w:pPr>
      <w:r w:rsidRPr="0002409D">
        <w:rPr>
          <w:rFonts w:ascii="Times New Roman" w:hAnsi="Times New Roman" w:cs="Times New Roman"/>
          <w:iCs/>
          <w:color w:val="FF0000"/>
          <w:sz w:val="24"/>
          <w:szCs w:val="24"/>
          <w:u w:val="single"/>
        </w:rPr>
        <w:t>Uno podría pensar que predecir las próximas medidas de la Reserva Federal de Estados Unidos en materia de políticas se volvería más fácil ahora que ya ha aumentado las tasas de interés diez veces consecutivas, por un total de cinco puntos porcentuales. A no apurarse: sospecho que son pocos, si es que hay alguien, los que saben con certeza qué hará la Fed en su reunión del 13-14 de junio -ni siquiera la propia Fed.</w:t>
      </w:r>
    </w:p>
    <w:p w:rsidR="007E3D39" w:rsidRPr="00A835CA" w:rsidRDefault="007E3D39" w:rsidP="007E3D39">
      <w:pPr>
        <w:spacing w:line="240" w:lineRule="auto"/>
        <w:jc w:val="both"/>
        <w:rPr>
          <w:rFonts w:ascii="Times New Roman" w:hAnsi="Times New Roman" w:cs="Times New Roman"/>
          <w:iCs/>
          <w:color w:val="000000"/>
          <w:sz w:val="24"/>
          <w:szCs w:val="24"/>
        </w:rPr>
      </w:pPr>
      <w:r w:rsidRPr="00A835CA">
        <w:rPr>
          <w:rFonts w:ascii="Times New Roman" w:hAnsi="Times New Roman" w:cs="Times New Roman"/>
          <w:iCs/>
          <w:color w:val="000000"/>
          <w:sz w:val="24"/>
          <w:szCs w:val="24"/>
        </w:rPr>
        <w:t xml:space="preserve">En los dos últimos años, las autoridades del banco central más poderoso e influyente del mundo han señalado un rango de posibles acciones, desde </w:t>
      </w:r>
      <w:r>
        <w:rPr>
          <w:rFonts w:ascii="Times New Roman" w:hAnsi="Times New Roman" w:cs="Times New Roman"/>
          <w:iCs/>
          <w:color w:val="000000"/>
          <w:sz w:val="24"/>
          <w:szCs w:val="24"/>
        </w:rPr>
        <w:t>volver a subir las tasas hasta “hacer una pausa” o “dejar pasar”</w:t>
      </w:r>
      <w:r w:rsidRPr="00A835CA">
        <w:rPr>
          <w:rFonts w:ascii="Times New Roman" w:hAnsi="Times New Roman" w:cs="Times New Roman"/>
          <w:iCs/>
          <w:color w:val="000000"/>
          <w:sz w:val="24"/>
          <w:szCs w:val="24"/>
        </w:rPr>
        <w:t xml:space="preserve"> esta ronda y reanudar el proceso de ajuste en julio. Un funcionario de la Fed inclusive ha sugerido que habría sido mejor para la institución no subir las tasas en su última reunión, en mayo.</w:t>
      </w:r>
    </w:p>
    <w:p w:rsidR="007E3D39" w:rsidRPr="00A835CA" w:rsidRDefault="007E3D39" w:rsidP="007E3D39">
      <w:pPr>
        <w:spacing w:line="240" w:lineRule="auto"/>
        <w:jc w:val="both"/>
        <w:rPr>
          <w:rFonts w:ascii="Times New Roman" w:hAnsi="Times New Roman" w:cs="Times New Roman"/>
          <w:iCs/>
          <w:color w:val="000000"/>
          <w:sz w:val="24"/>
          <w:szCs w:val="24"/>
        </w:rPr>
      </w:pPr>
      <w:r w:rsidRPr="00A835CA">
        <w:rPr>
          <w:rFonts w:ascii="Times New Roman" w:hAnsi="Times New Roman" w:cs="Times New Roman"/>
          <w:iCs/>
          <w:color w:val="000000"/>
          <w:sz w:val="24"/>
          <w:szCs w:val="24"/>
        </w:rPr>
        <w:t>No sabemos dónde aterrizará la Fed por dos razones principales. Es un banco central que depende excesivamente de los datos en una economía inusualmente fluida, y que carece de una base estratégica sólida.</w:t>
      </w:r>
    </w:p>
    <w:p w:rsidR="007E3D39" w:rsidRPr="0002409D" w:rsidRDefault="007E3D39" w:rsidP="007E3D39">
      <w:pPr>
        <w:spacing w:line="240" w:lineRule="auto"/>
        <w:jc w:val="both"/>
        <w:rPr>
          <w:rFonts w:ascii="Times New Roman" w:hAnsi="Times New Roman" w:cs="Times New Roman"/>
          <w:iCs/>
          <w:color w:val="FF0000"/>
          <w:sz w:val="24"/>
          <w:szCs w:val="24"/>
          <w:u w:val="single"/>
        </w:rPr>
      </w:pPr>
      <w:r w:rsidRPr="00A835CA">
        <w:rPr>
          <w:rFonts w:ascii="Times New Roman" w:hAnsi="Times New Roman" w:cs="Times New Roman"/>
          <w:iCs/>
          <w:color w:val="000000"/>
          <w:sz w:val="24"/>
          <w:szCs w:val="24"/>
        </w:rPr>
        <w:t xml:space="preserve">Para esta Fed, mucho dependerá de los datos de empleo e inflación que se den a conocer en los días previos a que se reúna el Comité Federal de Mercado Abierto (FOMC por su sigla en inglés) que fija las políticas. </w:t>
      </w:r>
      <w:r w:rsidRPr="0002409D">
        <w:rPr>
          <w:rFonts w:ascii="Times New Roman" w:hAnsi="Times New Roman" w:cs="Times New Roman"/>
          <w:iCs/>
          <w:color w:val="FF0000"/>
          <w:sz w:val="24"/>
          <w:szCs w:val="24"/>
          <w:u w:val="single"/>
        </w:rPr>
        <w:t>Tal como están las cosas ahora (a fines de mayo), los datos probablemente lo lleven a aumentar las tasas nuevamente. Eso no es lo que yo haría, dado que estoy más a favor de un abordaje más secular y estratégico frente a la política monetaria.</w:t>
      </w:r>
    </w:p>
    <w:p w:rsidR="007E3D39" w:rsidRPr="00A835CA" w:rsidRDefault="007E3D39" w:rsidP="007E3D39">
      <w:pPr>
        <w:spacing w:line="240" w:lineRule="auto"/>
        <w:jc w:val="both"/>
        <w:rPr>
          <w:rFonts w:ascii="Times New Roman" w:hAnsi="Times New Roman" w:cs="Times New Roman"/>
          <w:iCs/>
          <w:color w:val="000000"/>
          <w:sz w:val="24"/>
          <w:szCs w:val="24"/>
        </w:rPr>
      </w:pPr>
      <w:r w:rsidRPr="00A835CA">
        <w:rPr>
          <w:rFonts w:ascii="Times New Roman" w:hAnsi="Times New Roman" w:cs="Times New Roman"/>
          <w:iCs/>
          <w:color w:val="000000"/>
          <w:sz w:val="24"/>
          <w:szCs w:val="24"/>
        </w:rPr>
        <w:t>Resulta tentador atribuir el amplio rango de opiniones entre las autoridades de la Fed a la fluidez de las condiciones económicas y financieras. Después de todo, la saga del techo de deuda y las sacudidas del sistema bancario de Estados Unidos han complicado aún más una perspectiva ya incierta en materia de crecimien</w:t>
      </w:r>
      <w:r>
        <w:rPr>
          <w:rFonts w:ascii="Times New Roman" w:hAnsi="Times New Roman" w:cs="Times New Roman"/>
          <w:iCs/>
          <w:color w:val="000000"/>
          <w:sz w:val="24"/>
          <w:szCs w:val="24"/>
        </w:rPr>
        <w:t>to e inflación a nivel mundial.</w:t>
      </w:r>
    </w:p>
    <w:p w:rsidR="007E3D39" w:rsidRPr="0002409D" w:rsidRDefault="007E3D39" w:rsidP="007E3D39">
      <w:pPr>
        <w:spacing w:line="240" w:lineRule="auto"/>
        <w:jc w:val="both"/>
        <w:rPr>
          <w:rFonts w:ascii="Times New Roman" w:hAnsi="Times New Roman" w:cs="Times New Roman"/>
          <w:iCs/>
          <w:color w:val="FF0000"/>
          <w:sz w:val="24"/>
          <w:szCs w:val="24"/>
          <w:u w:val="single"/>
        </w:rPr>
      </w:pPr>
      <w:r w:rsidRPr="00A835CA">
        <w:rPr>
          <w:rFonts w:ascii="Times New Roman" w:hAnsi="Times New Roman" w:cs="Times New Roman"/>
          <w:iCs/>
          <w:color w:val="000000"/>
          <w:sz w:val="24"/>
          <w:szCs w:val="24"/>
        </w:rPr>
        <w:t xml:space="preserve">Pero esa explicación es demasiado estrecha y es poco probable que supere el paso del tiempo. </w:t>
      </w:r>
      <w:r w:rsidRPr="0002409D">
        <w:rPr>
          <w:rFonts w:ascii="Times New Roman" w:hAnsi="Times New Roman" w:cs="Times New Roman"/>
          <w:iCs/>
          <w:color w:val="FF0000"/>
          <w:sz w:val="24"/>
          <w:szCs w:val="24"/>
          <w:u w:val="single"/>
        </w:rPr>
        <w:t xml:space="preserve">La verdadera razón por la que existe tanta confusión en cuanto a las políticas es que la Fed </w:t>
      </w:r>
      <w:r w:rsidRPr="0002409D">
        <w:rPr>
          <w:rFonts w:ascii="Times New Roman" w:hAnsi="Times New Roman" w:cs="Times New Roman"/>
          <w:iCs/>
          <w:color w:val="FF0000"/>
          <w:sz w:val="24"/>
          <w:szCs w:val="24"/>
          <w:u w:val="single"/>
        </w:rPr>
        <w:lastRenderedPageBreak/>
        <w:t>depende de un marco de políticas inapropiado y una meta de inflación pasada de moda. Estos dos problemas se han combinado como consecuencia de una serie de errores (de análisis, pronóstico, comunicación, medidas políticas, regulación y supervisión) en los dos últimos años.</w:t>
      </w:r>
    </w:p>
    <w:p w:rsidR="007E3D39" w:rsidRPr="0002409D" w:rsidRDefault="007E3D39" w:rsidP="007E3D39">
      <w:pPr>
        <w:spacing w:line="240" w:lineRule="auto"/>
        <w:jc w:val="both"/>
        <w:rPr>
          <w:rFonts w:ascii="Times New Roman" w:hAnsi="Times New Roman" w:cs="Times New Roman"/>
          <w:b/>
          <w:iCs/>
          <w:color w:val="FF0000"/>
          <w:sz w:val="24"/>
          <w:szCs w:val="24"/>
          <w:u w:val="single"/>
        </w:rPr>
      </w:pPr>
      <w:r w:rsidRPr="0002409D">
        <w:rPr>
          <w:rFonts w:ascii="Times New Roman" w:hAnsi="Times New Roman" w:cs="Times New Roman"/>
          <w:b/>
          <w:iCs/>
          <w:color w:val="FF0000"/>
          <w:sz w:val="24"/>
          <w:szCs w:val="24"/>
          <w:u w:val="single"/>
        </w:rPr>
        <w:t>Hoy existe un consenso muy amplio de que la Fed se cavó su propia fosa cuando manejó mal las respuestas iniciales críticas al retorno de la inflación. Los responsables de las políticas se han esforzado por salir de esta situación desde entonces. No solo la Fed hizo un pronóstico equivocado de la inflación calificándola de "transitoria" durante gran parte de 2021, a pesar de la creciente evidencia que indicaba lo contrario y de las advertencias de economistas prominentes. Luego respondió con demasiada timidez cuando el presidente de la Fed, Jerome Powell, reconoció, a f</w:t>
      </w:r>
      <w:r>
        <w:rPr>
          <w:rFonts w:ascii="Times New Roman" w:hAnsi="Times New Roman" w:cs="Times New Roman"/>
          <w:b/>
          <w:iCs/>
          <w:color w:val="FF0000"/>
          <w:sz w:val="24"/>
          <w:szCs w:val="24"/>
          <w:u w:val="single"/>
        </w:rPr>
        <w:t>ines de noviembre de 2021, que “</w:t>
      </w:r>
      <w:r w:rsidRPr="0002409D">
        <w:rPr>
          <w:rFonts w:ascii="Times New Roman" w:hAnsi="Times New Roman" w:cs="Times New Roman"/>
          <w:b/>
          <w:iCs/>
          <w:color w:val="FF0000"/>
          <w:sz w:val="24"/>
          <w:szCs w:val="24"/>
          <w:u w:val="single"/>
        </w:rPr>
        <w:t xml:space="preserve">probablemente sea un buen momento para dejar de </w:t>
      </w:r>
      <w:r>
        <w:rPr>
          <w:rFonts w:ascii="Times New Roman" w:hAnsi="Times New Roman" w:cs="Times New Roman"/>
          <w:b/>
          <w:iCs/>
          <w:color w:val="FF0000"/>
          <w:sz w:val="24"/>
          <w:szCs w:val="24"/>
          <w:u w:val="single"/>
        </w:rPr>
        <w:t>usar la palabra “transitoria”</w:t>
      </w:r>
      <w:r w:rsidRPr="0002409D">
        <w:rPr>
          <w:rFonts w:ascii="Times New Roman" w:hAnsi="Times New Roman" w:cs="Times New Roman"/>
          <w:b/>
          <w:iCs/>
          <w:color w:val="FF0000"/>
          <w:sz w:val="24"/>
          <w:szCs w:val="24"/>
          <w:u w:val="single"/>
        </w:rPr>
        <w:t xml:space="preserve"> e intentar explicar más</w:t>
      </w:r>
      <w:r>
        <w:rPr>
          <w:rFonts w:ascii="Times New Roman" w:hAnsi="Times New Roman" w:cs="Times New Roman"/>
          <w:b/>
          <w:iCs/>
          <w:color w:val="FF0000"/>
          <w:sz w:val="24"/>
          <w:szCs w:val="24"/>
          <w:u w:val="single"/>
        </w:rPr>
        <w:t xml:space="preserve"> claramente a qué nos referimos”</w:t>
      </w:r>
      <w:r w:rsidRPr="0002409D">
        <w:rPr>
          <w:rFonts w:ascii="Times New Roman" w:hAnsi="Times New Roman" w:cs="Times New Roman"/>
          <w:b/>
          <w:iCs/>
          <w:color w:val="FF0000"/>
          <w:sz w:val="24"/>
          <w:szCs w:val="24"/>
          <w:u w:val="single"/>
        </w:rPr>
        <w:t>.</w:t>
      </w:r>
    </w:p>
    <w:p w:rsidR="007E3D39" w:rsidRPr="0002409D" w:rsidRDefault="007E3D39" w:rsidP="007E3D39">
      <w:pPr>
        <w:spacing w:line="240" w:lineRule="auto"/>
        <w:jc w:val="both"/>
        <w:rPr>
          <w:rFonts w:ascii="Times New Roman" w:hAnsi="Times New Roman" w:cs="Times New Roman"/>
          <w:iCs/>
          <w:color w:val="FF0000"/>
          <w:sz w:val="24"/>
          <w:szCs w:val="24"/>
          <w:u w:val="single"/>
        </w:rPr>
      </w:pPr>
      <w:r w:rsidRPr="0002409D">
        <w:rPr>
          <w:rFonts w:ascii="Times New Roman" w:hAnsi="Times New Roman" w:cs="Times New Roman"/>
          <w:iCs/>
          <w:color w:val="FF0000"/>
          <w:sz w:val="24"/>
          <w:szCs w:val="24"/>
          <w:u w:val="single"/>
        </w:rPr>
        <w:t>Estos dos errores implicaron que la Fed tuviera que recuperar terreno aceleradamente, cosa que hizo implementando el conjunto más concentrado de alzas de tasas en décadas. Un ajuste tan voluminoso y repentino genera mayores riesgos tanto para el crecimiento como para la estabilidad financiera. Sin embargo, el proceso de recuperar terreno se produjo demasiado tarde como para impedir que las presiones inflacionarias migraran del sector de los bienes a los servicios y los salarios. Ese desenlace crucial ha hecho que la inflación básica (que excluye los precios volátiles de los alimentos y de la energía) sea más resistente y menos sensible a las alzas de tasas, aumentando aún más el riesgo de agravar los errores en el terreno de las políticas.</w:t>
      </w:r>
    </w:p>
    <w:p w:rsidR="007E3D39" w:rsidRPr="0002409D" w:rsidRDefault="007E3D39" w:rsidP="007E3D39">
      <w:pPr>
        <w:spacing w:line="240" w:lineRule="auto"/>
        <w:jc w:val="both"/>
        <w:rPr>
          <w:rFonts w:ascii="Times New Roman" w:hAnsi="Times New Roman" w:cs="Times New Roman"/>
          <w:iCs/>
          <w:color w:val="FF0000"/>
          <w:sz w:val="24"/>
          <w:szCs w:val="24"/>
          <w:u w:val="single"/>
        </w:rPr>
      </w:pPr>
      <w:r w:rsidRPr="00A835CA">
        <w:rPr>
          <w:rFonts w:ascii="Times New Roman" w:hAnsi="Times New Roman" w:cs="Times New Roman"/>
          <w:iCs/>
          <w:color w:val="000000"/>
          <w:sz w:val="24"/>
          <w:szCs w:val="24"/>
        </w:rPr>
        <w:t xml:space="preserve">Esta secuencia también explica por qué las autoridades de la Fed parecen estar desorientadas en lo que concierne a las próximas medidas políticas. </w:t>
      </w:r>
      <w:r w:rsidRPr="0002409D">
        <w:rPr>
          <w:rFonts w:ascii="Times New Roman" w:hAnsi="Times New Roman" w:cs="Times New Roman"/>
          <w:iCs/>
          <w:color w:val="FF0000"/>
          <w:sz w:val="24"/>
          <w:szCs w:val="24"/>
          <w:u w:val="single"/>
        </w:rPr>
        <w:t>Al haberse perdido una enorme oportunidad para implementar la mejor respuesta posible, ahora se encuentra en un atolladero para encontrar la segunda mejor opción. Si se vuelven a subir las tasas en junio, se aumenta el riesgo de que la economía caiga en recesión y de que se vuelva a encender la inestabilidad financiera. Si no se aplican alzas de las tasas, se corre el riesgo de perder aún más credibilidad (un problema agravado por la excesiva dependencia de la Fed de datos retrospectivos para medidas políticas que actúan con un desfase).</w:t>
      </w:r>
    </w:p>
    <w:p w:rsidR="007E3D39" w:rsidRDefault="007E3D39" w:rsidP="007E3D39">
      <w:pPr>
        <w:spacing w:line="240" w:lineRule="auto"/>
        <w:jc w:val="both"/>
        <w:rPr>
          <w:rFonts w:ascii="Times New Roman" w:hAnsi="Times New Roman" w:cs="Times New Roman"/>
          <w:iCs/>
          <w:color w:val="000000"/>
          <w:sz w:val="24"/>
          <w:szCs w:val="24"/>
        </w:rPr>
      </w:pPr>
      <w:r w:rsidRPr="0002409D">
        <w:rPr>
          <w:rFonts w:ascii="Times New Roman" w:hAnsi="Times New Roman" w:cs="Times New Roman"/>
          <w:iCs/>
          <w:color w:val="FF0000"/>
          <w:sz w:val="24"/>
          <w:szCs w:val="24"/>
          <w:u w:val="single"/>
        </w:rPr>
        <w:t>Sospecho que si la próxima ronda de datos del mercado laboral y de los precios del consumidor sigue sorprendiendo por su solidez, la Fed anunciará otra alza de tasas en junio.</w:t>
      </w:r>
      <w:r w:rsidRPr="0002409D">
        <w:rPr>
          <w:rFonts w:ascii="Times New Roman" w:hAnsi="Times New Roman" w:cs="Times New Roman"/>
          <w:iCs/>
          <w:color w:val="FF0000"/>
          <w:sz w:val="24"/>
          <w:szCs w:val="24"/>
        </w:rPr>
        <w:t xml:space="preserve"> </w:t>
      </w:r>
      <w:r w:rsidRPr="00A835CA">
        <w:rPr>
          <w:rFonts w:ascii="Times New Roman" w:hAnsi="Times New Roman" w:cs="Times New Roman"/>
          <w:iCs/>
          <w:color w:val="000000"/>
          <w:sz w:val="24"/>
          <w:szCs w:val="24"/>
        </w:rPr>
        <w:t>Pero, más allá de lo que decida, su principal prioridad ahora debería ser usar los próximos meses para abordar las debilidades estructurales que, por empezar, condujeron a este embrollo. Eso no solo significa revisar su marco de política monetaria y evaluar internamente la conveniencia de su meta de inflación, sino también abordar su insularidad institucional, su falta de diversidad cognitiva y su rendición de cuentas inapropiada.</w:t>
      </w:r>
    </w:p>
    <w:p w:rsidR="007E3D39" w:rsidRPr="00B72C81"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B72C81">
        <w:rPr>
          <w:rFonts w:ascii="Times New Roman" w:hAnsi="Times New Roman" w:cs="Times New Roman"/>
          <w:sz w:val="24"/>
          <w:szCs w:val="24"/>
          <w:u w:val="single"/>
        </w:rPr>
        <w:t>Peligros pasados, presentes y futuros</w:t>
      </w:r>
      <w:r>
        <w:rPr>
          <w:rFonts w:ascii="Times New Roman" w:hAnsi="Times New Roman" w:cs="Times New Roman"/>
          <w:sz w:val="24"/>
          <w:szCs w:val="24"/>
        </w:rPr>
        <w:t xml:space="preserve"> (Cinco Días - </w:t>
      </w:r>
      <w:r w:rsidRPr="00B72C81">
        <w:rPr>
          <w:rFonts w:ascii="Times New Roman" w:hAnsi="Times New Roman" w:cs="Times New Roman"/>
          <w:b/>
          <w:sz w:val="24"/>
          <w:szCs w:val="24"/>
        </w:rPr>
        <w:t>7/6/23</w:t>
      </w:r>
      <w:r>
        <w:rPr>
          <w:rFonts w:ascii="Times New Roman" w:hAnsi="Times New Roman" w:cs="Times New Roman"/>
          <w:sz w:val="24"/>
          <w:szCs w:val="24"/>
        </w:rPr>
        <w:t>)</w:t>
      </w:r>
    </w:p>
    <w:p w:rsidR="007E3D39" w:rsidRPr="00FF6474" w:rsidRDefault="007E3D39" w:rsidP="007E3D39">
      <w:pPr>
        <w:spacing w:line="240" w:lineRule="auto"/>
        <w:jc w:val="both"/>
        <w:rPr>
          <w:rFonts w:ascii="Times New Roman" w:hAnsi="Times New Roman" w:cs="Times New Roman"/>
          <w:color w:val="FF0000"/>
          <w:sz w:val="24"/>
          <w:szCs w:val="24"/>
        </w:rPr>
      </w:pPr>
      <w:r>
        <w:rPr>
          <w:rFonts w:ascii="Times New Roman" w:hAnsi="Times New Roman" w:cs="Times New Roman"/>
          <w:color w:val="FF0000"/>
          <w:sz w:val="24"/>
          <w:szCs w:val="24"/>
        </w:rPr>
        <w:t>La “inmunidad”</w:t>
      </w:r>
      <w:r w:rsidRPr="00FF6474">
        <w:rPr>
          <w:rFonts w:ascii="Times New Roman" w:hAnsi="Times New Roman" w:cs="Times New Roman"/>
          <w:color w:val="FF0000"/>
          <w:sz w:val="24"/>
          <w:szCs w:val="24"/>
        </w:rPr>
        <w:t xml:space="preserve"> que ha mostrado la economía global en los últimos 18 meses es demasiado buena para durar, y no durará</w:t>
      </w:r>
    </w:p>
    <w:p w:rsidR="007E3D39" w:rsidRPr="00B72C81"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B72C81">
        <w:rPr>
          <w:rFonts w:ascii="Times New Roman" w:hAnsi="Times New Roman" w:cs="Times New Roman"/>
          <w:sz w:val="24"/>
          <w:szCs w:val="24"/>
        </w:rPr>
        <w:t>Juan Ignacio Crespo</w:t>
      </w:r>
      <w:r>
        <w:rPr>
          <w:rFonts w:ascii="Times New Roman" w:hAnsi="Times New Roman" w:cs="Times New Roman"/>
          <w:sz w:val="24"/>
          <w:szCs w:val="24"/>
        </w:rPr>
        <w:t>)</w:t>
      </w:r>
    </w:p>
    <w:p w:rsidR="007E3D39" w:rsidRPr="00FF6474" w:rsidRDefault="007E3D39" w:rsidP="007E3D39">
      <w:pPr>
        <w:spacing w:line="240" w:lineRule="auto"/>
        <w:jc w:val="both"/>
        <w:rPr>
          <w:rFonts w:ascii="Times New Roman" w:hAnsi="Times New Roman" w:cs="Times New Roman"/>
          <w:sz w:val="24"/>
          <w:szCs w:val="24"/>
          <w:u w:val="single"/>
        </w:rPr>
      </w:pPr>
      <w:r w:rsidRPr="00FF6474">
        <w:rPr>
          <w:rFonts w:ascii="Times New Roman" w:hAnsi="Times New Roman" w:cs="Times New Roman"/>
          <w:sz w:val="24"/>
          <w:szCs w:val="24"/>
          <w:u w:val="single"/>
        </w:rPr>
        <w:t>Los últimos 18 meses han estado llenos de sobresaltos para la economía global de los que, por ahora, ha salido casi indemne. Esa suerte enorme es demasiado buena para durar, por lo que lo más probable es que termine no durando.</w:t>
      </w:r>
    </w:p>
    <w:p w:rsidR="007E3D39" w:rsidRPr="00B72C81" w:rsidRDefault="007E3D39" w:rsidP="007E3D39">
      <w:pPr>
        <w:spacing w:line="240" w:lineRule="auto"/>
        <w:jc w:val="both"/>
        <w:rPr>
          <w:rFonts w:ascii="Times New Roman" w:hAnsi="Times New Roman" w:cs="Times New Roman"/>
          <w:sz w:val="24"/>
          <w:szCs w:val="24"/>
        </w:rPr>
      </w:pPr>
      <w:r w:rsidRPr="00B72C81">
        <w:rPr>
          <w:rFonts w:ascii="Times New Roman" w:hAnsi="Times New Roman" w:cs="Times New Roman"/>
          <w:sz w:val="24"/>
          <w:szCs w:val="24"/>
        </w:rPr>
        <w:lastRenderedPageBreak/>
        <w:t>El año 2022 se inició con dos riesgos muy agudos y que estaban a la vista de todo el mundo: la inminente subida de los tipos de interés y la invasión de Ucrania por el Ejército ruso. La mayor parte de los demás riesgos de ese año vinieron</w:t>
      </w:r>
      <w:r>
        <w:rPr>
          <w:rFonts w:ascii="Times New Roman" w:hAnsi="Times New Roman" w:cs="Times New Roman"/>
          <w:sz w:val="24"/>
          <w:szCs w:val="24"/>
        </w:rPr>
        <w:t xml:space="preserve"> como consecuencia de esos dos.</w:t>
      </w:r>
    </w:p>
    <w:p w:rsidR="007E3D39" w:rsidRPr="00FF6474" w:rsidRDefault="007E3D39" w:rsidP="007E3D39">
      <w:pPr>
        <w:spacing w:line="240" w:lineRule="auto"/>
        <w:jc w:val="both"/>
        <w:rPr>
          <w:rFonts w:ascii="Times New Roman" w:hAnsi="Times New Roman" w:cs="Times New Roman"/>
          <w:color w:val="FF0000"/>
          <w:sz w:val="24"/>
          <w:szCs w:val="24"/>
          <w:u w:val="single"/>
        </w:rPr>
      </w:pPr>
      <w:r w:rsidRPr="00FF6474">
        <w:rPr>
          <w:rFonts w:ascii="Times New Roman" w:hAnsi="Times New Roman" w:cs="Times New Roman"/>
          <w:color w:val="FF0000"/>
          <w:sz w:val="24"/>
          <w:szCs w:val="24"/>
          <w:u w:val="single"/>
        </w:rPr>
        <w:t>Después de la invasión de Ucrania la tendencia a subir del precio de las materias primas, que ya venía de atrás, se agudizó de manera drástica hasta llevar, en el caso del gas natural en el mercado europeo, a precios que cuadruplicaban los de finales de 2021.</w:t>
      </w:r>
    </w:p>
    <w:p w:rsidR="007E3D39" w:rsidRPr="00B72C81" w:rsidRDefault="007E3D39" w:rsidP="007E3D39">
      <w:pPr>
        <w:spacing w:line="240" w:lineRule="auto"/>
        <w:jc w:val="both"/>
        <w:rPr>
          <w:rFonts w:ascii="Times New Roman" w:hAnsi="Times New Roman" w:cs="Times New Roman"/>
          <w:sz w:val="24"/>
          <w:szCs w:val="24"/>
        </w:rPr>
      </w:pPr>
      <w:r w:rsidRPr="00FF6474">
        <w:rPr>
          <w:rFonts w:ascii="Times New Roman" w:hAnsi="Times New Roman" w:cs="Times New Roman"/>
          <w:sz w:val="24"/>
          <w:szCs w:val="24"/>
          <w:u w:val="single"/>
        </w:rPr>
        <w:t>Derivados de esa drástica subida de precio de las materias primas, vinieron dos acontecimientos que pasaron desapercibidos para el gran público, pero que pudieron haber supuesto problemas graves para las finanzas públicas y para los mercados. El primero de ellos, de entre los dignos de mención, fue la advertencia de varios de los principales traders (mercaderes) de materias primas (Trafigura, Vitol, etc.) de que quizás tendrían que recibir apoyo (por no decir rescate) de los Gobiernos, habida cuenta de las dificultades a las que se enfrentaban por la volatilidad extrema de los precios</w:t>
      </w:r>
      <w:r w:rsidRPr="00B72C81">
        <w:rPr>
          <w:rFonts w:ascii="Times New Roman" w:hAnsi="Times New Roman" w:cs="Times New Roman"/>
          <w:sz w:val="24"/>
          <w:szCs w:val="24"/>
        </w:rPr>
        <w:t xml:space="preserve">. Eso sucedía en el mes de marzo de 2022 con un efecto más visible: la quiebra del </w:t>
      </w:r>
      <w:r>
        <w:rPr>
          <w:rFonts w:ascii="Times New Roman" w:hAnsi="Times New Roman" w:cs="Times New Roman"/>
          <w:sz w:val="24"/>
          <w:szCs w:val="24"/>
        </w:rPr>
        <w:t>rey del acero inoxidable chino.</w:t>
      </w:r>
    </w:p>
    <w:p w:rsidR="007E3D39" w:rsidRPr="00B72C81" w:rsidRDefault="007E3D39" w:rsidP="007E3D39">
      <w:pPr>
        <w:spacing w:line="240" w:lineRule="auto"/>
        <w:jc w:val="both"/>
        <w:rPr>
          <w:rFonts w:ascii="Times New Roman" w:hAnsi="Times New Roman" w:cs="Times New Roman"/>
          <w:sz w:val="24"/>
          <w:szCs w:val="24"/>
        </w:rPr>
      </w:pPr>
      <w:r w:rsidRPr="00FF6474">
        <w:rPr>
          <w:rFonts w:ascii="Times New Roman" w:hAnsi="Times New Roman" w:cs="Times New Roman"/>
          <w:sz w:val="24"/>
          <w:szCs w:val="24"/>
          <w:u w:val="single"/>
        </w:rPr>
        <w:t>Posteriormente, a finales de agosto, esa eventualidad de rescates gubernamentales se hizo realidad, pero no con carácter general para los traders de materias primas, sino específicamente para las compañías de gas y electricidad: diferentes Gobiernos tuvieron que aprobar en reuniones de emergencia</w:t>
      </w:r>
      <w:r w:rsidRPr="00B72C81">
        <w:rPr>
          <w:rFonts w:ascii="Times New Roman" w:hAnsi="Times New Roman" w:cs="Times New Roman"/>
          <w:sz w:val="24"/>
          <w:szCs w:val="24"/>
        </w:rPr>
        <w:t xml:space="preserve"> (en Finlandia, por ejemplo, reuniéndose el Consejo de Ministros en un fin de semana) líneas de crédito para apoyar a algunas de esas empresas en riesgo de quiebra. Entre Alemania y Finlandia tuvieron que rescatar a una gran importadora de gas y productora de electricidad, Uniper. Francia tuvo que hacer algo similar, aunque a menor escala. El BCE aconsejó a los Gobiernos de la eurozona que tuvieran aprobadas esas </w:t>
      </w:r>
      <w:r>
        <w:rPr>
          <w:rFonts w:ascii="Times New Roman" w:hAnsi="Times New Roman" w:cs="Times New Roman"/>
          <w:sz w:val="24"/>
          <w:szCs w:val="24"/>
        </w:rPr>
        <w:t>líneas de crédito por si acaso.</w:t>
      </w:r>
    </w:p>
    <w:p w:rsidR="007E3D39" w:rsidRPr="00B72C81" w:rsidRDefault="007E3D39" w:rsidP="007E3D39">
      <w:pPr>
        <w:spacing w:line="240" w:lineRule="auto"/>
        <w:jc w:val="both"/>
        <w:rPr>
          <w:rFonts w:ascii="Times New Roman" w:hAnsi="Times New Roman" w:cs="Times New Roman"/>
          <w:sz w:val="24"/>
          <w:szCs w:val="24"/>
        </w:rPr>
      </w:pPr>
      <w:r w:rsidRPr="00FF6474">
        <w:rPr>
          <w:rFonts w:ascii="Times New Roman" w:hAnsi="Times New Roman" w:cs="Times New Roman"/>
          <w:sz w:val="24"/>
          <w:szCs w:val="24"/>
          <w:u w:val="single"/>
        </w:rPr>
        <w:t>El siguiente sobresalto lo provocó la subida de tipos de interés: en el Reino Unido, en medio de una crisis política que les llevó a tener tres primeros ministros diferentes en menos de un mes,</w:t>
      </w:r>
      <w:r w:rsidRPr="00B72C81">
        <w:rPr>
          <w:rFonts w:ascii="Times New Roman" w:hAnsi="Times New Roman" w:cs="Times New Roman"/>
          <w:sz w:val="24"/>
          <w:szCs w:val="24"/>
        </w:rPr>
        <w:t xml:space="preserve"> los fondos de pensiones británicos se enfrentaron a la posibilidad de quiebra como consecuencia de la operativa con derivados financieros que habían puesto en marcha para subir la rentabilidad que proporcionaban a sus clientes en el periodo de tipos de interés cero. Los mercados de deuda pública se alteraron mucho, aunque la </w:t>
      </w:r>
      <w:r>
        <w:rPr>
          <w:rFonts w:ascii="Times New Roman" w:hAnsi="Times New Roman" w:cs="Times New Roman"/>
          <w:sz w:val="24"/>
          <w:szCs w:val="24"/>
        </w:rPr>
        <w:t>cosa se quedó solo en un susto.</w:t>
      </w:r>
    </w:p>
    <w:p w:rsidR="007E3D39" w:rsidRPr="00B72C81" w:rsidRDefault="007E3D39" w:rsidP="007E3D39">
      <w:pPr>
        <w:spacing w:line="240" w:lineRule="auto"/>
        <w:jc w:val="both"/>
        <w:rPr>
          <w:rFonts w:ascii="Times New Roman" w:hAnsi="Times New Roman" w:cs="Times New Roman"/>
          <w:sz w:val="24"/>
          <w:szCs w:val="24"/>
        </w:rPr>
      </w:pPr>
      <w:r w:rsidRPr="00FF6474">
        <w:rPr>
          <w:rFonts w:ascii="Times New Roman" w:hAnsi="Times New Roman" w:cs="Times New Roman"/>
          <w:sz w:val="24"/>
          <w:szCs w:val="24"/>
          <w:u w:val="single"/>
        </w:rPr>
        <w:t>En paralelo, la política de Covid cero en China mantenía su economía en un grado de postración no visto desde la Gran Crisis financiera de 2008 (o la cambiaria de 2015) a la que solo el descontento popular terminó por finiquitar</w:t>
      </w:r>
      <w:r>
        <w:rPr>
          <w:rFonts w:ascii="Times New Roman" w:hAnsi="Times New Roman" w:cs="Times New Roman"/>
          <w:sz w:val="24"/>
          <w:szCs w:val="24"/>
        </w:rPr>
        <w:t>.</w:t>
      </w:r>
    </w:p>
    <w:p w:rsidR="007E3D39" w:rsidRPr="00FF6474" w:rsidRDefault="007E3D39" w:rsidP="007E3D39">
      <w:pPr>
        <w:spacing w:line="240" w:lineRule="auto"/>
        <w:jc w:val="both"/>
        <w:rPr>
          <w:rFonts w:ascii="Times New Roman" w:hAnsi="Times New Roman" w:cs="Times New Roman"/>
          <w:sz w:val="24"/>
          <w:szCs w:val="24"/>
          <w:u w:val="single"/>
        </w:rPr>
      </w:pPr>
      <w:r w:rsidRPr="00FF6474">
        <w:rPr>
          <w:rFonts w:ascii="Times New Roman" w:hAnsi="Times New Roman" w:cs="Times New Roman"/>
          <w:sz w:val="24"/>
          <w:szCs w:val="24"/>
          <w:u w:val="single"/>
        </w:rPr>
        <w:t>Todo ello aderezado por la subida imparable de los precios de consumo.</w:t>
      </w:r>
    </w:p>
    <w:p w:rsidR="007E3D39" w:rsidRPr="00FF6474" w:rsidRDefault="007E3D39" w:rsidP="007E3D39">
      <w:pPr>
        <w:spacing w:line="240" w:lineRule="auto"/>
        <w:jc w:val="both"/>
        <w:rPr>
          <w:rFonts w:ascii="Times New Roman" w:hAnsi="Times New Roman" w:cs="Times New Roman"/>
          <w:sz w:val="24"/>
          <w:szCs w:val="24"/>
          <w:u w:val="single"/>
        </w:rPr>
      </w:pPr>
      <w:r w:rsidRPr="00FF6474">
        <w:rPr>
          <w:rFonts w:ascii="Times New Roman" w:hAnsi="Times New Roman" w:cs="Times New Roman"/>
          <w:sz w:val="24"/>
          <w:szCs w:val="24"/>
          <w:u w:val="single"/>
        </w:rPr>
        <w:t>Ya en 2023, los siguiente</w:t>
      </w:r>
      <w:r>
        <w:rPr>
          <w:rFonts w:ascii="Times New Roman" w:hAnsi="Times New Roman" w:cs="Times New Roman"/>
          <w:sz w:val="24"/>
          <w:szCs w:val="24"/>
          <w:u w:val="single"/>
        </w:rPr>
        <w:t>s peligros se focalizaron en EE</w:t>
      </w:r>
      <w:r w:rsidRPr="00FF6474">
        <w:rPr>
          <w:rFonts w:ascii="Times New Roman" w:hAnsi="Times New Roman" w:cs="Times New Roman"/>
          <w:sz w:val="24"/>
          <w:szCs w:val="24"/>
          <w:u w:val="single"/>
        </w:rPr>
        <w:t>UU, con la quiebra en cadena de varios de sus bancos regionales, un proceso que en algún momento pareció que iba a acabar con todos ellos, mientras en Suiza tenían que rescatar a Credit Suisse.</w:t>
      </w:r>
    </w:p>
    <w:p w:rsidR="007E3D39" w:rsidRPr="00FF6474" w:rsidRDefault="007E3D39" w:rsidP="007E3D39">
      <w:pPr>
        <w:spacing w:line="240" w:lineRule="auto"/>
        <w:jc w:val="both"/>
        <w:rPr>
          <w:rFonts w:ascii="Times New Roman" w:hAnsi="Times New Roman" w:cs="Times New Roman"/>
          <w:sz w:val="24"/>
          <w:szCs w:val="24"/>
          <w:u w:val="single"/>
        </w:rPr>
      </w:pPr>
      <w:r w:rsidRPr="00FF6474">
        <w:rPr>
          <w:rFonts w:ascii="Times New Roman" w:hAnsi="Times New Roman" w:cs="Times New Roman"/>
          <w:sz w:val="24"/>
          <w:szCs w:val="24"/>
          <w:u w:val="single"/>
        </w:rPr>
        <w:t>Recientemente ha estado planeando una vez más sobre las finanzas mundiales la sombra de un eventual de</w:t>
      </w:r>
      <w:r>
        <w:rPr>
          <w:rFonts w:ascii="Times New Roman" w:hAnsi="Times New Roman" w:cs="Times New Roman"/>
          <w:sz w:val="24"/>
          <w:szCs w:val="24"/>
          <w:u w:val="single"/>
        </w:rPr>
        <w:t>fault de la deuda pública de EE</w:t>
      </w:r>
      <w:r w:rsidRPr="00FF6474">
        <w:rPr>
          <w:rFonts w:ascii="Times New Roman" w:hAnsi="Times New Roman" w:cs="Times New Roman"/>
          <w:sz w:val="24"/>
          <w:szCs w:val="24"/>
          <w:u w:val="single"/>
        </w:rPr>
        <w:t>UU, un problema que los mercados no se han tomado esta vez demasiado en serio, convencidos como estaban de la inevitabilidad de un acuerdo in extremis entre republicanos y demócratas.</w:t>
      </w:r>
    </w:p>
    <w:p w:rsidR="007E3D39" w:rsidRPr="00FF6474" w:rsidRDefault="007E3D39" w:rsidP="007E3D39">
      <w:pPr>
        <w:spacing w:line="240" w:lineRule="auto"/>
        <w:jc w:val="both"/>
        <w:rPr>
          <w:rFonts w:ascii="Times New Roman" w:hAnsi="Times New Roman" w:cs="Times New Roman"/>
          <w:color w:val="FF0000"/>
          <w:sz w:val="24"/>
          <w:szCs w:val="24"/>
          <w:u w:val="single"/>
        </w:rPr>
      </w:pPr>
      <w:r w:rsidRPr="00FF6474">
        <w:rPr>
          <w:rFonts w:ascii="Times New Roman" w:hAnsi="Times New Roman" w:cs="Times New Roman"/>
          <w:color w:val="FF0000"/>
          <w:sz w:val="24"/>
          <w:szCs w:val="24"/>
          <w:u w:val="single"/>
        </w:rPr>
        <w:t xml:space="preserve">Las (tres) reducciones de la producción de petróleo por la OPEP+ no asustan a nadie. ¿Es posible tan buena suerte cuando ni siquiera el que los tipos de interés suban </w:t>
      </w:r>
      <w:r>
        <w:rPr>
          <w:rFonts w:ascii="Times New Roman" w:hAnsi="Times New Roman" w:cs="Times New Roman"/>
          <w:color w:val="FF0000"/>
          <w:sz w:val="24"/>
          <w:szCs w:val="24"/>
          <w:u w:val="single"/>
        </w:rPr>
        <w:t>de cero a 5,25% en EE</w:t>
      </w:r>
      <w:r w:rsidRPr="00FF6474">
        <w:rPr>
          <w:rFonts w:ascii="Times New Roman" w:hAnsi="Times New Roman" w:cs="Times New Roman"/>
          <w:color w:val="FF0000"/>
          <w:sz w:val="24"/>
          <w:szCs w:val="24"/>
          <w:u w:val="single"/>
        </w:rPr>
        <w:t>UU y de negativos a 3,75% en Europa ha sido capaz de provocar una recesión?</w:t>
      </w:r>
    </w:p>
    <w:p w:rsidR="007E3D39" w:rsidRPr="00FF6474" w:rsidRDefault="007E3D39" w:rsidP="007E3D39">
      <w:pPr>
        <w:spacing w:line="240" w:lineRule="auto"/>
        <w:jc w:val="both"/>
        <w:rPr>
          <w:rFonts w:ascii="Times New Roman" w:hAnsi="Times New Roman" w:cs="Times New Roman"/>
          <w:sz w:val="24"/>
          <w:szCs w:val="24"/>
          <w:u w:val="single"/>
        </w:rPr>
      </w:pPr>
      <w:r w:rsidRPr="00B72C81">
        <w:rPr>
          <w:rFonts w:ascii="Times New Roman" w:hAnsi="Times New Roman" w:cs="Times New Roman"/>
          <w:sz w:val="24"/>
          <w:szCs w:val="24"/>
        </w:rPr>
        <w:lastRenderedPageBreak/>
        <w:t xml:space="preserve">¡Ojalá!, pero </w:t>
      </w:r>
      <w:r w:rsidRPr="00FF6474">
        <w:rPr>
          <w:rFonts w:ascii="Times New Roman" w:hAnsi="Times New Roman" w:cs="Times New Roman"/>
          <w:sz w:val="24"/>
          <w:szCs w:val="24"/>
          <w:u w:val="single"/>
        </w:rPr>
        <w:t>seguimos incursos en otros peligros que se pueden avizorar.</w:t>
      </w:r>
    </w:p>
    <w:p w:rsidR="007E3D39" w:rsidRPr="00B72C81" w:rsidRDefault="007E3D39" w:rsidP="007E3D39">
      <w:pPr>
        <w:spacing w:line="240" w:lineRule="auto"/>
        <w:jc w:val="both"/>
        <w:rPr>
          <w:rFonts w:ascii="Times New Roman" w:hAnsi="Times New Roman" w:cs="Times New Roman"/>
          <w:sz w:val="24"/>
          <w:szCs w:val="24"/>
        </w:rPr>
      </w:pPr>
      <w:r w:rsidRPr="00B72C81">
        <w:rPr>
          <w:rFonts w:ascii="Times New Roman" w:hAnsi="Times New Roman" w:cs="Times New Roman"/>
          <w:sz w:val="24"/>
          <w:szCs w:val="24"/>
        </w:rPr>
        <w:t xml:space="preserve">Hay uno muy evidente, pero que ya no figura cotidianamente entre los que son portada de periódicos y telediarios: </w:t>
      </w:r>
      <w:r w:rsidRPr="00FF6474">
        <w:rPr>
          <w:rFonts w:ascii="Times New Roman" w:hAnsi="Times New Roman" w:cs="Times New Roman"/>
          <w:sz w:val="24"/>
          <w:szCs w:val="24"/>
          <w:u w:val="single"/>
        </w:rPr>
        <w:t>la guerra en Ucrania</w:t>
      </w:r>
      <w:r w:rsidRPr="00B72C81">
        <w:rPr>
          <w:rFonts w:ascii="Times New Roman" w:hAnsi="Times New Roman" w:cs="Times New Roman"/>
          <w:sz w:val="24"/>
          <w:szCs w:val="24"/>
        </w:rPr>
        <w:t>. Tras el pavor inicial a un holocausto nuclear se ha caído en el sesteo con el que se percibe esa guerra fuera de los lugares donde caen las bombas. Pero que no se piense en él no qui</w:t>
      </w:r>
      <w:r>
        <w:rPr>
          <w:rFonts w:ascii="Times New Roman" w:hAnsi="Times New Roman" w:cs="Times New Roman"/>
          <w:sz w:val="24"/>
          <w:szCs w:val="24"/>
        </w:rPr>
        <w:t>ere decir que haya desparecido.</w:t>
      </w:r>
    </w:p>
    <w:p w:rsidR="007E3D39" w:rsidRPr="00FF6474" w:rsidRDefault="007E3D39" w:rsidP="007E3D39">
      <w:pPr>
        <w:spacing w:line="240" w:lineRule="auto"/>
        <w:jc w:val="both"/>
        <w:rPr>
          <w:rFonts w:ascii="Times New Roman" w:hAnsi="Times New Roman" w:cs="Times New Roman"/>
          <w:sz w:val="24"/>
          <w:szCs w:val="24"/>
          <w:u w:val="single"/>
        </w:rPr>
      </w:pPr>
      <w:r w:rsidRPr="00FF6474">
        <w:rPr>
          <w:rFonts w:ascii="Times New Roman" w:hAnsi="Times New Roman" w:cs="Times New Roman"/>
          <w:sz w:val="24"/>
          <w:szCs w:val="24"/>
          <w:u w:val="single"/>
        </w:rPr>
        <w:t>A corto plazo acecha un nuevo peligro: la reducción del exceso de liquidez en los mercados monetarios de EE UU, que lo normal sería que arrastrase a las Bolsas a una fuerte caída. ¿Y cuál sería su causa? La avalancha de emisiones de deuda pública por valor de más de un billón de dól</w:t>
      </w:r>
      <w:r>
        <w:rPr>
          <w:rFonts w:ascii="Times New Roman" w:hAnsi="Times New Roman" w:cs="Times New Roman"/>
          <w:sz w:val="24"/>
          <w:szCs w:val="24"/>
          <w:u w:val="single"/>
        </w:rPr>
        <w:t>ares por parte del Tesoro de EE</w:t>
      </w:r>
      <w:r w:rsidRPr="00FF6474">
        <w:rPr>
          <w:rFonts w:ascii="Times New Roman" w:hAnsi="Times New Roman" w:cs="Times New Roman"/>
          <w:sz w:val="24"/>
          <w:szCs w:val="24"/>
          <w:u w:val="single"/>
        </w:rPr>
        <w:t>UU, que unidas al cobro de impuestos harán que ese exceso de liquidez pegue un bajón a lo largo de los próximos meses: piénsese que la cuenta general del Tesoro ha pasado de casi medio billón de dólares a cero en lo que va de año. Solo con que se reponga esa cantidad, la liquidez circulante se habrá reducido en ese medio billón.</w:t>
      </w:r>
    </w:p>
    <w:p w:rsidR="007E3D39" w:rsidRPr="00FF6474" w:rsidRDefault="007E3D39" w:rsidP="007E3D39">
      <w:pPr>
        <w:spacing w:line="240" w:lineRule="auto"/>
        <w:jc w:val="both"/>
        <w:rPr>
          <w:rFonts w:ascii="Times New Roman" w:hAnsi="Times New Roman" w:cs="Times New Roman"/>
          <w:sz w:val="24"/>
          <w:szCs w:val="24"/>
          <w:u w:val="single"/>
        </w:rPr>
      </w:pPr>
      <w:r w:rsidRPr="00FF6474">
        <w:rPr>
          <w:rFonts w:ascii="Times New Roman" w:hAnsi="Times New Roman" w:cs="Times New Roman"/>
          <w:sz w:val="24"/>
          <w:szCs w:val="24"/>
          <w:u w:val="single"/>
        </w:rPr>
        <w:t>Que la economía china no esté creciendo como se esperaba o que las manufacturas globales estén en recesión desde hace diez meses completan un panorama de peligros que están a la vista. De los que permanecen ocultos poco se puede decir.</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B72C81">
        <w:rPr>
          <w:rFonts w:ascii="Times New Roman" w:hAnsi="Times New Roman" w:cs="Times New Roman"/>
          <w:sz w:val="24"/>
          <w:szCs w:val="24"/>
        </w:rPr>
        <w:t>Juan Ignacio Crespo es estadístico del Estado y analista financiero</w:t>
      </w:r>
      <w:r>
        <w:rPr>
          <w:rFonts w:ascii="Times New Roman" w:hAnsi="Times New Roman" w:cs="Times New Roman"/>
          <w:sz w:val="24"/>
          <w:szCs w:val="24"/>
        </w:rPr>
        <w:t>)</w:t>
      </w:r>
    </w:p>
    <w:p w:rsidR="007E3D39" w:rsidRPr="00C95651"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95651">
        <w:rPr>
          <w:rFonts w:ascii="Times New Roman" w:hAnsi="Times New Roman" w:cs="Times New Roman"/>
          <w:sz w:val="24"/>
          <w:szCs w:val="24"/>
          <w:u w:val="single"/>
        </w:rPr>
        <w:t>Economía.- Solo acelerando la productividad se salvaguardará la solidez económica y la riqueza del mundo, según McKinsey</w:t>
      </w:r>
      <w:r>
        <w:rPr>
          <w:rFonts w:ascii="Times New Roman" w:hAnsi="Times New Roman" w:cs="Times New Roman"/>
          <w:sz w:val="24"/>
          <w:szCs w:val="24"/>
        </w:rPr>
        <w:t xml:space="preserve"> (Bolsamania - </w:t>
      </w:r>
      <w:r w:rsidRPr="00697A60">
        <w:rPr>
          <w:rFonts w:ascii="Times New Roman" w:hAnsi="Times New Roman" w:cs="Times New Roman"/>
          <w:b/>
          <w:sz w:val="24"/>
          <w:szCs w:val="24"/>
        </w:rPr>
        <w:t>8/6/23</w:t>
      </w:r>
      <w:r>
        <w:rPr>
          <w:rFonts w:ascii="Times New Roman" w:hAnsi="Times New Roman" w:cs="Times New Roman"/>
          <w:sz w:val="24"/>
          <w:szCs w:val="24"/>
        </w:rPr>
        <w:t>)</w:t>
      </w:r>
    </w:p>
    <w:p w:rsidR="007E3D39" w:rsidRPr="00697A60" w:rsidRDefault="007E3D39" w:rsidP="007E3D39">
      <w:pPr>
        <w:spacing w:line="240" w:lineRule="auto"/>
        <w:jc w:val="both"/>
        <w:rPr>
          <w:rFonts w:ascii="Times New Roman" w:hAnsi="Times New Roman" w:cs="Times New Roman"/>
          <w:color w:val="FF0000"/>
          <w:sz w:val="24"/>
          <w:szCs w:val="24"/>
        </w:rPr>
      </w:pPr>
      <w:r w:rsidRPr="00B7149B">
        <w:rPr>
          <w:rFonts w:ascii="Times New Roman" w:hAnsi="Times New Roman" w:cs="Times New Roman"/>
          <w:color w:val="FF0000"/>
          <w:sz w:val="24"/>
          <w:szCs w:val="24"/>
        </w:rPr>
        <w:t>Solo acelerando la productividad se conseguirá salvaguardar la solidez económica, el balance global y la riqueza en el mundo, según un estudio de la consultora McKinsey &amp; Company que analiza cuatro escenarios futuros de inflación, tipos de interés y</w:t>
      </w:r>
      <w:r>
        <w:rPr>
          <w:rFonts w:ascii="Times New Roman" w:hAnsi="Times New Roman" w:cs="Times New Roman"/>
          <w:color w:val="FF0000"/>
          <w:sz w:val="24"/>
          <w:szCs w:val="24"/>
        </w:rPr>
        <w:t xml:space="preserve"> crecimiento hasta el año 2030.</w:t>
      </w:r>
    </w:p>
    <w:p w:rsidR="007E3D39" w:rsidRPr="00B7149B" w:rsidRDefault="007E3D39" w:rsidP="007E3D39">
      <w:pPr>
        <w:spacing w:line="240" w:lineRule="auto"/>
        <w:jc w:val="both"/>
        <w:rPr>
          <w:rFonts w:ascii="Times New Roman" w:hAnsi="Times New Roman" w:cs="Times New Roman"/>
          <w:color w:val="FF0000"/>
          <w:sz w:val="24"/>
          <w:szCs w:val="24"/>
          <w:u w:val="single"/>
        </w:rPr>
      </w:pPr>
      <w:r w:rsidRPr="00B7149B">
        <w:rPr>
          <w:rFonts w:ascii="Times New Roman" w:hAnsi="Times New Roman" w:cs="Times New Roman"/>
          <w:color w:val="FF0000"/>
          <w:sz w:val="24"/>
          <w:szCs w:val="24"/>
          <w:u w:val="single"/>
        </w:rPr>
        <w:t xml:space="preserve">El informe </w:t>
      </w:r>
      <w:r>
        <w:rPr>
          <w:rFonts w:ascii="Times New Roman" w:hAnsi="Times New Roman" w:cs="Times New Roman"/>
          <w:b/>
          <w:color w:val="FF0000"/>
          <w:sz w:val="24"/>
          <w:szCs w:val="24"/>
          <w:u w:val="single"/>
        </w:rPr>
        <w:t>“</w:t>
      </w:r>
      <w:r w:rsidRPr="00B7149B">
        <w:rPr>
          <w:rFonts w:ascii="Times New Roman" w:hAnsi="Times New Roman" w:cs="Times New Roman"/>
          <w:b/>
          <w:color w:val="FF0000"/>
          <w:sz w:val="24"/>
          <w:szCs w:val="24"/>
          <w:u w:val="single"/>
        </w:rPr>
        <w:t xml:space="preserve">El futuro de la riqueza y </w:t>
      </w:r>
      <w:r>
        <w:rPr>
          <w:rFonts w:ascii="Times New Roman" w:hAnsi="Times New Roman" w:cs="Times New Roman"/>
          <w:b/>
          <w:color w:val="FF0000"/>
          <w:sz w:val="24"/>
          <w:szCs w:val="24"/>
          <w:u w:val="single"/>
        </w:rPr>
        <w:t>el crecimiento pende de un hilo”</w:t>
      </w:r>
      <w:r w:rsidRPr="00B7149B">
        <w:rPr>
          <w:rFonts w:ascii="Times New Roman" w:hAnsi="Times New Roman" w:cs="Times New Roman"/>
          <w:color w:val="FF0000"/>
          <w:sz w:val="24"/>
          <w:szCs w:val="24"/>
          <w:u w:val="single"/>
        </w:rPr>
        <w:t xml:space="preserve">, elaborado por </w:t>
      </w:r>
      <w:r w:rsidRPr="00B7149B">
        <w:rPr>
          <w:rFonts w:ascii="Times New Roman" w:hAnsi="Times New Roman" w:cs="Times New Roman"/>
          <w:b/>
          <w:color w:val="FF0000"/>
          <w:sz w:val="24"/>
          <w:szCs w:val="24"/>
          <w:u w:val="single"/>
        </w:rPr>
        <w:t>McKinsey Global Institute (MGI)</w:t>
      </w:r>
      <w:r w:rsidRPr="00B7149B">
        <w:rPr>
          <w:rFonts w:ascii="Times New Roman" w:hAnsi="Times New Roman" w:cs="Times New Roman"/>
          <w:color w:val="FF0000"/>
          <w:sz w:val="24"/>
          <w:szCs w:val="24"/>
          <w:u w:val="single"/>
        </w:rPr>
        <w:t xml:space="preserve">, explica que la inflación de los precios de los activos en las dos últimas décadas ha creado unos 160 billones de </w:t>
      </w:r>
      <w:r>
        <w:rPr>
          <w:rFonts w:ascii="Times New Roman" w:hAnsi="Times New Roman" w:cs="Times New Roman"/>
          <w:color w:val="FF0000"/>
          <w:sz w:val="24"/>
          <w:szCs w:val="24"/>
          <w:u w:val="single"/>
        </w:rPr>
        <w:t>dólares en “riqueza de papel”. “</w:t>
      </w:r>
      <w:r w:rsidRPr="00B7149B">
        <w:rPr>
          <w:rFonts w:ascii="Times New Roman" w:hAnsi="Times New Roman" w:cs="Times New Roman"/>
          <w:color w:val="FF0000"/>
          <w:sz w:val="24"/>
          <w:szCs w:val="24"/>
          <w:u w:val="single"/>
        </w:rPr>
        <w:t>Mientras que el crecimiento económico se ralentizaba, la desigualdad aumentaba y cada dólar invertido</w:t>
      </w:r>
      <w:r>
        <w:rPr>
          <w:rFonts w:ascii="Times New Roman" w:hAnsi="Times New Roman" w:cs="Times New Roman"/>
          <w:color w:val="FF0000"/>
          <w:sz w:val="24"/>
          <w:szCs w:val="24"/>
          <w:u w:val="single"/>
        </w:rPr>
        <w:t xml:space="preserve"> generaba 1,90 dólares de deuda”</w:t>
      </w:r>
      <w:r w:rsidRPr="00B7149B">
        <w:rPr>
          <w:rFonts w:ascii="Times New Roman" w:hAnsi="Times New Roman" w:cs="Times New Roman"/>
          <w:color w:val="FF0000"/>
          <w:sz w:val="24"/>
          <w:szCs w:val="24"/>
          <w:u w:val="single"/>
        </w:rPr>
        <w:t>, afirma.</w:t>
      </w:r>
    </w:p>
    <w:p w:rsidR="007E3D39" w:rsidRPr="00C95651"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Sin embargo, “</w:t>
      </w:r>
      <w:r w:rsidRPr="00C95651">
        <w:rPr>
          <w:rFonts w:ascii="Times New Roman" w:hAnsi="Times New Roman" w:cs="Times New Roman"/>
          <w:sz w:val="24"/>
          <w:szCs w:val="24"/>
        </w:rPr>
        <w:t>las actuales oscilaciones del sistema financiero pueden indicar un cambio duradero en la forma en que el mundo presta, pide prest</w:t>
      </w:r>
      <w:r>
        <w:rPr>
          <w:rFonts w:ascii="Times New Roman" w:hAnsi="Times New Roman" w:cs="Times New Roman"/>
          <w:sz w:val="24"/>
          <w:szCs w:val="24"/>
        </w:rPr>
        <w:t>ado y crea riqueza”, según MGI.</w:t>
      </w:r>
    </w:p>
    <w:p w:rsidR="007E3D39" w:rsidRPr="00B7149B" w:rsidRDefault="007E3D39" w:rsidP="007E3D39">
      <w:pPr>
        <w:spacing w:line="240" w:lineRule="auto"/>
        <w:jc w:val="both"/>
        <w:rPr>
          <w:rFonts w:ascii="Times New Roman" w:hAnsi="Times New Roman" w:cs="Times New Roman"/>
          <w:sz w:val="24"/>
          <w:szCs w:val="24"/>
          <w:u w:val="single"/>
        </w:rPr>
      </w:pPr>
      <w:r w:rsidRPr="00C95651">
        <w:rPr>
          <w:rFonts w:ascii="Times New Roman" w:hAnsi="Times New Roman" w:cs="Times New Roman"/>
          <w:sz w:val="24"/>
          <w:szCs w:val="24"/>
        </w:rPr>
        <w:t xml:space="preserve">El estudio de McKinsey expone que </w:t>
      </w:r>
      <w:r w:rsidRPr="00B7149B">
        <w:rPr>
          <w:rFonts w:ascii="Times New Roman" w:hAnsi="Times New Roman" w:cs="Times New Roman"/>
          <w:sz w:val="24"/>
          <w:szCs w:val="24"/>
          <w:u w:val="single"/>
        </w:rPr>
        <w:t>el crecimiento del balance global</w:t>
      </w:r>
      <w:r>
        <w:rPr>
          <w:rFonts w:ascii="Times New Roman" w:hAnsi="Times New Roman" w:cs="Times New Roman"/>
          <w:sz w:val="24"/>
          <w:szCs w:val="24"/>
        </w:rPr>
        <w:t xml:space="preserve"> </w:t>
      </w:r>
      <w:r w:rsidRPr="00C95651">
        <w:rPr>
          <w:rFonts w:ascii="Times New Roman" w:hAnsi="Times New Roman" w:cs="Times New Roman"/>
          <w:sz w:val="24"/>
          <w:szCs w:val="24"/>
        </w:rPr>
        <w:t xml:space="preserve">-el equilibrio entre la riqueza y la salud de la economía (analizando los activos y pasivos de los hogares, las corporaciones, los gobiernos y </w:t>
      </w:r>
      <w:r>
        <w:rPr>
          <w:rFonts w:ascii="Times New Roman" w:hAnsi="Times New Roman" w:cs="Times New Roman"/>
          <w:sz w:val="24"/>
          <w:szCs w:val="24"/>
        </w:rPr>
        <w:t>las instituciones financieras)-</w:t>
      </w:r>
      <w:r w:rsidRPr="00C95651">
        <w:rPr>
          <w:rFonts w:ascii="Times New Roman" w:hAnsi="Times New Roman" w:cs="Times New Roman"/>
          <w:sz w:val="24"/>
          <w:szCs w:val="24"/>
        </w:rPr>
        <w:t xml:space="preserve"> </w:t>
      </w:r>
      <w:r w:rsidRPr="00B7149B">
        <w:rPr>
          <w:rFonts w:ascii="Times New Roman" w:hAnsi="Times New Roman" w:cs="Times New Roman"/>
          <w:sz w:val="24"/>
          <w:szCs w:val="24"/>
          <w:u w:val="single"/>
        </w:rPr>
        <w:t>se aceleró aún más con la pandemia, con 3,40 dólares más de deuda por cada dólar de inversión neta en 2020 y 2021. Además, a finales de 2022, la inestabilidad económica mundial ya se había hecho patente y ese año los hogares perdieron hasta 8 billones de dólares de riqueza.</w:t>
      </w:r>
    </w:p>
    <w:p w:rsidR="007E3D39" w:rsidRPr="00C95651" w:rsidRDefault="007E3D39" w:rsidP="007E3D39">
      <w:pPr>
        <w:spacing w:line="240" w:lineRule="auto"/>
        <w:jc w:val="both"/>
        <w:rPr>
          <w:rFonts w:ascii="Times New Roman" w:hAnsi="Times New Roman" w:cs="Times New Roman"/>
          <w:sz w:val="24"/>
          <w:szCs w:val="24"/>
        </w:rPr>
      </w:pPr>
      <w:r w:rsidRPr="00C95651">
        <w:rPr>
          <w:rFonts w:ascii="Times New Roman" w:hAnsi="Times New Roman" w:cs="Times New Roman"/>
          <w:sz w:val="24"/>
          <w:szCs w:val="24"/>
        </w:rPr>
        <w:t>C</w:t>
      </w:r>
      <w:r>
        <w:rPr>
          <w:rFonts w:ascii="Times New Roman" w:hAnsi="Times New Roman" w:cs="Times New Roman"/>
          <w:sz w:val="24"/>
          <w:szCs w:val="24"/>
        </w:rPr>
        <w:t>uatro posibles escenarios futuros</w:t>
      </w:r>
    </w:p>
    <w:p w:rsidR="007E3D39" w:rsidRPr="00690D6D" w:rsidRDefault="007E3D39" w:rsidP="007E3D39">
      <w:pPr>
        <w:spacing w:line="240" w:lineRule="auto"/>
        <w:jc w:val="both"/>
        <w:rPr>
          <w:rFonts w:ascii="Times New Roman" w:hAnsi="Times New Roman" w:cs="Times New Roman"/>
          <w:sz w:val="24"/>
          <w:szCs w:val="24"/>
          <w:u w:val="single"/>
        </w:rPr>
      </w:pPr>
      <w:r w:rsidRPr="00690D6D">
        <w:rPr>
          <w:rFonts w:ascii="Times New Roman" w:hAnsi="Times New Roman" w:cs="Times New Roman"/>
          <w:sz w:val="24"/>
          <w:szCs w:val="24"/>
          <w:u w:val="single"/>
        </w:rPr>
        <w:t>De los cuatro escenarios analizados por MGI, hay tres que “no son muy esperanzadores”. En el primero, descrito como de “vuelta al pasado”, la volatilidad podría ser temporal y la expansión de los balances podría reanudarse, ya que el ahorro volvería a subir el precio de los activos existentes en lugar de destinarse a inversiones productivas.</w:t>
      </w:r>
    </w:p>
    <w:p w:rsidR="007E3D39" w:rsidRPr="00690D6D" w:rsidRDefault="007E3D39" w:rsidP="007E3D39">
      <w:pPr>
        <w:spacing w:line="240" w:lineRule="auto"/>
        <w:jc w:val="both"/>
        <w:rPr>
          <w:rFonts w:ascii="Times New Roman" w:hAnsi="Times New Roman" w:cs="Times New Roman"/>
          <w:sz w:val="24"/>
          <w:szCs w:val="24"/>
          <w:u w:val="single"/>
        </w:rPr>
      </w:pPr>
      <w:r w:rsidRPr="00690D6D">
        <w:rPr>
          <w:rFonts w:ascii="Times New Roman" w:hAnsi="Times New Roman" w:cs="Times New Roman"/>
          <w:sz w:val="24"/>
          <w:szCs w:val="24"/>
          <w:u w:val="single"/>
        </w:rPr>
        <w:lastRenderedPageBreak/>
        <w:t>En la segunda hipótesis, que MGI denomina como “mayor durante más tiempo”, el crecimiento puede ralentizarse con una inflación y unos tipos de interés persistentemente elevados.</w:t>
      </w:r>
    </w:p>
    <w:p w:rsidR="007E3D39" w:rsidRPr="00C95651" w:rsidRDefault="007E3D39" w:rsidP="007E3D39">
      <w:pPr>
        <w:spacing w:line="240" w:lineRule="auto"/>
        <w:jc w:val="both"/>
        <w:rPr>
          <w:rFonts w:ascii="Times New Roman" w:hAnsi="Times New Roman" w:cs="Times New Roman"/>
          <w:sz w:val="24"/>
          <w:szCs w:val="24"/>
        </w:rPr>
      </w:pPr>
      <w:r w:rsidRPr="00C95651">
        <w:rPr>
          <w:rFonts w:ascii="Times New Roman" w:hAnsi="Times New Roman" w:cs="Times New Roman"/>
          <w:sz w:val="24"/>
          <w:szCs w:val="24"/>
        </w:rPr>
        <w:t>Olivia White, socia sénior y dir</w:t>
      </w:r>
      <w:r>
        <w:rPr>
          <w:rFonts w:ascii="Times New Roman" w:hAnsi="Times New Roman" w:cs="Times New Roman"/>
          <w:sz w:val="24"/>
          <w:szCs w:val="24"/>
        </w:rPr>
        <w:t>ectora de MGI, ha señalado que “</w:t>
      </w:r>
      <w:r w:rsidRPr="00C95651">
        <w:rPr>
          <w:rFonts w:ascii="Times New Roman" w:hAnsi="Times New Roman" w:cs="Times New Roman"/>
          <w:sz w:val="24"/>
          <w:szCs w:val="24"/>
        </w:rPr>
        <w:t>las turbulencias de los últimos tiempos son una sacudida para el sistema tras décadas de aumento de la r</w:t>
      </w:r>
      <w:r>
        <w:rPr>
          <w:rFonts w:ascii="Times New Roman" w:hAnsi="Times New Roman" w:cs="Times New Roman"/>
          <w:sz w:val="24"/>
          <w:szCs w:val="24"/>
        </w:rPr>
        <w:t>iqueza en papel y de la deuda”.</w:t>
      </w:r>
    </w:p>
    <w:p w:rsidR="007E3D39" w:rsidRPr="00C95651"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95651">
        <w:rPr>
          <w:rFonts w:ascii="Times New Roman" w:hAnsi="Times New Roman" w:cs="Times New Roman"/>
          <w:sz w:val="24"/>
          <w:szCs w:val="24"/>
        </w:rPr>
        <w:t>Nos dirigimos hacia una era que puede no parecerse en nada a los últimos 20 año</w:t>
      </w:r>
      <w:r>
        <w:rPr>
          <w:rFonts w:ascii="Times New Roman" w:hAnsi="Times New Roman" w:cs="Times New Roman"/>
          <w:sz w:val="24"/>
          <w:szCs w:val="24"/>
        </w:rPr>
        <w:t>s”</w:t>
      </w:r>
      <w:r w:rsidRPr="00C95651">
        <w:rPr>
          <w:rFonts w:ascii="Times New Roman" w:hAnsi="Times New Roman" w:cs="Times New Roman"/>
          <w:sz w:val="24"/>
          <w:szCs w:val="24"/>
        </w:rPr>
        <w:t xml:space="preserve">, ha advertido White, que sostiene que el amplio </w:t>
      </w:r>
      <w:r>
        <w:rPr>
          <w:rFonts w:ascii="Times New Roman" w:hAnsi="Times New Roman" w:cs="Times New Roman"/>
          <w:sz w:val="24"/>
          <w:szCs w:val="24"/>
        </w:rPr>
        <w:t>abanico de caminos que se abre “</w:t>
      </w:r>
      <w:r w:rsidRPr="00C95651">
        <w:rPr>
          <w:rFonts w:ascii="Times New Roman" w:hAnsi="Times New Roman" w:cs="Times New Roman"/>
          <w:sz w:val="24"/>
          <w:szCs w:val="24"/>
        </w:rPr>
        <w:t xml:space="preserve">exige pensar más a largo plazo y </w:t>
      </w:r>
      <w:r>
        <w:rPr>
          <w:rFonts w:ascii="Times New Roman" w:hAnsi="Times New Roman" w:cs="Times New Roman"/>
          <w:sz w:val="24"/>
          <w:szCs w:val="24"/>
        </w:rPr>
        <w:t>planificar múltiples escenarios” porque “</w:t>
      </w:r>
      <w:r w:rsidRPr="00C95651">
        <w:rPr>
          <w:rFonts w:ascii="Times New Roman" w:hAnsi="Times New Roman" w:cs="Times New Roman"/>
          <w:sz w:val="24"/>
          <w:szCs w:val="24"/>
        </w:rPr>
        <w:t>ya no bastará con reaccionar a los cambi</w:t>
      </w:r>
      <w:r>
        <w:rPr>
          <w:rFonts w:ascii="Times New Roman" w:hAnsi="Times New Roman" w:cs="Times New Roman"/>
          <w:sz w:val="24"/>
          <w:szCs w:val="24"/>
        </w:rPr>
        <w:t>os del entorno macroeconómico”.</w:t>
      </w:r>
    </w:p>
    <w:p w:rsidR="007E3D39" w:rsidRPr="00C95651" w:rsidRDefault="007E3D39" w:rsidP="007E3D39">
      <w:pPr>
        <w:spacing w:line="240" w:lineRule="auto"/>
        <w:jc w:val="both"/>
        <w:rPr>
          <w:rFonts w:ascii="Times New Roman" w:hAnsi="Times New Roman" w:cs="Times New Roman"/>
          <w:sz w:val="24"/>
          <w:szCs w:val="24"/>
        </w:rPr>
      </w:pPr>
      <w:r w:rsidRPr="00C95651">
        <w:rPr>
          <w:rFonts w:ascii="Times New Roman" w:hAnsi="Times New Roman" w:cs="Times New Roman"/>
          <w:sz w:val="24"/>
          <w:szCs w:val="24"/>
        </w:rPr>
        <w:t xml:space="preserve">Por su parte, Alejandro Beltrán, socio director de McKinsey &amp; Company, ha defendido que, pese a la creciente preocupación por </w:t>
      </w:r>
      <w:r>
        <w:rPr>
          <w:rFonts w:ascii="Times New Roman" w:hAnsi="Times New Roman" w:cs="Times New Roman"/>
          <w:sz w:val="24"/>
          <w:szCs w:val="24"/>
        </w:rPr>
        <w:t>que la inflación se consolide, “</w:t>
      </w:r>
      <w:r w:rsidRPr="00C95651">
        <w:rPr>
          <w:rFonts w:ascii="Times New Roman" w:hAnsi="Times New Roman" w:cs="Times New Roman"/>
          <w:sz w:val="24"/>
          <w:szCs w:val="24"/>
        </w:rPr>
        <w:t>volver a dos décadas de escasa inversión, bajos tipos de interés y exceso de ahorro, con la consiguiente ralentización del crecimiento del PIB, aumento de la desigualdad y expansión incesante del equilibrio mundial, tamp</w:t>
      </w:r>
      <w:r>
        <w:rPr>
          <w:rFonts w:ascii="Times New Roman" w:hAnsi="Times New Roman" w:cs="Times New Roman"/>
          <w:sz w:val="24"/>
          <w:szCs w:val="24"/>
        </w:rPr>
        <w:t>oco parece el mejor escenario”.</w:t>
      </w:r>
    </w:p>
    <w:p w:rsidR="007E3D39" w:rsidRPr="00690D6D" w:rsidRDefault="007E3D39" w:rsidP="007E3D39">
      <w:pPr>
        <w:spacing w:line="240" w:lineRule="auto"/>
        <w:jc w:val="both"/>
        <w:rPr>
          <w:rFonts w:ascii="Times New Roman" w:hAnsi="Times New Roman" w:cs="Times New Roman"/>
          <w:sz w:val="24"/>
          <w:szCs w:val="24"/>
          <w:u w:val="single"/>
        </w:rPr>
      </w:pPr>
      <w:r w:rsidRPr="00690D6D">
        <w:rPr>
          <w:rFonts w:ascii="Times New Roman" w:hAnsi="Times New Roman" w:cs="Times New Roman"/>
          <w:sz w:val="24"/>
          <w:szCs w:val="24"/>
          <w:u w:val="single"/>
        </w:rPr>
        <w:t>El tercer escenario que identifica el informe es el de “restablecimiento”, que supondría un desapalancamiento prolongado y una fuerte contracción de los precios de los activos. Por ejemplo, el valor de la renta variable y del sector inmobiliario estadounidense podría caer más de un 30% de aquí a 2030.</w:t>
      </w:r>
    </w:p>
    <w:p w:rsidR="007E3D39" w:rsidRPr="00C95651" w:rsidRDefault="007E3D39" w:rsidP="007E3D39">
      <w:pPr>
        <w:spacing w:line="240" w:lineRule="auto"/>
        <w:jc w:val="both"/>
        <w:rPr>
          <w:rFonts w:ascii="Times New Roman" w:hAnsi="Times New Roman" w:cs="Times New Roman"/>
          <w:sz w:val="24"/>
          <w:szCs w:val="24"/>
        </w:rPr>
      </w:pPr>
      <w:r w:rsidRPr="00C95651">
        <w:rPr>
          <w:rFonts w:ascii="Times New Roman" w:hAnsi="Times New Roman" w:cs="Times New Roman"/>
          <w:sz w:val="24"/>
          <w:szCs w:val="24"/>
        </w:rPr>
        <w:t>E</w:t>
      </w:r>
      <w:r>
        <w:rPr>
          <w:rFonts w:ascii="Times New Roman" w:hAnsi="Times New Roman" w:cs="Times New Roman"/>
          <w:sz w:val="24"/>
          <w:szCs w:val="24"/>
        </w:rPr>
        <w:t>s urgente acelerar la productividad</w:t>
      </w:r>
    </w:p>
    <w:p w:rsidR="007E3D39" w:rsidRPr="00690D6D" w:rsidRDefault="007E3D39" w:rsidP="007E3D39">
      <w:pPr>
        <w:spacing w:line="240" w:lineRule="auto"/>
        <w:jc w:val="both"/>
        <w:rPr>
          <w:rFonts w:ascii="Times New Roman" w:hAnsi="Times New Roman" w:cs="Times New Roman"/>
          <w:sz w:val="24"/>
          <w:szCs w:val="24"/>
          <w:u w:val="single"/>
        </w:rPr>
      </w:pPr>
      <w:r w:rsidRPr="00690D6D">
        <w:rPr>
          <w:rFonts w:ascii="Times New Roman" w:hAnsi="Times New Roman" w:cs="Times New Roman"/>
          <w:sz w:val="24"/>
          <w:szCs w:val="24"/>
          <w:u w:val="single"/>
        </w:rPr>
        <w:t>Por último, el cuarto supuesto, en el que se produciría una aceleración de la productividad, sería el más deseable, según McKinsey, porque solamente en este caso “se combina un fuerte crecimiento de la renta, la riqueza y la solidez de la economía global”. Así, el crecimiento económico alcanzaría la estabilidad entre la riqueza y la salud económica.</w:t>
      </w:r>
    </w:p>
    <w:p w:rsidR="007E3D39" w:rsidRPr="00690D6D" w:rsidRDefault="007E3D39" w:rsidP="007E3D39">
      <w:pPr>
        <w:spacing w:line="240" w:lineRule="auto"/>
        <w:jc w:val="both"/>
        <w:rPr>
          <w:rFonts w:ascii="Times New Roman" w:hAnsi="Times New Roman" w:cs="Times New Roman"/>
          <w:color w:val="FF0000"/>
          <w:sz w:val="24"/>
          <w:szCs w:val="24"/>
          <w:u w:val="single"/>
        </w:rPr>
      </w:pPr>
      <w:r w:rsidRPr="00690D6D">
        <w:rPr>
          <w:rFonts w:ascii="Times New Roman" w:hAnsi="Times New Roman" w:cs="Times New Roman"/>
          <w:color w:val="FF0000"/>
          <w:sz w:val="24"/>
          <w:szCs w:val="24"/>
          <w:u w:val="single"/>
        </w:rPr>
        <w:t>Según el estudio, el impacto diferencial de los distintos escenarios sobre la producción económica es enorme, pero las consecuencias para la riqueza y la solidez económica mundial son aún mayores.</w:t>
      </w:r>
    </w:p>
    <w:p w:rsidR="007E3D39" w:rsidRPr="00C95651" w:rsidRDefault="007E3D39" w:rsidP="007E3D39">
      <w:pPr>
        <w:spacing w:line="240" w:lineRule="auto"/>
        <w:jc w:val="both"/>
        <w:rPr>
          <w:rFonts w:ascii="Times New Roman" w:hAnsi="Times New Roman" w:cs="Times New Roman"/>
          <w:sz w:val="24"/>
          <w:szCs w:val="24"/>
        </w:rPr>
      </w:pPr>
      <w:r w:rsidRPr="00C95651">
        <w:rPr>
          <w:rFonts w:ascii="Times New Roman" w:hAnsi="Times New Roman" w:cs="Times New Roman"/>
          <w:sz w:val="24"/>
          <w:szCs w:val="24"/>
        </w:rPr>
        <w:t>Un reajuste del balance en Estados Unidos reduciría el crecimiento anual del PIB per cápita en 1,7 puntos porcentuales, comparado con un escenario de aceleración de la productividad. Además, la riqueza total de los hogares estadounidenses se reduc</w:t>
      </w:r>
      <w:r>
        <w:rPr>
          <w:rFonts w:ascii="Times New Roman" w:hAnsi="Times New Roman" w:cs="Times New Roman"/>
          <w:sz w:val="24"/>
          <w:szCs w:val="24"/>
        </w:rPr>
        <w:t>iría en 48 billones de dólares.</w:t>
      </w:r>
    </w:p>
    <w:p w:rsidR="007E3D39" w:rsidRPr="00C95651"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Beltrán ha comentado que, “</w:t>
      </w:r>
      <w:r w:rsidRPr="00C95651">
        <w:rPr>
          <w:rFonts w:ascii="Times New Roman" w:hAnsi="Times New Roman" w:cs="Times New Roman"/>
          <w:sz w:val="24"/>
          <w:szCs w:val="24"/>
        </w:rPr>
        <w:t>en el peor de los casos, el endurecimiento de las políticas y el aumento de la incertidumbre podrían desencadenar un reajuste tanto de la riqueza como de la salud económica, acabando con 30 billones de dólares de riqueza en</w:t>
      </w:r>
      <w:r>
        <w:rPr>
          <w:rFonts w:ascii="Times New Roman" w:hAnsi="Times New Roman" w:cs="Times New Roman"/>
          <w:sz w:val="24"/>
          <w:szCs w:val="24"/>
        </w:rPr>
        <w:t xml:space="preserve"> papel sólo en Estados Unidos”.</w:t>
      </w:r>
    </w:p>
    <w:p w:rsidR="007E3D39" w:rsidRPr="00C95651"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95651">
        <w:rPr>
          <w:rFonts w:ascii="Times New Roman" w:hAnsi="Times New Roman" w:cs="Times New Roman"/>
          <w:sz w:val="24"/>
          <w:szCs w:val="24"/>
        </w:rPr>
        <w:t>Muchos activos financiados con deuda acabarían ahogados, lo que llevaría a una década de laborioso efecto palanca invertido. Pero una aceleración de la productividad es posible y es hoy más ur</w:t>
      </w:r>
      <w:r>
        <w:rPr>
          <w:rFonts w:ascii="Times New Roman" w:hAnsi="Times New Roman" w:cs="Times New Roman"/>
          <w:sz w:val="24"/>
          <w:szCs w:val="24"/>
        </w:rPr>
        <w:t>gente que nunca”, ha destacado.</w:t>
      </w:r>
    </w:p>
    <w:p w:rsidR="007E3D39" w:rsidRPr="00C95651" w:rsidRDefault="007E3D39" w:rsidP="007E3D39">
      <w:pPr>
        <w:spacing w:line="240" w:lineRule="auto"/>
        <w:jc w:val="both"/>
        <w:rPr>
          <w:rFonts w:ascii="Times New Roman" w:hAnsi="Times New Roman" w:cs="Times New Roman"/>
          <w:sz w:val="24"/>
          <w:szCs w:val="24"/>
        </w:rPr>
      </w:pPr>
      <w:r w:rsidRPr="00C95651">
        <w:rPr>
          <w:rFonts w:ascii="Times New Roman" w:hAnsi="Times New Roman" w:cs="Times New Roman"/>
          <w:sz w:val="24"/>
          <w:szCs w:val="24"/>
        </w:rPr>
        <w:t>I</w:t>
      </w:r>
      <w:r>
        <w:rPr>
          <w:rFonts w:ascii="Times New Roman" w:hAnsi="Times New Roman" w:cs="Times New Roman"/>
          <w:sz w:val="24"/>
          <w:szCs w:val="24"/>
        </w:rPr>
        <w:t>nvertir en tecnología y capital humano</w:t>
      </w:r>
    </w:p>
    <w:p w:rsidR="007E3D39" w:rsidRPr="00C95651" w:rsidRDefault="007E3D39" w:rsidP="007E3D39">
      <w:pPr>
        <w:spacing w:line="240" w:lineRule="auto"/>
        <w:jc w:val="both"/>
        <w:rPr>
          <w:rFonts w:ascii="Times New Roman" w:hAnsi="Times New Roman" w:cs="Times New Roman"/>
          <w:sz w:val="24"/>
          <w:szCs w:val="24"/>
        </w:rPr>
      </w:pPr>
      <w:r w:rsidRPr="00C95651">
        <w:rPr>
          <w:rFonts w:ascii="Times New Roman" w:hAnsi="Times New Roman" w:cs="Times New Roman"/>
          <w:sz w:val="24"/>
          <w:szCs w:val="24"/>
        </w:rPr>
        <w:t xml:space="preserve">Por último, el análisis de MGI indica que, para acelerar el aumento de la productividad, habrá que contrarrestar aspectos como el envejecimiento de la población activa o la mayor </w:t>
      </w:r>
      <w:r w:rsidRPr="00C95651">
        <w:rPr>
          <w:rFonts w:ascii="Times New Roman" w:hAnsi="Times New Roman" w:cs="Times New Roman"/>
          <w:sz w:val="24"/>
          <w:szCs w:val="24"/>
        </w:rPr>
        <w:lastRenderedPageBreak/>
        <w:t>complejidad de las cadenas de suministro mediante una inversión bien dirigida para aprovechar el valor de la t</w:t>
      </w:r>
      <w:r>
        <w:rPr>
          <w:rFonts w:ascii="Times New Roman" w:hAnsi="Times New Roman" w:cs="Times New Roman"/>
          <w:sz w:val="24"/>
          <w:szCs w:val="24"/>
        </w:rPr>
        <w:t>ecnología y del capital humano.</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C95651">
        <w:rPr>
          <w:rFonts w:ascii="Times New Roman" w:hAnsi="Times New Roman" w:cs="Times New Roman"/>
          <w:sz w:val="24"/>
          <w:szCs w:val="24"/>
        </w:rPr>
        <w:t xml:space="preserve">Si los líderes empresariales y públicos canalizan más inversión hacia la aceleración del crecimiento de la productividad, se puede llegar a un resultado en el que el rápido crecimiento del PIB mejore la riqueza y </w:t>
      </w:r>
      <w:r>
        <w:rPr>
          <w:rFonts w:ascii="Times New Roman" w:hAnsi="Times New Roman" w:cs="Times New Roman"/>
          <w:sz w:val="24"/>
          <w:szCs w:val="24"/>
        </w:rPr>
        <w:t>la salud de la economía global”</w:t>
      </w:r>
      <w:r w:rsidRPr="00C95651">
        <w:rPr>
          <w:rFonts w:ascii="Times New Roman" w:hAnsi="Times New Roman" w:cs="Times New Roman"/>
          <w:sz w:val="24"/>
          <w:szCs w:val="24"/>
        </w:rPr>
        <w:t>, ha concluido Beltrán.</w:t>
      </w:r>
    </w:p>
    <w:p w:rsidR="007E3D39" w:rsidRPr="00A1605C" w:rsidRDefault="007E3D39" w:rsidP="007E3D39">
      <w:pPr>
        <w:spacing w:line="240" w:lineRule="auto"/>
        <w:jc w:val="both"/>
        <w:rPr>
          <w:rFonts w:ascii="Times New Roman" w:hAnsi="Times New Roman" w:cs="Times New Roman"/>
          <w:sz w:val="24"/>
          <w:szCs w:val="24"/>
          <w:lang w:val="es-AR"/>
        </w:rPr>
      </w:pPr>
      <w:r>
        <w:rPr>
          <w:rFonts w:ascii="Times New Roman" w:hAnsi="Times New Roman" w:cs="Times New Roman"/>
          <w:sz w:val="24"/>
          <w:szCs w:val="24"/>
          <w:lang w:val="es-AR"/>
        </w:rPr>
        <w:t xml:space="preserve">- </w:t>
      </w:r>
      <w:r w:rsidRPr="00A1605C">
        <w:rPr>
          <w:rFonts w:ascii="Times New Roman" w:hAnsi="Times New Roman" w:cs="Times New Roman"/>
          <w:sz w:val="24"/>
          <w:szCs w:val="24"/>
          <w:u w:val="single"/>
          <w:lang w:val="es-AR"/>
        </w:rPr>
        <w:t>La próxima revolución de la política monetaria está en camino</w:t>
      </w:r>
      <w:r>
        <w:rPr>
          <w:rFonts w:ascii="Times New Roman" w:hAnsi="Times New Roman" w:cs="Times New Roman"/>
          <w:sz w:val="24"/>
          <w:szCs w:val="24"/>
          <w:lang w:val="es-AR"/>
        </w:rPr>
        <w:t xml:space="preserve"> (Cinco Días - </w:t>
      </w:r>
      <w:r w:rsidRPr="00A1605C">
        <w:rPr>
          <w:rFonts w:ascii="Times New Roman" w:hAnsi="Times New Roman" w:cs="Times New Roman"/>
          <w:b/>
          <w:sz w:val="24"/>
          <w:szCs w:val="24"/>
          <w:lang w:val="es-AR"/>
        </w:rPr>
        <w:t>3/7/23</w:t>
      </w:r>
      <w:r>
        <w:rPr>
          <w:rFonts w:ascii="Times New Roman" w:hAnsi="Times New Roman" w:cs="Times New Roman"/>
          <w:sz w:val="24"/>
          <w:szCs w:val="24"/>
          <w:lang w:val="es-AR"/>
        </w:rPr>
        <w:t>)</w:t>
      </w:r>
    </w:p>
    <w:p w:rsidR="007E3D39" w:rsidRPr="00877CB7" w:rsidRDefault="007E3D39" w:rsidP="007E3D39">
      <w:pPr>
        <w:spacing w:line="240" w:lineRule="auto"/>
        <w:jc w:val="both"/>
        <w:rPr>
          <w:rFonts w:ascii="Times New Roman" w:hAnsi="Times New Roman" w:cs="Times New Roman"/>
          <w:color w:val="FF0000"/>
          <w:sz w:val="24"/>
          <w:szCs w:val="24"/>
          <w:lang w:val="es-AR"/>
        </w:rPr>
      </w:pPr>
      <w:r w:rsidRPr="00877CB7">
        <w:rPr>
          <w:rFonts w:ascii="Times New Roman" w:hAnsi="Times New Roman" w:cs="Times New Roman"/>
          <w:color w:val="FF0000"/>
          <w:sz w:val="24"/>
          <w:szCs w:val="24"/>
          <w:lang w:val="es-AR"/>
        </w:rPr>
        <w:t>Los objetivos de inflación de la banca central ya no son suficientes para mantener la estabilidad financiera</w:t>
      </w:r>
    </w:p>
    <w:p w:rsidR="007E3D39" w:rsidRPr="00A1605C" w:rsidRDefault="007E3D39" w:rsidP="007E3D39">
      <w:pPr>
        <w:spacing w:line="240" w:lineRule="auto"/>
        <w:jc w:val="both"/>
        <w:rPr>
          <w:rFonts w:ascii="Times New Roman" w:hAnsi="Times New Roman" w:cs="Times New Roman"/>
          <w:sz w:val="24"/>
          <w:szCs w:val="24"/>
          <w:lang w:val="es-AR"/>
        </w:rPr>
      </w:pPr>
      <w:r>
        <w:rPr>
          <w:rFonts w:ascii="Times New Roman" w:hAnsi="Times New Roman" w:cs="Times New Roman"/>
          <w:sz w:val="24"/>
          <w:szCs w:val="24"/>
          <w:lang w:val="es-AR"/>
        </w:rPr>
        <w:t xml:space="preserve">(Por </w:t>
      </w:r>
      <w:r w:rsidRPr="00A1605C">
        <w:rPr>
          <w:rFonts w:ascii="Times New Roman" w:hAnsi="Times New Roman" w:cs="Times New Roman"/>
          <w:sz w:val="24"/>
          <w:szCs w:val="24"/>
          <w:lang w:val="es-AR"/>
        </w:rPr>
        <w:t>F</w:t>
      </w:r>
      <w:r>
        <w:rPr>
          <w:rFonts w:ascii="Times New Roman" w:hAnsi="Times New Roman" w:cs="Times New Roman"/>
          <w:sz w:val="24"/>
          <w:szCs w:val="24"/>
          <w:lang w:val="es-AR"/>
        </w:rPr>
        <w:t>élix Martin)</w:t>
      </w:r>
    </w:p>
    <w:p w:rsidR="007E3D39" w:rsidRPr="00877CB7" w:rsidRDefault="007E3D39" w:rsidP="007E3D39">
      <w:pPr>
        <w:spacing w:line="240" w:lineRule="auto"/>
        <w:jc w:val="both"/>
        <w:rPr>
          <w:rFonts w:ascii="Times New Roman" w:hAnsi="Times New Roman" w:cs="Times New Roman"/>
          <w:sz w:val="24"/>
          <w:szCs w:val="24"/>
          <w:u w:val="single"/>
          <w:lang w:val="es-AR"/>
        </w:rPr>
      </w:pPr>
      <w:r w:rsidRPr="00A1605C">
        <w:rPr>
          <w:rFonts w:ascii="Times New Roman" w:hAnsi="Times New Roman" w:cs="Times New Roman"/>
          <w:sz w:val="24"/>
          <w:szCs w:val="24"/>
          <w:lang w:val="es-AR"/>
        </w:rPr>
        <w:t xml:space="preserve">La política monetaria, decía Milton Friedman, actúa sobre la economía con retardos largos y variables. Igual de importante para los inversores es que lo contrario también es cierto. Los regímenes de política monetaria evolucionan en respuesta a la naturaleza cambiante de los retos económicos imperantes, aunque esto también lleva su tiempo. </w:t>
      </w:r>
      <w:r w:rsidRPr="00877CB7">
        <w:rPr>
          <w:rFonts w:ascii="Times New Roman" w:hAnsi="Times New Roman" w:cs="Times New Roman"/>
          <w:color w:val="FF0000"/>
          <w:sz w:val="24"/>
          <w:szCs w:val="24"/>
          <w:u w:val="single"/>
          <w:lang w:val="es-AR"/>
        </w:rPr>
        <w:t>El gran debate de la era actual es si los objetivos de inflación establecidos en los noventa por los bancos centrales siguen siendo adecuados para las economías ultrafinanciadas de la década de 2020</w:t>
      </w:r>
      <w:r w:rsidRPr="00A1605C">
        <w:rPr>
          <w:rFonts w:ascii="Times New Roman" w:hAnsi="Times New Roman" w:cs="Times New Roman"/>
          <w:sz w:val="24"/>
          <w:szCs w:val="24"/>
          <w:lang w:val="es-AR"/>
        </w:rPr>
        <w:t xml:space="preserve">. </w:t>
      </w:r>
      <w:r w:rsidRPr="00877CB7">
        <w:rPr>
          <w:rFonts w:ascii="Times New Roman" w:hAnsi="Times New Roman" w:cs="Times New Roman"/>
          <w:sz w:val="24"/>
          <w:szCs w:val="24"/>
          <w:u w:val="single"/>
          <w:lang w:val="es-AR"/>
        </w:rPr>
        <w:t>En la última semana, tanto el FMI como el Banco de Pagos Internacionales han hecho intervenciones sorprendentes. Los inversores deberían tomar nota. La próxima revolución de la política monetaria puede estar gestándose.</w:t>
      </w:r>
    </w:p>
    <w:p w:rsidR="007E3D39" w:rsidRPr="00A1605C" w:rsidRDefault="007E3D39" w:rsidP="007E3D39">
      <w:pPr>
        <w:spacing w:line="240" w:lineRule="auto"/>
        <w:jc w:val="both"/>
        <w:rPr>
          <w:rFonts w:ascii="Times New Roman" w:hAnsi="Times New Roman" w:cs="Times New Roman"/>
          <w:sz w:val="24"/>
          <w:szCs w:val="24"/>
          <w:lang w:val="es-AR"/>
        </w:rPr>
      </w:pPr>
      <w:r w:rsidRPr="00A1605C">
        <w:rPr>
          <w:rFonts w:ascii="Times New Roman" w:hAnsi="Times New Roman" w:cs="Times New Roman"/>
          <w:sz w:val="24"/>
          <w:szCs w:val="24"/>
          <w:lang w:val="es-AR"/>
        </w:rPr>
        <w:t>Empecemos por el FMI. En la reunión anual del BCE celebrada en la localidad portuguesa de Sintra, Gita Gopinath, subdirectora gerente del Fondo, instó a las autoridades a afrontar lo que denominó “verdades incómodas”. La más importante de ellas es que desde que los bancos centrales empezaron a subir los tipos a finales de 2021 han dejado al descubierto una serie de ten</w:t>
      </w:r>
      <w:r>
        <w:rPr>
          <w:rFonts w:ascii="Times New Roman" w:hAnsi="Times New Roman" w:cs="Times New Roman"/>
          <w:sz w:val="24"/>
          <w:szCs w:val="24"/>
          <w:lang w:val="es-AR"/>
        </w:rPr>
        <w:t>siones financieras inesperadas.</w:t>
      </w:r>
    </w:p>
    <w:p w:rsidR="007E3D39" w:rsidRPr="00A1605C" w:rsidRDefault="007E3D39" w:rsidP="007E3D39">
      <w:pPr>
        <w:spacing w:line="240" w:lineRule="auto"/>
        <w:jc w:val="both"/>
        <w:rPr>
          <w:rFonts w:ascii="Times New Roman" w:hAnsi="Times New Roman" w:cs="Times New Roman"/>
          <w:sz w:val="24"/>
          <w:szCs w:val="24"/>
          <w:lang w:val="es-AR"/>
        </w:rPr>
      </w:pPr>
      <w:r w:rsidRPr="00A1605C">
        <w:rPr>
          <w:rFonts w:ascii="Times New Roman" w:hAnsi="Times New Roman" w:cs="Times New Roman"/>
          <w:sz w:val="24"/>
          <w:szCs w:val="24"/>
          <w:lang w:val="es-AR"/>
        </w:rPr>
        <w:t>En octubre, los mercados de Reino Unido se sumieron en la confusión cuando los márgenes de garantía de las estrategias de inversión apalancadas provocaron que los fondos de pensiones británicos vendieran bonos del Estado por pánico. Un mes después, el impago de un promotor surcoreano del parque temático Legoland desencadenó una crisis crediticia en toda la economía del país asiático. El nerviosismo provocado por el encarecimiento de los préstamos también contribuyó a las quiebras de bancos como SVB Financial y Signature Bank en E</w:t>
      </w:r>
      <w:r>
        <w:rPr>
          <w:rFonts w:ascii="Times New Roman" w:hAnsi="Times New Roman" w:cs="Times New Roman"/>
          <w:sz w:val="24"/>
          <w:szCs w:val="24"/>
          <w:lang w:val="es-AR"/>
        </w:rPr>
        <w:t>EUU y Credit Suisse en Europa.</w:t>
      </w:r>
    </w:p>
    <w:p w:rsidR="007E3D39" w:rsidRPr="00877CB7" w:rsidRDefault="007E3D39" w:rsidP="007E3D39">
      <w:pPr>
        <w:spacing w:line="240" w:lineRule="auto"/>
        <w:jc w:val="both"/>
        <w:rPr>
          <w:rFonts w:ascii="Times New Roman" w:hAnsi="Times New Roman" w:cs="Times New Roman"/>
          <w:color w:val="FF0000"/>
          <w:sz w:val="24"/>
          <w:szCs w:val="24"/>
          <w:u w:val="single"/>
          <w:lang w:val="es-AR"/>
        </w:rPr>
      </w:pPr>
      <w:r w:rsidRPr="00877CB7">
        <w:rPr>
          <w:rFonts w:ascii="Times New Roman" w:hAnsi="Times New Roman" w:cs="Times New Roman"/>
          <w:color w:val="FF0000"/>
          <w:sz w:val="24"/>
          <w:szCs w:val="24"/>
          <w:u w:val="single"/>
          <w:lang w:val="es-AR"/>
        </w:rPr>
        <w:t>Los bancos centrales pueden limitar con relativa facilidad el impacto de los problemas que surjan en el sector financiero. Contener las consecuencias de las subidas de tipos en otros sectores de la economía es mucho más difícil, advirtió Gopinath.</w:t>
      </w:r>
    </w:p>
    <w:p w:rsidR="007E3D39" w:rsidRPr="00A1605C" w:rsidRDefault="007E3D39" w:rsidP="007E3D39">
      <w:pPr>
        <w:spacing w:line="240" w:lineRule="auto"/>
        <w:jc w:val="both"/>
        <w:rPr>
          <w:rFonts w:ascii="Times New Roman" w:hAnsi="Times New Roman" w:cs="Times New Roman"/>
          <w:sz w:val="24"/>
          <w:szCs w:val="24"/>
          <w:lang w:val="es-AR"/>
        </w:rPr>
      </w:pPr>
      <w:r w:rsidRPr="00A1605C">
        <w:rPr>
          <w:rFonts w:ascii="Times New Roman" w:hAnsi="Times New Roman" w:cs="Times New Roman"/>
          <w:sz w:val="24"/>
          <w:szCs w:val="24"/>
          <w:lang w:val="es-AR"/>
        </w:rPr>
        <w:t xml:space="preserve">Parece que Thames Water, la mayor empresa de suministro de agua y alcantarillado de Reino Unido, responsable del abastecimiento de casi un tercio de la población de Inglaterra y de todo Londres, está al borde de la insolvencia. El problema de fondo es su incapacidad para hacer frente al servicio de 14.000 millones de libras (16.000 millones de euros) de deuda acumulada durante la época de bajos tipos. El impacto de las subidas de estos para combatir la inflación ha llegado literalmente </w:t>
      </w:r>
      <w:r>
        <w:rPr>
          <w:rFonts w:ascii="Times New Roman" w:hAnsi="Times New Roman" w:cs="Times New Roman"/>
          <w:sz w:val="24"/>
          <w:szCs w:val="24"/>
          <w:lang w:val="es-AR"/>
        </w:rPr>
        <w:t>a los fregaderos de la capital.</w:t>
      </w:r>
    </w:p>
    <w:p w:rsidR="007E3D39" w:rsidRPr="00877CB7" w:rsidRDefault="007E3D39" w:rsidP="007E3D39">
      <w:pPr>
        <w:spacing w:line="240" w:lineRule="auto"/>
        <w:jc w:val="both"/>
        <w:rPr>
          <w:rFonts w:ascii="Times New Roman" w:hAnsi="Times New Roman" w:cs="Times New Roman"/>
          <w:color w:val="FF0000"/>
          <w:sz w:val="24"/>
          <w:szCs w:val="24"/>
          <w:u w:val="single"/>
          <w:lang w:val="es-AR"/>
        </w:rPr>
      </w:pPr>
      <w:r w:rsidRPr="00877CB7">
        <w:rPr>
          <w:rFonts w:ascii="Times New Roman" w:hAnsi="Times New Roman" w:cs="Times New Roman"/>
          <w:color w:val="FF0000"/>
          <w:sz w:val="24"/>
          <w:szCs w:val="24"/>
          <w:u w:val="single"/>
          <w:lang w:val="es-AR"/>
        </w:rPr>
        <w:t xml:space="preserve">La cascada de accidentes financieros ha socavado la credibilidad de la retórica de halcones de las autoridades monetarias. Como resultado, se han abierto regularmente brechas considerables entre las expectativas del mercado sobre los futuros tipos oficiales, y las </w:t>
      </w:r>
      <w:r w:rsidRPr="00877CB7">
        <w:rPr>
          <w:rFonts w:ascii="Times New Roman" w:hAnsi="Times New Roman" w:cs="Times New Roman"/>
          <w:color w:val="FF0000"/>
          <w:sz w:val="24"/>
          <w:szCs w:val="24"/>
          <w:u w:val="single"/>
          <w:lang w:val="es-AR"/>
        </w:rPr>
        <w:lastRenderedPageBreak/>
        <w:t>propias proyecciones de los banqueros centrales. Los inversores se muestran escépticos sobre la capacidad de los bancos centrales para cumplir sus promesas de lucha contra la inflación.</w:t>
      </w:r>
    </w:p>
    <w:p w:rsidR="007E3D39" w:rsidRPr="00877CB7" w:rsidRDefault="007E3D39" w:rsidP="007E3D39">
      <w:pPr>
        <w:spacing w:line="240" w:lineRule="auto"/>
        <w:jc w:val="both"/>
        <w:rPr>
          <w:rFonts w:ascii="Times New Roman" w:hAnsi="Times New Roman" w:cs="Times New Roman"/>
          <w:color w:val="FF0000"/>
          <w:sz w:val="24"/>
          <w:szCs w:val="24"/>
          <w:u w:val="single"/>
          <w:lang w:val="es-AR"/>
        </w:rPr>
      </w:pPr>
      <w:r w:rsidRPr="00877CB7">
        <w:rPr>
          <w:rFonts w:ascii="Times New Roman" w:hAnsi="Times New Roman" w:cs="Times New Roman"/>
          <w:color w:val="FF0000"/>
          <w:sz w:val="24"/>
          <w:szCs w:val="24"/>
          <w:u w:val="single"/>
          <w:lang w:val="es-AR"/>
        </w:rPr>
        <w:t>Hace una semana, Gopinath instó a las autoridades a recuperar la iniciativa reconociendo que los mercados tienen razón. En un mundo en el que los balances de los sectores público y privado son gigantescos, existe una disyuntiva entre el control de la inflación y el mantenimiento de la estabilidad financiera.</w:t>
      </w:r>
    </w:p>
    <w:p w:rsidR="007E3D39" w:rsidRPr="00877CB7" w:rsidRDefault="007E3D39" w:rsidP="007E3D39">
      <w:pPr>
        <w:spacing w:line="240" w:lineRule="auto"/>
        <w:jc w:val="both"/>
        <w:rPr>
          <w:rFonts w:ascii="Times New Roman" w:hAnsi="Times New Roman" w:cs="Times New Roman"/>
          <w:b/>
          <w:color w:val="FF0000"/>
          <w:sz w:val="24"/>
          <w:szCs w:val="24"/>
          <w:u w:val="single"/>
          <w:lang w:val="es-AR"/>
        </w:rPr>
      </w:pPr>
      <w:r w:rsidRPr="00877CB7">
        <w:rPr>
          <w:rFonts w:ascii="Times New Roman" w:hAnsi="Times New Roman" w:cs="Times New Roman"/>
          <w:b/>
          <w:color w:val="FF0000"/>
          <w:sz w:val="24"/>
          <w:szCs w:val="24"/>
          <w:u w:val="single"/>
          <w:lang w:val="es-AR"/>
        </w:rPr>
        <w:t>Eso implica que los bancos centrales deben tolerar una inflación por encima del objetivo a corto plazo para restablecer la estabilidad de precios a medio plazo sin provocar una catástrofe financiera por el camino. Aunque ningún alto funcionario del FMI lo diría tan claramente, una modesta dosis de represión financiera es la opción menos mala hasta que se haya producido el necesario desapalancamiento.</w:t>
      </w:r>
    </w:p>
    <w:p w:rsidR="007E3D39" w:rsidRPr="00877CB7" w:rsidRDefault="007E3D39" w:rsidP="007E3D39">
      <w:pPr>
        <w:spacing w:line="240" w:lineRule="auto"/>
        <w:jc w:val="both"/>
        <w:rPr>
          <w:rFonts w:ascii="Times New Roman" w:hAnsi="Times New Roman" w:cs="Times New Roman"/>
          <w:sz w:val="24"/>
          <w:szCs w:val="24"/>
          <w:u w:val="single"/>
          <w:lang w:val="es-AR"/>
        </w:rPr>
      </w:pPr>
      <w:r w:rsidRPr="00877CB7">
        <w:rPr>
          <w:rFonts w:ascii="Times New Roman" w:hAnsi="Times New Roman" w:cs="Times New Roman"/>
          <w:sz w:val="24"/>
          <w:szCs w:val="24"/>
          <w:u w:val="single"/>
          <w:lang w:val="es-AR"/>
        </w:rPr>
        <w:t>Una cuestión que Gopinath no abordó es cómo llegó el sistema financiero a dominar la política monetaria. Afortunadamente, el Informe económico anual del Banco de Pagos Internacionales (BPI), publicado el día anterior a su discurso, lo trata.</w:t>
      </w:r>
    </w:p>
    <w:p w:rsidR="007E3D39" w:rsidRPr="00877CB7" w:rsidRDefault="007E3D39" w:rsidP="007E3D39">
      <w:pPr>
        <w:spacing w:line="240" w:lineRule="auto"/>
        <w:jc w:val="both"/>
        <w:rPr>
          <w:rFonts w:ascii="Times New Roman" w:hAnsi="Times New Roman" w:cs="Times New Roman"/>
          <w:b/>
          <w:color w:val="FF0000"/>
          <w:sz w:val="24"/>
          <w:szCs w:val="24"/>
          <w:u w:val="single"/>
          <w:lang w:val="es-AR"/>
        </w:rPr>
      </w:pPr>
      <w:r w:rsidRPr="00877CB7">
        <w:rPr>
          <w:rFonts w:ascii="Times New Roman" w:hAnsi="Times New Roman" w:cs="Times New Roman"/>
          <w:b/>
          <w:color w:val="FF0000"/>
          <w:sz w:val="24"/>
          <w:szCs w:val="24"/>
          <w:u w:val="single"/>
          <w:lang w:val="es-AR"/>
        </w:rPr>
        <w:t>El BPI sostiene que el problema deriva en última instancia de tres décadas de expectativas poco realistas sobre lo que pueden realmente lograr la política monetaria y la fiscal. La institución conocida como el banco de los banqueros centrales califica esta falacia de “ilusión de crecimiento”.</w:t>
      </w:r>
    </w:p>
    <w:p w:rsidR="007E3D39" w:rsidRPr="00A1605C" w:rsidRDefault="007E3D39" w:rsidP="007E3D39">
      <w:pPr>
        <w:spacing w:line="240" w:lineRule="auto"/>
        <w:jc w:val="both"/>
        <w:rPr>
          <w:rFonts w:ascii="Times New Roman" w:hAnsi="Times New Roman" w:cs="Times New Roman"/>
          <w:sz w:val="24"/>
          <w:szCs w:val="24"/>
          <w:lang w:val="es-AR"/>
        </w:rPr>
      </w:pPr>
      <w:r w:rsidRPr="00A1605C">
        <w:rPr>
          <w:rFonts w:ascii="Times New Roman" w:hAnsi="Times New Roman" w:cs="Times New Roman"/>
          <w:sz w:val="24"/>
          <w:szCs w:val="24"/>
          <w:lang w:val="es-AR"/>
        </w:rPr>
        <w:t>Antes de 1990, los sistemas financieros y los mercados laborales estaban más regulados, mientras que el comercio internacional y los flujos de capital eran menos libres. Esto hacía de la inflación un barómetro preciso de la orientación de la política monetaria y fiscal, y significaba que los desequilibrios financieros estaban relativamente contenidos como resultado de las reacciones simétricas de las autoridades a los auges y las crisis. Si la política monetaria era excesivamente laxa, la inflación subía y la política volvía a endurecerse, y viceversa. Este proceso de corrección continua de errores mantuvo a las economías dentro de una “zona de estab</w:t>
      </w:r>
      <w:r>
        <w:rPr>
          <w:rFonts w:ascii="Times New Roman" w:hAnsi="Times New Roman" w:cs="Times New Roman"/>
          <w:sz w:val="24"/>
          <w:szCs w:val="24"/>
          <w:lang w:val="es-AR"/>
        </w:rPr>
        <w:t>ilidad” relativamente estrecha.</w:t>
      </w:r>
    </w:p>
    <w:p w:rsidR="007E3D39" w:rsidRPr="00877CB7" w:rsidRDefault="007E3D39" w:rsidP="007E3D39">
      <w:pPr>
        <w:spacing w:line="240" w:lineRule="auto"/>
        <w:jc w:val="both"/>
        <w:rPr>
          <w:rFonts w:ascii="Times New Roman" w:hAnsi="Times New Roman" w:cs="Times New Roman"/>
          <w:color w:val="FF0000"/>
          <w:sz w:val="24"/>
          <w:szCs w:val="24"/>
          <w:u w:val="single"/>
          <w:lang w:val="es-AR"/>
        </w:rPr>
      </w:pPr>
      <w:r w:rsidRPr="00877CB7">
        <w:rPr>
          <w:rFonts w:ascii="Times New Roman" w:hAnsi="Times New Roman" w:cs="Times New Roman"/>
          <w:color w:val="FF0000"/>
          <w:sz w:val="24"/>
          <w:szCs w:val="24"/>
          <w:u w:val="single"/>
          <w:lang w:val="es-AR"/>
        </w:rPr>
        <w:t>Pero la globalización financiera y económica posterior a 1990 relajó las restricciones de la oferta, desordenando las señales de las que dependía este sistema autoestabilizador. Como la fuerte demanda agregada ya no conducía a inflación, la política se hizo asimétrica. Durante las expansiones, había menos incentivos para subir los tipos o endurecer las finanzas públicas. Sin embargo, cuando llegaban las contracciones, los bancos centrales suavizaban la política monetaria y los Gobiernos aflojaban el cinturón, igual que antes.</w:t>
      </w:r>
    </w:p>
    <w:p w:rsidR="007E3D39" w:rsidRPr="00877CB7" w:rsidRDefault="007E3D39" w:rsidP="007E3D39">
      <w:pPr>
        <w:spacing w:line="240" w:lineRule="auto"/>
        <w:jc w:val="both"/>
        <w:rPr>
          <w:rFonts w:ascii="Times New Roman" w:hAnsi="Times New Roman" w:cs="Times New Roman"/>
          <w:color w:val="FF0000"/>
          <w:sz w:val="24"/>
          <w:szCs w:val="24"/>
          <w:u w:val="single"/>
          <w:lang w:val="es-AR"/>
        </w:rPr>
      </w:pPr>
      <w:r w:rsidRPr="00877CB7">
        <w:rPr>
          <w:rFonts w:ascii="Times New Roman" w:hAnsi="Times New Roman" w:cs="Times New Roman"/>
          <w:color w:val="FF0000"/>
          <w:sz w:val="24"/>
          <w:szCs w:val="24"/>
          <w:u w:val="single"/>
          <w:lang w:val="es-AR"/>
        </w:rPr>
        <w:t xml:space="preserve">El resultado, según el BPI, fue una gran expansión de la aparente “zona de estabilidad” y una continua relajación de la política monetaria y fiscal. Esa era ha llegado a </w:t>
      </w:r>
      <w:r>
        <w:rPr>
          <w:rFonts w:ascii="Times New Roman" w:hAnsi="Times New Roman" w:cs="Times New Roman"/>
          <w:color w:val="FF0000"/>
          <w:sz w:val="24"/>
          <w:szCs w:val="24"/>
          <w:u w:val="single"/>
          <w:lang w:val="es-AR"/>
        </w:rPr>
        <w:t>su fin. El enfrentamiento de EE</w:t>
      </w:r>
      <w:r w:rsidRPr="00877CB7">
        <w:rPr>
          <w:rFonts w:ascii="Times New Roman" w:hAnsi="Times New Roman" w:cs="Times New Roman"/>
          <w:color w:val="FF0000"/>
          <w:sz w:val="24"/>
          <w:szCs w:val="24"/>
          <w:u w:val="single"/>
          <w:lang w:val="es-AR"/>
        </w:rPr>
        <w:t>UU con China, la pandemia y la invasión de Ucrania han hecho retroceder la relajación de las restricciones de la oferta que se había prolongado durante décadas. La “zona de estabilidad” se ha reducido a una fracción de su tamaño anterior. Como resultado, el mundo desarrollado afronta ahora tanto la alta inflación característica de la era preglobalización como las vulnerabilidades financieras familiares de décadas más recientes.</w:t>
      </w:r>
    </w:p>
    <w:p w:rsidR="007E3D39" w:rsidRPr="00A1605C" w:rsidRDefault="007E3D39" w:rsidP="007E3D39">
      <w:pPr>
        <w:spacing w:line="240" w:lineRule="auto"/>
        <w:jc w:val="both"/>
        <w:rPr>
          <w:rFonts w:ascii="Times New Roman" w:hAnsi="Times New Roman" w:cs="Times New Roman"/>
          <w:sz w:val="24"/>
          <w:szCs w:val="24"/>
          <w:lang w:val="es-AR"/>
        </w:rPr>
      </w:pPr>
      <w:r w:rsidRPr="00A1605C">
        <w:rPr>
          <w:rFonts w:ascii="Times New Roman" w:hAnsi="Times New Roman" w:cs="Times New Roman"/>
          <w:sz w:val="24"/>
          <w:szCs w:val="24"/>
          <w:lang w:val="es-AR"/>
        </w:rPr>
        <w:t>Este épico análisis tiene implicaciones políticas mucho más profundas que la propuesta de Gopinath de cambiar una mayor inflación por una mayor estabilidad financiera.</w:t>
      </w:r>
    </w:p>
    <w:p w:rsidR="007E3D39" w:rsidRPr="00877CB7" w:rsidRDefault="007E3D39" w:rsidP="007E3D39">
      <w:pPr>
        <w:spacing w:line="240" w:lineRule="auto"/>
        <w:jc w:val="both"/>
        <w:rPr>
          <w:rFonts w:ascii="Times New Roman" w:hAnsi="Times New Roman" w:cs="Times New Roman"/>
          <w:color w:val="FF0000"/>
          <w:sz w:val="24"/>
          <w:szCs w:val="24"/>
          <w:u w:val="single"/>
          <w:lang w:val="es-AR"/>
        </w:rPr>
      </w:pPr>
      <w:r w:rsidRPr="00877CB7">
        <w:rPr>
          <w:rFonts w:ascii="Times New Roman" w:hAnsi="Times New Roman" w:cs="Times New Roman"/>
          <w:color w:val="FF0000"/>
          <w:sz w:val="24"/>
          <w:szCs w:val="24"/>
          <w:u w:val="single"/>
          <w:lang w:val="es-AR"/>
        </w:rPr>
        <w:t xml:space="preserve">La primera es que el propio objetivo de inflación es parte del problema. Al centrarse exclusivamente en la estabilidad de precios, los responsables políticos ignoraron la creciente fragilidad financiera. Un replanteamiento fundamental de los marcos políticos pondría la </w:t>
      </w:r>
      <w:r w:rsidRPr="00877CB7">
        <w:rPr>
          <w:rFonts w:ascii="Times New Roman" w:hAnsi="Times New Roman" w:cs="Times New Roman"/>
          <w:color w:val="FF0000"/>
          <w:sz w:val="24"/>
          <w:szCs w:val="24"/>
          <w:u w:val="single"/>
          <w:lang w:val="es-AR"/>
        </w:rPr>
        <w:lastRenderedPageBreak/>
        <w:t>preservación de la estabilidad financiera en pie de igualdad con el control de la inflación en los mandatos de los bancos centrales.</w:t>
      </w:r>
    </w:p>
    <w:p w:rsidR="007E3D39" w:rsidRPr="00877CB7" w:rsidRDefault="007E3D39" w:rsidP="007E3D39">
      <w:pPr>
        <w:spacing w:line="240" w:lineRule="auto"/>
        <w:jc w:val="both"/>
        <w:rPr>
          <w:rFonts w:ascii="Times New Roman" w:hAnsi="Times New Roman" w:cs="Times New Roman"/>
          <w:color w:val="FF0000"/>
          <w:sz w:val="24"/>
          <w:szCs w:val="24"/>
          <w:u w:val="single"/>
          <w:lang w:val="es-AR"/>
        </w:rPr>
      </w:pPr>
      <w:r w:rsidRPr="00877CB7">
        <w:rPr>
          <w:rFonts w:ascii="Times New Roman" w:hAnsi="Times New Roman" w:cs="Times New Roman"/>
          <w:color w:val="FF0000"/>
          <w:sz w:val="24"/>
          <w:szCs w:val="24"/>
          <w:u w:val="single"/>
          <w:lang w:val="es-AR"/>
        </w:rPr>
        <w:t>La segunda es que la independencia estatutaria no impidió que los bancos centrales cayeran bajo el hechizo de la “ilusión del crecimiento”. De hecho, el análisis del BPI implica que los mecanismos de retroalimentación que mantenían la economía en la “región de la estabilidad” eran más poderosos en los tiempos en que eran políticos electos quienes fijaban los tipos. En otras palabras, las tan ridiculizadas políticas de stop-go (parar y arrancar) conducían en última instancia a menores riesgos a largo plazo que los objetivos de inflación.</w:t>
      </w:r>
    </w:p>
    <w:p w:rsidR="007E3D39" w:rsidRPr="008F4C10" w:rsidRDefault="007E3D39" w:rsidP="007E3D39">
      <w:pPr>
        <w:spacing w:line="240" w:lineRule="auto"/>
        <w:jc w:val="both"/>
        <w:rPr>
          <w:rFonts w:ascii="Times New Roman" w:hAnsi="Times New Roman" w:cs="Times New Roman"/>
          <w:sz w:val="24"/>
          <w:szCs w:val="24"/>
          <w:lang w:val="es-AR"/>
        </w:rPr>
      </w:pPr>
      <w:r w:rsidRPr="00A1605C">
        <w:rPr>
          <w:rFonts w:ascii="Times New Roman" w:hAnsi="Times New Roman" w:cs="Times New Roman"/>
          <w:sz w:val="24"/>
          <w:szCs w:val="24"/>
          <w:lang w:val="es-AR"/>
        </w:rPr>
        <w:t>El BPI es demasiado reticente a sacar estas conclusiones explícitamente. Ello implica que la revolución a gran escala de la banca central aún está lejos. Por otra parte, si algo nos ha enseñado la última década es a no caer en la autocomplacencia. Para los objetivos de inflación, tal como los conocemos, la modesta propuesta de Gopinath podría ser el primer paso hacia la guillotina.</w:t>
      </w:r>
    </w:p>
    <w:p w:rsidR="007E3D39" w:rsidRPr="00DE1FC1" w:rsidRDefault="007E3D39" w:rsidP="007E3D39">
      <w:pPr>
        <w:shd w:val="clear" w:color="auto" w:fill="F9F8F2"/>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6C64FB">
        <w:rPr>
          <w:rFonts w:ascii="Times New Roman" w:hAnsi="Times New Roman" w:cs="Times New Roman"/>
          <w:sz w:val="24"/>
          <w:szCs w:val="24"/>
          <w:u w:val="single"/>
        </w:rPr>
        <w:t>Occidente no puede asumir un pasivo mayor</w:t>
      </w:r>
      <w:r>
        <w:rPr>
          <w:rFonts w:ascii="Times New Roman" w:hAnsi="Times New Roman" w:cs="Times New Roman"/>
          <w:sz w:val="24"/>
          <w:szCs w:val="24"/>
        </w:rPr>
        <w:t xml:space="preserve"> (El Economista - </w:t>
      </w:r>
      <w:r w:rsidRPr="006C64FB">
        <w:rPr>
          <w:rFonts w:ascii="Times New Roman" w:hAnsi="Times New Roman" w:cs="Times New Roman"/>
          <w:b/>
          <w:sz w:val="24"/>
          <w:szCs w:val="24"/>
        </w:rPr>
        <w:t>4/8/23</w:t>
      </w:r>
      <w:r>
        <w:rPr>
          <w:rFonts w:ascii="Times New Roman" w:hAnsi="Times New Roman" w:cs="Times New Roman"/>
          <w:sz w:val="24"/>
          <w:szCs w:val="24"/>
        </w:rPr>
        <w:t>)</w:t>
      </w:r>
    </w:p>
    <w:p w:rsidR="007E3D39" w:rsidRPr="00DE1FC1" w:rsidRDefault="007E3D39" w:rsidP="007E3D39">
      <w:pPr>
        <w:shd w:val="clear" w:color="auto" w:fill="F9F8F2"/>
        <w:spacing w:after="0" w:line="240" w:lineRule="auto"/>
        <w:jc w:val="both"/>
        <w:rPr>
          <w:rFonts w:ascii="Times New Roman" w:hAnsi="Times New Roman" w:cs="Times New Roman"/>
          <w:sz w:val="24"/>
          <w:szCs w:val="24"/>
        </w:rPr>
      </w:pPr>
      <w:r w:rsidRPr="00DE1FC1">
        <w:rPr>
          <w:rFonts w:ascii="Times New Roman" w:hAnsi="Times New Roman" w:cs="Times New Roman"/>
          <w:sz w:val="24"/>
          <w:szCs w:val="24"/>
        </w:rPr>
        <w:t>(Por Matthew Lynn)</w:t>
      </w:r>
    </w:p>
    <w:p w:rsidR="007E3D39" w:rsidRPr="00DE1FC1" w:rsidRDefault="007E3D39" w:rsidP="007E3D39">
      <w:pPr>
        <w:shd w:val="clear" w:color="auto" w:fill="F9F8F2"/>
        <w:spacing w:after="0" w:line="240" w:lineRule="auto"/>
        <w:jc w:val="both"/>
        <w:rPr>
          <w:rFonts w:ascii="Times New Roman" w:hAnsi="Times New Roman" w:cs="Times New Roman"/>
          <w:sz w:val="24"/>
          <w:szCs w:val="24"/>
        </w:rPr>
      </w:pPr>
    </w:p>
    <w:p w:rsidR="007E3D39" w:rsidRPr="00414222" w:rsidRDefault="007E3D39" w:rsidP="007E3D39">
      <w:pPr>
        <w:shd w:val="clear" w:color="auto" w:fill="F9F8F2"/>
        <w:spacing w:after="0" w:line="240" w:lineRule="auto"/>
        <w:jc w:val="both"/>
        <w:rPr>
          <w:rFonts w:ascii="Times New Roman" w:hAnsi="Times New Roman" w:cs="Times New Roman"/>
          <w:b/>
          <w:color w:val="FF0000"/>
          <w:sz w:val="24"/>
          <w:szCs w:val="24"/>
          <w:u w:val="single"/>
        </w:rPr>
      </w:pPr>
      <w:r w:rsidRPr="00414222">
        <w:rPr>
          <w:rFonts w:ascii="Times New Roman" w:hAnsi="Times New Roman" w:cs="Times New Roman"/>
          <w:color w:val="FF0000"/>
          <w:sz w:val="24"/>
          <w:szCs w:val="24"/>
          <w:u w:val="single"/>
        </w:rPr>
        <w:t xml:space="preserve">La decisión de la agencia de calificación Fitch de rebajar la calificación de la deuda estadounidense, el activo más seguro del mundo ha sido condenada casi universalmente, al menos por los economistas y comentaristas de la corriente dominante. Pero un momento. Es cierto que EEUU no está a punto de caer en impago, ni el dólar está a punto de ser destruido. </w:t>
      </w:r>
      <w:r w:rsidRPr="00414222">
        <w:rPr>
          <w:rFonts w:ascii="Times New Roman" w:hAnsi="Times New Roman" w:cs="Times New Roman"/>
          <w:b/>
          <w:color w:val="FF0000"/>
          <w:sz w:val="24"/>
          <w:szCs w:val="24"/>
          <w:u w:val="single"/>
        </w:rPr>
        <w:t>Aun así, la rebaja de la calificación es una lección de que no podemos seguir endeudándonos eternamente. En realidad, tenemos que acabar con la fiebre del gasto alimentada por la deuda antes de que destruya Occidente.</w:t>
      </w:r>
    </w:p>
    <w:p w:rsidR="007E3D39" w:rsidRPr="006C64FB" w:rsidRDefault="007E3D39" w:rsidP="007E3D39">
      <w:pPr>
        <w:shd w:val="clear" w:color="auto" w:fill="F9F8F2"/>
        <w:spacing w:after="0" w:line="240" w:lineRule="auto"/>
        <w:jc w:val="both"/>
        <w:rPr>
          <w:rFonts w:ascii="Times New Roman" w:hAnsi="Times New Roman" w:cs="Times New Roman"/>
          <w:sz w:val="24"/>
          <w:szCs w:val="24"/>
        </w:rPr>
      </w:pPr>
    </w:p>
    <w:p w:rsidR="007E3D39" w:rsidRPr="00414222" w:rsidRDefault="007E3D39" w:rsidP="007E3D39">
      <w:pPr>
        <w:shd w:val="clear" w:color="auto" w:fill="F9F8F2"/>
        <w:spacing w:after="0" w:line="240" w:lineRule="auto"/>
        <w:jc w:val="both"/>
        <w:rPr>
          <w:rFonts w:ascii="Times New Roman" w:hAnsi="Times New Roman" w:cs="Times New Roman"/>
          <w:sz w:val="24"/>
          <w:szCs w:val="24"/>
          <w:u w:val="single"/>
        </w:rPr>
      </w:pPr>
      <w:r w:rsidRPr="00414222">
        <w:rPr>
          <w:rFonts w:ascii="Times New Roman" w:hAnsi="Times New Roman" w:cs="Times New Roman"/>
          <w:sz w:val="24"/>
          <w:szCs w:val="24"/>
          <w:u w:val="single"/>
        </w:rPr>
        <w:t>La ratio deuda/PIB de EEUU es más alta que nunca, 121 puntos porcentuales, y el déficit fiscal sigue siendo enorme</w:t>
      </w:r>
      <w:r w:rsidRPr="006C64FB">
        <w:rPr>
          <w:rFonts w:ascii="Times New Roman" w:hAnsi="Times New Roman" w:cs="Times New Roman"/>
          <w:sz w:val="24"/>
          <w:szCs w:val="24"/>
        </w:rPr>
        <w:t xml:space="preserve">: la Oficina Presupuestaria del Congreso prevé que ascienda a 1,5 billones de dólares este año, lo que supone un aumento de 160.000 millones con respecto a 2022. </w:t>
      </w:r>
      <w:r w:rsidRPr="00414222">
        <w:rPr>
          <w:rFonts w:ascii="Times New Roman" w:hAnsi="Times New Roman" w:cs="Times New Roman"/>
          <w:sz w:val="24"/>
          <w:szCs w:val="24"/>
          <w:u w:val="single"/>
        </w:rPr>
        <w:t>Sin embargo, la economía estadounidense está obteniendo buenos resultados, al menos en comparación con sus principales competidores</w:t>
      </w:r>
      <w:r w:rsidRPr="006C64FB">
        <w:rPr>
          <w:rFonts w:ascii="Times New Roman" w:hAnsi="Times New Roman" w:cs="Times New Roman"/>
          <w:sz w:val="24"/>
          <w:szCs w:val="24"/>
        </w:rPr>
        <w:t xml:space="preserve">. La Reserva Federal ha vuelto a situar la inflación por debajo del 3%. La economía crece a un ritmo anualizado del 2,4%. Se está creando un número récord de puestos de trabajo y el mercado bursátil se ha recuperado del mercado bajista y está a punto de volver a alcanzar nuevos máximos históricos. Y lo que es más importante, </w:t>
      </w:r>
      <w:r w:rsidRPr="00414222">
        <w:rPr>
          <w:rFonts w:ascii="Times New Roman" w:hAnsi="Times New Roman" w:cs="Times New Roman"/>
          <w:sz w:val="24"/>
          <w:szCs w:val="24"/>
          <w:u w:val="single"/>
        </w:rPr>
        <w:t>Estados Unidos sigue siendo el país más innovador y emprendedor del mundo,</w:t>
      </w:r>
    </w:p>
    <w:p w:rsidR="007E3D39" w:rsidRPr="006C64FB" w:rsidRDefault="007E3D39" w:rsidP="007E3D39">
      <w:pPr>
        <w:shd w:val="clear" w:color="auto" w:fill="F9F8F2"/>
        <w:spacing w:after="0" w:line="240" w:lineRule="auto"/>
        <w:jc w:val="both"/>
        <w:rPr>
          <w:rFonts w:ascii="Times New Roman" w:hAnsi="Times New Roman" w:cs="Times New Roman"/>
          <w:sz w:val="24"/>
          <w:szCs w:val="24"/>
        </w:rPr>
      </w:pPr>
    </w:p>
    <w:p w:rsidR="007E3D39" w:rsidRPr="00414222" w:rsidRDefault="007E3D39" w:rsidP="007E3D39">
      <w:pPr>
        <w:shd w:val="clear" w:color="auto" w:fill="F9F8F2"/>
        <w:spacing w:after="0" w:line="240" w:lineRule="auto"/>
        <w:jc w:val="both"/>
        <w:rPr>
          <w:rFonts w:ascii="Times New Roman" w:hAnsi="Times New Roman" w:cs="Times New Roman"/>
          <w:color w:val="FF0000"/>
          <w:sz w:val="24"/>
          <w:szCs w:val="24"/>
          <w:u w:val="single"/>
        </w:rPr>
      </w:pPr>
      <w:r w:rsidRPr="00414222">
        <w:rPr>
          <w:rFonts w:ascii="Times New Roman" w:hAnsi="Times New Roman" w:cs="Times New Roman"/>
          <w:color w:val="FF0000"/>
          <w:sz w:val="24"/>
          <w:szCs w:val="24"/>
          <w:u w:val="single"/>
        </w:rPr>
        <w:t xml:space="preserve">Aun así, la rebaja nos dice dos cosas importantes. La primera es que Occidente no puede seguir endeudándose eternamente sin consecuencias. Hace tan sólo unos meses que Francia, el tercer mayor deudor del mundo medido por la cantidad total que debe, también vio rebajada su calificación, mientras que el Banco de Japón, que ostenta la segunda mayor carga de deuda, está luchando por controlar los tipos de interés. En los últimos 15 años se ha producido una extraordinaria explosión de la deuda, primero para pagar el colapso bancario, luego </w:t>
      </w:r>
      <w:r>
        <w:rPr>
          <w:rFonts w:ascii="Times New Roman" w:hAnsi="Times New Roman" w:cs="Times New Roman"/>
          <w:color w:val="FF0000"/>
          <w:sz w:val="24"/>
          <w:szCs w:val="24"/>
          <w:u w:val="single"/>
        </w:rPr>
        <w:t>la pandemia y ahora la llamada “emergencia climática”</w:t>
      </w:r>
      <w:r w:rsidRPr="00414222">
        <w:rPr>
          <w:rFonts w:ascii="Times New Roman" w:hAnsi="Times New Roman" w:cs="Times New Roman"/>
          <w:color w:val="FF0000"/>
          <w:sz w:val="24"/>
          <w:szCs w:val="24"/>
          <w:u w:val="single"/>
        </w:rPr>
        <w:t>.</w:t>
      </w:r>
    </w:p>
    <w:p w:rsidR="007E3D39" w:rsidRPr="006C64FB" w:rsidRDefault="007E3D39" w:rsidP="007E3D39">
      <w:pPr>
        <w:shd w:val="clear" w:color="auto" w:fill="F9F8F2"/>
        <w:spacing w:after="0" w:line="240" w:lineRule="auto"/>
        <w:jc w:val="both"/>
        <w:rPr>
          <w:rFonts w:ascii="Times New Roman" w:hAnsi="Times New Roman" w:cs="Times New Roman"/>
          <w:sz w:val="24"/>
          <w:szCs w:val="24"/>
        </w:rPr>
      </w:pPr>
    </w:p>
    <w:p w:rsidR="007E3D39" w:rsidRPr="00414222" w:rsidRDefault="007E3D39" w:rsidP="007E3D39">
      <w:pPr>
        <w:shd w:val="clear" w:color="auto" w:fill="F9F8F2"/>
        <w:spacing w:after="0" w:line="240" w:lineRule="auto"/>
        <w:jc w:val="both"/>
        <w:rPr>
          <w:rFonts w:ascii="Times New Roman" w:hAnsi="Times New Roman" w:cs="Times New Roman"/>
          <w:color w:val="FF0000"/>
          <w:sz w:val="24"/>
          <w:szCs w:val="24"/>
          <w:u w:val="single"/>
        </w:rPr>
      </w:pPr>
      <w:r w:rsidRPr="006C64FB">
        <w:rPr>
          <w:rFonts w:ascii="Times New Roman" w:hAnsi="Times New Roman" w:cs="Times New Roman"/>
          <w:sz w:val="24"/>
          <w:szCs w:val="24"/>
        </w:rPr>
        <w:t>La segunda es que la Biden-omics está a punto de empeorar las perspectivas fiscales de EEUU. La clase dirigente liberal, y su club de fans en toda la Unión Europea, babean por los 400.000 millones d</w:t>
      </w:r>
      <w:r>
        <w:rPr>
          <w:rFonts w:ascii="Times New Roman" w:hAnsi="Times New Roman" w:cs="Times New Roman"/>
          <w:sz w:val="24"/>
          <w:szCs w:val="24"/>
        </w:rPr>
        <w:t>e dólares de gasto de Biden en “subvenciones verdes” y “fabricación de chips”</w:t>
      </w:r>
      <w:r w:rsidRPr="006C64FB">
        <w:rPr>
          <w:rFonts w:ascii="Times New Roman" w:hAnsi="Times New Roman" w:cs="Times New Roman"/>
          <w:sz w:val="24"/>
          <w:szCs w:val="24"/>
        </w:rPr>
        <w:t xml:space="preserve">. Y, sin embargo, ya hay indicios de que gran parte del dinero acabará malgastándose (de hecho, gran parte de la próxima década estará dominada por revelaciones sobre niveles </w:t>
      </w:r>
      <w:r w:rsidRPr="006C64FB">
        <w:rPr>
          <w:rFonts w:ascii="Times New Roman" w:hAnsi="Times New Roman" w:cs="Times New Roman"/>
          <w:sz w:val="24"/>
          <w:szCs w:val="24"/>
        </w:rPr>
        <w:lastRenderedPageBreak/>
        <w:t xml:space="preserve">escandalosos de fraude) y de que las subidas de impuestos para pagarlo todo llegarán muy pronto. Biden dejará a EEUU debiendo un montón de dinero, y con un montón de plantas de chips medio vacías en el desierto sin suficiente demanda para mantenerlas ocupadas. Parece que Donald Trump será la única alternativa a Biden en la carrera presidencial del año que viene, y aunque su presidencia fue mucho mejor en micropolítica, impulsando recortes fiscales, desregulación y zonas de inversión, fue igual de salvaje fiscalmente. </w:t>
      </w:r>
      <w:r w:rsidRPr="00414222">
        <w:rPr>
          <w:rFonts w:ascii="Times New Roman" w:hAnsi="Times New Roman" w:cs="Times New Roman"/>
          <w:color w:val="FF0000"/>
          <w:sz w:val="24"/>
          <w:szCs w:val="24"/>
          <w:u w:val="single"/>
        </w:rPr>
        <w:t>Fitch tiene t</w:t>
      </w:r>
      <w:r>
        <w:rPr>
          <w:rFonts w:ascii="Times New Roman" w:hAnsi="Times New Roman" w:cs="Times New Roman"/>
          <w:color w:val="FF0000"/>
          <w:sz w:val="24"/>
          <w:szCs w:val="24"/>
          <w:u w:val="single"/>
        </w:rPr>
        <w:t>oda la razón al afirmar que la “mala gobernanza”</w:t>
      </w:r>
      <w:r w:rsidRPr="00414222">
        <w:rPr>
          <w:rFonts w:ascii="Times New Roman" w:hAnsi="Times New Roman" w:cs="Times New Roman"/>
          <w:color w:val="FF0000"/>
          <w:sz w:val="24"/>
          <w:szCs w:val="24"/>
          <w:u w:val="single"/>
        </w:rPr>
        <w:t>, un término cortés para referirse a un sistema político completamente roto, es una de las principales razones para rebajar la calificación de la deuda estadounidense.</w:t>
      </w:r>
    </w:p>
    <w:p w:rsidR="007E3D39" w:rsidRPr="006C64FB" w:rsidRDefault="007E3D39" w:rsidP="007E3D39">
      <w:pPr>
        <w:shd w:val="clear" w:color="auto" w:fill="F9F8F2"/>
        <w:spacing w:after="0" w:line="240" w:lineRule="auto"/>
        <w:jc w:val="both"/>
        <w:rPr>
          <w:rFonts w:ascii="Times New Roman" w:hAnsi="Times New Roman" w:cs="Times New Roman"/>
          <w:sz w:val="24"/>
          <w:szCs w:val="24"/>
        </w:rPr>
      </w:pPr>
    </w:p>
    <w:p w:rsidR="007E3D39" w:rsidRDefault="007E3D39" w:rsidP="007E3D39">
      <w:pPr>
        <w:shd w:val="clear" w:color="auto" w:fill="F9F8F2"/>
        <w:spacing w:after="0" w:line="240" w:lineRule="auto"/>
        <w:jc w:val="both"/>
        <w:rPr>
          <w:rFonts w:ascii="Times New Roman" w:hAnsi="Times New Roman" w:cs="Times New Roman"/>
          <w:b/>
          <w:color w:val="FF0000"/>
          <w:sz w:val="24"/>
          <w:szCs w:val="24"/>
          <w:u w:val="single"/>
        </w:rPr>
      </w:pPr>
      <w:r w:rsidRPr="00414222">
        <w:rPr>
          <w:rFonts w:ascii="Times New Roman" w:hAnsi="Times New Roman" w:cs="Times New Roman"/>
          <w:b/>
          <w:color w:val="FF0000"/>
          <w:sz w:val="24"/>
          <w:szCs w:val="24"/>
          <w:u w:val="single"/>
        </w:rPr>
        <w:t>En realidad, por fin está calando el mensaje de que Occidente no puede mantener eternamente su fiebre de gasto alimentada por la deuda. Los economistas ultrakeynesianos que se han pasado años argumentando que la deuda no importa y que las finanzas de un Estado no pueden compararse con las de un hogar, están siendo humillados. Ya hemos visto un repunte de la inflación, y lo pagaremos durante años con tipos de interés más altos. Ahora también estamos viendo cómo se aceleran las rebajas de la deuda. En algún momento tendremos que dejar de fingir que podemos pedir prestado y gastar para salir de todas las crisis, o que la "inversión verde" crea riquez</w:t>
      </w:r>
      <w:r>
        <w:rPr>
          <w:rFonts w:ascii="Times New Roman" w:hAnsi="Times New Roman" w:cs="Times New Roman"/>
          <w:b/>
          <w:color w:val="FF0000"/>
          <w:sz w:val="24"/>
          <w:szCs w:val="24"/>
          <w:u w:val="single"/>
        </w:rPr>
        <w:t>a de la nada por arte de magia.</w:t>
      </w:r>
    </w:p>
    <w:p w:rsidR="007E3D39" w:rsidRPr="00335633" w:rsidRDefault="007E3D39" w:rsidP="007E3D39">
      <w:pPr>
        <w:shd w:val="clear" w:color="auto" w:fill="F9F8F2"/>
        <w:spacing w:after="0" w:line="240" w:lineRule="auto"/>
        <w:jc w:val="both"/>
        <w:rPr>
          <w:rFonts w:ascii="Times New Roman" w:hAnsi="Times New Roman" w:cs="Times New Roman"/>
          <w:b/>
          <w:color w:val="FF0000"/>
          <w:sz w:val="24"/>
          <w:szCs w:val="24"/>
          <w:u w:val="single"/>
        </w:rPr>
      </w:pPr>
    </w:p>
    <w:p w:rsidR="007E3D39" w:rsidRPr="00A6505C"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A6505C">
        <w:rPr>
          <w:rFonts w:ascii="Times New Roman" w:hAnsi="Times New Roman" w:cs="Times New Roman"/>
          <w:sz w:val="24"/>
          <w:szCs w:val="24"/>
          <w:u w:val="single"/>
        </w:rPr>
        <w:t>La misma moneda y política monetaria pero la mayor dispersión de la inflación en los países de la eurozona</w:t>
      </w:r>
      <w:r>
        <w:rPr>
          <w:rFonts w:ascii="Times New Roman" w:hAnsi="Times New Roman" w:cs="Times New Roman"/>
          <w:sz w:val="24"/>
          <w:szCs w:val="24"/>
        </w:rPr>
        <w:t xml:space="preserve"> (Cinco Días - </w:t>
      </w:r>
      <w:r w:rsidRPr="00A6505C">
        <w:rPr>
          <w:rFonts w:ascii="Times New Roman" w:hAnsi="Times New Roman" w:cs="Times New Roman"/>
          <w:b/>
          <w:sz w:val="24"/>
          <w:szCs w:val="24"/>
        </w:rPr>
        <w:t>4/9/23</w:t>
      </w:r>
      <w:r>
        <w:rPr>
          <w:rFonts w:ascii="Times New Roman" w:hAnsi="Times New Roman" w:cs="Times New Roman"/>
          <w:sz w:val="24"/>
          <w:szCs w:val="24"/>
        </w:rPr>
        <w:t>)</w:t>
      </w:r>
    </w:p>
    <w:p w:rsidR="007E3D39" w:rsidRPr="00690D6D" w:rsidRDefault="007E3D39" w:rsidP="007E3D39">
      <w:pPr>
        <w:spacing w:line="240" w:lineRule="auto"/>
        <w:jc w:val="both"/>
        <w:rPr>
          <w:rFonts w:ascii="Times New Roman" w:hAnsi="Times New Roman" w:cs="Times New Roman"/>
          <w:color w:val="FF0000"/>
          <w:sz w:val="24"/>
          <w:szCs w:val="24"/>
        </w:rPr>
      </w:pPr>
      <w:r w:rsidRPr="00690D6D">
        <w:rPr>
          <w:rFonts w:ascii="Times New Roman" w:hAnsi="Times New Roman" w:cs="Times New Roman"/>
          <w:color w:val="FF0000"/>
          <w:sz w:val="24"/>
          <w:szCs w:val="24"/>
        </w:rPr>
        <w:t>La guerra de Ucrania lo ha cambiado todo, la evolución de los precios es muy diferente en función del grado de dependencia energética y de la producción de energía renovable de los países</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(Por Jesús García)</w:t>
      </w:r>
    </w:p>
    <w:p w:rsidR="007E3D39" w:rsidRPr="00A6505C" w:rsidRDefault="007E3D39" w:rsidP="007E3D39">
      <w:pPr>
        <w:spacing w:line="240" w:lineRule="auto"/>
        <w:jc w:val="both"/>
        <w:rPr>
          <w:rFonts w:ascii="Times New Roman" w:hAnsi="Times New Roman" w:cs="Times New Roman"/>
          <w:sz w:val="24"/>
          <w:szCs w:val="24"/>
        </w:rPr>
      </w:pPr>
      <w:r w:rsidRPr="00A6505C">
        <w:rPr>
          <w:rFonts w:ascii="Times New Roman" w:hAnsi="Times New Roman" w:cs="Times New Roman"/>
          <w:noProof/>
          <w:sz w:val="24"/>
          <w:szCs w:val="24"/>
          <w:lang w:eastAsia="es-ES"/>
        </w:rPr>
        <w:drawing>
          <wp:inline distT="0" distB="0" distL="0" distR="0" wp14:anchorId="4A754D42" wp14:editId="1121BEE9">
            <wp:extent cx="5731510" cy="3236221"/>
            <wp:effectExtent l="0" t="0" r="2540" b="2540"/>
            <wp:docPr id="89" name="Imagen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31510" cy="3236221"/>
                    </a:xfrm>
                    <a:prstGeom prst="rect">
                      <a:avLst/>
                    </a:prstGeom>
                  </pic:spPr>
                </pic:pic>
              </a:graphicData>
            </a:graphic>
          </wp:inline>
        </w:drawing>
      </w:r>
    </w:p>
    <w:p w:rsidR="007E3D39" w:rsidRPr="005E7F32" w:rsidRDefault="007E3D39" w:rsidP="007E3D39">
      <w:pPr>
        <w:spacing w:line="240" w:lineRule="auto"/>
        <w:jc w:val="both"/>
        <w:rPr>
          <w:rFonts w:ascii="Times New Roman" w:hAnsi="Times New Roman" w:cs="Times New Roman"/>
          <w:sz w:val="24"/>
          <w:szCs w:val="24"/>
          <w:u w:val="single"/>
        </w:rPr>
      </w:pPr>
      <w:r w:rsidRPr="005E7F32">
        <w:rPr>
          <w:rFonts w:ascii="Times New Roman" w:hAnsi="Times New Roman" w:cs="Times New Roman"/>
          <w:sz w:val="24"/>
          <w:szCs w:val="24"/>
          <w:u w:val="single"/>
        </w:rPr>
        <w:t xml:space="preserve">Pese a que las 20 economías de la zona euro cuentan con una moneda única, están bajo la misma política monetaria del Banco Central Europeo (BCE), así como un tipo de cambio fijo, los últimos datos macroeconómicos que se han conocido a lo largo de las últimas semanas </w:t>
      </w:r>
      <w:r w:rsidRPr="005E7F32">
        <w:rPr>
          <w:rFonts w:ascii="Times New Roman" w:hAnsi="Times New Roman" w:cs="Times New Roman"/>
          <w:sz w:val="24"/>
          <w:szCs w:val="24"/>
          <w:u w:val="single"/>
        </w:rPr>
        <w:lastRenderedPageBreak/>
        <w:t>han puesto encima de la mesa unas importantes diferencias entre las distintas variables económicas de cada uno de los países. Uno de los datos que más ha llamado la atención y que en 2002 fue paradigmático, es el de la inflación, donde se aprecian importantes diferencias de las cifras entre países que nada tienen que ver a las oscilaciones, mucho más moderadas de años pasados.</w:t>
      </w:r>
    </w:p>
    <w:p w:rsidR="007E3D39" w:rsidRPr="005E7F32" w:rsidRDefault="007E3D39" w:rsidP="007E3D39">
      <w:pPr>
        <w:spacing w:line="240" w:lineRule="auto"/>
        <w:jc w:val="both"/>
        <w:rPr>
          <w:rFonts w:ascii="Times New Roman" w:hAnsi="Times New Roman" w:cs="Times New Roman"/>
          <w:color w:val="FF0000"/>
          <w:sz w:val="24"/>
          <w:szCs w:val="24"/>
          <w:u w:val="single"/>
        </w:rPr>
      </w:pPr>
      <w:r w:rsidRPr="005E7F32">
        <w:rPr>
          <w:rFonts w:ascii="Times New Roman" w:hAnsi="Times New Roman" w:cs="Times New Roman"/>
          <w:color w:val="FF0000"/>
          <w:sz w:val="24"/>
          <w:szCs w:val="24"/>
          <w:u w:val="single"/>
        </w:rPr>
        <w:t>Estas diferencias entre los niveles de inflación de un país a otro provoca importantes diferencias a la hora de que se transmita la política monetaria y los tipos de cambio reales. De ahí que no ejerzan los tipos de interés, actualmente en el 4,25% la misma función en todos y cada uno de los países a la hora de contener la evolución de los precios.</w:t>
      </w:r>
    </w:p>
    <w:p w:rsidR="007E3D39" w:rsidRPr="005E7F32" w:rsidRDefault="007E3D39" w:rsidP="007E3D39">
      <w:pPr>
        <w:spacing w:line="240" w:lineRule="auto"/>
        <w:jc w:val="both"/>
        <w:rPr>
          <w:rFonts w:ascii="Times New Roman" w:hAnsi="Times New Roman" w:cs="Times New Roman"/>
          <w:sz w:val="24"/>
          <w:szCs w:val="24"/>
          <w:u w:val="single"/>
        </w:rPr>
      </w:pPr>
      <w:r w:rsidRPr="005E7F32">
        <w:rPr>
          <w:rFonts w:ascii="Times New Roman" w:hAnsi="Times New Roman" w:cs="Times New Roman"/>
          <w:sz w:val="24"/>
          <w:szCs w:val="24"/>
          <w:u w:val="single"/>
        </w:rPr>
        <w:t>Esto es fácil de entender. Aunque 1 euro vale lo mismo en Madrid que en Berlín, Tallin o Viena, no tiene la misma capacidad de compra en una ciudad que otra, al estar supeditado al coste de la vida y el nivel de ganancias salariales, lo que también se reflejará en su nivel de inflación.</w:t>
      </w:r>
    </w:p>
    <w:p w:rsidR="007E3D39" w:rsidRPr="00A6505C" w:rsidRDefault="007E3D39" w:rsidP="007E3D39">
      <w:pPr>
        <w:spacing w:line="240" w:lineRule="auto"/>
        <w:jc w:val="both"/>
        <w:rPr>
          <w:rFonts w:ascii="Times New Roman" w:hAnsi="Times New Roman" w:cs="Times New Roman"/>
          <w:sz w:val="24"/>
          <w:szCs w:val="24"/>
        </w:rPr>
      </w:pPr>
      <w:r w:rsidRPr="00A6505C">
        <w:rPr>
          <w:rFonts w:ascii="Times New Roman" w:hAnsi="Times New Roman" w:cs="Times New Roman"/>
          <w:sz w:val="24"/>
          <w:szCs w:val="24"/>
        </w:rPr>
        <w:t>Así un ejemplo claro, está en la actual situación del mercado inmobiliario, donde el incremento de los tipos de interés está provocando una drástica caída de la demanda de vivienda por parte de nacionales, por el encarecimiento de la financiación, de la hipoteca para realizar esa compra, dificultad íntimamente relacionada con el nivel de ingresos. Sin embargo, estos problemas son menores para alemanes, belgas o austríacos, que gracias a su mayor poder de compra, sufren menos en la adquisición de una vivienda en España por el alza de los tipos, llegando incluso a proceder a compra</w:t>
      </w:r>
      <w:r>
        <w:rPr>
          <w:rFonts w:ascii="Times New Roman" w:hAnsi="Times New Roman" w:cs="Times New Roman"/>
          <w:sz w:val="24"/>
          <w:szCs w:val="24"/>
        </w:rPr>
        <w:t>s sin financiación hipotecaria.</w:t>
      </w:r>
    </w:p>
    <w:p w:rsidR="007E3D39" w:rsidRPr="00A6505C" w:rsidRDefault="007E3D39" w:rsidP="007E3D39">
      <w:pPr>
        <w:spacing w:line="240" w:lineRule="auto"/>
        <w:jc w:val="both"/>
        <w:rPr>
          <w:rFonts w:ascii="Times New Roman" w:hAnsi="Times New Roman" w:cs="Times New Roman"/>
          <w:sz w:val="24"/>
          <w:szCs w:val="24"/>
        </w:rPr>
      </w:pPr>
      <w:r w:rsidRPr="005E7F32">
        <w:rPr>
          <w:rFonts w:ascii="Times New Roman" w:hAnsi="Times New Roman" w:cs="Times New Roman"/>
          <w:color w:val="FF0000"/>
          <w:sz w:val="24"/>
          <w:szCs w:val="24"/>
          <w:u w:val="single"/>
        </w:rPr>
        <w:t>Esta dispersión de inflaciones, según se desprende del estudio Inflación europea: unida en la diversidad, de Caixabank Research, recoge como se ha pasado de un abanico que iba de un mínimo del 0% hasta un máximo del 3%, a un ensanchamiento en 2022 desde el 7% hasta el 25%.</w:t>
      </w:r>
      <w:r w:rsidRPr="005E7F32">
        <w:rPr>
          <w:rFonts w:ascii="Times New Roman" w:hAnsi="Times New Roman" w:cs="Times New Roman"/>
          <w:color w:val="FF0000"/>
          <w:sz w:val="24"/>
          <w:szCs w:val="24"/>
        </w:rPr>
        <w:t xml:space="preserve"> </w:t>
      </w:r>
      <w:r w:rsidRPr="00A6505C">
        <w:rPr>
          <w:rFonts w:ascii="Times New Roman" w:hAnsi="Times New Roman" w:cs="Times New Roman"/>
          <w:sz w:val="24"/>
          <w:szCs w:val="24"/>
        </w:rPr>
        <w:t>Detrás de estos márgenes se encuentra la evolución de las pequeñas economías del Báltico que tuvieron un pico del 25% en Estonia y otro ligeramente inferior</w:t>
      </w:r>
      <w:r>
        <w:rPr>
          <w:rFonts w:ascii="Times New Roman" w:hAnsi="Times New Roman" w:cs="Times New Roman"/>
          <w:sz w:val="24"/>
          <w:szCs w:val="24"/>
        </w:rPr>
        <w:t xml:space="preserve"> del 22% en Letonia y Lituania.</w:t>
      </w:r>
    </w:p>
    <w:p w:rsidR="007E3D39" w:rsidRPr="005E7F32" w:rsidRDefault="007E3D39" w:rsidP="007E3D39">
      <w:pPr>
        <w:spacing w:line="240" w:lineRule="auto"/>
        <w:jc w:val="both"/>
        <w:rPr>
          <w:rFonts w:ascii="Times New Roman" w:hAnsi="Times New Roman" w:cs="Times New Roman"/>
          <w:sz w:val="24"/>
          <w:szCs w:val="24"/>
          <w:u w:val="single"/>
        </w:rPr>
      </w:pPr>
      <w:r w:rsidRPr="005E7F32">
        <w:rPr>
          <w:rFonts w:ascii="Times New Roman" w:hAnsi="Times New Roman" w:cs="Times New Roman"/>
          <w:sz w:val="24"/>
          <w:szCs w:val="24"/>
          <w:u w:val="single"/>
        </w:rPr>
        <w:t>Sin embargo estas cifras de dispersión no son tan elevadas como podría pensarse por las cifras y ello es por el peso relativo de cada una de estas economías en la cesta de precios del conjunto de países de la eurozona. Ello provoca que estas diferencias no sean tan anormales en un contexto de inflación elevada.</w:t>
      </w:r>
    </w:p>
    <w:p w:rsidR="007E3D39" w:rsidRPr="00A6505C" w:rsidRDefault="007E3D39" w:rsidP="007E3D39">
      <w:pPr>
        <w:spacing w:line="240" w:lineRule="auto"/>
        <w:jc w:val="both"/>
        <w:rPr>
          <w:rFonts w:ascii="Times New Roman" w:hAnsi="Times New Roman" w:cs="Times New Roman"/>
          <w:sz w:val="24"/>
          <w:szCs w:val="24"/>
        </w:rPr>
      </w:pPr>
      <w:r w:rsidRPr="00A6505C">
        <w:rPr>
          <w:rFonts w:ascii="Times New Roman" w:hAnsi="Times New Roman" w:cs="Times New Roman"/>
          <w:sz w:val="24"/>
          <w:szCs w:val="24"/>
        </w:rPr>
        <w:t>Causas</w:t>
      </w:r>
    </w:p>
    <w:p w:rsidR="007E3D39" w:rsidRPr="00A6505C" w:rsidRDefault="007E3D39" w:rsidP="007E3D39">
      <w:pPr>
        <w:spacing w:line="240" w:lineRule="auto"/>
        <w:jc w:val="both"/>
        <w:rPr>
          <w:rFonts w:ascii="Times New Roman" w:hAnsi="Times New Roman" w:cs="Times New Roman"/>
          <w:sz w:val="24"/>
          <w:szCs w:val="24"/>
        </w:rPr>
      </w:pPr>
      <w:r w:rsidRPr="005E7F32">
        <w:rPr>
          <w:rFonts w:ascii="Times New Roman" w:hAnsi="Times New Roman" w:cs="Times New Roman"/>
          <w:sz w:val="24"/>
          <w:szCs w:val="24"/>
          <w:u w:val="single"/>
        </w:rPr>
        <w:t>En este sentido, para poder explicar las causas que han motivado esta importante dispersión de las cifras de inflación, resulta clave el contexto en el que se encuentra la economía europea, marcada por la guerra de Ucrania y consecuentemente por una inflación energética derivada del conflicto, y un derivado incremento de precios de los alimentos que se ha ido transmitiendo en mayor o menor medida en cada uno de los países del euro</w:t>
      </w:r>
      <w:r w:rsidRPr="00A6505C">
        <w:rPr>
          <w:rFonts w:ascii="Times New Roman" w:hAnsi="Times New Roman" w:cs="Times New Roman"/>
          <w:sz w:val="24"/>
          <w:szCs w:val="24"/>
        </w:rPr>
        <w:t>. Siendo esto cierto, desde Caixabank se advierte que en los últimos meses también se observa algo más de dispersión en</w:t>
      </w:r>
      <w:r>
        <w:rPr>
          <w:rFonts w:ascii="Times New Roman" w:hAnsi="Times New Roman" w:cs="Times New Roman"/>
          <w:sz w:val="24"/>
          <w:szCs w:val="24"/>
        </w:rPr>
        <w:t xml:space="preserve"> la inflación de los servicios.</w:t>
      </w:r>
    </w:p>
    <w:p w:rsidR="007E3D39" w:rsidRPr="005E7F32" w:rsidRDefault="007E3D39" w:rsidP="007E3D39">
      <w:pPr>
        <w:spacing w:line="240" w:lineRule="auto"/>
        <w:jc w:val="both"/>
        <w:rPr>
          <w:rFonts w:ascii="Times New Roman" w:hAnsi="Times New Roman" w:cs="Times New Roman"/>
          <w:color w:val="FF0000"/>
          <w:sz w:val="24"/>
          <w:szCs w:val="24"/>
          <w:u w:val="single"/>
        </w:rPr>
      </w:pPr>
      <w:r w:rsidRPr="005E7F32">
        <w:rPr>
          <w:rFonts w:ascii="Times New Roman" w:hAnsi="Times New Roman" w:cs="Times New Roman"/>
          <w:color w:val="FF0000"/>
          <w:sz w:val="24"/>
          <w:szCs w:val="24"/>
          <w:u w:val="single"/>
        </w:rPr>
        <w:t>Los países con una menor dependencia del gas ruso y una mayor producción de energía renovable son los que han visto menos tensionados sus precios y consecuentemente han registrado menores tasas de inflación.</w:t>
      </w:r>
    </w:p>
    <w:p w:rsidR="007E3D39" w:rsidRPr="005E7F32" w:rsidRDefault="007E3D39" w:rsidP="007E3D39">
      <w:pPr>
        <w:spacing w:line="240" w:lineRule="auto"/>
        <w:jc w:val="both"/>
        <w:rPr>
          <w:rFonts w:ascii="Times New Roman" w:hAnsi="Times New Roman" w:cs="Times New Roman"/>
          <w:color w:val="FF0000"/>
          <w:sz w:val="24"/>
          <w:szCs w:val="24"/>
          <w:u w:val="single"/>
        </w:rPr>
      </w:pPr>
      <w:r w:rsidRPr="005E7F32">
        <w:rPr>
          <w:rFonts w:ascii="Times New Roman" w:hAnsi="Times New Roman" w:cs="Times New Roman"/>
          <w:color w:val="FF0000"/>
          <w:sz w:val="24"/>
          <w:szCs w:val="24"/>
          <w:u w:val="single"/>
        </w:rPr>
        <w:t>En este trabajo se pone de relieve que esta intensificación de precios no obedece únicamente al factor energético, ya que se están apreciando factores inflacionistas en los bienes industriales y los alimentos.</w:t>
      </w:r>
    </w:p>
    <w:p w:rsidR="007E3D39" w:rsidRPr="00A6505C" w:rsidRDefault="007E3D39" w:rsidP="007E3D39">
      <w:pPr>
        <w:spacing w:line="240" w:lineRule="auto"/>
        <w:jc w:val="both"/>
        <w:rPr>
          <w:rFonts w:ascii="Times New Roman" w:hAnsi="Times New Roman" w:cs="Times New Roman"/>
          <w:sz w:val="24"/>
          <w:szCs w:val="24"/>
        </w:rPr>
      </w:pPr>
      <w:r w:rsidRPr="00A6505C">
        <w:rPr>
          <w:rFonts w:ascii="Times New Roman" w:hAnsi="Times New Roman" w:cs="Times New Roman"/>
          <w:sz w:val="24"/>
          <w:szCs w:val="24"/>
        </w:rPr>
        <w:lastRenderedPageBreak/>
        <w:t>También la disparidad de medidas puestas en marcha para hacer frente a la crisis ha tenido efectos dispares en la evolución de los precios. El aparcamiento de la aplicación de las reglas fiscales europeas que provocó la pandemia de Covid se mantuvo con la guerra de Ucrania, con lo que los distintos países ejercieron con discrecionalidad la adopción de medidas antiinflacionistas con resultados dispares.</w:t>
      </w:r>
    </w:p>
    <w:p w:rsidR="007E3D39" w:rsidRPr="005E7F32" w:rsidRDefault="007E3D39" w:rsidP="007E3D39">
      <w:pPr>
        <w:spacing w:line="240" w:lineRule="auto"/>
        <w:jc w:val="both"/>
        <w:rPr>
          <w:rFonts w:ascii="Times New Roman" w:hAnsi="Times New Roman" w:cs="Times New Roman"/>
          <w:sz w:val="24"/>
          <w:szCs w:val="24"/>
          <w:u w:val="single"/>
        </w:rPr>
      </w:pPr>
      <w:r w:rsidRPr="005E7F32">
        <w:rPr>
          <w:rFonts w:ascii="Times New Roman" w:hAnsi="Times New Roman" w:cs="Times New Roman"/>
          <w:sz w:val="24"/>
          <w:szCs w:val="24"/>
          <w:u w:val="single"/>
        </w:rPr>
        <w:t>Las ayudas públicas, según un estudio de Bruegel han ido desde más del 7% del PIB en Alemania lo que ha supuesto más de 264.000 millones de euros, hasta el 1% de Letonia, apenas algo más de 1.000 millones de euros. En el caso de España, las ayudas suponen una cifra superior al 3% del PIB, cerca de 40.000 millones de euros.</w:t>
      </w:r>
    </w:p>
    <w:p w:rsidR="007E3D39" w:rsidRDefault="007E3D39" w:rsidP="007E3D39">
      <w:pPr>
        <w:spacing w:line="240" w:lineRule="auto"/>
        <w:jc w:val="both"/>
        <w:rPr>
          <w:rFonts w:ascii="Times New Roman" w:hAnsi="Times New Roman" w:cs="Times New Roman"/>
          <w:color w:val="FF0000"/>
          <w:sz w:val="24"/>
          <w:szCs w:val="24"/>
          <w:u w:val="single"/>
        </w:rPr>
      </w:pPr>
      <w:r w:rsidRPr="00A6505C">
        <w:rPr>
          <w:rFonts w:ascii="Times New Roman" w:hAnsi="Times New Roman" w:cs="Times New Roman"/>
          <w:sz w:val="24"/>
          <w:szCs w:val="24"/>
        </w:rPr>
        <w:t xml:space="preserve">En su conjunto estas medidas también dispararon las cifras de déficit público en el conjunto de la eurozona, con una clara responsabilidad en el incremento de la deuda pública. </w:t>
      </w:r>
      <w:r w:rsidRPr="005E7F32">
        <w:rPr>
          <w:rFonts w:ascii="Times New Roman" w:hAnsi="Times New Roman" w:cs="Times New Roman"/>
          <w:color w:val="FF0000"/>
          <w:sz w:val="24"/>
          <w:szCs w:val="24"/>
          <w:u w:val="single"/>
        </w:rPr>
        <w:t>Será a partir de 2024 cuando volverán a ponerse en activo las reglas fiscales europeas, centradas en la reducción del déficit al 3% del PIB y el objetivo a medio plazo de reducir la deuda al 70% del PIB.</w:t>
      </w:r>
    </w:p>
    <w:p w:rsidR="007E3D39" w:rsidRPr="00E37EAE"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D2BCC">
        <w:rPr>
          <w:rFonts w:ascii="Times New Roman" w:hAnsi="Times New Roman" w:cs="Times New Roman"/>
          <w:sz w:val="24"/>
          <w:szCs w:val="24"/>
          <w:u w:val="single"/>
        </w:rPr>
        <w:t>La Reserva Federal mantiene los tipos de interés pero anticipa tasas altas más tiempo</w:t>
      </w:r>
      <w:r>
        <w:rPr>
          <w:rFonts w:ascii="Times New Roman" w:hAnsi="Times New Roman" w:cs="Times New Roman"/>
          <w:sz w:val="24"/>
          <w:szCs w:val="24"/>
        </w:rPr>
        <w:t xml:space="preserve"> (Cinco Días - </w:t>
      </w:r>
      <w:r w:rsidRPr="00E37EAE">
        <w:rPr>
          <w:rFonts w:ascii="Times New Roman" w:hAnsi="Times New Roman" w:cs="Times New Roman"/>
          <w:b/>
          <w:sz w:val="24"/>
          <w:szCs w:val="24"/>
        </w:rPr>
        <w:t>20/9/23</w:t>
      </w:r>
      <w:r>
        <w:rPr>
          <w:rFonts w:ascii="Times New Roman" w:hAnsi="Times New Roman" w:cs="Times New Roman"/>
          <w:sz w:val="24"/>
          <w:szCs w:val="24"/>
        </w:rPr>
        <w:t>)</w:t>
      </w:r>
    </w:p>
    <w:p w:rsidR="007E3D39" w:rsidRPr="00690D6D" w:rsidRDefault="007E3D39" w:rsidP="007E3D39">
      <w:pPr>
        <w:spacing w:line="240" w:lineRule="auto"/>
        <w:jc w:val="both"/>
        <w:rPr>
          <w:rFonts w:ascii="Times New Roman" w:hAnsi="Times New Roman" w:cs="Times New Roman"/>
          <w:color w:val="FF0000"/>
          <w:sz w:val="24"/>
          <w:szCs w:val="24"/>
        </w:rPr>
      </w:pPr>
      <w:r w:rsidRPr="00690D6D">
        <w:rPr>
          <w:rFonts w:ascii="Times New Roman" w:hAnsi="Times New Roman" w:cs="Times New Roman"/>
          <w:color w:val="FF0000"/>
          <w:sz w:val="24"/>
          <w:szCs w:val="24"/>
        </w:rPr>
        <w:t>Mantiene sin cambios el precio del dinero en 5,25%-5,5% y señala una subida más este año. Prevé menos recortes para 2024 por la resistencia de la inflación</w:t>
      </w:r>
    </w:p>
    <w:p w:rsidR="007E3D39" w:rsidRPr="00690D6D" w:rsidRDefault="007E3D39" w:rsidP="007E3D39">
      <w:pPr>
        <w:spacing w:line="240" w:lineRule="auto"/>
        <w:jc w:val="both"/>
        <w:rPr>
          <w:rFonts w:ascii="Times New Roman" w:hAnsi="Times New Roman" w:cs="Times New Roman"/>
          <w:color w:val="FF0000"/>
          <w:sz w:val="24"/>
          <w:szCs w:val="24"/>
        </w:rPr>
      </w:pPr>
      <w:r w:rsidRPr="00690D6D">
        <w:rPr>
          <w:rFonts w:ascii="Times New Roman" w:hAnsi="Times New Roman" w:cs="Times New Roman"/>
          <w:color w:val="FF0000"/>
          <w:sz w:val="24"/>
          <w:szCs w:val="24"/>
        </w:rPr>
        <w:t>Tipos de interés de la Fed desde 1994</w:t>
      </w:r>
    </w:p>
    <w:p w:rsidR="007E3D39" w:rsidRPr="00E37EAE" w:rsidRDefault="007E3D39" w:rsidP="007E3D39">
      <w:pPr>
        <w:spacing w:line="240" w:lineRule="auto"/>
        <w:jc w:val="both"/>
        <w:rPr>
          <w:rFonts w:ascii="Times New Roman" w:hAnsi="Times New Roman" w:cs="Times New Roman"/>
          <w:sz w:val="24"/>
          <w:szCs w:val="24"/>
        </w:rPr>
      </w:pPr>
      <w:r w:rsidRPr="00E37EAE">
        <w:rPr>
          <w:rFonts w:ascii="Times New Roman" w:hAnsi="Times New Roman" w:cs="Times New Roman"/>
          <w:noProof/>
          <w:sz w:val="24"/>
          <w:szCs w:val="24"/>
          <w:lang w:eastAsia="es-ES"/>
        </w:rPr>
        <w:drawing>
          <wp:inline distT="0" distB="0" distL="0" distR="0" wp14:anchorId="0DC95092" wp14:editId="7F249946">
            <wp:extent cx="5731510" cy="3206216"/>
            <wp:effectExtent l="0" t="0" r="2540" b="0"/>
            <wp:docPr id="90" name="Imagen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31510" cy="3206216"/>
                    </a:xfrm>
                    <a:prstGeom prst="rect">
                      <a:avLst/>
                    </a:prstGeom>
                  </pic:spPr>
                </pic:pic>
              </a:graphicData>
            </a:graphic>
          </wp:inline>
        </w:drawing>
      </w:r>
    </w:p>
    <w:p w:rsidR="007E3D39" w:rsidRPr="00E37EAE"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E37EAE">
        <w:rPr>
          <w:rFonts w:ascii="Times New Roman" w:hAnsi="Times New Roman" w:cs="Times New Roman"/>
          <w:sz w:val="24"/>
          <w:szCs w:val="24"/>
        </w:rPr>
        <w:t>Gema Escribano</w:t>
      </w:r>
      <w:r>
        <w:rPr>
          <w:rFonts w:ascii="Times New Roman" w:hAnsi="Times New Roman" w:cs="Times New Roman"/>
          <w:sz w:val="24"/>
          <w:szCs w:val="24"/>
        </w:rPr>
        <w:t>)</w:t>
      </w:r>
    </w:p>
    <w:p w:rsidR="007E3D39" w:rsidRPr="0051349F" w:rsidRDefault="007E3D39" w:rsidP="007E3D39">
      <w:pPr>
        <w:spacing w:line="240" w:lineRule="auto"/>
        <w:jc w:val="both"/>
        <w:rPr>
          <w:rFonts w:ascii="Times New Roman" w:hAnsi="Times New Roman" w:cs="Times New Roman"/>
          <w:sz w:val="24"/>
          <w:szCs w:val="24"/>
          <w:u w:val="single"/>
        </w:rPr>
      </w:pPr>
      <w:r w:rsidRPr="0051349F">
        <w:rPr>
          <w:rFonts w:ascii="Times New Roman" w:hAnsi="Times New Roman" w:cs="Times New Roman"/>
          <w:sz w:val="24"/>
          <w:szCs w:val="24"/>
          <w:u w:val="single"/>
        </w:rPr>
        <w:t xml:space="preserve">El mercado lo daba por descontado y aunque la inflación continúa estando por encima del objetivo del 2%, la Reserva Federal decidió repetir el movimiento de junio y acordó mantener sin cambios las tasas en la horquilla del 5,25-5,5%, máximos de 22 años. Pero que no haya tocado los tipos no significa que el ajuste monetario haya concluido. En línea con las proyecciones de junio el Comité de Mercado Abierto (FOMC) espera subir el precio del dinero antes de que concluya el año, un escenario al que el mercado otorgaba una </w:t>
      </w:r>
      <w:r w:rsidRPr="0051349F">
        <w:rPr>
          <w:rFonts w:ascii="Times New Roman" w:hAnsi="Times New Roman" w:cs="Times New Roman"/>
          <w:sz w:val="24"/>
          <w:szCs w:val="24"/>
          <w:u w:val="single"/>
        </w:rPr>
        <w:lastRenderedPageBreak/>
        <w:t>probabilidad cercana al 30%. La decisión contó con el visto bueno de todos sus miembros. El presidente de la Fed afirmó que mantener las tasas no significa que hayan alcanzado su objetivo y advirtió que están listos para nuevas subidas si fueran necesarios.</w:t>
      </w:r>
    </w:p>
    <w:p w:rsidR="007E3D39" w:rsidRPr="0051349F" w:rsidRDefault="007E3D39" w:rsidP="007E3D39">
      <w:pPr>
        <w:spacing w:line="240" w:lineRule="auto"/>
        <w:jc w:val="both"/>
        <w:rPr>
          <w:rFonts w:ascii="Times New Roman" w:hAnsi="Times New Roman" w:cs="Times New Roman"/>
          <w:color w:val="FF0000"/>
          <w:sz w:val="24"/>
          <w:szCs w:val="24"/>
          <w:u w:val="single"/>
        </w:rPr>
      </w:pPr>
      <w:r w:rsidRPr="0051349F">
        <w:rPr>
          <w:rFonts w:ascii="Times New Roman" w:hAnsi="Times New Roman" w:cs="Times New Roman"/>
          <w:color w:val="FF0000"/>
          <w:sz w:val="24"/>
          <w:szCs w:val="24"/>
          <w:u w:val="single"/>
        </w:rPr>
        <w:t>Pero más que el futuro de la política monetaria a corto plazo lo que el mercado esperaba con especial interés era la actualización de las proyecciones. Después de meses en los que el mercado ha venido celebrando la posibilidad de que el precio del dinero estuviera próximo a tocar techo y que en 2024 la rebaja de los tipos tomaría el testigo, ahora las esperanzas comienzan a diluirse. No es que las tasas no vayan a bajar, que todo apunta a que así será, pero lo harán a un ritmo más moderado. En sintonía con las firmas de análisis que retrasaban el primer recorte a julio, las últimas proyecciones apuntan a una rebaja de 50 puntos básicos el próximo año, por debajo de los 100 puntos que recogían las proyecciones publicadas por la Fed el pasado junio. Aunque los tipos en 2025 seguirán bajando, lo harán a ritmo menos. Los funcionarios esperan que las tasas ronden el 3,9%, superior al 3,4% previo. Es decir, esto indica una clara postura hawkish pese a la pausa en la subida de tipos.</w:t>
      </w:r>
    </w:p>
    <w:p w:rsidR="007E3D39" w:rsidRPr="0051349F" w:rsidRDefault="007E3D39" w:rsidP="007E3D39">
      <w:pPr>
        <w:spacing w:line="240" w:lineRule="auto"/>
        <w:jc w:val="both"/>
        <w:rPr>
          <w:rFonts w:ascii="Times New Roman" w:hAnsi="Times New Roman" w:cs="Times New Roman"/>
          <w:sz w:val="24"/>
          <w:szCs w:val="24"/>
          <w:u w:val="single"/>
        </w:rPr>
      </w:pPr>
      <w:r w:rsidRPr="00E37EAE">
        <w:rPr>
          <w:rFonts w:ascii="Times New Roman" w:hAnsi="Times New Roman" w:cs="Times New Roman"/>
          <w:sz w:val="24"/>
          <w:szCs w:val="24"/>
        </w:rPr>
        <w:t xml:space="preserve">La resistencia que muestra la inflación y la robustez económica son el caldo de cultivo perfecto para que los tipos se mantengan altos durante más tiempo. Una idea que ha cobrado un mayor protagonismo ahora que los precios energéticos han vuelto a experimentar un nuevo repunte. </w:t>
      </w:r>
      <w:r w:rsidRPr="0051349F">
        <w:rPr>
          <w:rFonts w:ascii="Times New Roman" w:hAnsi="Times New Roman" w:cs="Times New Roman"/>
          <w:sz w:val="24"/>
          <w:szCs w:val="24"/>
          <w:u w:val="single"/>
        </w:rPr>
        <w:t>Los recortes de la producción puestos en marcha por la OPEP y Rusia están tensionando el mercado y se convierten en un obstáculo para que los bancos centrales logren rebajar los precios al objetivo del 2%.</w:t>
      </w:r>
    </w:p>
    <w:p w:rsidR="007E3D39" w:rsidRPr="00E37EAE" w:rsidRDefault="007E3D39" w:rsidP="007E3D39">
      <w:pPr>
        <w:spacing w:line="240" w:lineRule="auto"/>
        <w:jc w:val="both"/>
        <w:rPr>
          <w:rFonts w:ascii="Times New Roman" w:hAnsi="Times New Roman" w:cs="Times New Roman"/>
          <w:sz w:val="24"/>
          <w:szCs w:val="24"/>
        </w:rPr>
      </w:pPr>
      <w:r w:rsidRPr="00E37EAE">
        <w:rPr>
          <w:rFonts w:ascii="Times New Roman" w:hAnsi="Times New Roman" w:cs="Times New Roman"/>
          <w:sz w:val="24"/>
          <w:szCs w:val="24"/>
        </w:rPr>
        <w:t xml:space="preserve">“Los indicadores recientes sugieren que la actividad económica se ha expandido a un ritmo sólido. Aunque el aumento del empleo se ha ralentizado en los últimos meses, sigue siendo fuerte, y la tasa de desempleo (3,8%) se mantiene baja”, señala el comité en su comunicado. </w:t>
      </w:r>
      <w:r w:rsidRPr="0051349F">
        <w:rPr>
          <w:rFonts w:ascii="Times New Roman" w:hAnsi="Times New Roman" w:cs="Times New Roman"/>
          <w:sz w:val="24"/>
          <w:szCs w:val="24"/>
          <w:u w:val="single"/>
        </w:rPr>
        <w:t>El banco central estadounidense reconoce que el endurecimiento de las condiciones crediticias probablemente se traducirá en una contracción de la economía. No obstante su impacto sigue siendo incierto. El comité remarcó que su objetivo es lograr la estabilidad de los precios.</w:t>
      </w:r>
    </w:p>
    <w:p w:rsidR="007E3D39" w:rsidRPr="0051349F" w:rsidRDefault="007E3D39" w:rsidP="007E3D39">
      <w:pPr>
        <w:spacing w:line="240" w:lineRule="auto"/>
        <w:jc w:val="both"/>
        <w:rPr>
          <w:rFonts w:ascii="Times New Roman" w:hAnsi="Times New Roman" w:cs="Times New Roman"/>
          <w:color w:val="FF0000"/>
          <w:sz w:val="24"/>
          <w:szCs w:val="24"/>
          <w:u w:val="single"/>
        </w:rPr>
      </w:pPr>
      <w:r w:rsidRPr="0051349F">
        <w:rPr>
          <w:rFonts w:ascii="Times New Roman" w:hAnsi="Times New Roman" w:cs="Times New Roman"/>
          <w:sz w:val="24"/>
          <w:szCs w:val="24"/>
          <w:u w:val="single"/>
        </w:rPr>
        <w:t xml:space="preserve">La mayor subida de las tasas en 40 años parece que no restará fuerza a la economía. La institución que preside Jerome Powell revisó al alza su estimación de PIB. Para 2023 los funcionarios esperan que la economía avance a velocidad de crucero y crezca un 2,1%, más del doble de lo previsto hace tres meses. Esta solidez se mantendrá en 2024, periodo para el que espera un avance del 1,5%, cuatro décimas más. Mantienen sin cambios sus proyecciones para 2025 (1,8%). Aunque la economía parece inmune al alza de los tipos, el impacto del endurecimiento monetario se dejará sentir el próximo año cuando se ralentice el crecimiento. </w:t>
      </w:r>
      <w:r w:rsidRPr="0051349F">
        <w:rPr>
          <w:rFonts w:ascii="Times New Roman" w:hAnsi="Times New Roman" w:cs="Times New Roman"/>
          <w:color w:val="FF0000"/>
          <w:sz w:val="24"/>
          <w:szCs w:val="24"/>
          <w:u w:val="single"/>
        </w:rPr>
        <w:t>“Rebajar la inflación requiere un crecimiento por debajo de la tendencia”, sentenció Jerome Powell en la rueda de prensa.</w:t>
      </w:r>
    </w:p>
    <w:p w:rsidR="007E3D39" w:rsidRPr="00E37EAE" w:rsidRDefault="007E3D39" w:rsidP="007E3D39">
      <w:pPr>
        <w:spacing w:line="240" w:lineRule="auto"/>
        <w:jc w:val="both"/>
        <w:rPr>
          <w:rFonts w:ascii="Times New Roman" w:hAnsi="Times New Roman" w:cs="Times New Roman"/>
          <w:sz w:val="24"/>
          <w:szCs w:val="24"/>
        </w:rPr>
      </w:pPr>
      <w:r w:rsidRPr="0051349F">
        <w:rPr>
          <w:rFonts w:ascii="Times New Roman" w:hAnsi="Times New Roman" w:cs="Times New Roman"/>
          <w:color w:val="FF0000"/>
          <w:sz w:val="24"/>
          <w:szCs w:val="24"/>
          <w:u w:val="single"/>
        </w:rPr>
        <w:t>Tal y como hizo el BCE la semana pasada, su homólogo estadounidense espera que la inflación siga mermando el poder adquisitivo de los hogares</w:t>
      </w:r>
      <w:r w:rsidRPr="00E37EAE">
        <w:rPr>
          <w:rFonts w:ascii="Times New Roman" w:hAnsi="Times New Roman" w:cs="Times New Roman"/>
          <w:sz w:val="24"/>
          <w:szCs w:val="24"/>
        </w:rPr>
        <w:t xml:space="preserve">. Los funcionarios elevan una décima la inflación para este año, que se situará en el 3,3%. Aunque poco a poco la tasa está convergiendo hacia el objetivo del 2%, no prevén que lo alcance plenamente hasta 2026. El IPC que esperan para el próximo año es del 2,5%, sin cambios respecto a junio, y del 2,2% en 2025, una décima más. “Sin estabilidad de los precios no habrá mercado </w:t>
      </w:r>
      <w:r>
        <w:rPr>
          <w:rFonts w:ascii="Times New Roman" w:hAnsi="Times New Roman" w:cs="Times New Roman"/>
          <w:sz w:val="24"/>
          <w:szCs w:val="24"/>
        </w:rPr>
        <w:t>laboral fuerte”, señaló Powell.</w:t>
      </w:r>
    </w:p>
    <w:p w:rsidR="007E3D39" w:rsidRPr="0051349F" w:rsidRDefault="007E3D39" w:rsidP="007E3D39">
      <w:pPr>
        <w:spacing w:line="240" w:lineRule="auto"/>
        <w:jc w:val="both"/>
        <w:rPr>
          <w:rFonts w:ascii="Times New Roman" w:hAnsi="Times New Roman" w:cs="Times New Roman"/>
          <w:color w:val="FF0000"/>
          <w:sz w:val="24"/>
          <w:szCs w:val="24"/>
          <w:u w:val="single"/>
        </w:rPr>
      </w:pPr>
      <w:r w:rsidRPr="0051349F">
        <w:rPr>
          <w:rFonts w:ascii="Times New Roman" w:hAnsi="Times New Roman" w:cs="Times New Roman"/>
          <w:sz w:val="24"/>
          <w:szCs w:val="24"/>
          <w:u w:val="single"/>
        </w:rPr>
        <w:t xml:space="preserve">En sintonía con el dato de empleo del mes de agosto, la creación de puestos de trabajo se está ralentizando. Aunque la tasa de paro sigue siendo baja, esperan que suba al 3,8% a cierre de año, tres décima menos que en las pasadas proyecciones. “El desempleo en el 3,8% sigue </w:t>
      </w:r>
      <w:r w:rsidRPr="0051349F">
        <w:rPr>
          <w:rFonts w:ascii="Times New Roman" w:hAnsi="Times New Roman" w:cs="Times New Roman"/>
          <w:sz w:val="24"/>
          <w:szCs w:val="24"/>
          <w:u w:val="single"/>
        </w:rPr>
        <w:lastRenderedPageBreak/>
        <w:t>siendo bajó”, remarcó el presidente de la Fed. Para los próximos años esperan que suba al 4,1%, por debajo del 4,5% anterior. “</w:t>
      </w:r>
      <w:r w:rsidRPr="0051349F">
        <w:rPr>
          <w:rFonts w:ascii="Times New Roman" w:hAnsi="Times New Roman" w:cs="Times New Roman"/>
          <w:color w:val="FF0000"/>
          <w:sz w:val="24"/>
          <w:szCs w:val="24"/>
          <w:u w:val="single"/>
        </w:rPr>
        <w:t>Aún no se han dejado sentir todos los efectos”, indicó Powell. El dirigente reconoció que el aterrizaje suave (bajar la inflación sin provocar una recesión) no es su escenario principal, pero considera que todavía es posible.</w:t>
      </w:r>
    </w:p>
    <w:p w:rsidR="007E3D39" w:rsidRPr="00E37EAE" w:rsidRDefault="007E3D39" w:rsidP="007E3D39">
      <w:pPr>
        <w:spacing w:line="240" w:lineRule="auto"/>
        <w:jc w:val="both"/>
        <w:rPr>
          <w:rFonts w:ascii="Times New Roman" w:hAnsi="Times New Roman" w:cs="Times New Roman"/>
          <w:sz w:val="24"/>
          <w:szCs w:val="24"/>
        </w:rPr>
      </w:pPr>
      <w:r w:rsidRPr="00E37EAE">
        <w:rPr>
          <w:rFonts w:ascii="Times New Roman" w:hAnsi="Times New Roman" w:cs="Times New Roman"/>
          <w:sz w:val="24"/>
          <w:szCs w:val="24"/>
        </w:rPr>
        <w:t>El bono a dos años, en máximos de 2006</w:t>
      </w:r>
    </w:p>
    <w:p w:rsidR="007E3D39" w:rsidRPr="00E37EAE" w:rsidRDefault="007E3D39" w:rsidP="007E3D39">
      <w:pPr>
        <w:spacing w:line="240" w:lineRule="auto"/>
        <w:jc w:val="both"/>
        <w:rPr>
          <w:rFonts w:ascii="Times New Roman" w:hAnsi="Times New Roman" w:cs="Times New Roman"/>
          <w:sz w:val="24"/>
          <w:szCs w:val="24"/>
        </w:rPr>
      </w:pPr>
      <w:r w:rsidRPr="0051349F">
        <w:rPr>
          <w:rFonts w:ascii="Times New Roman" w:hAnsi="Times New Roman" w:cs="Times New Roman"/>
          <w:sz w:val="24"/>
          <w:szCs w:val="24"/>
          <w:u w:val="single"/>
        </w:rPr>
        <w:t>Renta fija. Aunque el mercado daba por hecho que la Fed avanzaría una nueva subida de los tipos antes de que finalizara el año, su confirmación y las expectativas de recortes más modestos el próximo año se dejaron sentir con fuerza en el mercado de deuda</w:t>
      </w:r>
      <w:r w:rsidRPr="00E37EAE">
        <w:rPr>
          <w:rFonts w:ascii="Times New Roman" w:hAnsi="Times New Roman" w:cs="Times New Roman"/>
          <w:sz w:val="24"/>
          <w:szCs w:val="24"/>
        </w:rPr>
        <w:t>. De nuevo los plazos cortos, los más sensibles a la política monetaria fueron los que más se movieron. La rentabilidad de la deuda dos años repuntó al 5,12%, máximos</w:t>
      </w:r>
      <w:r>
        <w:rPr>
          <w:rFonts w:ascii="Times New Roman" w:hAnsi="Times New Roman" w:cs="Times New Roman"/>
          <w:sz w:val="24"/>
          <w:szCs w:val="24"/>
        </w:rPr>
        <w:t>,</w:t>
      </w:r>
      <w:r w:rsidRPr="00E37EAE">
        <w:rPr>
          <w:rFonts w:ascii="Times New Roman" w:hAnsi="Times New Roman" w:cs="Times New Roman"/>
          <w:sz w:val="24"/>
          <w:szCs w:val="24"/>
        </w:rPr>
        <w:t xml:space="preserve"> de</w:t>
      </w:r>
      <w:r>
        <w:rPr>
          <w:rFonts w:ascii="Times New Roman" w:hAnsi="Times New Roman" w:cs="Times New Roman"/>
          <w:sz w:val="24"/>
          <w:szCs w:val="24"/>
        </w:rPr>
        <w:t>sde</w:t>
      </w:r>
      <w:r w:rsidRPr="00E37EAE">
        <w:rPr>
          <w:rFonts w:ascii="Times New Roman" w:hAnsi="Times New Roman" w:cs="Times New Roman"/>
          <w:sz w:val="24"/>
          <w:szCs w:val="24"/>
        </w:rPr>
        <w:t xml:space="preserve"> 2016. La deuda con vencimiento en 2028 se mantuvo estable en el 4,5% mientras los títulos a 10 años se situaron en el 4,3%. Es decir, profundiza la inversión de la curva. Los plazos cortos pagan más que los largos.</w:t>
      </w:r>
    </w:p>
    <w:p w:rsidR="007E3D39" w:rsidRDefault="007E3D39" w:rsidP="007E3D39">
      <w:pPr>
        <w:spacing w:line="240" w:lineRule="auto"/>
        <w:jc w:val="both"/>
        <w:rPr>
          <w:rFonts w:ascii="Times New Roman" w:hAnsi="Times New Roman" w:cs="Times New Roman"/>
          <w:sz w:val="24"/>
          <w:szCs w:val="24"/>
        </w:rPr>
      </w:pPr>
      <w:r w:rsidRPr="0051349F">
        <w:rPr>
          <w:rFonts w:ascii="Times New Roman" w:hAnsi="Times New Roman" w:cs="Times New Roman"/>
          <w:sz w:val="24"/>
          <w:szCs w:val="24"/>
          <w:u w:val="single"/>
        </w:rPr>
        <w:t>Wall Street</w:t>
      </w:r>
      <w:r w:rsidRPr="00E37EAE">
        <w:rPr>
          <w:rFonts w:ascii="Times New Roman" w:hAnsi="Times New Roman" w:cs="Times New Roman"/>
          <w:sz w:val="24"/>
          <w:szCs w:val="24"/>
        </w:rPr>
        <w:t xml:space="preserve">. Al cierre de la edición Wall Street cotizaba con signo mixto. El Dow Jones avanzaba un 0,3% mientras el S&amp;P 500 cedía un 0,2% y el Nasdaq más de un 0,6%. En las últimas semanas las expectativas de que los tipos hubieran tocado techo y la resiliencia de la economía habían contribuido a que la renta variable prolongara el rally. </w:t>
      </w:r>
      <w:r w:rsidRPr="0051349F">
        <w:rPr>
          <w:rFonts w:ascii="Times New Roman" w:hAnsi="Times New Roman" w:cs="Times New Roman"/>
          <w:sz w:val="24"/>
          <w:szCs w:val="24"/>
          <w:u w:val="single"/>
        </w:rPr>
        <w:t>Está por ver si como avanzaban los analistas la idea de tasas más altas se traducirá en una corrección</w:t>
      </w:r>
      <w:r w:rsidRPr="00E37EAE">
        <w:rPr>
          <w:rFonts w:ascii="Times New Roman" w:hAnsi="Times New Roman" w:cs="Times New Roman"/>
          <w:sz w:val="24"/>
          <w:szCs w:val="24"/>
        </w:rPr>
        <w:t>. Las firmas tecnológicas, que en los últimos meses habían liderado las subidas, vuelven a ser las más damnificadas porque una parte importante de las valoraciones se calculan con las previsiones de ingresos, que pierden valor en un escenario de tipos al alza.</w:t>
      </w:r>
    </w:p>
    <w:p w:rsidR="007E3D39" w:rsidRPr="00437445"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437445">
        <w:rPr>
          <w:rFonts w:ascii="Times New Roman" w:hAnsi="Times New Roman" w:cs="Times New Roman"/>
          <w:sz w:val="24"/>
          <w:szCs w:val="24"/>
          <w:u w:val="single"/>
        </w:rPr>
        <w:t>La tarea por delante del BCE antes de plantearse la bajada de tipos</w:t>
      </w:r>
      <w:r>
        <w:rPr>
          <w:rFonts w:ascii="Times New Roman" w:hAnsi="Times New Roman" w:cs="Times New Roman"/>
          <w:sz w:val="24"/>
          <w:szCs w:val="24"/>
        </w:rPr>
        <w:t xml:space="preserve"> (Cinco Días - </w:t>
      </w:r>
      <w:r w:rsidRPr="00437445">
        <w:rPr>
          <w:rFonts w:ascii="Times New Roman" w:hAnsi="Times New Roman" w:cs="Times New Roman"/>
          <w:b/>
          <w:sz w:val="24"/>
          <w:szCs w:val="24"/>
        </w:rPr>
        <w:t>26/9/23</w:t>
      </w:r>
      <w:r>
        <w:rPr>
          <w:rFonts w:ascii="Times New Roman" w:hAnsi="Times New Roman" w:cs="Times New Roman"/>
          <w:sz w:val="24"/>
          <w:szCs w:val="24"/>
        </w:rPr>
        <w:t>)</w:t>
      </w:r>
    </w:p>
    <w:p w:rsidR="007E3D39" w:rsidRPr="00690D6D" w:rsidRDefault="007E3D39" w:rsidP="007E3D39">
      <w:pPr>
        <w:spacing w:line="240" w:lineRule="auto"/>
        <w:jc w:val="both"/>
        <w:rPr>
          <w:rFonts w:ascii="Times New Roman" w:hAnsi="Times New Roman" w:cs="Times New Roman"/>
          <w:color w:val="FF0000"/>
          <w:sz w:val="24"/>
          <w:szCs w:val="24"/>
        </w:rPr>
      </w:pPr>
      <w:r w:rsidRPr="00690D6D">
        <w:rPr>
          <w:rFonts w:ascii="Times New Roman" w:hAnsi="Times New Roman" w:cs="Times New Roman"/>
          <w:color w:val="FF0000"/>
          <w:sz w:val="24"/>
          <w:szCs w:val="24"/>
        </w:rPr>
        <w:t>La institución iniciará en los próximos meses el debate de a qué velocidad reduce su balance y si incluso llega a vender bonos. El alza de las reservas mínimas a la banca es otra medida posible</w:t>
      </w:r>
    </w:p>
    <w:p w:rsidR="007E3D39" w:rsidRPr="00437445"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437445">
        <w:rPr>
          <w:rFonts w:ascii="Times New Roman" w:hAnsi="Times New Roman" w:cs="Times New Roman"/>
          <w:sz w:val="24"/>
          <w:szCs w:val="24"/>
        </w:rPr>
        <w:t>Nuria Salobral</w:t>
      </w:r>
      <w:r>
        <w:rPr>
          <w:rFonts w:ascii="Times New Roman" w:hAnsi="Times New Roman" w:cs="Times New Roman"/>
          <w:sz w:val="24"/>
          <w:szCs w:val="24"/>
        </w:rPr>
        <w:t>)</w:t>
      </w:r>
    </w:p>
    <w:p w:rsidR="007E3D39" w:rsidRDefault="007E3D39" w:rsidP="007E3D39">
      <w:pPr>
        <w:spacing w:line="240" w:lineRule="auto"/>
        <w:jc w:val="both"/>
        <w:rPr>
          <w:rFonts w:ascii="Times New Roman" w:hAnsi="Times New Roman" w:cs="Times New Roman"/>
          <w:color w:val="FF0000"/>
          <w:sz w:val="24"/>
          <w:szCs w:val="24"/>
          <w:u w:val="single"/>
        </w:rPr>
      </w:pPr>
      <w:r w:rsidRPr="00690D6D">
        <w:rPr>
          <w:rFonts w:ascii="Times New Roman" w:hAnsi="Times New Roman" w:cs="Times New Roman"/>
          <w:sz w:val="24"/>
          <w:szCs w:val="24"/>
          <w:u w:val="single"/>
        </w:rPr>
        <w:t>La posibilidad de una bajada de tipos ni siquiera se mencionó en la pasada reunión del Consejo de Gobierno del BCE, aunque el mercado ya haya anticipado un primer recorte en la segunda mitad del año próximo</w:t>
      </w:r>
      <w:r w:rsidRPr="00437445">
        <w:rPr>
          <w:rFonts w:ascii="Times New Roman" w:hAnsi="Times New Roman" w:cs="Times New Roman"/>
          <w:sz w:val="24"/>
          <w:szCs w:val="24"/>
        </w:rPr>
        <w:t>. Antes, y si finalmente no hay más alzas, tal y como sugirió la presidenta Christine Lagarde, la zona euro tendrá que atravesar una larga meseta de un precio</w:t>
      </w:r>
      <w:r>
        <w:rPr>
          <w:rFonts w:ascii="Times New Roman" w:hAnsi="Times New Roman" w:cs="Times New Roman"/>
          <w:sz w:val="24"/>
          <w:szCs w:val="24"/>
        </w:rPr>
        <w:t xml:space="preserve"> del dinero a niveles elevados -del 4,5% actual, máximo de 2001-</w:t>
      </w:r>
      <w:r w:rsidRPr="00437445">
        <w:rPr>
          <w:rFonts w:ascii="Times New Roman" w:hAnsi="Times New Roman" w:cs="Times New Roman"/>
          <w:sz w:val="24"/>
          <w:szCs w:val="24"/>
        </w:rPr>
        <w:t xml:space="preserve"> pero también encajar medidas contra el exceso de liquidez en el sistema financiero y de reducción de balance del BCE, previas a plantear un recorte de los tipos de interés. </w:t>
      </w:r>
      <w:r w:rsidRPr="00690D6D">
        <w:rPr>
          <w:rFonts w:ascii="Times New Roman" w:hAnsi="Times New Roman" w:cs="Times New Roman"/>
          <w:color w:val="FF0000"/>
          <w:sz w:val="24"/>
          <w:szCs w:val="24"/>
          <w:u w:val="single"/>
        </w:rPr>
        <w:t>Los expertos coinciden en que el ala dura del banco central difícilmente aceptará la reinversión total de la deuda del programa antipandemia (PEPP) hasta al menos finales de 2024, según está ahora previsto, si ese año llega una bajada de tipos de interés.</w:t>
      </w:r>
    </w:p>
    <w:p w:rsidR="007E3D39" w:rsidRPr="008F4C10" w:rsidRDefault="007E3D39" w:rsidP="007E3D39">
      <w:pPr>
        <w:spacing w:line="240" w:lineRule="auto"/>
        <w:jc w:val="both"/>
        <w:rPr>
          <w:rFonts w:ascii="Times New Roman" w:hAnsi="Times New Roman" w:cs="Times New Roman"/>
          <w:sz w:val="24"/>
          <w:szCs w:val="24"/>
          <w:u w:val="single"/>
        </w:rPr>
      </w:pPr>
      <w:r w:rsidRPr="00437445">
        <w:rPr>
          <w:rFonts w:ascii="Times New Roman" w:hAnsi="Times New Roman" w:cs="Times New Roman"/>
          <w:sz w:val="24"/>
          <w:szCs w:val="24"/>
        </w:rPr>
        <w:t xml:space="preserve">Lagarde aseguró en la rueda de prensa posterior al debate del pasado 14 de septiembre que el Consejo de Gobierno no abordó ni el fin de las reinversiones del programa PEPP ni una venta de los bonos del programa tradicional de compras de deuda, conocido como APP e iniciado en 2014. Pero será un debate que sí se espera para la próxima reunión del 26 de octubre, junto con la posibilidad de nuevas medidas dirigidas a reducir el exceso de liquidez del sistema financiero. </w:t>
      </w:r>
      <w:r w:rsidRPr="00690D6D">
        <w:rPr>
          <w:rFonts w:ascii="Times New Roman" w:hAnsi="Times New Roman" w:cs="Times New Roman"/>
          <w:sz w:val="24"/>
          <w:szCs w:val="24"/>
          <w:u w:val="single"/>
        </w:rPr>
        <w:t xml:space="preserve">Según explica </w:t>
      </w:r>
      <w:r w:rsidR="00E92717" w:rsidRPr="00690D6D">
        <w:rPr>
          <w:rFonts w:ascii="Times New Roman" w:hAnsi="Times New Roman" w:cs="Times New Roman"/>
          <w:sz w:val="24"/>
          <w:szCs w:val="24"/>
          <w:u w:val="single"/>
        </w:rPr>
        <w:t>Frederick</w:t>
      </w:r>
      <w:r w:rsidRPr="00690D6D">
        <w:rPr>
          <w:rFonts w:ascii="Times New Roman" w:hAnsi="Times New Roman" w:cs="Times New Roman"/>
          <w:sz w:val="24"/>
          <w:szCs w:val="24"/>
          <w:u w:val="single"/>
        </w:rPr>
        <w:t xml:space="preserve"> Ducrozet, director de análisis macroeconómico en Pictet WM, “suponiendo que el BCE haya terminado de subir los tipos, su próxima decisión tendrá que ver con el balance, así como con el marco de gestión de la liquidez. En cuanto al balance, </w:t>
      </w:r>
      <w:r w:rsidRPr="00690D6D">
        <w:rPr>
          <w:rFonts w:ascii="Times New Roman" w:hAnsi="Times New Roman" w:cs="Times New Roman"/>
          <w:sz w:val="24"/>
          <w:szCs w:val="24"/>
          <w:u w:val="single"/>
        </w:rPr>
        <w:lastRenderedPageBreak/>
        <w:t>los halcones probablemente intentarán acelerar el ritmo del ajuste cuantitativo, aun</w:t>
      </w:r>
      <w:r>
        <w:rPr>
          <w:rFonts w:ascii="Times New Roman" w:hAnsi="Times New Roman" w:cs="Times New Roman"/>
          <w:sz w:val="24"/>
          <w:szCs w:val="24"/>
          <w:u w:val="single"/>
        </w:rPr>
        <w:t>que no hay una solución fácil”.</w:t>
      </w:r>
    </w:p>
    <w:p w:rsidR="007E3D39" w:rsidRPr="00437445" w:rsidRDefault="007E3D39" w:rsidP="007E3D39">
      <w:pPr>
        <w:spacing w:line="240" w:lineRule="auto"/>
        <w:jc w:val="both"/>
        <w:rPr>
          <w:rFonts w:ascii="Times New Roman" w:hAnsi="Times New Roman" w:cs="Times New Roman"/>
          <w:sz w:val="24"/>
          <w:szCs w:val="24"/>
        </w:rPr>
      </w:pPr>
      <w:r w:rsidRPr="00437445">
        <w:rPr>
          <w:rFonts w:ascii="Times New Roman" w:hAnsi="Times New Roman" w:cs="Times New Roman"/>
          <w:noProof/>
          <w:sz w:val="24"/>
          <w:szCs w:val="24"/>
          <w:lang w:eastAsia="es-ES"/>
        </w:rPr>
        <w:drawing>
          <wp:inline distT="0" distB="0" distL="0" distR="0" wp14:anchorId="3D32E5DC" wp14:editId="64A8F50C">
            <wp:extent cx="5731510" cy="3350117"/>
            <wp:effectExtent l="0" t="0" r="2540" b="3175"/>
            <wp:docPr id="91" name="Imagen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4"/>
                    <a:stretch>
                      <a:fillRect/>
                    </a:stretch>
                  </pic:blipFill>
                  <pic:spPr>
                    <a:xfrm>
                      <a:off x="0" y="0"/>
                      <a:ext cx="5731510" cy="3350117"/>
                    </a:xfrm>
                    <a:prstGeom prst="rect">
                      <a:avLst/>
                    </a:prstGeom>
                  </pic:spPr>
                </pic:pic>
              </a:graphicData>
            </a:graphic>
          </wp:inline>
        </w:drawing>
      </w:r>
    </w:p>
    <w:p w:rsidR="007E3D39" w:rsidRPr="00690D6D" w:rsidRDefault="007E3D39" w:rsidP="007E3D39">
      <w:pPr>
        <w:spacing w:line="240" w:lineRule="auto"/>
        <w:jc w:val="both"/>
        <w:rPr>
          <w:rFonts w:ascii="Times New Roman" w:hAnsi="Times New Roman" w:cs="Times New Roman"/>
          <w:b/>
          <w:color w:val="FF0000"/>
          <w:sz w:val="24"/>
          <w:szCs w:val="24"/>
          <w:u w:val="single"/>
        </w:rPr>
      </w:pPr>
      <w:r w:rsidRPr="00690D6D">
        <w:rPr>
          <w:rFonts w:ascii="Times New Roman" w:hAnsi="Times New Roman" w:cs="Times New Roman"/>
          <w:b/>
          <w:color w:val="FF0000"/>
          <w:sz w:val="24"/>
          <w:szCs w:val="24"/>
          <w:u w:val="single"/>
        </w:rPr>
        <w:t>El BCE cuenta aún en su balance con deuda por cerca de 5 billones de euros: los 1,7 billones del programa antipandemia -que se sigue reinvirtiendo en su totalidad- más los 3,13 billones del programa APP, de los que 2,48 billones son bonos soberanos.</w:t>
      </w:r>
    </w:p>
    <w:p w:rsidR="007E3D39" w:rsidRPr="00437445" w:rsidRDefault="007E3D39" w:rsidP="007E3D39">
      <w:pPr>
        <w:spacing w:line="240" w:lineRule="auto"/>
        <w:jc w:val="both"/>
        <w:rPr>
          <w:rFonts w:ascii="Times New Roman" w:hAnsi="Times New Roman" w:cs="Times New Roman"/>
          <w:sz w:val="24"/>
          <w:szCs w:val="24"/>
        </w:rPr>
      </w:pPr>
      <w:r w:rsidRPr="00437445">
        <w:rPr>
          <w:rFonts w:ascii="Times New Roman" w:hAnsi="Times New Roman" w:cs="Times New Roman"/>
          <w:sz w:val="24"/>
          <w:szCs w:val="24"/>
        </w:rPr>
        <w:t>El BCE reduce su balance a mayor ritmo que el resto de grandes bancos centrales</w:t>
      </w:r>
    </w:p>
    <w:p w:rsidR="007E3D39" w:rsidRPr="00437445" w:rsidRDefault="007E3D39" w:rsidP="007E3D39">
      <w:pPr>
        <w:spacing w:line="240" w:lineRule="auto"/>
        <w:jc w:val="both"/>
        <w:rPr>
          <w:rFonts w:ascii="Times New Roman" w:hAnsi="Times New Roman" w:cs="Times New Roman"/>
          <w:sz w:val="24"/>
          <w:szCs w:val="24"/>
        </w:rPr>
      </w:pPr>
      <w:r w:rsidRPr="00437445">
        <w:rPr>
          <w:rFonts w:ascii="Times New Roman" w:hAnsi="Times New Roman" w:cs="Times New Roman"/>
          <w:sz w:val="24"/>
          <w:szCs w:val="24"/>
        </w:rPr>
        <w:t>Según señala la agencia S&amp;P, “la cuestión clave es a qué velocidad desarrollará el BCE la reducción de balance”. El mercado calcula que el programa APP aún permanecerá sobre los 2,2 billones de euros a finales de 2026 y el PEPP, en los 1,4 billones. Se trata de una reducción de balance de 1,4 billones que se conseguiría de forma completamente pasiva, con el simple vencimiento de la deuda en cartera. “Sin embargo, si el BCE decide acelerar esa cifra a antes de que termine 2025, tendría que activar la venta de bonos. Todo dependerá de la tendencia de la</w:t>
      </w:r>
      <w:r>
        <w:rPr>
          <w:rFonts w:ascii="Times New Roman" w:hAnsi="Times New Roman" w:cs="Times New Roman"/>
          <w:sz w:val="24"/>
          <w:szCs w:val="24"/>
        </w:rPr>
        <w:t xml:space="preserve"> inflación”, señalan desde S&amp;P.</w:t>
      </w:r>
    </w:p>
    <w:p w:rsidR="007E3D39" w:rsidRPr="00437445" w:rsidRDefault="007E3D39" w:rsidP="007E3D39">
      <w:pPr>
        <w:spacing w:line="240" w:lineRule="auto"/>
        <w:jc w:val="both"/>
        <w:rPr>
          <w:rFonts w:ascii="Times New Roman" w:hAnsi="Times New Roman" w:cs="Times New Roman"/>
          <w:sz w:val="24"/>
          <w:szCs w:val="24"/>
        </w:rPr>
      </w:pPr>
      <w:r w:rsidRPr="00690D6D">
        <w:rPr>
          <w:rFonts w:ascii="Times New Roman" w:hAnsi="Times New Roman" w:cs="Times New Roman"/>
          <w:b/>
          <w:color w:val="FF0000"/>
          <w:sz w:val="24"/>
          <w:szCs w:val="24"/>
          <w:u w:val="single"/>
        </w:rPr>
        <w:t>El BCE lleva tiempo inmerso en la tarea de ir reduciendo su balance, que alcanzó un récord histórico en los 8,835 billones de euros en junio de 2022 después de años de continuas compras de bonos y de megainyecciones de liquidez</w:t>
      </w:r>
      <w:r w:rsidRPr="00437445">
        <w:rPr>
          <w:rFonts w:ascii="Times New Roman" w:hAnsi="Times New Roman" w:cs="Times New Roman"/>
          <w:sz w:val="24"/>
          <w:szCs w:val="24"/>
        </w:rPr>
        <w:t xml:space="preserve">. En marzo de este año ya dejó de reinvertir la totalidad de los vencimientos de deuda del programa APP y desde julio, no hay reinversión ninguna. Solo los bonos del programa PEPP. Entre marzo y agosto de este año, el volumen de deuda en cartera del BCE se ha reducido en </w:t>
      </w:r>
      <w:r>
        <w:rPr>
          <w:rFonts w:ascii="Times New Roman" w:hAnsi="Times New Roman" w:cs="Times New Roman"/>
          <w:sz w:val="24"/>
          <w:szCs w:val="24"/>
        </w:rPr>
        <w:t>unos 100.000 millones de euros.</w:t>
      </w:r>
    </w:p>
    <w:p w:rsidR="007E3D39" w:rsidRPr="00690D6D" w:rsidRDefault="007E3D39" w:rsidP="007E3D39">
      <w:pPr>
        <w:spacing w:line="240" w:lineRule="auto"/>
        <w:jc w:val="both"/>
        <w:rPr>
          <w:rFonts w:ascii="Times New Roman" w:hAnsi="Times New Roman" w:cs="Times New Roman"/>
          <w:color w:val="FF0000"/>
          <w:sz w:val="24"/>
          <w:szCs w:val="24"/>
          <w:u w:val="single"/>
        </w:rPr>
      </w:pPr>
      <w:r w:rsidRPr="00690D6D">
        <w:rPr>
          <w:rFonts w:ascii="Times New Roman" w:hAnsi="Times New Roman" w:cs="Times New Roman"/>
          <w:color w:val="FF0000"/>
          <w:sz w:val="24"/>
          <w:szCs w:val="24"/>
          <w:u w:val="single"/>
        </w:rPr>
        <w:t>El BCE es de hecho el banco central, de entre las principales autoridades monetarias del mundo, que más ha acelerado la reducción de su balance en el último año y medio, desde el inicio por tanto del ciclo de aumentos de los tipos de interés. Ha menguado en ese tiempo casi el 20%, hasta los 7,13 billones de euros actuales, un descenso en el que ha resultado clave la devolución por parte de la banca de las líneas de financiación TLTRO de forma anticipada.</w:t>
      </w:r>
    </w:p>
    <w:p w:rsidR="007E3D39" w:rsidRPr="00437445" w:rsidRDefault="007E3D39" w:rsidP="007E3D39">
      <w:pPr>
        <w:spacing w:line="240" w:lineRule="auto"/>
        <w:jc w:val="both"/>
        <w:rPr>
          <w:rFonts w:ascii="Times New Roman" w:hAnsi="Times New Roman" w:cs="Times New Roman"/>
          <w:sz w:val="24"/>
          <w:szCs w:val="24"/>
        </w:rPr>
      </w:pPr>
      <w:r w:rsidRPr="00437445">
        <w:rPr>
          <w:rFonts w:ascii="Times New Roman" w:hAnsi="Times New Roman" w:cs="Times New Roman"/>
          <w:sz w:val="24"/>
          <w:szCs w:val="24"/>
        </w:rPr>
        <w:lastRenderedPageBreak/>
        <w:t>El BCE desactivó el pasado otoño el mecanismo de arbitraje por el que los bancos estaban obteniendo beneficios extraordinarios a costa de aparcar esos créditos en la hucha de la facilidad de depósito, lo que ha acelerado su repago y con ello la reducción del balance del banco central. Pero el exceso de liquidez del sistema aún está en los 3,65 billones de euros, ante lo que el BCE se podría plantear un aumento en las reservas mínimas que requiere a la banca.</w:t>
      </w:r>
    </w:p>
    <w:p w:rsidR="007E3D39" w:rsidRPr="00437445" w:rsidRDefault="007E3D39" w:rsidP="007E3D39">
      <w:pPr>
        <w:spacing w:line="240" w:lineRule="auto"/>
        <w:jc w:val="both"/>
        <w:rPr>
          <w:rFonts w:ascii="Times New Roman" w:hAnsi="Times New Roman" w:cs="Times New Roman"/>
          <w:sz w:val="24"/>
          <w:szCs w:val="24"/>
        </w:rPr>
      </w:pPr>
      <w:r w:rsidRPr="00437445">
        <w:rPr>
          <w:rFonts w:ascii="Times New Roman" w:hAnsi="Times New Roman" w:cs="Times New Roman"/>
          <w:sz w:val="24"/>
          <w:szCs w:val="24"/>
        </w:rPr>
        <w:t>El pasado julio ya decidió rebajar al 0%, desde el tipo de la facilidad de depósito, la remuneración de las reservas mínimas de las entidades, una decisión dirigida a rebajar el exceso de liquidez y de paso también el coste que ese pago supone para el propio BCE, que en 2022 tuvo que echar mano de provisiones extraordinarias para evitar la entrada en pérdidas. Esta medida comenzó a se</w:t>
      </w:r>
      <w:r>
        <w:rPr>
          <w:rFonts w:ascii="Times New Roman" w:hAnsi="Times New Roman" w:cs="Times New Roman"/>
          <w:sz w:val="24"/>
          <w:szCs w:val="24"/>
        </w:rPr>
        <w:t>r efectiva el 20 de septiembre.</w:t>
      </w:r>
    </w:p>
    <w:p w:rsidR="007E3D39" w:rsidRPr="00437445" w:rsidRDefault="007E3D39" w:rsidP="007E3D39">
      <w:pPr>
        <w:spacing w:line="240" w:lineRule="auto"/>
        <w:jc w:val="both"/>
        <w:rPr>
          <w:rFonts w:ascii="Times New Roman" w:hAnsi="Times New Roman" w:cs="Times New Roman"/>
          <w:sz w:val="24"/>
          <w:szCs w:val="24"/>
        </w:rPr>
      </w:pPr>
      <w:r w:rsidRPr="00437445">
        <w:rPr>
          <w:rFonts w:ascii="Times New Roman" w:hAnsi="Times New Roman" w:cs="Times New Roman"/>
          <w:sz w:val="24"/>
          <w:szCs w:val="24"/>
        </w:rPr>
        <w:t>El siguiente paso, a favor del que se han pronunciado ya pesos pesados del BCE como el presidente del Bundesbank, Joachim Nagel, podría ser el aumento del coeficiente de reservas que se exige a la banca, ahora en el 1% pero que históricamente, y hasta 2012, estuvo en el 2%. Ese porcentaje es el mínimo de reservas, en su gran mayoría depósitos de clientes, que cada banco debe depositar en el banco central respecto al tamaño de su balance. Un incremento de ese coeficiente exigiría a los bancos depositar más dinero en el BCE, detrayendo dinero de la economía y, por tanto, favoreciendo un alza del coste de financiación. Sin embargo, según apuntan desde S&amp;P, tal medida tendría un efecto limitado dado el elevado exceso de liquidez que ya presenta el sistema. “Es probable que el BCE actúe con mucha cautela con cualquier medida en este sentido”, concluye Ducrozet. La existencia inalterada del PEPP está sirviendo por ejemplo para mantener a raya las primas de riesgo periféricas. Aunque pasadas las alzas de tipos, lo más previsible es que el BCE tome nuevas medidas antes de poner rumbo a las rebajas.</w:t>
      </w:r>
    </w:p>
    <w:p w:rsidR="007E3D39" w:rsidRPr="001E1777" w:rsidRDefault="007E3D39" w:rsidP="007E3D39">
      <w:pPr>
        <w:spacing w:line="240" w:lineRule="auto"/>
        <w:jc w:val="both"/>
        <w:rPr>
          <w:rFonts w:ascii="Times New Roman" w:hAnsi="Times New Roman"/>
          <w:sz w:val="24"/>
          <w:szCs w:val="24"/>
        </w:rPr>
      </w:pPr>
      <w:r>
        <w:rPr>
          <w:rFonts w:ascii="Times New Roman" w:hAnsi="Times New Roman"/>
          <w:sz w:val="24"/>
          <w:szCs w:val="24"/>
        </w:rPr>
        <w:t xml:space="preserve">- </w:t>
      </w:r>
      <w:r w:rsidRPr="001E1777">
        <w:rPr>
          <w:rFonts w:ascii="Times New Roman" w:hAnsi="Times New Roman"/>
          <w:sz w:val="24"/>
          <w:szCs w:val="24"/>
          <w:u w:val="single"/>
        </w:rPr>
        <w:t>Dimon (JP Morgan) carga contra los bancos centrales: “Han estado 100% equivocados</w:t>
      </w:r>
      <w:r w:rsidRPr="001E1777">
        <w:rPr>
          <w:rFonts w:ascii="Times New Roman" w:hAnsi="Times New Roman"/>
          <w:sz w:val="24"/>
          <w:szCs w:val="24"/>
        </w:rPr>
        <w:t>”</w:t>
      </w:r>
      <w:r>
        <w:rPr>
          <w:rFonts w:ascii="Times New Roman" w:hAnsi="Times New Roman"/>
          <w:sz w:val="24"/>
          <w:szCs w:val="24"/>
        </w:rPr>
        <w:t xml:space="preserve"> (Cinco Días - </w:t>
      </w:r>
      <w:r w:rsidRPr="001E1777">
        <w:rPr>
          <w:rFonts w:ascii="Times New Roman" w:hAnsi="Times New Roman"/>
          <w:b/>
          <w:sz w:val="24"/>
          <w:szCs w:val="24"/>
        </w:rPr>
        <w:t>24/10/23</w:t>
      </w:r>
      <w:r>
        <w:rPr>
          <w:rFonts w:ascii="Times New Roman" w:hAnsi="Times New Roman"/>
          <w:sz w:val="24"/>
          <w:szCs w:val="24"/>
        </w:rPr>
        <w:t>)</w:t>
      </w:r>
    </w:p>
    <w:p w:rsidR="007E3D39" w:rsidRPr="00690D6D" w:rsidRDefault="007E3D39" w:rsidP="007E3D39">
      <w:pPr>
        <w:spacing w:line="240" w:lineRule="auto"/>
        <w:jc w:val="both"/>
        <w:rPr>
          <w:rFonts w:ascii="Times New Roman" w:hAnsi="Times New Roman"/>
          <w:color w:val="FF0000"/>
          <w:sz w:val="24"/>
          <w:szCs w:val="24"/>
        </w:rPr>
      </w:pPr>
      <w:r w:rsidRPr="00690D6D">
        <w:rPr>
          <w:rFonts w:ascii="Times New Roman" w:hAnsi="Times New Roman"/>
          <w:color w:val="FF0000"/>
          <w:sz w:val="24"/>
          <w:szCs w:val="24"/>
        </w:rPr>
        <w:t>El ejecutivo pone en duda la capacidad para manejar la inflación y la desaceleración económica</w:t>
      </w:r>
    </w:p>
    <w:p w:rsidR="007E3D39" w:rsidRPr="001E1777" w:rsidRDefault="007E3D39" w:rsidP="007E3D39">
      <w:pPr>
        <w:spacing w:line="240" w:lineRule="auto"/>
        <w:jc w:val="both"/>
        <w:rPr>
          <w:rFonts w:ascii="Times New Roman" w:hAnsi="Times New Roman"/>
          <w:sz w:val="24"/>
          <w:szCs w:val="24"/>
        </w:rPr>
      </w:pPr>
      <w:r w:rsidRPr="001E1777">
        <w:rPr>
          <w:rFonts w:ascii="Times New Roman" w:hAnsi="Times New Roman"/>
          <w:sz w:val="24"/>
          <w:szCs w:val="24"/>
        </w:rPr>
        <w:t xml:space="preserve">Un día después de conocerse que Bill Ackman, fundador del fondo Pershing Square Management, había abandonado su </w:t>
      </w:r>
      <w:r>
        <w:rPr>
          <w:rFonts w:ascii="Times New Roman" w:hAnsi="Times New Roman"/>
          <w:sz w:val="24"/>
          <w:szCs w:val="24"/>
        </w:rPr>
        <w:t>posición bajista en la deuda EE</w:t>
      </w:r>
      <w:r w:rsidRPr="001E1777">
        <w:rPr>
          <w:rFonts w:ascii="Times New Roman" w:hAnsi="Times New Roman"/>
          <w:sz w:val="24"/>
          <w:szCs w:val="24"/>
        </w:rPr>
        <w:t>UU ante la desaceleración que se avecina, hoy el director ejecutivo de JP Morgan, Jamie Dimon, ahonda en el pesimismo. En sintonía con las declaraciones efectuadas la semana pasada en las que advertía que el mundo se enfrenta a la época más peligrosa en décadas, el CEO de la entidad estadounidense pone en duda los pronósticos de los bancos centrales, pues los considera excesivamente optimistas.</w:t>
      </w:r>
    </w:p>
    <w:p w:rsidR="007E3D39" w:rsidRPr="00690D6D" w:rsidRDefault="007E3D39" w:rsidP="007E3D39">
      <w:pPr>
        <w:spacing w:line="240" w:lineRule="auto"/>
        <w:jc w:val="both"/>
        <w:rPr>
          <w:rFonts w:ascii="Times New Roman" w:hAnsi="Times New Roman"/>
          <w:color w:val="FF0000"/>
          <w:sz w:val="24"/>
          <w:szCs w:val="24"/>
          <w:u w:val="single"/>
        </w:rPr>
      </w:pPr>
      <w:r w:rsidRPr="00690D6D">
        <w:rPr>
          <w:rFonts w:ascii="Times New Roman" w:hAnsi="Times New Roman"/>
          <w:color w:val="FF0000"/>
          <w:sz w:val="24"/>
          <w:szCs w:val="24"/>
          <w:u w:val="single"/>
        </w:rPr>
        <w:t>Durante su intervención en la cumbre de Inversión Futura celebrada en Riad, Dimon ha señalado que después de haber errado en sus pronósticos cuando consideraban que la inflación era algo transitorio, las instituciones monetarias deberían ser más humildes. “Quiero señalar que los bancos centrales hace 18 meses estaban 100% equivocados”, señaló. “Yo sería bastante cauto sobre lo que pueda ocurrir el año que viene”. Se refería el directivo de JP Morgan a las perspectivas de la Reserva Federal a principios de 2022 y durante gran parte de 2021, cuando el banco central insistía en que el repunte de los precios sería “transitorio”.</w:t>
      </w:r>
    </w:p>
    <w:p w:rsidR="007E3D39" w:rsidRPr="00690D6D" w:rsidRDefault="007E3D39" w:rsidP="007E3D39">
      <w:pPr>
        <w:spacing w:line="240" w:lineRule="auto"/>
        <w:jc w:val="both"/>
        <w:rPr>
          <w:rFonts w:ascii="Times New Roman" w:hAnsi="Times New Roman"/>
          <w:color w:val="FF0000"/>
          <w:sz w:val="24"/>
          <w:szCs w:val="24"/>
          <w:u w:val="single"/>
        </w:rPr>
      </w:pPr>
      <w:r w:rsidRPr="00690D6D">
        <w:rPr>
          <w:rFonts w:ascii="Times New Roman" w:hAnsi="Times New Roman"/>
          <w:color w:val="FF0000"/>
          <w:sz w:val="24"/>
          <w:szCs w:val="24"/>
          <w:u w:val="single"/>
        </w:rPr>
        <w:t xml:space="preserve">Aunque la inflación se ha desacelerado en los últimos meses el Dimon pone en duda la capacidad de los bancos centrales y los gobiernos para manejar las consecuencias económicas del alza de los precios y la desaceleración económica. “El gasto fiscal es mayor que nunca en </w:t>
      </w:r>
      <w:r w:rsidRPr="00690D6D">
        <w:rPr>
          <w:rFonts w:ascii="Times New Roman" w:hAnsi="Times New Roman"/>
          <w:color w:val="FF0000"/>
          <w:sz w:val="24"/>
          <w:szCs w:val="24"/>
          <w:u w:val="single"/>
        </w:rPr>
        <w:lastRenderedPageBreak/>
        <w:t>tiempos de paz y existe la sensación omnipotente de que pueden gestionar la situación. Soy cauteloso sobre lo que sucederá el próximo año”, subrayó.</w:t>
      </w:r>
    </w:p>
    <w:p w:rsidR="007E3D39" w:rsidRPr="00690D6D" w:rsidRDefault="007E3D39" w:rsidP="007E3D39">
      <w:pPr>
        <w:spacing w:line="240" w:lineRule="auto"/>
        <w:jc w:val="both"/>
        <w:rPr>
          <w:rFonts w:ascii="Times New Roman" w:hAnsi="Times New Roman"/>
          <w:color w:val="FF0000"/>
          <w:sz w:val="24"/>
          <w:szCs w:val="24"/>
          <w:u w:val="single"/>
        </w:rPr>
      </w:pPr>
      <w:r w:rsidRPr="00690D6D">
        <w:rPr>
          <w:rFonts w:ascii="Times New Roman" w:hAnsi="Times New Roman"/>
          <w:color w:val="FF0000"/>
          <w:sz w:val="24"/>
          <w:szCs w:val="24"/>
          <w:u w:val="single"/>
        </w:rPr>
        <w:t>Dimon cree que la situación actual a la que se enfrentan las economías es la peor desde la década de los 70 y considera que el gasto es excesivo. Lo ha calificado de despilfarro y defiende que el impacto de las próximas subida de tipos es muy limitado. “No creo que haya diferencia en si las tasas suben 25 puntos básicos o más”, remarca. Las proyecciones de la Reserva Federal contemplan un alza adicional del precio del dinero antes de que concluya el año y en las últimas semanas está cobrando fuerza la idea de que sea diciembre la fecha elegida, en lugar de la cita de la próxima semana. El ejecutivo de JP Morgan vuelve a insistir en la necesidad de tasas más altas. A comienzos de mes ya avanzó que no podía descartase la idea de que los tipos alcanzaran el 7%. “Si toda la curva de deuda sube 100 puntos básicos, estén preparados para ello”, sostiene.</w:t>
      </w:r>
    </w:p>
    <w:p w:rsidR="007E3D39" w:rsidRDefault="007E3D39" w:rsidP="007E3D39">
      <w:pPr>
        <w:spacing w:line="240" w:lineRule="auto"/>
        <w:jc w:val="both"/>
        <w:rPr>
          <w:rFonts w:ascii="Times New Roman" w:hAnsi="Times New Roman"/>
          <w:sz w:val="24"/>
          <w:szCs w:val="24"/>
        </w:rPr>
      </w:pPr>
      <w:r w:rsidRPr="001E1777">
        <w:rPr>
          <w:rFonts w:ascii="Times New Roman" w:hAnsi="Times New Roman"/>
          <w:sz w:val="24"/>
          <w:szCs w:val="24"/>
        </w:rPr>
        <w:t>En el mismo panel, el célebre inversor Ray Dalio, fundador del fondo Bridgewater Associates, señaló que sus perspectivas para el próximo año son “pesimistas”. Entre los riesgos que acechan a las economías, apuntó a los altos niveles de deuda pública y los conflictos geopolíticos, un aspecto este último que ha cobrado un protagonismo especial tras el estallido de la guerra en Gaza.</w:t>
      </w:r>
    </w:p>
    <w:p w:rsidR="007E3D39" w:rsidRDefault="007E3D39" w:rsidP="007E3D39">
      <w:pPr>
        <w:spacing w:line="240" w:lineRule="auto"/>
        <w:jc w:val="both"/>
        <w:rPr>
          <w:rFonts w:ascii="Times New Roman" w:hAnsi="Times New Roman" w:cs="Times New Roman"/>
          <w:sz w:val="24"/>
          <w:szCs w:val="24"/>
        </w:rPr>
      </w:pPr>
    </w:p>
    <w:p w:rsidR="007E3D39" w:rsidRDefault="007E3D39" w:rsidP="007E3D39">
      <w:pPr>
        <w:spacing w:line="240" w:lineRule="auto"/>
        <w:jc w:val="both"/>
        <w:rPr>
          <w:rFonts w:ascii="Times New Roman" w:hAnsi="Times New Roman" w:cs="Times New Roman"/>
          <w:sz w:val="24"/>
          <w:szCs w:val="24"/>
        </w:rPr>
      </w:pPr>
      <w:r w:rsidRPr="00164C5D">
        <w:rPr>
          <w:rFonts w:ascii="Times New Roman" w:hAnsi="Times New Roman" w:cs="Times New Roman"/>
          <w:noProof/>
          <w:sz w:val="24"/>
          <w:szCs w:val="24"/>
          <w:lang w:eastAsia="es-ES"/>
        </w:rPr>
        <w:drawing>
          <wp:inline distT="0" distB="0" distL="0" distR="0" wp14:anchorId="1DAD6857" wp14:editId="2088939F">
            <wp:extent cx="5731510" cy="3199481"/>
            <wp:effectExtent l="0" t="0" r="2540" b="1270"/>
            <wp:docPr id="92" name="Imagen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5731510" cy="3199481"/>
                    </a:xfrm>
                    <a:prstGeom prst="rect">
                      <a:avLst/>
                    </a:prstGeom>
                  </pic:spPr>
                </pic:pic>
              </a:graphicData>
            </a:graphic>
          </wp:inline>
        </w:drawing>
      </w:r>
    </w:p>
    <w:p w:rsidR="007E3D39" w:rsidRPr="00690D6D" w:rsidRDefault="007E3D39" w:rsidP="007E3D39">
      <w:pPr>
        <w:spacing w:line="240" w:lineRule="auto"/>
        <w:jc w:val="both"/>
        <w:rPr>
          <w:rFonts w:ascii="Times New Roman" w:hAnsi="Times New Roman" w:cs="Times New Roman"/>
          <w:color w:val="FF0000"/>
          <w:sz w:val="24"/>
          <w:szCs w:val="24"/>
          <w:u w:val="single"/>
        </w:rPr>
      </w:pPr>
      <w:r w:rsidRPr="00690D6D">
        <w:rPr>
          <w:rFonts w:ascii="Times New Roman" w:hAnsi="Times New Roman" w:cs="Times New Roman"/>
          <w:color w:val="FF0000"/>
          <w:sz w:val="24"/>
          <w:szCs w:val="24"/>
          <w:u w:val="single"/>
        </w:rPr>
        <w:t xml:space="preserve">El presidente de la Reserva Federal, Jerome Powell, es consciente de la importancia que tiene el proporcionar certezas en momentos de inestabilidad como el actual. En sintonía con sus últimas intervenciones, el Comité de Mercado Abierto de la Fed (FOMC) acordó por unanimidad mantener sin cambios los tipos en la horquilla del 5,25-5,55%, su nivel más alto en 22 años. Se trata de la segunda pausa consecutiva desde </w:t>
      </w:r>
      <w:r>
        <w:rPr>
          <w:rFonts w:ascii="Times New Roman" w:hAnsi="Times New Roman" w:cs="Times New Roman"/>
          <w:color w:val="FF0000"/>
          <w:sz w:val="24"/>
          <w:szCs w:val="24"/>
          <w:u w:val="single"/>
        </w:rPr>
        <w:t>que el banco central de EE</w:t>
      </w:r>
      <w:r w:rsidRPr="00690D6D">
        <w:rPr>
          <w:rFonts w:ascii="Times New Roman" w:hAnsi="Times New Roman" w:cs="Times New Roman"/>
          <w:color w:val="FF0000"/>
          <w:sz w:val="24"/>
          <w:szCs w:val="24"/>
          <w:u w:val="single"/>
        </w:rPr>
        <w:t>UU se embarcara en la lucha contra la inflación, un proceso que se ha traducido en un incremento de los tipos en 525 puntos básicos en el último año y medio. Es decir, el ajuste más agresivo en 40 años.</w:t>
      </w:r>
    </w:p>
    <w:p w:rsidR="007E3D39" w:rsidRDefault="007E3D39" w:rsidP="007E3D39">
      <w:pPr>
        <w:spacing w:line="240" w:lineRule="auto"/>
        <w:jc w:val="both"/>
        <w:rPr>
          <w:rFonts w:ascii="Times New Roman" w:hAnsi="Times New Roman" w:cs="Times New Roman"/>
          <w:sz w:val="24"/>
          <w:szCs w:val="24"/>
        </w:rPr>
      </w:pPr>
      <w:r w:rsidRPr="00164C5D">
        <w:rPr>
          <w:rFonts w:ascii="Times New Roman" w:hAnsi="Times New Roman" w:cs="Times New Roman"/>
          <w:sz w:val="24"/>
          <w:szCs w:val="24"/>
        </w:rPr>
        <w:lastRenderedPageBreak/>
        <w:t>La decisión de este mes no pilla por sorpresa. Aunque el proceso desinflacionista ha seguido su curso, la Fed considera que la inflación sigue siendo elevada</w:t>
      </w:r>
      <w:r>
        <w:rPr>
          <w:rFonts w:ascii="Times New Roman" w:hAnsi="Times New Roman" w:cs="Times New Roman"/>
          <w:sz w:val="24"/>
          <w:szCs w:val="24"/>
        </w:rPr>
        <w:t xml:space="preserve">… </w:t>
      </w:r>
      <w:r w:rsidRPr="00164C5D">
        <w:rPr>
          <w:rFonts w:ascii="Times New Roman" w:hAnsi="Times New Roman" w:cs="Times New Roman"/>
          <w:sz w:val="24"/>
          <w:szCs w:val="24"/>
        </w:rPr>
        <w:t>“Un crecimiento por encima del potencial justifica un nuevo aumento”, subrayó Powell en la rueda de prensa</w:t>
      </w:r>
      <w:r>
        <w:rPr>
          <w:rFonts w:ascii="Times New Roman" w:hAnsi="Times New Roman" w:cs="Times New Roman"/>
          <w:sz w:val="24"/>
          <w:szCs w:val="24"/>
        </w:rPr>
        <w:t xml:space="preserve">… (Cinco Días - </w:t>
      </w:r>
      <w:r>
        <w:rPr>
          <w:rFonts w:ascii="Times New Roman" w:hAnsi="Times New Roman" w:cs="Times New Roman"/>
          <w:b/>
          <w:sz w:val="24"/>
          <w:szCs w:val="24"/>
        </w:rPr>
        <w:t>1</w:t>
      </w:r>
      <w:r w:rsidRPr="00164C5D">
        <w:rPr>
          <w:rFonts w:ascii="Times New Roman" w:hAnsi="Times New Roman" w:cs="Times New Roman"/>
          <w:b/>
          <w:sz w:val="24"/>
          <w:szCs w:val="24"/>
        </w:rPr>
        <w:t>/11/23</w:t>
      </w:r>
      <w:r>
        <w:rPr>
          <w:rFonts w:ascii="Times New Roman" w:hAnsi="Times New Roman" w:cs="Times New Roman"/>
          <w:sz w:val="24"/>
          <w:szCs w:val="24"/>
        </w:rPr>
        <w:t>)</w:t>
      </w:r>
    </w:p>
    <w:p w:rsidR="007E3D39" w:rsidRPr="00365273"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65273">
        <w:rPr>
          <w:rFonts w:ascii="Times New Roman" w:hAnsi="Times New Roman" w:cs="Times New Roman"/>
          <w:sz w:val="24"/>
          <w:szCs w:val="24"/>
          <w:u w:val="single"/>
        </w:rPr>
        <w:t xml:space="preserve">Otra posible subida de tipos y una pésima subasta aviva la </w:t>
      </w:r>
      <w:r>
        <w:rPr>
          <w:rFonts w:ascii="Times New Roman" w:hAnsi="Times New Roman" w:cs="Times New Roman"/>
          <w:sz w:val="24"/>
          <w:szCs w:val="24"/>
          <w:u w:val="single"/>
        </w:rPr>
        <w:t>preocupación por la deuda de EE</w:t>
      </w:r>
      <w:r w:rsidRPr="00365273">
        <w:rPr>
          <w:rFonts w:ascii="Times New Roman" w:hAnsi="Times New Roman" w:cs="Times New Roman"/>
          <w:sz w:val="24"/>
          <w:szCs w:val="24"/>
          <w:u w:val="single"/>
        </w:rPr>
        <w:t>UU</w:t>
      </w:r>
      <w:r>
        <w:rPr>
          <w:rFonts w:ascii="Times New Roman" w:hAnsi="Times New Roman" w:cs="Times New Roman"/>
          <w:sz w:val="24"/>
          <w:szCs w:val="24"/>
        </w:rPr>
        <w:t xml:space="preserve"> (Cinco Días - </w:t>
      </w:r>
      <w:r w:rsidRPr="00365273">
        <w:rPr>
          <w:rFonts w:ascii="Times New Roman" w:hAnsi="Times New Roman" w:cs="Times New Roman"/>
          <w:b/>
          <w:sz w:val="24"/>
          <w:szCs w:val="24"/>
        </w:rPr>
        <w:t>9/11/23</w:t>
      </w:r>
      <w:r>
        <w:rPr>
          <w:rFonts w:ascii="Times New Roman" w:hAnsi="Times New Roman" w:cs="Times New Roman"/>
          <w:sz w:val="24"/>
          <w:szCs w:val="24"/>
        </w:rPr>
        <w:t>)</w:t>
      </w:r>
    </w:p>
    <w:p w:rsidR="007E3D39" w:rsidRPr="00690D6D" w:rsidRDefault="007E3D39" w:rsidP="007E3D39">
      <w:pPr>
        <w:spacing w:line="240" w:lineRule="auto"/>
        <w:jc w:val="both"/>
        <w:rPr>
          <w:rFonts w:ascii="Times New Roman" w:hAnsi="Times New Roman" w:cs="Times New Roman"/>
          <w:color w:val="FF0000"/>
          <w:sz w:val="24"/>
          <w:szCs w:val="24"/>
        </w:rPr>
      </w:pPr>
      <w:r w:rsidRPr="00690D6D">
        <w:rPr>
          <w:rFonts w:ascii="Times New Roman" w:hAnsi="Times New Roman" w:cs="Times New Roman"/>
          <w:color w:val="FF0000"/>
          <w:sz w:val="24"/>
          <w:szCs w:val="24"/>
        </w:rPr>
        <w:t>Los bonos del Tesoro a 30 años se disparan tras una de las peores subastas en una década</w:t>
      </w:r>
    </w:p>
    <w:p w:rsidR="007E3D39" w:rsidRPr="00365273"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(Por Kevin Lamarque - Reuters)</w:t>
      </w:r>
    </w:p>
    <w:p w:rsidR="007E3D39" w:rsidRPr="00690D6D" w:rsidRDefault="007E3D39" w:rsidP="007E3D39">
      <w:pPr>
        <w:spacing w:line="240" w:lineRule="auto"/>
        <w:jc w:val="both"/>
        <w:rPr>
          <w:rFonts w:ascii="Times New Roman" w:hAnsi="Times New Roman" w:cs="Times New Roman"/>
          <w:sz w:val="24"/>
          <w:szCs w:val="24"/>
          <w:u w:val="single"/>
        </w:rPr>
      </w:pPr>
      <w:r w:rsidRPr="00690D6D">
        <w:rPr>
          <w:rFonts w:ascii="Times New Roman" w:hAnsi="Times New Roman" w:cs="Times New Roman"/>
          <w:sz w:val="24"/>
          <w:szCs w:val="24"/>
          <w:u w:val="single"/>
        </w:rPr>
        <w:t>El rendimiento de los bonos del Tesoro de Estados Unidos a 30 años ha subido este jueves con fuerza en el mercado secundario en medio de dudas de los inversores después de una de las peores subastas de esta misma duración de la última década y de los comentarios más duros de lo esperado sobre los tipos de interés del presidente de la Reserva Federal, Jerome Powell, quien insistió en que subirán “siempre que sea necesario”. Powell ha dejado la puerta abierta a más alzas de tipos y el mercado ha dado una preocupante muestra de saturación ante la oferta de deuda. Así, el bono a 30 años ofrece un 4,77% este jueves, menos que el 5,09% de hace una semana, pero un repunte considerable frente al 4,61% de ayer.</w:t>
      </w:r>
    </w:p>
    <w:p w:rsidR="007E3D39" w:rsidRPr="00690D6D" w:rsidRDefault="007E3D39" w:rsidP="007E3D39">
      <w:pPr>
        <w:spacing w:line="240" w:lineRule="auto"/>
        <w:jc w:val="both"/>
        <w:rPr>
          <w:rFonts w:ascii="Times New Roman" w:hAnsi="Times New Roman" w:cs="Times New Roman"/>
          <w:color w:val="FF0000"/>
          <w:sz w:val="24"/>
          <w:szCs w:val="24"/>
          <w:u w:val="single"/>
        </w:rPr>
      </w:pPr>
      <w:r w:rsidRPr="00690D6D">
        <w:rPr>
          <w:rFonts w:ascii="Times New Roman" w:hAnsi="Times New Roman" w:cs="Times New Roman"/>
          <w:color w:val="FF0000"/>
          <w:sz w:val="24"/>
          <w:szCs w:val="24"/>
          <w:u w:val="single"/>
        </w:rPr>
        <w:t>La subasta en el mercado primario de esta deuda a 30 años produjo un rendimiento significativamente más alto de lo anticipado, lo que avivó las preocupaciones sobre la capacidad de Wall Street para absorber la creciente oferta de nueva deuda. Solo una hora después, Powell dijo que la Fed no dudará en subir los tipos aún más si es necesario para controlar la inflación.</w:t>
      </w:r>
    </w:p>
    <w:p w:rsidR="007E3D39" w:rsidRPr="00365273" w:rsidRDefault="007E3D39" w:rsidP="007E3D39">
      <w:pPr>
        <w:spacing w:line="240" w:lineRule="auto"/>
        <w:jc w:val="both"/>
        <w:rPr>
          <w:rFonts w:ascii="Times New Roman" w:hAnsi="Times New Roman" w:cs="Times New Roman"/>
          <w:sz w:val="24"/>
          <w:szCs w:val="24"/>
        </w:rPr>
      </w:pPr>
      <w:r w:rsidRPr="00365273">
        <w:rPr>
          <w:rFonts w:ascii="Times New Roman" w:hAnsi="Times New Roman" w:cs="Times New Roman"/>
          <w:sz w:val="24"/>
          <w:szCs w:val="24"/>
        </w:rPr>
        <w:t>Los rendimientos en todo el mercado de bonos del Tesoro repuntaron bruscamente, con los bonos a 30 años subiendo hasta 22 puntos básicos poco después de la subasta. Los rendimientos a corto plazo alcanzaron su punto máximo después de que Powell hablara, con los bonos a dos años dispa</w:t>
      </w:r>
      <w:r>
        <w:rPr>
          <w:rFonts w:ascii="Times New Roman" w:hAnsi="Times New Roman" w:cs="Times New Roman"/>
          <w:sz w:val="24"/>
          <w:szCs w:val="24"/>
        </w:rPr>
        <w:t>rándose casi 10 puntos básicos.</w:t>
      </w:r>
    </w:p>
    <w:p w:rsidR="007E3D39" w:rsidRPr="00365273" w:rsidRDefault="007E3D39" w:rsidP="007E3D39">
      <w:pPr>
        <w:spacing w:line="240" w:lineRule="auto"/>
        <w:jc w:val="both"/>
        <w:rPr>
          <w:rFonts w:ascii="Times New Roman" w:hAnsi="Times New Roman" w:cs="Times New Roman"/>
          <w:sz w:val="24"/>
          <w:szCs w:val="24"/>
        </w:rPr>
      </w:pPr>
      <w:r w:rsidRPr="00365273">
        <w:rPr>
          <w:rFonts w:ascii="Times New Roman" w:hAnsi="Times New Roman" w:cs="Times New Roman"/>
          <w:sz w:val="24"/>
          <w:szCs w:val="24"/>
        </w:rPr>
        <w:t>La subasta de bonos a 30 años por 24.000 millones de dólares (unos 22.500 millones de euros) generó un rendimiento del 4,8%, más de cinco puntos básicos por encima de lo que se había negociado en el mercado secundario poco antes de la hora límite de licitación. En la última década, solo una subasta de bonos a 30 años se ha fijado con rendimientos al menos cinco puntos básicos por encima de donde se estaban negociando los valores previamente, según muestran los datos recopila</w:t>
      </w:r>
      <w:r>
        <w:rPr>
          <w:rFonts w:ascii="Times New Roman" w:hAnsi="Times New Roman" w:cs="Times New Roman"/>
          <w:sz w:val="24"/>
          <w:szCs w:val="24"/>
        </w:rPr>
        <w:t>dos por Bloomberg.</w:t>
      </w:r>
    </w:p>
    <w:p w:rsidR="007E3D39" w:rsidRPr="00690D6D" w:rsidRDefault="007E3D39" w:rsidP="007E3D39">
      <w:pPr>
        <w:spacing w:line="240" w:lineRule="auto"/>
        <w:jc w:val="both"/>
        <w:rPr>
          <w:rFonts w:ascii="Times New Roman" w:hAnsi="Times New Roman" w:cs="Times New Roman"/>
          <w:color w:val="FF0000"/>
          <w:sz w:val="24"/>
          <w:szCs w:val="24"/>
          <w:u w:val="single"/>
        </w:rPr>
      </w:pPr>
      <w:r w:rsidRPr="00690D6D">
        <w:rPr>
          <w:rFonts w:ascii="Times New Roman" w:hAnsi="Times New Roman" w:cs="Times New Roman"/>
          <w:color w:val="FF0000"/>
          <w:sz w:val="24"/>
          <w:szCs w:val="24"/>
          <w:u w:val="single"/>
        </w:rPr>
        <w:t>“La falta de demanda al precio de la subasta previo podría significar un problema de exceso de oferta para la deuda gubernamental de larga duración”, dijo Spencer Hakimian, fundador de Tolou Capital Management. “Parece que hay serias dudas sobre la capacidad de absorción de estos bonos”.</w:t>
      </w:r>
    </w:p>
    <w:p w:rsidR="007E3D39" w:rsidRPr="00365273" w:rsidRDefault="007E3D39" w:rsidP="007E3D39">
      <w:pPr>
        <w:spacing w:line="240" w:lineRule="auto"/>
        <w:jc w:val="both"/>
        <w:rPr>
          <w:rFonts w:ascii="Times New Roman" w:hAnsi="Times New Roman" w:cs="Times New Roman"/>
          <w:sz w:val="24"/>
          <w:szCs w:val="24"/>
        </w:rPr>
      </w:pPr>
      <w:r w:rsidRPr="00365273">
        <w:rPr>
          <w:rFonts w:ascii="Times New Roman" w:hAnsi="Times New Roman" w:cs="Times New Roman"/>
          <w:sz w:val="24"/>
          <w:szCs w:val="24"/>
        </w:rPr>
        <w:t>Hackeo sobre ICBC</w:t>
      </w:r>
    </w:p>
    <w:p w:rsidR="007E3D39" w:rsidRPr="00365273" w:rsidRDefault="007E3D39" w:rsidP="007E3D39">
      <w:pPr>
        <w:spacing w:line="240" w:lineRule="auto"/>
        <w:jc w:val="both"/>
        <w:rPr>
          <w:rFonts w:ascii="Times New Roman" w:hAnsi="Times New Roman" w:cs="Times New Roman"/>
          <w:sz w:val="24"/>
          <w:szCs w:val="24"/>
        </w:rPr>
      </w:pPr>
      <w:r w:rsidRPr="00365273">
        <w:rPr>
          <w:rFonts w:ascii="Times New Roman" w:hAnsi="Times New Roman" w:cs="Times New Roman"/>
          <w:sz w:val="24"/>
          <w:szCs w:val="24"/>
        </w:rPr>
        <w:t>Paralelamente al mal resultado de la subasta, el gigante financiero chino ICBC anunció una interrupción del servicio por culpa de un ciberataque que le habría impedido ejecutar las órdenes de compra que sus clientes habían puesto sobre los bonos. En concreto, ICBC advirtió a los creadores de mercado, bancos y brókeres de que el comercio de bonos del Tesoro se estaba viendo afectado por un ciberataque</w:t>
      </w:r>
      <w:r>
        <w:rPr>
          <w:rFonts w:ascii="Times New Roman" w:hAnsi="Times New Roman" w:cs="Times New Roman"/>
          <w:sz w:val="24"/>
          <w:szCs w:val="24"/>
        </w:rPr>
        <w:t xml:space="preserve"> que comenzó la noche anterior.</w:t>
      </w:r>
    </w:p>
    <w:p w:rsidR="007E3D39" w:rsidRPr="00365273" w:rsidRDefault="007E3D39" w:rsidP="007E3D39">
      <w:pPr>
        <w:spacing w:line="240" w:lineRule="auto"/>
        <w:jc w:val="both"/>
        <w:rPr>
          <w:rFonts w:ascii="Times New Roman" w:hAnsi="Times New Roman" w:cs="Times New Roman"/>
          <w:sz w:val="24"/>
          <w:szCs w:val="24"/>
        </w:rPr>
      </w:pPr>
      <w:r w:rsidRPr="00365273">
        <w:rPr>
          <w:rFonts w:ascii="Times New Roman" w:hAnsi="Times New Roman" w:cs="Times New Roman"/>
          <w:sz w:val="24"/>
          <w:szCs w:val="24"/>
        </w:rPr>
        <w:lastRenderedPageBreak/>
        <w:t>No queda claro si la interrupción del servicio de la firma china contribuyó al mal resultado de la subasta en Estados Unidos. Incluso si así ha sido, hay más explicaciones para esta falta de demanda, incluyendo la pronunciada caída en los rendimientos de la de</w:t>
      </w:r>
      <w:r>
        <w:rPr>
          <w:rFonts w:ascii="Times New Roman" w:hAnsi="Times New Roman" w:cs="Times New Roman"/>
          <w:sz w:val="24"/>
          <w:szCs w:val="24"/>
        </w:rPr>
        <w:t>uda en las últimas dos semanas.</w:t>
      </w:r>
    </w:p>
    <w:p w:rsidR="007E3D39" w:rsidRPr="00365273" w:rsidRDefault="007E3D39" w:rsidP="007E3D39">
      <w:pPr>
        <w:spacing w:line="240" w:lineRule="auto"/>
        <w:jc w:val="both"/>
        <w:rPr>
          <w:rFonts w:ascii="Times New Roman" w:hAnsi="Times New Roman" w:cs="Times New Roman"/>
          <w:sz w:val="24"/>
          <w:szCs w:val="24"/>
        </w:rPr>
      </w:pPr>
      <w:r w:rsidRPr="00365273">
        <w:rPr>
          <w:rFonts w:ascii="Times New Roman" w:hAnsi="Times New Roman" w:cs="Times New Roman"/>
          <w:sz w:val="24"/>
          <w:szCs w:val="24"/>
        </w:rPr>
        <w:t>Mientras tanto, los comentarios de Powell hicieron que los operado</w:t>
      </w:r>
      <w:r>
        <w:rPr>
          <w:rFonts w:ascii="Times New Roman" w:hAnsi="Times New Roman" w:cs="Times New Roman"/>
          <w:sz w:val="24"/>
          <w:szCs w:val="24"/>
        </w:rPr>
        <w:t xml:space="preserve">res de mercado calcularan unas </w:t>
      </w:r>
      <w:r w:rsidRPr="00365273">
        <w:rPr>
          <w:rFonts w:ascii="Times New Roman" w:hAnsi="Times New Roman" w:cs="Times New Roman"/>
          <w:sz w:val="24"/>
          <w:szCs w:val="24"/>
        </w:rPr>
        <w:t>probabilidades ligeramente más altas de un aumento adicional de los tipos de la Fed, hasta un 33% de probabilidad de un</w:t>
      </w:r>
      <w:r>
        <w:rPr>
          <w:rFonts w:ascii="Times New Roman" w:hAnsi="Times New Roman" w:cs="Times New Roman"/>
          <w:sz w:val="24"/>
          <w:szCs w:val="24"/>
        </w:rPr>
        <w:t>a nueva</w:t>
      </w:r>
      <w:r w:rsidRPr="00365273">
        <w:rPr>
          <w:rFonts w:ascii="Times New Roman" w:hAnsi="Times New Roman" w:cs="Times New Roman"/>
          <w:sz w:val="24"/>
          <w:szCs w:val="24"/>
        </w:rPr>
        <w:t xml:space="preserve"> alza, al tiempo que se reducían las probabilidades de una baja</w:t>
      </w:r>
      <w:r>
        <w:rPr>
          <w:rFonts w:ascii="Times New Roman" w:hAnsi="Times New Roman" w:cs="Times New Roman"/>
          <w:sz w:val="24"/>
          <w:szCs w:val="24"/>
        </w:rPr>
        <w:t>da de los tipos antes de julio.</w:t>
      </w:r>
    </w:p>
    <w:p w:rsidR="007E3D39" w:rsidRDefault="007E3D39" w:rsidP="007E3D39">
      <w:pPr>
        <w:spacing w:line="240" w:lineRule="auto"/>
        <w:jc w:val="both"/>
        <w:rPr>
          <w:rFonts w:ascii="Times New Roman" w:hAnsi="Times New Roman" w:cs="Times New Roman"/>
          <w:sz w:val="24"/>
          <w:szCs w:val="24"/>
        </w:rPr>
      </w:pPr>
      <w:r w:rsidRPr="00365273">
        <w:rPr>
          <w:rFonts w:ascii="Times New Roman" w:hAnsi="Times New Roman" w:cs="Times New Roman"/>
          <w:sz w:val="24"/>
          <w:szCs w:val="24"/>
        </w:rPr>
        <w:t>Los grandes cambios del mercado de deuda de los últimos días se han sucedido en ausencia de datos económicos importantes, lo que sugiere que son impulsados por inversores que ajustan su exposición tras un aumento menor de lo esperado, la semana pasada, en el ritmo de las ven</w:t>
      </w:r>
      <w:r>
        <w:rPr>
          <w:rFonts w:ascii="Times New Roman" w:hAnsi="Times New Roman" w:cs="Times New Roman"/>
          <w:sz w:val="24"/>
          <w:szCs w:val="24"/>
        </w:rPr>
        <w:t>tas de deuda del gobierno de EE</w:t>
      </w:r>
      <w:r w:rsidRPr="00365273">
        <w:rPr>
          <w:rFonts w:ascii="Times New Roman" w:hAnsi="Times New Roman" w:cs="Times New Roman"/>
          <w:sz w:val="24"/>
          <w:szCs w:val="24"/>
        </w:rPr>
        <w:t>UU y la creciente convicción de que la Fed ha terminado de subir los tipos a medida que se enfría el crecimiento laboral.</w:t>
      </w:r>
    </w:p>
    <w:p w:rsidR="007E3D39" w:rsidRPr="00314408"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14408">
        <w:rPr>
          <w:rFonts w:ascii="Times New Roman" w:hAnsi="Times New Roman" w:cs="Times New Roman"/>
          <w:sz w:val="24"/>
          <w:szCs w:val="24"/>
          <w:u w:val="single"/>
        </w:rPr>
        <w:t>La Unión Europea avanza hacia unas nuevas normas de déficit y deuda tras hacer concesiones a Alemania</w:t>
      </w:r>
      <w:r>
        <w:rPr>
          <w:rFonts w:ascii="Times New Roman" w:hAnsi="Times New Roman" w:cs="Times New Roman"/>
          <w:sz w:val="24"/>
          <w:szCs w:val="24"/>
        </w:rPr>
        <w:t xml:space="preserve"> (Cinco Días - </w:t>
      </w:r>
      <w:r w:rsidRPr="00314408">
        <w:rPr>
          <w:rFonts w:ascii="Times New Roman" w:hAnsi="Times New Roman" w:cs="Times New Roman"/>
          <w:b/>
          <w:sz w:val="24"/>
          <w:szCs w:val="24"/>
        </w:rPr>
        <w:t>9/11/23</w:t>
      </w:r>
      <w:r>
        <w:rPr>
          <w:rFonts w:ascii="Times New Roman" w:hAnsi="Times New Roman" w:cs="Times New Roman"/>
          <w:sz w:val="24"/>
          <w:szCs w:val="24"/>
        </w:rPr>
        <w:t>)</w:t>
      </w:r>
    </w:p>
    <w:p w:rsidR="007E3D39" w:rsidRPr="00690D6D" w:rsidRDefault="007E3D39" w:rsidP="007E3D39">
      <w:pPr>
        <w:spacing w:line="240" w:lineRule="auto"/>
        <w:jc w:val="both"/>
        <w:rPr>
          <w:rFonts w:ascii="Times New Roman" w:hAnsi="Times New Roman" w:cs="Times New Roman"/>
          <w:color w:val="FF0000"/>
          <w:sz w:val="24"/>
          <w:szCs w:val="24"/>
        </w:rPr>
      </w:pPr>
      <w:r w:rsidRPr="00690D6D">
        <w:rPr>
          <w:rFonts w:ascii="Times New Roman" w:hAnsi="Times New Roman" w:cs="Times New Roman"/>
          <w:color w:val="FF0000"/>
          <w:sz w:val="24"/>
          <w:szCs w:val="24"/>
        </w:rPr>
        <w:t>Se convocará una nueva reunión de los ministros de economía el próximo 8 de diciembre</w:t>
      </w:r>
    </w:p>
    <w:p w:rsidR="007E3D39" w:rsidRPr="00690D6D" w:rsidRDefault="007E3D39" w:rsidP="007E3D39">
      <w:pPr>
        <w:spacing w:line="240" w:lineRule="auto"/>
        <w:jc w:val="both"/>
        <w:rPr>
          <w:rFonts w:ascii="Times New Roman" w:hAnsi="Times New Roman" w:cs="Times New Roman"/>
          <w:sz w:val="24"/>
          <w:szCs w:val="24"/>
          <w:u w:val="single"/>
        </w:rPr>
      </w:pPr>
      <w:r w:rsidRPr="00690D6D">
        <w:rPr>
          <w:rFonts w:ascii="Times New Roman" w:hAnsi="Times New Roman" w:cs="Times New Roman"/>
          <w:sz w:val="24"/>
          <w:szCs w:val="24"/>
          <w:u w:val="single"/>
        </w:rPr>
        <w:t>Los ministros de Economía y Finanzas de la Unión Europea han constatado este jueves avances sustanciales hacia un acuerdo sobre las nuevas reglas fiscales tras hacer varias concesiones a Alemania y otros países, que exigían más esfuerzo para reducir el déficit y la deuda a los países más endeudados.</w:t>
      </w:r>
    </w:p>
    <w:p w:rsidR="007E3D39" w:rsidRPr="00314408" w:rsidRDefault="007E3D39" w:rsidP="007E3D39">
      <w:pPr>
        <w:spacing w:line="240" w:lineRule="auto"/>
        <w:jc w:val="both"/>
        <w:rPr>
          <w:rFonts w:ascii="Times New Roman" w:hAnsi="Times New Roman" w:cs="Times New Roman"/>
          <w:sz w:val="24"/>
          <w:szCs w:val="24"/>
        </w:rPr>
      </w:pPr>
      <w:r w:rsidRPr="00314408">
        <w:rPr>
          <w:rFonts w:ascii="Times New Roman" w:hAnsi="Times New Roman" w:cs="Times New Roman"/>
          <w:sz w:val="24"/>
          <w:szCs w:val="24"/>
        </w:rPr>
        <w:t>“Es un progreso que se reconozca la idea de salvaguardas y puntos de referencia en relación con el ratio deuda/PIB y los déficits anuales, pero ahora lo que hay que considerar es el nivel de ambición, ahora se trata de hablar de números, no sólo de instrumentos”, ha señalado a su llegada a la reunión el ministro alemán de Finanzas, Christian Lindner, sobre el nuevo “documento de aterrizaje” que ha puesto sobre la mesa la pr</w:t>
      </w:r>
      <w:r>
        <w:rPr>
          <w:rFonts w:ascii="Times New Roman" w:hAnsi="Times New Roman" w:cs="Times New Roman"/>
          <w:sz w:val="24"/>
          <w:szCs w:val="24"/>
        </w:rPr>
        <w:t>esidencia española del Consejo.</w:t>
      </w:r>
    </w:p>
    <w:p w:rsidR="007E3D39" w:rsidRPr="00314408" w:rsidRDefault="007E3D39" w:rsidP="007E3D39">
      <w:pPr>
        <w:spacing w:line="240" w:lineRule="auto"/>
        <w:jc w:val="both"/>
        <w:rPr>
          <w:rFonts w:ascii="Times New Roman" w:hAnsi="Times New Roman" w:cs="Times New Roman"/>
          <w:sz w:val="24"/>
          <w:szCs w:val="24"/>
        </w:rPr>
      </w:pPr>
      <w:r w:rsidRPr="00314408">
        <w:rPr>
          <w:rFonts w:ascii="Times New Roman" w:hAnsi="Times New Roman" w:cs="Times New Roman"/>
          <w:sz w:val="24"/>
          <w:szCs w:val="24"/>
        </w:rPr>
        <w:t>La propuesta presentada este jueves ha recibido, según ha explicado la vicepresidenta primera y ministra de Asuntos Económicos, Nadia Calviño, una “acogida y apoyo decidido</w:t>
      </w:r>
      <w:r>
        <w:rPr>
          <w:rFonts w:ascii="Times New Roman" w:hAnsi="Times New Roman" w:cs="Times New Roman"/>
          <w:sz w:val="24"/>
          <w:szCs w:val="24"/>
        </w:rPr>
        <w:t xml:space="preserve"> de todos los Estados miembro”.</w:t>
      </w:r>
    </w:p>
    <w:p w:rsidR="007E3D39" w:rsidRPr="00314408" w:rsidRDefault="007E3D39" w:rsidP="007E3D39">
      <w:pPr>
        <w:spacing w:line="240" w:lineRule="auto"/>
        <w:jc w:val="both"/>
        <w:rPr>
          <w:rFonts w:ascii="Times New Roman" w:hAnsi="Times New Roman" w:cs="Times New Roman"/>
          <w:sz w:val="24"/>
          <w:szCs w:val="24"/>
        </w:rPr>
      </w:pPr>
      <w:r w:rsidRPr="00314408">
        <w:rPr>
          <w:rFonts w:ascii="Times New Roman" w:hAnsi="Times New Roman" w:cs="Times New Roman"/>
          <w:sz w:val="24"/>
          <w:szCs w:val="24"/>
        </w:rPr>
        <w:t>“Creo que está surgiendo un amplio acuerdo sobre los elementos centrales del marco, los mecanismos que deben aplicarse y las salvaguardias”, ha apuntado la ministra, que ha señalado que ahora “lo que queda por hacer es afinar los detalles y la calibración, por lo que es necesario empezar a trabajar en el t</w:t>
      </w:r>
      <w:r>
        <w:rPr>
          <w:rFonts w:ascii="Times New Roman" w:hAnsi="Times New Roman" w:cs="Times New Roman"/>
          <w:sz w:val="24"/>
          <w:szCs w:val="24"/>
        </w:rPr>
        <w:t>exto jurídico”.</w:t>
      </w:r>
    </w:p>
    <w:p w:rsidR="007E3D39" w:rsidRPr="00690D6D" w:rsidRDefault="007E3D39" w:rsidP="007E3D39">
      <w:pPr>
        <w:spacing w:line="240" w:lineRule="auto"/>
        <w:jc w:val="both"/>
        <w:rPr>
          <w:rFonts w:ascii="Times New Roman" w:hAnsi="Times New Roman" w:cs="Times New Roman"/>
          <w:color w:val="FF0000"/>
          <w:sz w:val="24"/>
          <w:szCs w:val="24"/>
          <w:u w:val="single"/>
        </w:rPr>
      </w:pPr>
      <w:r w:rsidRPr="00690D6D">
        <w:rPr>
          <w:rFonts w:ascii="Times New Roman" w:hAnsi="Times New Roman" w:cs="Times New Roman"/>
          <w:color w:val="FF0000"/>
          <w:sz w:val="24"/>
          <w:szCs w:val="24"/>
          <w:u w:val="single"/>
        </w:rPr>
        <w:t>En este sentido, ha avanzado que convocará a sus pares a un Ecofin extraordinario a finales de noviembre con vistas a alcanzar en la reunión del próximo 8 de diciembre un acuerdo sobre las normas que limitan el déficit y la deuda pública al 3% y el 60% del PIB.</w:t>
      </w:r>
    </w:p>
    <w:p w:rsidR="007E3D39" w:rsidRPr="00314408" w:rsidRDefault="007E3D39" w:rsidP="007E3D39">
      <w:pPr>
        <w:spacing w:line="240" w:lineRule="auto"/>
        <w:jc w:val="both"/>
        <w:rPr>
          <w:rFonts w:ascii="Times New Roman" w:hAnsi="Times New Roman" w:cs="Times New Roman"/>
          <w:sz w:val="24"/>
          <w:szCs w:val="24"/>
        </w:rPr>
      </w:pPr>
      <w:r w:rsidRPr="00314408">
        <w:rPr>
          <w:rFonts w:ascii="Times New Roman" w:hAnsi="Times New Roman" w:cs="Times New Roman"/>
          <w:sz w:val="24"/>
          <w:szCs w:val="24"/>
        </w:rPr>
        <w:t xml:space="preserve">Calviño ha explicado que la nueva propuesta española garantiza una reducción gradual y coherente de la deuda, junto con numerosas mejoras metodológicas, al tiempo que deja espacio fiscal para responder a nuevas crisis y que refleja contribuciones “muy </w:t>
      </w:r>
      <w:r>
        <w:rPr>
          <w:rFonts w:ascii="Times New Roman" w:hAnsi="Times New Roman" w:cs="Times New Roman"/>
          <w:sz w:val="24"/>
          <w:szCs w:val="24"/>
        </w:rPr>
        <w:t>útiles” de los Estados miembro.</w:t>
      </w:r>
    </w:p>
    <w:p w:rsidR="007E3D39" w:rsidRDefault="007E3D39" w:rsidP="007E3D39">
      <w:pPr>
        <w:spacing w:line="240" w:lineRule="auto"/>
        <w:jc w:val="both"/>
        <w:rPr>
          <w:rFonts w:ascii="Times New Roman" w:hAnsi="Times New Roman" w:cs="Times New Roman"/>
          <w:sz w:val="24"/>
          <w:szCs w:val="24"/>
        </w:rPr>
      </w:pPr>
      <w:r w:rsidRPr="00314408">
        <w:rPr>
          <w:rFonts w:ascii="Times New Roman" w:hAnsi="Times New Roman" w:cs="Times New Roman"/>
          <w:sz w:val="24"/>
          <w:szCs w:val="24"/>
        </w:rPr>
        <w:t>No obstante, ha insistido en que “queda mucho trabajo por hacer y un último kilómetro por recorrer”, un camino que ha comparado al de los peregrinos en Santiag</w:t>
      </w:r>
      <w:r w:rsidR="0062569D">
        <w:rPr>
          <w:rFonts w:ascii="Times New Roman" w:hAnsi="Times New Roman" w:cs="Times New Roman"/>
          <w:sz w:val="24"/>
          <w:szCs w:val="24"/>
        </w:rPr>
        <w:t>o de Compostela -</w:t>
      </w:r>
      <w:r w:rsidRPr="00314408">
        <w:rPr>
          <w:rFonts w:ascii="Times New Roman" w:hAnsi="Times New Roman" w:cs="Times New Roman"/>
          <w:sz w:val="24"/>
          <w:szCs w:val="24"/>
        </w:rPr>
        <w:t>donde s</w:t>
      </w:r>
      <w:r w:rsidR="0062569D">
        <w:rPr>
          <w:rFonts w:ascii="Times New Roman" w:hAnsi="Times New Roman" w:cs="Times New Roman"/>
          <w:sz w:val="24"/>
          <w:szCs w:val="24"/>
        </w:rPr>
        <w:t>e celebró el Ecofin de octubre-</w:t>
      </w:r>
      <w:r w:rsidRPr="00314408">
        <w:rPr>
          <w:rFonts w:ascii="Times New Roman" w:hAnsi="Times New Roman" w:cs="Times New Roman"/>
          <w:sz w:val="24"/>
          <w:szCs w:val="24"/>
        </w:rPr>
        <w:t xml:space="preserve"> para señalar que ya “se empieza a ver la catedral”.</w:t>
      </w:r>
    </w:p>
    <w:p w:rsidR="007E3D39" w:rsidRPr="007078F7"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7078F7">
        <w:rPr>
          <w:rFonts w:ascii="Times New Roman" w:hAnsi="Times New Roman" w:cs="Times New Roman"/>
          <w:sz w:val="24"/>
          <w:szCs w:val="24"/>
          <w:u w:val="single"/>
        </w:rPr>
        <w:t>El economista jefe del BCE aboga por mantener las reservas llenas para no castigar el crédito</w:t>
      </w:r>
      <w:r>
        <w:rPr>
          <w:rFonts w:ascii="Times New Roman" w:hAnsi="Times New Roman" w:cs="Times New Roman"/>
          <w:sz w:val="24"/>
          <w:szCs w:val="24"/>
        </w:rPr>
        <w:t xml:space="preserve"> (Cinco Días - </w:t>
      </w:r>
      <w:r w:rsidRPr="007078F7">
        <w:rPr>
          <w:rFonts w:ascii="Times New Roman" w:hAnsi="Times New Roman" w:cs="Times New Roman"/>
          <w:b/>
          <w:sz w:val="24"/>
          <w:szCs w:val="24"/>
        </w:rPr>
        <w:t>10/11/23</w:t>
      </w:r>
      <w:r>
        <w:rPr>
          <w:rFonts w:ascii="Times New Roman" w:hAnsi="Times New Roman" w:cs="Times New Roman"/>
          <w:sz w:val="24"/>
          <w:szCs w:val="24"/>
        </w:rPr>
        <w:t>)</w:t>
      </w:r>
    </w:p>
    <w:p w:rsidR="007E3D39" w:rsidRPr="00690D6D" w:rsidRDefault="007E3D39" w:rsidP="007E3D39">
      <w:pPr>
        <w:spacing w:line="240" w:lineRule="auto"/>
        <w:jc w:val="both"/>
        <w:rPr>
          <w:rFonts w:ascii="Times New Roman" w:hAnsi="Times New Roman" w:cs="Times New Roman"/>
          <w:color w:val="FF0000"/>
          <w:sz w:val="24"/>
          <w:szCs w:val="24"/>
        </w:rPr>
      </w:pPr>
      <w:r w:rsidRPr="00690D6D">
        <w:rPr>
          <w:rFonts w:ascii="Times New Roman" w:hAnsi="Times New Roman" w:cs="Times New Roman"/>
          <w:color w:val="FF0000"/>
          <w:sz w:val="24"/>
          <w:szCs w:val="24"/>
        </w:rPr>
        <w:t>Lane defiende rebajar el balance pero dejarlo en un nivel alto para no socavar la estabilidad financiera</w:t>
      </w:r>
    </w:p>
    <w:p w:rsidR="007E3D39" w:rsidRDefault="007E3D39" w:rsidP="007E3D39">
      <w:pPr>
        <w:spacing w:line="240" w:lineRule="auto"/>
        <w:jc w:val="both"/>
        <w:rPr>
          <w:rFonts w:ascii="Times New Roman" w:hAnsi="Times New Roman" w:cs="Times New Roman"/>
          <w:sz w:val="24"/>
          <w:szCs w:val="24"/>
        </w:rPr>
      </w:pPr>
      <w:r w:rsidRPr="00690D6D">
        <w:rPr>
          <w:rFonts w:ascii="Times New Roman" w:hAnsi="Times New Roman" w:cs="Times New Roman"/>
          <w:color w:val="FF0000"/>
          <w:sz w:val="24"/>
          <w:szCs w:val="24"/>
          <w:u w:val="single"/>
        </w:rPr>
        <w:t>El frenazo en la subida de los tipos de interés ha llevado al BCE a plantear otro debate: la reducción del balance de los bancos centrales de la zona euro, que llegó a ser de 8,56 billones de euros en 2022. La autoridad monetaria lo ha ido reduciendo este año hasta dejarlo alrededor de los siete billones, pero el sector más ortodoxo de su consejo ve en esa acumulación de deuda un estímulo monetario cuya rebaja debe acelerarse</w:t>
      </w:r>
      <w:r w:rsidRPr="007078F7">
        <w:rPr>
          <w:rFonts w:ascii="Times New Roman" w:hAnsi="Times New Roman" w:cs="Times New Roman"/>
          <w:sz w:val="24"/>
          <w:szCs w:val="24"/>
        </w:rPr>
        <w:t>. El economista jefe del BCE, Philip Lane, ha instado este jueves a mantener las...</w:t>
      </w:r>
    </w:p>
    <w:p w:rsidR="007E3D39" w:rsidRPr="00314408"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14408">
        <w:rPr>
          <w:rFonts w:ascii="Times New Roman" w:hAnsi="Times New Roman" w:cs="Times New Roman"/>
          <w:sz w:val="24"/>
          <w:szCs w:val="24"/>
          <w:u w:val="single"/>
        </w:rPr>
        <w:t>El BCE aboga por una cartera de bonos y liquidez bancaria para siempre</w:t>
      </w:r>
      <w:r>
        <w:rPr>
          <w:rFonts w:ascii="Times New Roman" w:hAnsi="Times New Roman" w:cs="Times New Roman"/>
          <w:sz w:val="24"/>
          <w:szCs w:val="24"/>
        </w:rPr>
        <w:t xml:space="preserve"> (Expansión - </w:t>
      </w:r>
      <w:r w:rsidRPr="00314408">
        <w:rPr>
          <w:rFonts w:ascii="Times New Roman" w:hAnsi="Times New Roman" w:cs="Times New Roman"/>
          <w:b/>
          <w:sz w:val="24"/>
          <w:szCs w:val="24"/>
        </w:rPr>
        <w:t>10/11/23</w:t>
      </w:r>
      <w:r>
        <w:rPr>
          <w:rFonts w:ascii="Times New Roman" w:hAnsi="Times New Roman" w:cs="Times New Roman"/>
          <w:sz w:val="24"/>
          <w:szCs w:val="24"/>
        </w:rPr>
        <w:t>)</w:t>
      </w:r>
    </w:p>
    <w:p w:rsidR="007E3D39" w:rsidRPr="00690D6D" w:rsidRDefault="007E3D39" w:rsidP="007E3D39">
      <w:pPr>
        <w:spacing w:line="240" w:lineRule="auto"/>
        <w:jc w:val="both"/>
        <w:rPr>
          <w:rFonts w:ascii="Times New Roman" w:hAnsi="Times New Roman" w:cs="Times New Roman"/>
          <w:color w:val="FF0000"/>
          <w:sz w:val="24"/>
          <w:szCs w:val="24"/>
        </w:rPr>
      </w:pPr>
      <w:r w:rsidRPr="00690D6D">
        <w:rPr>
          <w:rFonts w:ascii="Times New Roman" w:hAnsi="Times New Roman" w:cs="Times New Roman"/>
          <w:color w:val="FF0000"/>
          <w:sz w:val="24"/>
          <w:szCs w:val="24"/>
        </w:rPr>
        <w:t>El BCE no se librará hasta 2036 de la deuda en su balance</w:t>
      </w:r>
    </w:p>
    <w:p w:rsidR="007E3D39" w:rsidRPr="00690D6D" w:rsidRDefault="007E3D39" w:rsidP="007E3D39">
      <w:pPr>
        <w:spacing w:line="240" w:lineRule="auto"/>
        <w:jc w:val="both"/>
        <w:rPr>
          <w:rFonts w:ascii="Times New Roman" w:hAnsi="Times New Roman" w:cs="Times New Roman"/>
          <w:color w:val="FF0000"/>
          <w:sz w:val="24"/>
          <w:szCs w:val="24"/>
        </w:rPr>
      </w:pPr>
      <w:r w:rsidRPr="00690D6D">
        <w:rPr>
          <w:rFonts w:ascii="Times New Roman" w:hAnsi="Times New Roman" w:cs="Times New Roman"/>
          <w:color w:val="FF0000"/>
          <w:sz w:val="24"/>
          <w:szCs w:val="24"/>
        </w:rPr>
        <w:t>El BCE finaliza el ciclo de alzas de tipos tras diez incrementos consecutivos</w:t>
      </w:r>
    </w:p>
    <w:p w:rsidR="007E3D39" w:rsidRPr="00690D6D" w:rsidRDefault="007E3D39" w:rsidP="007E3D39">
      <w:pPr>
        <w:spacing w:line="240" w:lineRule="auto"/>
        <w:jc w:val="both"/>
        <w:rPr>
          <w:rFonts w:ascii="Times New Roman" w:hAnsi="Times New Roman" w:cs="Times New Roman"/>
          <w:color w:val="FF0000"/>
          <w:sz w:val="24"/>
          <w:szCs w:val="24"/>
        </w:rPr>
      </w:pPr>
      <w:r w:rsidRPr="00690D6D">
        <w:rPr>
          <w:rFonts w:ascii="Times New Roman" w:hAnsi="Times New Roman" w:cs="Times New Roman"/>
          <w:color w:val="FF0000"/>
          <w:sz w:val="24"/>
          <w:szCs w:val="24"/>
        </w:rPr>
        <w:t>El economista jefe del BCE ve óptimo mantener un amplio nivel de reservas.</w:t>
      </w:r>
    </w:p>
    <w:p w:rsidR="007E3D39" w:rsidRPr="00690D6D" w:rsidRDefault="007E3D39" w:rsidP="007E3D39">
      <w:pPr>
        <w:spacing w:line="240" w:lineRule="auto"/>
        <w:jc w:val="both"/>
        <w:rPr>
          <w:rFonts w:ascii="Times New Roman" w:hAnsi="Times New Roman" w:cs="Times New Roman"/>
          <w:color w:val="FF0000"/>
          <w:sz w:val="24"/>
          <w:szCs w:val="24"/>
          <w:u w:val="single"/>
        </w:rPr>
      </w:pPr>
      <w:r w:rsidRPr="00690D6D">
        <w:rPr>
          <w:rFonts w:ascii="Times New Roman" w:hAnsi="Times New Roman" w:cs="Times New Roman"/>
          <w:color w:val="FF0000"/>
          <w:sz w:val="24"/>
          <w:szCs w:val="24"/>
          <w:u w:val="single"/>
        </w:rPr>
        <w:t>Un banco central con una cartera de deuda y amplia liquidez disponible para la banca de forma perpetua. Ése es el Banco Central Europeo (BCE) que ayer dibujó Philip Lane, el economista jefe de la autoridad monetaria, que aboga por mantener elevado el…</w:t>
      </w:r>
    </w:p>
    <w:p w:rsidR="007E3D39" w:rsidRPr="00385C9F"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078F7">
        <w:rPr>
          <w:rFonts w:ascii="Times New Roman" w:hAnsi="Times New Roman" w:cs="Times New Roman"/>
          <w:sz w:val="24"/>
          <w:szCs w:val="24"/>
          <w:u w:val="single"/>
        </w:rPr>
        <w:t>Sobre el declive económico de Europa</w:t>
      </w:r>
      <w:r>
        <w:rPr>
          <w:rFonts w:ascii="Times New Roman" w:hAnsi="Times New Roman" w:cs="Times New Roman"/>
          <w:sz w:val="24"/>
          <w:szCs w:val="24"/>
        </w:rPr>
        <w:t xml:space="preserve"> (El Confidencial - </w:t>
      </w:r>
      <w:r w:rsidRPr="007078F7">
        <w:rPr>
          <w:rFonts w:ascii="Times New Roman" w:hAnsi="Times New Roman" w:cs="Times New Roman"/>
          <w:b/>
          <w:sz w:val="24"/>
          <w:szCs w:val="24"/>
        </w:rPr>
        <w:t>10/11/23</w:t>
      </w:r>
      <w:r>
        <w:rPr>
          <w:rFonts w:ascii="Times New Roman" w:hAnsi="Times New Roman" w:cs="Times New Roman"/>
          <w:sz w:val="24"/>
          <w:szCs w:val="24"/>
        </w:rPr>
        <w:t>)</w:t>
      </w:r>
    </w:p>
    <w:p w:rsidR="007E3D39" w:rsidRPr="00D0462F" w:rsidRDefault="007E3D39" w:rsidP="007E3D39">
      <w:pPr>
        <w:spacing w:line="240" w:lineRule="auto"/>
        <w:jc w:val="both"/>
        <w:rPr>
          <w:rFonts w:ascii="Times New Roman" w:hAnsi="Times New Roman" w:cs="Times New Roman"/>
          <w:color w:val="FF0000"/>
          <w:sz w:val="24"/>
          <w:szCs w:val="24"/>
        </w:rPr>
      </w:pPr>
      <w:r w:rsidRPr="00D0462F">
        <w:rPr>
          <w:rFonts w:ascii="Times New Roman" w:hAnsi="Times New Roman" w:cs="Times New Roman"/>
          <w:color w:val="FF0000"/>
          <w:sz w:val="24"/>
          <w:szCs w:val="24"/>
        </w:rPr>
        <w:t>La economía de la zona euro era más grande que la de los EEUU antes de la gran recesión. Hoy en día es un 37% más pequeña</w:t>
      </w:r>
    </w:p>
    <w:p w:rsidR="007E3D39" w:rsidRPr="00385C9F"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385C9F">
        <w:rPr>
          <w:rFonts w:ascii="Times New Roman" w:hAnsi="Times New Roman" w:cs="Times New Roman"/>
          <w:sz w:val="24"/>
          <w:szCs w:val="24"/>
        </w:rPr>
        <w:t>Por Ignacio de la Torre</w:t>
      </w:r>
      <w:r>
        <w:rPr>
          <w:rFonts w:ascii="Times New Roman" w:hAnsi="Times New Roman" w:cs="Times New Roman"/>
          <w:sz w:val="24"/>
          <w:szCs w:val="24"/>
        </w:rPr>
        <w:t>)</w:t>
      </w:r>
    </w:p>
    <w:p w:rsidR="007E3D39" w:rsidRPr="008F4C10" w:rsidRDefault="007E3D39" w:rsidP="007E3D39">
      <w:pPr>
        <w:spacing w:line="240" w:lineRule="auto"/>
        <w:jc w:val="both"/>
        <w:rPr>
          <w:rFonts w:ascii="Times New Roman" w:hAnsi="Times New Roman" w:cs="Times New Roman"/>
          <w:color w:val="FF0000"/>
          <w:sz w:val="24"/>
          <w:szCs w:val="24"/>
          <w:u w:val="single"/>
        </w:rPr>
      </w:pPr>
      <w:r w:rsidRPr="00385C9F">
        <w:rPr>
          <w:rFonts w:ascii="Times New Roman" w:hAnsi="Times New Roman" w:cs="Times New Roman"/>
          <w:sz w:val="24"/>
          <w:szCs w:val="24"/>
        </w:rPr>
        <w:t xml:space="preserve">Sherlock Holmes afirmaba: “Es un error capital establecer teorías antes de disponer de datos”. En esta aseveración, el ficticio detective inglés venía a tirar de las orejas a muchas teorías sin validación empírica, como unas cuantas de las formuladas por Aristóteles, ideas definidas por algún divulgador científico como “especulación de salón”. Pues bien, disponemos de los datos. </w:t>
      </w:r>
      <w:r w:rsidRPr="00D0462F">
        <w:rPr>
          <w:rFonts w:ascii="Times New Roman" w:hAnsi="Times New Roman" w:cs="Times New Roman"/>
          <w:color w:val="FF0000"/>
          <w:sz w:val="24"/>
          <w:szCs w:val="24"/>
          <w:u w:val="single"/>
        </w:rPr>
        <w:t xml:space="preserve">La economía de la zona euro (que aquí denominaremos europea) era más grande que la de los EEUU antes de la gran recesión. Hoy en día es un 37% más pequeña. Analizando el futuro, si nos fijamos en crecimientos económicos reales (netos de inflación), la economía norteamericana crecerá a un ritmo cercano al 1,5%, la europea, no llegará a un 1%. En otras palabras: el crecimiento de los EEUU será substancialmente superior al de Europa, lo </w:t>
      </w:r>
      <w:r>
        <w:rPr>
          <w:rFonts w:ascii="Times New Roman" w:hAnsi="Times New Roman" w:cs="Times New Roman"/>
          <w:color w:val="FF0000"/>
          <w:sz w:val="24"/>
          <w:szCs w:val="24"/>
          <w:u w:val="single"/>
        </w:rPr>
        <w:t>que agrandará la brecha futura.</w:t>
      </w:r>
    </w:p>
    <w:p w:rsidR="007E3D39" w:rsidRPr="00D0462F" w:rsidRDefault="007E3D39" w:rsidP="007E3D39">
      <w:pPr>
        <w:spacing w:line="240" w:lineRule="auto"/>
        <w:jc w:val="both"/>
        <w:rPr>
          <w:rFonts w:ascii="Times New Roman" w:hAnsi="Times New Roman" w:cs="Times New Roman"/>
          <w:color w:val="FF0000"/>
          <w:sz w:val="24"/>
          <w:szCs w:val="24"/>
        </w:rPr>
      </w:pPr>
      <w:r w:rsidRPr="00D0462F">
        <w:rPr>
          <w:rFonts w:ascii="Times New Roman" w:hAnsi="Times New Roman" w:cs="Times New Roman"/>
          <w:color w:val="FF0000"/>
          <w:sz w:val="24"/>
          <w:szCs w:val="24"/>
        </w:rPr>
        <w:t>¿Qué está ocurriendo?</w:t>
      </w:r>
    </w:p>
    <w:p w:rsidR="007E3D39" w:rsidRPr="00385C9F" w:rsidRDefault="007E3D39" w:rsidP="007E3D39">
      <w:pPr>
        <w:spacing w:line="240" w:lineRule="auto"/>
        <w:jc w:val="both"/>
        <w:rPr>
          <w:rFonts w:ascii="Times New Roman" w:hAnsi="Times New Roman" w:cs="Times New Roman"/>
          <w:sz w:val="24"/>
          <w:szCs w:val="24"/>
        </w:rPr>
      </w:pPr>
      <w:r w:rsidRPr="00D0462F">
        <w:rPr>
          <w:rFonts w:ascii="Times New Roman" w:hAnsi="Times New Roman" w:cs="Times New Roman"/>
          <w:color w:val="FF0000"/>
          <w:sz w:val="24"/>
          <w:szCs w:val="24"/>
          <w:u w:val="single"/>
        </w:rPr>
        <w:t>Primero, el declive demográfico de Europa es más acusado que el de los EEUU</w:t>
      </w:r>
      <w:r w:rsidRPr="00385C9F">
        <w:rPr>
          <w:rFonts w:ascii="Times New Roman" w:hAnsi="Times New Roman" w:cs="Times New Roman"/>
          <w:sz w:val="24"/>
          <w:szCs w:val="24"/>
        </w:rPr>
        <w:t xml:space="preserve">. La tasa de natalidad es más baja (1,5 niños por mujer vs. 1,7 en EEUU), y además Europa recibe menos flujos migratorios. La consecuencia es que el crecimiento de la población activa en Europa se ha situado cerca del 0,15%, en tanto que el de los EEUU ha crecido cerca del 0,5%. Por lo tanto, uno de los dos pilares del crecimiento económico estructural favorece más a los EEUU que a Europa. </w:t>
      </w:r>
      <w:r w:rsidRPr="00D0462F">
        <w:rPr>
          <w:rFonts w:ascii="Times New Roman" w:hAnsi="Times New Roman" w:cs="Times New Roman"/>
          <w:color w:val="FF0000"/>
          <w:sz w:val="24"/>
          <w:szCs w:val="24"/>
          <w:u w:val="single"/>
        </w:rPr>
        <w:t xml:space="preserve">Segundo, la productividad crece más en EEUU que en Europa. Así, el crecimiento de la productividad en EEUU se acerca al 1,5% anual (los datos más recientes están por encima de esta cifra), en tanto que los crecimientos europeos de productividad se </w:t>
      </w:r>
      <w:r w:rsidRPr="00D0462F">
        <w:rPr>
          <w:rFonts w:ascii="Times New Roman" w:hAnsi="Times New Roman" w:cs="Times New Roman"/>
          <w:color w:val="FF0000"/>
          <w:sz w:val="24"/>
          <w:szCs w:val="24"/>
          <w:u w:val="single"/>
        </w:rPr>
        <w:lastRenderedPageBreak/>
        <w:t>sitúan más en el 1%.</w:t>
      </w:r>
      <w:r w:rsidRPr="00D0462F">
        <w:rPr>
          <w:rFonts w:ascii="Times New Roman" w:hAnsi="Times New Roman" w:cs="Times New Roman"/>
          <w:color w:val="FF0000"/>
          <w:sz w:val="24"/>
          <w:szCs w:val="24"/>
        </w:rPr>
        <w:t xml:space="preserve"> </w:t>
      </w:r>
      <w:r w:rsidRPr="00385C9F">
        <w:rPr>
          <w:rFonts w:ascii="Times New Roman" w:hAnsi="Times New Roman" w:cs="Times New Roman"/>
          <w:sz w:val="24"/>
          <w:szCs w:val="24"/>
        </w:rPr>
        <w:t>Si desglosamos dichos crecimientos entre crecimientos asociados a mejora del capital disponible por trabajador (vía inversiones) y crecimiento genuino de productividad (hacer más con lo mismo, o “produc</w:t>
      </w:r>
      <w:r>
        <w:rPr>
          <w:rFonts w:ascii="Times New Roman" w:hAnsi="Times New Roman" w:cs="Times New Roman"/>
          <w:sz w:val="24"/>
          <w:szCs w:val="24"/>
        </w:rPr>
        <w:t>tividad total de los factores” -TFP-</w:t>
      </w:r>
      <w:r w:rsidRPr="00385C9F">
        <w:rPr>
          <w:rFonts w:ascii="Times New Roman" w:hAnsi="Times New Roman" w:cs="Times New Roman"/>
          <w:sz w:val="24"/>
          <w:szCs w:val="24"/>
        </w:rPr>
        <w:t>), los crecimientos en el primer segmento han sido parecidos en ambas economías (1%). La diferencia proviene de la TFP, en tanto que EEUU consigue crecimientos anuales superiores en un 0,7% a los europeos desde que comenzó este siglo. La mejor forma de predecir las mejoras de TFP es la innovación. El dominio de EEUU sobre Europa es abrumador, se miren publicaciones científicas, patentes internacionales por millón de habitantes o unicornios. Dado que la industria que financia la innovación, la del venture capital, posee el doble de recursos por habitante en EEUU que en Europa, la tendencia aquí descrita no cambiará. Además, la innovación depende de la triple hélice o interrelación de la investigación militar, universitaria y de la empresa privada. En Europa estamos a años luz de ecosistemas de innovación como los desarrollados en Stanford o en el MIT.</w:t>
      </w:r>
    </w:p>
    <w:p w:rsidR="007E3D39" w:rsidRPr="00385C9F" w:rsidRDefault="007E3D39" w:rsidP="007E3D39">
      <w:pPr>
        <w:spacing w:line="240" w:lineRule="auto"/>
        <w:jc w:val="both"/>
        <w:rPr>
          <w:rFonts w:ascii="Times New Roman" w:hAnsi="Times New Roman" w:cs="Times New Roman"/>
          <w:sz w:val="24"/>
          <w:szCs w:val="24"/>
        </w:rPr>
      </w:pPr>
      <w:r w:rsidRPr="00D0462F">
        <w:rPr>
          <w:rFonts w:ascii="Times New Roman" w:hAnsi="Times New Roman" w:cs="Times New Roman"/>
          <w:color w:val="FF0000"/>
          <w:sz w:val="24"/>
          <w:szCs w:val="24"/>
          <w:u w:val="single"/>
        </w:rPr>
        <w:t>Tercero, la economía de los EEUU es más resiliente ante una crisis bancaria que la europea.</w:t>
      </w:r>
      <w:r w:rsidRPr="00D0462F">
        <w:rPr>
          <w:rFonts w:ascii="Times New Roman" w:hAnsi="Times New Roman" w:cs="Times New Roman"/>
          <w:color w:val="FF0000"/>
          <w:sz w:val="24"/>
          <w:szCs w:val="24"/>
        </w:rPr>
        <w:t xml:space="preserve"> </w:t>
      </w:r>
      <w:r w:rsidRPr="00385C9F">
        <w:rPr>
          <w:rFonts w:ascii="Times New Roman" w:hAnsi="Times New Roman" w:cs="Times New Roman"/>
          <w:sz w:val="24"/>
          <w:szCs w:val="24"/>
        </w:rPr>
        <w:t xml:space="preserve">Eso explica que la crisis financiera que comenzó en 2007 haya afectado mucho más al Viejo Continente. Los activos bancarios (en esencia, volumen de crédito) representan cerca de dos veces el PIB europeo, y, sin embargo, menos de una vez el de los EEUU. La consecuencia es que, ante una crisis bancaria, la economía europea sufre mucho más que la de los EEUU. Las empresas norteamericanas mantienen dos canales de financiación: la banca y los mercados de capitales. En Europa, sin embargo, la inmensa mayoría de la financiación sigue siendo canalizada por la banca, lo que provoca que la economía sea mucho más vulnerable ante una crisis bancaria. </w:t>
      </w:r>
      <w:r w:rsidRPr="00D0462F">
        <w:rPr>
          <w:rFonts w:ascii="Times New Roman" w:hAnsi="Times New Roman" w:cs="Times New Roman"/>
          <w:color w:val="FF0000"/>
          <w:sz w:val="24"/>
          <w:szCs w:val="24"/>
          <w:u w:val="single"/>
        </w:rPr>
        <w:t>Cuarto, la economía de los EEUU se autoabastece energéticamente, en tanto que la europea se ha construido en gran parte sobre una vulnerable dependencia del gas ruso.</w:t>
      </w:r>
      <w:r w:rsidRPr="00D0462F">
        <w:rPr>
          <w:rFonts w:ascii="Times New Roman" w:hAnsi="Times New Roman" w:cs="Times New Roman"/>
          <w:color w:val="FF0000"/>
          <w:sz w:val="24"/>
          <w:szCs w:val="24"/>
        </w:rPr>
        <w:t xml:space="preserve"> </w:t>
      </w:r>
      <w:r w:rsidRPr="00385C9F">
        <w:rPr>
          <w:rFonts w:ascii="Times New Roman" w:hAnsi="Times New Roman" w:cs="Times New Roman"/>
          <w:sz w:val="24"/>
          <w:szCs w:val="24"/>
        </w:rPr>
        <w:t>En Europa decidimos prolongar dicha vulnerabilidad limitando el fracking por sus connotaciones medioambientales, y ahora intentamos suplir la ausencia de gas ruso comprando gas norteamericano generado en gran parte vía fracking. Nuestra energía es más cara y más insegura, lo que nos resta competitividad.</w:t>
      </w:r>
    </w:p>
    <w:p w:rsidR="007E3D39" w:rsidRDefault="007E3D39" w:rsidP="007E3D39">
      <w:pPr>
        <w:spacing w:line="240" w:lineRule="auto"/>
        <w:jc w:val="both"/>
        <w:rPr>
          <w:rFonts w:ascii="Times New Roman" w:hAnsi="Times New Roman" w:cs="Times New Roman"/>
          <w:sz w:val="24"/>
          <w:szCs w:val="24"/>
          <w:u w:val="single"/>
        </w:rPr>
      </w:pPr>
      <w:r w:rsidRPr="00D0462F">
        <w:rPr>
          <w:rFonts w:ascii="Times New Roman" w:hAnsi="Times New Roman" w:cs="Times New Roman"/>
          <w:color w:val="FF0000"/>
          <w:sz w:val="24"/>
          <w:szCs w:val="24"/>
          <w:u w:val="single"/>
        </w:rPr>
        <w:t>Quinto, EEUU mantiene sus “exorbitantes privilegios” frente a Europa. El dólar sigue siendo la divisa de reserva mundial, sin una alternativa a la vista en las próximas décadas. El mercado de capitales de los EEUU es mucho más líquido y profundo que el europeo, sin que se ponga solución por parte de la UE. En EEUU existe una libertad de movimiento de trabajadores que, en la práctica, en Europa no se da. Estos factores redundan en mayor crecimiento económico.</w:t>
      </w:r>
      <w:r w:rsidRPr="00385C9F">
        <w:rPr>
          <w:rFonts w:ascii="Times New Roman" w:hAnsi="Times New Roman" w:cs="Times New Roman"/>
          <w:sz w:val="24"/>
          <w:szCs w:val="24"/>
        </w:rPr>
        <w:t xml:space="preserve"> No soy derrotista, no hay que criticar la oscuridad sino encender una luz. Europa puede poco a poco mejorar su deriva demográfica. Además, se pueden establecer mecanismos que incentiven el venture capital a través de ahorro de largo plazo (seguros y fondos de pensiones) como los que habilitó EEUU en 1979. Aunque Europa carezca de un solo ejército, la coordinación de la investigación militar aunada a la civil podría provocar mejoras en la generación de patentes futura (al fin y al cabo, en Europa se inventó el método científico). Si Europa avanzara en la siempre decepcionante unión de mercado de capitales y fomentara los bonos europeos, al menos se podría suplir una parte de nuestra desventaja frente a los EEUU. Por último, creo que Europa presenta menos riesgo político que EEUU ante una posible victoria de Trump. </w:t>
      </w:r>
      <w:r w:rsidRPr="00D0462F">
        <w:rPr>
          <w:rFonts w:ascii="Times New Roman" w:hAnsi="Times New Roman" w:cs="Times New Roman"/>
          <w:sz w:val="24"/>
          <w:szCs w:val="24"/>
          <w:u w:val="single"/>
        </w:rPr>
        <w:t>Mi inquietud en cualquier caso ante los pasos a dar es la que expresó Jean-Claude Juncker, expresidente de la Comisión Europea: “Nosotros los políticos sabemos perfectamente los pasos que hay que dar en la economía, el problema es salir reelegido”.</w:t>
      </w:r>
    </w:p>
    <w:p w:rsidR="007E3D39" w:rsidRPr="00D0462F" w:rsidRDefault="007E3D39" w:rsidP="007E3D39">
      <w:pPr>
        <w:spacing w:line="240" w:lineRule="auto"/>
        <w:jc w:val="both"/>
        <w:rPr>
          <w:rFonts w:ascii="Times New Roman" w:hAnsi="Times New Roman" w:cs="Times New Roman"/>
          <w:sz w:val="24"/>
          <w:szCs w:val="24"/>
          <w:u w:val="single"/>
        </w:rPr>
      </w:pPr>
    </w:p>
    <w:p w:rsidR="007E3D39" w:rsidRPr="00757460"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757460">
        <w:rPr>
          <w:rFonts w:ascii="Times New Roman" w:hAnsi="Times New Roman" w:cs="Times New Roman"/>
          <w:sz w:val="24"/>
          <w:szCs w:val="24"/>
          <w:u w:val="single"/>
        </w:rPr>
        <w:t>La posible caída de Italia a bono basura puede desatar un efecto dominó en un mercado frágil</w:t>
      </w:r>
      <w:r>
        <w:rPr>
          <w:rFonts w:ascii="Times New Roman" w:hAnsi="Times New Roman" w:cs="Times New Roman"/>
          <w:sz w:val="24"/>
          <w:szCs w:val="24"/>
        </w:rPr>
        <w:t xml:space="preserve"> (El Economista - </w:t>
      </w:r>
      <w:r w:rsidRPr="00757460">
        <w:rPr>
          <w:rFonts w:ascii="Times New Roman" w:hAnsi="Times New Roman" w:cs="Times New Roman"/>
          <w:b/>
          <w:sz w:val="24"/>
          <w:szCs w:val="24"/>
        </w:rPr>
        <w:t>14/11/23</w:t>
      </w:r>
      <w:r>
        <w:rPr>
          <w:rFonts w:ascii="Times New Roman" w:hAnsi="Times New Roman" w:cs="Times New Roman"/>
          <w:sz w:val="24"/>
          <w:szCs w:val="24"/>
        </w:rPr>
        <w:t>)</w:t>
      </w:r>
    </w:p>
    <w:p w:rsidR="007E3D39" w:rsidRPr="00D0462F" w:rsidRDefault="007E3D39" w:rsidP="007E3D39">
      <w:pPr>
        <w:spacing w:line="240" w:lineRule="auto"/>
        <w:jc w:val="both"/>
        <w:rPr>
          <w:rFonts w:ascii="Times New Roman" w:hAnsi="Times New Roman" w:cs="Times New Roman"/>
          <w:color w:val="FF0000"/>
          <w:sz w:val="24"/>
          <w:szCs w:val="24"/>
        </w:rPr>
      </w:pPr>
      <w:r w:rsidRPr="00D0462F">
        <w:rPr>
          <w:rFonts w:ascii="Times New Roman" w:hAnsi="Times New Roman" w:cs="Times New Roman"/>
          <w:color w:val="FF0000"/>
          <w:sz w:val="24"/>
          <w:szCs w:val="24"/>
        </w:rPr>
        <w:t>Barclays: un recorte a bono basura sería un “shock para un mercado ya frágil”</w:t>
      </w:r>
    </w:p>
    <w:p w:rsidR="007E3D39" w:rsidRPr="00D0462F" w:rsidRDefault="007E3D39" w:rsidP="007E3D39">
      <w:pPr>
        <w:spacing w:line="240" w:lineRule="auto"/>
        <w:jc w:val="both"/>
        <w:rPr>
          <w:rFonts w:ascii="Times New Roman" w:hAnsi="Times New Roman" w:cs="Times New Roman"/>
          <w:color w:val="FF0000"/>
          <w:sz w:val="24"/>
          <w:szCs w:val="24"/>
        </w:rPr>
      </w:pPr>
      <w:r w:rsidRPr="00D0462F">
        <w:rPr>
          <w:rFonts w:ascii="Times New Roman" w:hAnsi="Times New Roman" w:cs="Times New Roman"/>
          <w:color w:val="FF0000"/>
          <w:sz w:val="24"/>
          <w:szCs w:val="24"/>
        </w:rPr>
        <w:t>Muchos fondos tendrían que excluir la deuda italiana de sus carteras</w:t>
      </w:r>
    </w:p>
    <w:p w:rsidR="007E3D39" w:rsidRDefault="007E3D39" w:rsidP="007E3D39">
      <w:pPr>
        <w:spacing w:line="240" w:lineRule="auto"/>
        <w:jc w:val="both"/>
        <w:rPr>
          <w:rFonts w:ascii="Times New Roman" w:hAnsi="Times New Roman" w:cs="Times New Roman"/>
          <w:color w:val="FF0000"/>
          <w:sz w:val="24"/>
          <w:szCs w:val="24"/>
        </w:rPr>
      </w:pPr>
      <w:r w:rsidRPr="00D0462F">
        <w:rPr>
          <w:rFonts w:ascii="Times New Roman" w:hAnsi="Times New Roman" w:cs="Times New Roman"/>
          <w:color w:val="FF0000"/>
          <w:sz w:val="24"/>
          <w:szCs w:val="24"/>
        </w:rPr>
        <w:t>El BCE tendría un trabajo complejo: mantener a Italia viva y seguir endureciendo domino países Italia España</w:t>
      </w:r>
    </w:p>
    <w:p w:rsidR="007E3D39" w:rsidRPr="00D0462F" w:rsidRDefault="007E3D39" w:rsidP="007E3D39">
      <w:pPr>
        <w:spacing w:line="240" w:lineRule="auto"/>
        <w:jc w:val="both"/>
        <w:rPr>
          <w:rFonts w:ascii="Times New Roman" w:hAnsi="Times New Roman" w:cs="Times New Roman"/>
          <w:color w:val="FF0000"/>
          <w:sz w:val="24"/>
          <w:szCs w:val="24"/>
        </w:rPr>
      </w:pPr>
      <w:r w:rsidRPr="00A30245">
        <w:rPr>
          <w:rFonts w:ascii="Times New Roman" w:hAnsi="Times New Roman" w:cs="Times New Roman"/>
          <w:noProof/>
          <w:sz w:val="24"/>
          <w:szCs w:val="24"/>
          <w:lang w:eastAsia="es-ES"/>
        </w:rPr>
        <w:drawing>
          <wp:inline distT="0" distB="0" distL="0" distR="0" wp14:anchorId="5AA46514" wp14:editId="6FC6A90C">
            <wp:extent cx="5731510" cy="3219450"/>
            <wp:effectExtent l="0" t="0" r="2540" b="0"/>
            <wp:docPr id="88" name="Imagen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5731510" cy="3219450"/>
                    </a:xfrm>
                    <a:prstGeom prst="rect">
                      <a:avLst/>
                    </a:prstGeom>
                  </pic:spPr>
                </pic:pic>
              </a:graphicData>
            </a:graphic>
          </wp:inline>
        </w:drawing>
      </w:r>
    </w:p>
    <w:p w:rsidR="007E3D39" w:rsidRPr="00757460" w:rsidRDefault="007E3D39" w:rsidP="007E3D39">
      <w:pPr>
        <w:spacing w:line="240" w:lineRule="auto"/>
        <w:jc w:val="both"/>
        <w:rPr>
          <w:rFonts w:ascii="Times New Roman" w:hAnsi="Times New Roman" w:cs="Times New Roman"/>
          <w:sz w:val="24"/>
          <w:szCs w:val="24"/>
        </w:rPr>
      </w:pPr>
      <w:r w:rsidRPr="00D0462F">
        <w:rPr>
          <w:rFonts w:ascii="Times New Roman" w:hAnsi="Times New Roman" w:cs="Times New Roman"/>
          <w:color w:val="FF0000"/>
          <w:sz w:val="24"/>
          <w:szCs w:val="24"/>
          <w:u w:val="single"/>
        </w:rPr>
        <w:t>Una posible rebaja de Italia a la categoría de bono basura esta semana sería enormemente simbólica, potencialmente trascendente y muy controvertida. Italia tiene la mayor deuda de toda la Unión Europea en términos absolutos, mientras que en términos de PIB alcanza el 144%. El bajo crecimiento de esta economía y el déficit estructural van a impedir que la deuda caiga por debajo del 140% del PIB en los próximos años, mientras que se prevé que los tipos se mantengan altos (una combinación explosiva).</w:t>
      </w:r>
      <w:r w:rsidRPr="00D0462F">
        <w:rPr>
          <w:rFonts w:ascii="Times New Roman" w:hAnsi="Times New Roman" w:cs="Times New Roman"/>
          <w:color w:val="FF0000"/>
          <w:sz w:val="24"/>
          <w:szCs w:val="24"/>
        </w:rPr>
        <w:t xml:space="preserve"> </w:t>
      </w:r>
      <w:r w:rsidRPr="00757460">
        <w:rPr>
          <w:rFonts w:ascii="Times New Roman" w:hAnsi="Times New Roman" w:cs="Times New Roman"/>
          <w:sz w:val="24"/>
          <w:szCs w:val="24"/>
        </w:rPr>
        <w:t>Nadie sabe si Moody's se atreverá a rebajar la nota de Italia a bono basura, pero sí saben lo que debería pasar atendiendo a los fundamentales. Itali</w:t>
      </w:r>
      <w:r>
        <w:rPr>
          <w:rFonts w:ascii="Times New Roman" w:hAnsi="Times New Roman" w:cs="Times New Roman"/>
          <w:sz w:val="24"/>
          <w:szCs w:val="24"/>
        </w:rPr>
        <w:t>a lleva siendo varios años una “bomba”</w:t>
      </w:r>
      <w:r w:rsidRPr="00757460">
        <w:rPr>
          <w:rFonts w:ascii="Times New Roman" w:hAnsi="Times New Roman" w:cs="Times New Roman"/>
          <w:sz w:val="24"/>
          <w:szCs w:val="24"/>
        </w:rPr>
        <w:t xml:space="preserve"> </w:t>
      </w:r>
      <w:r>
        <w:rPr>
          <w:rFonts w:ascii="Times New Roman" w:hAnsi="Times New Roman" w:cs="Times New Roman"/>
          <w:sz w:val="24"/>
          <w:szCs w:val="24"/>
        </w:rPr>
        <w:t>latente en el corazón del euro.</w:t>
      </w:r>
    </w:p>
    <w:p w:rsidR="007E3D39" w:rsidRPr="00757460" w:rsidRDefault="007E3D39" w:rsidP="007E3D39">
      <w:pPr>
        <w:spacing w:line="240" w:lineRule="auto"/>
        <w:jc w:val="both"/>
        <w:rPr>
          <w:rFonts w:ascii="Times New Roman" w:hAnsi="Times New Roman" w:cs="Times New Roman"/>
          <w:sz w:val="24"/>
          <w:szCs w:val="24"/>
        </w:rPr>
      </w:pPr>
      <w:r w:rsidRPr="00D0462F">
        <w:rPr>
          <w:rFonts w:ascii="Times New Roman" w:hAnsi="Times New Roman" w:cs="Times New Roman"/>
          <w:color w:val="FF0000"/>
          <w:sz w:val="24"/>
          <w:szCs w:val="24"/>
          <w:u w:val="single"/>
        </w:rPr>
        <w:t>Esta sería una rebaja sin precedentes de una economía del G7 (Grupo de los Siete) como un “riesgo crediticio sustancial”</w:t>
      </w:r>
      <w:r w:rsidRPr="00757460">
        <w:rPr>
          <w:rFonts w:ascii="Times New Roman" w:hAnsi="Times New Roman" w:cs="Times New Roman"/>
          <w:sz w:val="24"/>
          <w:szCs w:val="24"/>
        </w:rPr>
        <w:t>. La agencia Moody's Inve</w:t>
      </w:r>
      <w:r>
        <w:rPr>
          <w:rFonts w:ascii="Times New Roman" w:hAnsi="Times New Roman" w:cs="Times New Roman"/>
          <w:sz w:val="24"/>
          <w:szCs w:val="24"/>
        </w:rPr>
        <w:t>stors Service tiene en su mano “hacer historia”</w:t>
      </w:r>
      <w:r w:rsidRPr="00757460">
        <w:rPr>
          <w:rFonts w:ascii="Times New Roman" w:hAnsi="Times New Roman" w:cs="Times New Roman"/>
          <w:sz w:val="24"/>
          <w:szCs w:val="24"/>
        </w:rPr>
        <w:t>, aunque sea con una noticia tan preocupante para los mercados como esta. Ahora mismo, la deuda italiana está calificada como Baa3 con una perspectiva negativa. Para ser calificada como bono basura, Moody's tendría que r</w:t>
      </w:r>
      <w:r>
        <w:rPr>
          <w:rFonts w:ascii="Times New Roman" w:hAnsi="Times New Roman" w:cs="Times New Roman"/>
          <w:sz w:val="24"/>
          <w:szCs w:val="24"/>
        </w:rPr>
        <w:t>ebajar la nota de Italia a BBB.</w:t>
      </w:r>
    </w:p>
    <w:p w:rsidR="007E3D39" w:rsidRPr="00757460" w:rsidRDefault="007E3D39" w:rsidP="007E3D39">
      <w:pPr>
        <w:spacing w:line="240" w:lineRule="auto"/>
        <w:jc w:val="both"/>
        <w:rPr>
          <w:rFonts w:ascii="Times New Roman" w:hAnsi="Times New Roman" w:cs="Times New Roman"/>
          <w:sz w:val="24"/>
          <w:szCs w:val="24"/>
        </w:rPr>
      </w:pPr>
      <w:r w:rsidRPr="00757460">
        <w:rPr>
          <w:rFonts w:ascii="Times New Roman" w:hAnsi="Times New Roman" w:cs="Times New Roman"/>
          <w:sz w:val="24"/>
          <w:szCs w:val="24"/>
        </w:rPr>
        <w:t>El anuncio del viernes será la primera evaluación desde que la coalición de la primera ministra Giorgia Meloni adoptó una postura fiscal más expansiva en septiembre. Eso luego provocó que el diferencial de rendimiento de los bonos de Italia sobre Alemania -una medida clave de riesgo- se ampliara a 210 puntos básicos por primera vez desde enero.</w:t>
      </w:r>
    </w:p>
    <w:p w:rsidR="007E3D39" w:rsidRPr="00757460" w:rsidRDefault="007E3D39" w:rsidP="007E3D39">
      <w:pPr>
        <w:spacing w:line="240" w:lineRule="auto"/>
        <w:jc w:val="both"/>
        <w:rPr>
          <w:rFonts w:ascii="Times New Roman" w:hAnsi="Times New Roman" w:cs="Times New Roman"/>
          <w:sz w:val="24"/>
          <w:szCs w:val="24"/>
        </w:rPr>
      </w:pPr>
      <w:r w:rsidRPr="00757460">
        <w:rPr>
          <w:rFonts w:ascii="Times New Roman" w:hAnsi="Times New Roman" w:cs="Times New Roman"/>
          <w:sz w:val="24"/>
          <w:szCs w:val="24"/>
        </w:rPr>
        <w:t xml:space="preserve">Con el diferencial nuevamente por debajo de los 190 puntos básicos, los inversores en general no anticipan una rebaja, sobre todo porque los rivales de Moody's son menos pesimistas sobre el país. Un </w:t>
      </w:r>
      <w:r>
        <w:rPr>
          <w:rFonts w:ascii="Times New Roman" w:hAnsi="Times New Roman" w:cs="Times New Roman"/>
          <w:sz w:val="24"/>
          <w:szCs w:val="24"/>
        </w:rPr>
        <w:t>recorte a bono basura sería un “shock para un mercado ya frágil”</w:t>
      </w:r>
      <w:r w:rsidRPr="00757460">
        <w:rPr>
          <w:rFonts w:ascii="Times New Roman" w:hAnsi="Times New Roman" w:cs="Times New Roman"/>
          <w:sz w:val="24"/>
          <w:szCs w:val="24"/>
        </w:rPr>
        <w:t xml:space="preserve">, </w:t>
      </w:r>
      <w:r w:rsidRPr="00757460">
        <w:rPr>
          <w:rFonts w:ascii="Times New Roman" w:hAnsi="Times New Roman" w:cs="Times New Roman"/>
          <w:sz w:val="24"/>
          <w:szCs w:val="24"/>
        </w:rPr>
        <w:lastRenderedPageBreak/>
        <w:t>asegura Rohan Khanna, jefe de estrategia de tasas del euro en Barclays. Por ahora, el resto de agencias han mantenido la nota para la deuda italiana.</w:t>
      </w:r>
    </w:p>
    <w:p w:rsidR="007E3D39" w:rsidRPr="00757460" w:rsidRDefault="007E3D39" w:rsidP="007E3D39">
      <w:pPr>
        <w:spacing w:line="240" w:lineRule="auto"/>
        <w:jc w:val="both"/>
        <w:rPr>
          <w:rFonts w:ascii="Times New Roman" w:hAnsi="Times New Roman" w:cs="Times New Roman"/>
          <w:sz w:val="24"/>
          <w:szCs w:val="24"/>
        </w:rPr>
      </w:pPr>
      <w:r w:rsidRPr="00757460">
        <w:rPr>
          <w:rFonts w:ascii="Times New Roman" w:hAnsi="Times New Roman" w:cs="Times New Roman"/>
          <w:sz w:val="24"/>
          <w:szCs w:val="24"/>
        </w:rPr>
        <w:t>Los bonos italianos subieron el lunes por la mañana, superando a sus pares alemanes y reduciendo el diferencial entre los rendimientos a 10 años en 3 puntos básicos</w:t>
      </w:r>
      <w:r>
        <w:rPr>
          <w:rFonts w:ascii="Times New Roman" w:hAnsi="Times New Roman" w:cs="Times New Roman"/>
          <w:sz w:val="24"/>
          <w:szCs w:val="24"/>
        </w:rPr>
        <w:t>, hasta los 183 puntos básicos.</w:t>
      </w:r>
    </w:p>
    <w:p w:rsidR="007E3D39" w:rsidRPr="00757460" w:rsidRDefault="007E3D39" w:rsidP="007E3D39">
      <w:pPr>
        <w:spacing w:line="240" w:lineRule="auto"/>
        <w:jc w:val="both"/>
        <w:rPr>
          <w:rFonts w:ascii="Times New Roman" w:hAnsi="Times New Roman" w:cs="Times New Roman"/>
          <w:sz w:val="24"/>
          <w:szCs w:val="24"/>
        </w:rPr>
      </w:pPr>
      <w:r w:rsidRPr="00757460">
        <w:rPr>
          <w:rFonts w:ascii="Times New Roman" w:hAnsi="Times New Roman" w:cs="Times New Roman"/>
          <w:sz w:val="24"/>
          <w:szCs w:val="24"/>
        </w:rPr>
        <w:t>Italia vería aumentar su prima de riesgo</w:t>
      </w:r>
    </w:p>
    <w:p w:rsidR="007E3D39" w:rsidRPr="00757460" w:rsidRDefault="007E3D39" w:rsidP="007E3D39">
      <w:pPr>
        <w:spacing w:line="240" w:lineRule="auto"/>
        <w:jc w:val="both"/>
        <w:rPr>
          <w:rFonts w:ascii="Times New Roman" w:hAnsi="Times New Roman" w:cs="Times New Roman"/>
          <w:sz w:val="24"/>
          <w:szCs w:val="24"/>
        </w:rPr>
      </w:pPr>
      <w:r w:rsidRPr="00757460">
        <w:rPr>
          <w:rFonts w:ascii="Times New Roman" w:hAnsi="Times New Roman" w:cs="Times New Roman"/>
          <w:sz w:val="24"/>
          <w:szCs w:val="24"/>
        </w:rPr>
        <w:t>Khanna, de Barclays, considera que una rebaja podría impulsar el diferencial nuevamente a 250 puntos básicos, un nivel visto por última vez alrededor de las elecciones anticipadas de 2022 que llevaron a Meloni al poder. Cualquier aumento en el rendimiento podría aumentar la presión sobre los funcionarios del Banco Central Eu</w:t>
      </w:r>
      <w:r>
        <w:rPr>
          <w:rFonts w:ascii="Times New Roman" w:hAnsi="Times New Roman" w:cs="Times New Roman"/>
          <w:sz w:val="24"/>
          <w:szCs w:val="24"/>
        </w:rPr>
        <w:t>ropeo para frenar la agitación.</w:t>
      </w:r>
    </w:p>
    <w:p w:rsidR="007E3D39" w:rsidRPr="00757460" w:rsidRDefault="007E3D39" w:rsidP="007E3D39">
      <w:pPr>
        <w:spacing w:line="240" w:lineRule="auto"/>
        <w:jc w:val="both"/>
        <w:rPr>
          <w:rFonts w:ascii="Times New Roman" w:hAnsi="Times New Roman" w:cs="Times New Roman"/>
          <w:sz w:val="24"/>
          <w:szCs w:val="24"/>
        </w:rPr>
      </w:pPr>
      <w:r w:rsidRPr="00757460">
        <w:rPr>
          <w:rFonts w:ascii="Times New Roman" w:hAnsi="Times New Roman" w:cs="Times New Roman"/>
          <w:sz w:val="24"/>
          <w:szCs w:val="24"/>
        </w:rPr>
        <w:t>El Ban</w:t>
      </w:r>
      <w:r>
        <w:rPr>
          <w:rFonts w:ascii="Times New Roman" w:hAnsi="Times New Roman" w:cs="Times New Roman"/>
          <w:sz w:val="24"/>
          <w:szCs w:val="24"/>
        </w:rPr>
        <w:t>co Central Europeo (BCE) tendrá que tener el “revolver”</w:t>
      </w:r>
      <w:r w:rsidRPr="00757460">
        <w:rPr>
          <w:rFonts w:ascii="Times New Roman" w:hAnsi="Times New Roman" w:cs="Times New Roman"/>
          <w:sz w:val="24"/>
          <w:szCs w:val="24"/>
        </w:rPr>
        <w:t xml:space="preserve"> cargado por si hay cualquier conato de incendio. La tarea no es sencilla para el banco central, puesto que tendría que usar su escudo de protección (ITP) para la deuda soberana </w:t>
      </w:r>
      <w:r>
        <w:rPr>
          <w:rFonts w:ascii="Times New Roman" w:hAnsi="Times New Roman" w:cs="Times New Roman"/>
          <w:sz w:val="24"/>
          <w:szCs w:val="24"/>
        </w:rPr>
        <w:t>a la vez que reduce su balance.</w:t>
      </w:r>
    </w:p>
    <w:p w:rsidR="007E3D39" w:rsidRPr="00757460" w:rsidRDefault="007E3D39" w:rsidP="007E3D39">
      <w:pPr>
        <w:spacing w:line="240" w:lineRule="auto"/>
        <w:jc w:val="both"/>
        <w:rPr>
          <w:rFonts w:ascii="Times New Roman" w:hAnsi="Times New Roman" w:cs="Times New Roman"/>
          <w:sz w:val="24"/>
          <w:szCs w:val="24"/>
        </w:rPr>
      </w:pPr>
      <w:r w:rsidRPr="00757460">
        <w:rPr>
          <w:rFonts w:ascii="Times New Roman" w:hAnsi="Times New Roman" w:cs="Times New Roman"/>
          <w:sz w:val="24"/>
          <w:szCs w:val="24"/>
        </w:rPr>
        <w:t>La misión se complica porque el tamaño de la deuda italiana es muy grande, por lo que mantener las compras de bonos italianos implicaría reducir la tenencia de otros bonos en mayor medida para que el ba</w:t>
      </w:r>
      <w:r>
        <w:rPr>
          <w:rFonts w:ascii="Times New Roman" w:hAnsi="Times New Roman" w:cs="Times New Roman"/>
          <w:sz w:val="24"/>
          <w:szCs w:val="24"/>
        </w:rPr>
        <w:t>lance del BCE siga adelgazando.</w:t>
      </w:r>
    </w:p>
    <w:p w:rsidR="007E3D39" w:rsidRPr="00757460" w:rsidRDefault="007E3D39" w:rsidP="007E3D39">
      <w:pPr>
        <w:spacing w:line="240" w:lineRule="auto"/>
        <w:jc w:val="both"/>
        <w:rPr>
          <w:rFonts w:ascii="Times New Roman" w:hAnsi="Times New Roman" w:cs="Times New Roman"/>
          <w:sz w:val="24"/>
          <w:szCs w:val="24"/>
        </w:rPr>
      </w:pPr>
      <w:r w:rsidRPr="00757460">
        <w:rPr>
          <w:rFonts w:ascii="Times New Roman" w:hAnsi="Times New Roman" w:cs="Times New Roman"/>
          <w:sz w:val="24"/>
          <w:szCs w:val="24"/>
        </w:rPr>
        <w:t>Aunque algunos fondos de pensiones y de inversión podrían excluir la tenencia de bonos basura, los daños en principio serían limitador, puesto que los inversores han tenido tiempo para prepararse. Pero no se puede excluir una reacción sísmica: los analistas de Moody's saben que la primera rebaja de la calificación de Grecia a basura en 2010 -por parte de la compañía ahora llamada S&amp;P Global Ratings- intensificó la cris</w:t>
      </w:r>
      <w:r>
        <w:rPr>
          <w:rFonts w:ascii="Times New Roman" w:hAnsi="Times New Roman" w:cs="Times New Roman"/>
          <w:sz w:val="24"/>
          <w:szCs w:val="24"/>
        </w:rPr>
        <w:t>is de deuda soberana de Europa.</w:t>
      </w:r>
    </w:p>
    <w:p w:rsidR="007E3D39" w:rsidRPr="00757460" w:rsidRDefault="007E3D39" w:rsidP="007E3D39">
      <w:pPr>
        <w:spacing w:line="240" w:lineRule="auto"/>
        <w:jc w:val="both"/>
        <w:rPr>
          <w:rFonts w:ascii="Times New Roman" w:hAnsi="Times New Roman" w:cs="Times New Roman"/>
          <w:sz w:val="24"/>
          <w:szCs w:val="24"/>
        </w:rPr>
      </w:pPr>
      <w:r w:rsidRPr="00757460">
        <w:rPr>
          <w:rFonts w:ascii="Times New Roman" w:hAnsi="Times New Roman" w:cs="Times New Roman"/>
          <w:sz w:val="24"/>
          <w:szCs w:val="24"/>
        </w:rPr>
        <w:t>Las agencias suelen ser precavidas</w:t>
      </w:r>
    </w:p>
    <w:p w:rsidR="007E3D39" w:rsidRPr="00757460"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57460">
        <w:rPr>
          <w:rFonts w:ascii="Times New Roman" w:hAnsi="Times New Roman" w:cs="Times New Roman"/>
          <w:sz w:val="24"/>
          <w:szCs w:val="24"/>
        </w:rPr>
        <w:t>No tienen ningún incentivo para s</w:t>
      </w:r>
      <w:r>
        <w:rPr>
          <w:rFonts w:ascii="Times New Roman" w:hAnsi="Times New Roman" w:cs="Times New Roman"/>
          <w:sz w:val="24"/>
          <w:szCs w:val="24"/>
        </w:rPr>
        <w:t>eguir rebajando la calificación”</w:t>
      </w:r>
      <w:r w:rsidRPr="00757460">
        <w:rPr>
          <w:rFonts w:ascii="Times New Roman" w:hAnsi="Times New Roman" w:cs="Times New Roman"/>
          <w:sz w:val="24"/>
          <w:szCs w:val="24"/>
        </w:rPr>
        <w:t>, comenta Zsofia Barta, profesora asociada de la Universidad de Albany y coautora de Rating Politics, un</w:t>
      </w:r>
      <w:r>
        <w:rPr>
          <w:rFonts w:ascii="Times New Roman" w:hAnsi="Times New Roman" w:cs="Times New Roman"/>
          <w:sz w:val="24"/>
          <w:szCs w:val="24"/>
        </w:rPr>
        <w:t xml:space="preserve"> libro sobre crédito soberano. “</w:t>
      </w:r>
      <w:r w:rsidRPr="00757460">
        <w:rPr>
          <w:rFonts w:ascii="Times New Roman" w:hAnsi="Times New Roman" w:cs="Times New Roman"/>
          <w:sz w:val="24"/>
          <w:szCs w:val="24"/>
        </w:rPr>
        <w:t>Lo último que quieren las agencias de calificación es una especie de espiral en la que algo asuste al mercado. No quie</w:t>
      </w:r>
      <w:r>
        <w:rPr>
          <w:rFonts w:ascii="Times New Roman" w:hAnsi="Times New Roman" w:cs="Times New Roman"/>
          <w:sz w:val="24"/>
          <w:szCs w:val="24"/>
        </w:rPr>
        <w:t>ren ser la causa del problema”.</w:t>
      </w:r>
    </w:p>
    <w:p w:rsidR="007E3D39" w:rsidRPr="00757460" w:rsidRDefault="007E3D39" w:rsidP="007E3D39">
      <w:pPr>
        <w:spacing w:line="240" w:lineRule="auto"/>
        <w:jc w:val="both"/>
        <w:rPr>
          <w:rFonts w:ascii="Times New Roman" w:hAnsi="Times New Roman" w:cs="Times New Roman"/>
          <w:sz w:val="24"/>
          <w:szCs w:val="24"/>
        </w:rPr>
      </w:pPr>
      <w:r w:rsidRPr="00757460">
        <w:rPr>
          <w:rFonts w:ascii="Times New Roman" w:hAnsi="Times New Roman" w:cs="Times New Roman"/>
          <w:sz w:val="24"/>
          <w:szCs w:val="24"/>
        </w:rPr>
        <w:t>Lo cierto es que Moody's tiene razones para rebajar la calificación de la deuda italiana. Esta agencia estableció su rating Baa3 en perspectiva negativa en agosto de 2022, citando a varios riesgos acumulados que no</w:t>
      </w:r>
      <w:r>
        <w:rPr>
          <w:rFonts w:ascii="Times New Roman" w:hAnsi="Times New Roman" w:cs="Times New Roman"/>
          <w:sz w:val="24"/>
          <w:szCs w:val="24"/>
        </w:rPr>
        <w:t xml:space="preserve"> deberían pasar desapercibidos:</w:t>
      </w:r>
    </w:p>
    <w:p w:rsidR="007E3D39" w:rsidRPr="00757460"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1. “</w:t>
      </w:r>
      <w:r w:rsidRPr="00757460">
        <w:rPr>
          <w:rFonts w:ascii="Times New Roman" w:hAnsi="Times New Roman" w:cs="Times New Roman"/>
          <w:sz w:val="24"/>
          <w:szCs w:val="24"/>
        </w:rPr>
        <w:t>Mayores riesgos de que el entorno político impida la implementación de reformas estructurales, incluidas las contenidas en el Plan Nacional de Recuper</w:t>
      </w:r>
      <w:r>
        <w:rPr>
          <w:rFonts w:ascii="Times New Roman" w:hAnsi="Times New Roman" w:cs="Times New Roman"/>
          <w:sz w:val="24"/>
          <w:szCs w:val="24"/>
        </w:rPr>
        <w:t>ación y Resiliencia de Italia”.</w:t>
      </w:r>
    </w:p>
    <w:p w:rsidR="007E3D39" w:rsidRPr="00757460"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2. “</w:t>
      </w:r>
      <w:r w:rsidRPr="00757460">
        <w:rPr>
          <w:rFonts w:ascii="Times New Roman" w:hAnsi="Times New Roman" w:cs="Times New Roman"/>
          <w:sz w:val="24"/>
          <w:szCs w:val="24"/>
        </w:rPr>
        <w:t>Mayor riesgo de que los desafíos en el suministro de energía debilite</w:t>
      </w:r>
      <w:r>
        <w:rPr>
          <w:rFonts w:ascii="Times New Roman" w:hAnsi="Times New Roman" w:cs="Times New Roman"/>
          <w:sz w:val="24"/>
          <w:szCs w:val="24"/>
        </w:rPr>
        <w:t>n las perspectivas económicas”.</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3. “</w:t>
      </w:r>
      <w:r w:rsidRPr="00757460">
        <w:rPr>
          <w:rFonts w:ascii="Times New Roman" w:hAnsi="Times New Roman" w:cs="Times New Roman"/>
          <w:sz w:val="24"/>
          <w:szCs w:val="24"/>
        </w:rPr>
        <w:t>Riesgos de que las finanzas públicas de Italia se vea aún más debilitada por un crecimiento lento, mayores costes de financiación y una disciplina fi</w:t>
      </w:r>
      <w:r>
        <w:rPr>
          <w:rFonts w:ascii="Times New Roman" w:hAnsi="Times New Roman" w:cs="Times New Roman"/>
          <w:sz w:val="24"/>
          <w:szCs w:val="24"/>
        </w:rPr>
        <w:t>scal potencialmente más débil”.</w:t>
      </w:r>
    </w:p>
    <w:p w:rsidR="007E3D39" w:rsidRPr="00757460" w:rsidRDefault="007E3D39" w:rsidP="007E3D39">
      <w:pPr>
        <w:spacing w:line="240" w:lineRule="auto"/>
        <w:jc w:val="both"/>
        <w:rPr>
          <w:rFonts w:ascii="Times New Roman" w:hAnsi="Times New Roman" w:cs="Times New Roman"/>
          <w:sz w:val="24"/>
          <w:szCs w:val="24"/>
        </w:rPr>
      </w:pPr>
      <w:proofErr w:type="spellStart"/>
      <w:r w:rsidRPr="00757460">
        <w:rPr>
          <w:rFonts w:ascii="Times New Roman" w:hAnsi="Times New Roman" w:cs="Times New Roman"/>
          <w:sz w:val="24"/>
          <w:szCs w:val="24"/>
        </w:rPr>
        <w:t>Moritz</w:t>
      </w:r>
      <w:proofErr w:type="spellEnd"/>
      <w:r w:rsidRPr="00757460">
        <w:rPr>
          <w:rFonts w:ascii="Times New Roman" w:hAnsi="Times New Roman" w:cs="Times New Roman"/>
          <w:sz w:val="24"/>
          <w:szCs w:val="24"/>
        </w:rPr>
        <w:t xml:space="preserve"> </w:t>
      </w:r>
      <w:proofErr w:type="spellStart"/>
      <w:r w:rsidRPr="00757460">
        <w:rPr>
          <w:rFonts w:ascii="Times New Roman" w:hAnsi="Times New Roman" w:cs="Times New Roman"/>
          <w:sz w:val="24"/>
          <w:szCs w:val="24"/>
        </w:rPr>
        <w:t>Kraemer</w:t>
      </w:r>
      <w:proofErr w:type="spellEnd"/>
      <w:r w:rsidRPr="00757460">
        <w:rPr>
          <w:rFonts w:ascii="Times New Roman" w:hAnsi="Times New Roman" w:cs="Times New Roman"/>
          <w:sz w:val="24"/>
          <w:szCs w:val="24"/>
        </w:rPr>
        <w:t>, que trabajó 17 años en S&amp;P Global Ratings, incluso como director global de calificaciones soberanas, duda que la compañía que solía ser su mayor rival baje del grado de inversión. Moody's ha programado una posible actualización</w:t>
      </w:r>
      <w:r>
        <w:rPr>
          <w:rFonts w:ascii="Times New Roman" w:hAnsi="Times New Roman" w:cs="Times New Roman"/>
          <w:sz w:val="24"/>
          <w:szCs w:val="24"/>
        </w:rPr>
        <w:t xml:space="preserve"> sobre el país para el viernes.</w:t>
      </w:r>
    </w:p>
    <w:p w:rsidR="007E3D39" w:rsidRPr="00757460"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757460">
        <w:rPr>
          <w:rFonts w:ascii="Times New Roman" w:hAnsi="Times New Roman" w:cs="Times New Roman"/>
          <w:sz w:val="24"/>
          <w:szCs w:val="24"/>
        </w:rPr>
        <w:t xml:space="preserve">No es un panorama halagüeño para Italia en este momento, pero todavía no es una situación en la que se podría pensar en </w:t>
      </w:r>
      <w:r>
        <w:rPr>
          <w:rFonts w:ascii="Times New Roman" w:hAnsi="Times New Roman" w:cs="Times New Roman"/>
          <w:sz w:val="24"/>
          <w:szCs w:val="24"/>
        </w:rPr>
        <w:t>rebajar al grado de bono basura”</w:t>
      </w:r>
      <w:r w:rsidRPr="00757460">
        <w:rPr>
          <w:rFonts w:ascii="Times New Roman" w:hAnsi="Times New Roman" w:cs="Times New Roman"/>
          <w:sz w:val="24"/>
          <w:szCs w:val="24"/>
        </w:rPr>
        <w:t>, asegura Kraemer, que ahora es economista jefe de LBBW en la ciudad de Stuttgart, en el suroeste de Alemania, en</w:t>
      </w:r>
      <w:r>
        <w:rPr>
          <w:rFonts w:ascii="Times New Roman" w:hAnsi="Times New Roman" w:cs="Times New Roman"/>
          <w:sz w:val="24"/>
          <w:szCs w:val="24"/>
        </w:rPr>
        <w:t xml:space="preserve"> una entrevista con Bloomberg. “</w:t>
      </w:r>
      <w:r w:rsidRPr="00757460">
        <w:rPr>
          <w:rFonts w:ascii="Times New Roman" w:hAnsi="Times New Roman" w:cs="Times New Roman"/>
          <w:sz w:val="24"/>
          <w:szCs w:val="24"/>
        </w:rPr>
        <w:t>Realmente no creo que Moody's lo haga, porque r</w:t>
      </w:r>
      <w:r>
        <w:rPr>
          <w:rFonts w:ascii="Times New Roman" w:hAnsi="Times New Roman" w:cs="Times New Roman"/>
          <w:sz w:val="24"/>
          <w:szCs w:val="24"/>
        </w:rPr>
        <w:t>ealmente no hay ninguna razón”.</w:t>
      </w:r>
    </w:p>
    <w:p w:rsidR="007E3D39" w:rsidRPr="00757460" w:rsidRDefault="007E3D39" w:rsidP="007E3D39">
      <w:pPr>
        <w:spacing w:line="240" w:lineRule="auto"/>
        <w:jc w:val="both"/>
        <w:rPr>
          <w:rFonts w:ascii="Times New Roman" w:hAnsi="Times New Roman" w:cs="Times New Roman"/>
          <w:sz w:val="24"/>
          <w:szCs w:val="24"/>
        </w:rPr>
      </w:pPr>
      <w:r w:rsidRPr="00757460">
        <w:rPr>
          <w:rFonts w:ascii="Times New Roman" w:hAnsi="Times New Roman" w:cs="Times New Roman"/>
          <w:sz w:val="24"/>
          <w:szCs w:val="24"/>
        </w:rPr>
        <w:t>A pesar de ese cambio en el perfil de las finanzas públicas, tanto Fitch Ratings como S&amp;P mantuvieron opiniones estables sobre el país, en un escalón superior a la evaluación Baa3 de Moody's: solo un paso por encima de la basura, con una perspectiva negativa. Cualquier reducción significa</w:t>
      </w:r>
      <w:r>
        <w:rPr>
          <w:rFonts w:ascii="Times New Roman" w:hAnsi="Times New Roman" w:cs="Times New Roman"/>
          <w:sz w:val="24"/>
          <w:szCs w:val="24"/>
        </w:rPr>
        <w:t>ría describir a Italia como un “riesgo crediticio sustancial”. “</w:t>
      </w:r>
      <w:r w:rsidRPr="00757460">
        <w:rPr>
          <w:rFonts w:ascii="Times New Roman" w:hAnsi="Times New Roman" w:cs="Times New Roman"/>
          <w:sz w:val="24"/>
          <w:szCs w:val="24"/>
        </w:rPr>
        <w:t>No puedo explicar có</w:t>
      </w:r>
      <w:r>
        <w:rPr>
          <w:rFonts w:ascii="Times New Roman" w:hAnsi="Times New Roman" w:cs="Times New Roman"/>
          <w:sz w:val="24"/>
          <w:szCs w:val="24"/>
        </w:rPr>
        <w:t>mo terminaron en esta situación”</w:t>
      </w:r>
      <w:r w:rsidRPr="00757460">
        <w:rPr>
          <w:rFonts w:ascii="Times New Roman" w:hAnsi="Times New Roman" w:cs="Times New Roman"/>
          <w:sz w:val="24"/>
          <w:szCs w:val="24"/>
        </w:rPr>
        <w:t>, comenta Kraem</w:t>
      </w:r>
      <w:r>
        <w:rPr>
          <w:rFonts w:ascii="Times New Roman" w:hAnsi="Times New Roman" w:cs="Times New Roman"/>
          <w:sz w:val="24"/>
          <w:szCs w:val="24"/>
        </w:rPr>
        <w:t>er. “Se han metido en un hoyo”.</w:t>
      </w:r>
    </w:p>
    <w:p w:rsidR="007E3D39" w:rsidRPr="00757460" w:rsidRDefault="007E3D39" w:rsidP="007E3D39">
      <w:pPr>
        <w:spacing w:line="240" w:lineRule="auto"/>
        <w:jc w:val="both"/>
        <w:rPr>
          <w:rFonts w:ascii="Times New Roman" w:hAnsi="Times New Roman" w:cs="Times New Roman"/>
          <w:sz w:val="24"/>
          <w:szCs w:val="24"/>
        </w:rPr>
      </w:pPr>
      <w:r w:rsidRPr="00757460">
        <w:rPr>
          <w:rFonts w:ascii="Times New Roman" w:hAnsi="Times New Roman" w:cs="Times New Roman"/>
          <w:sz w:val="24"/>
          <w:szCs w:val="24"/>
        </w:rPr>
        <w:t>Esa perspectiva se basa en su experiencia como protagonista clave detrás de escena de la crisis de deuda soberana de Europa a principios de este siglo. No obstante, pese al optimismo de Kraemer, este experto también lanz</w:t>
      </w:r>
      <w:r>
        <w:rPr>
          <w:rFonts w:ascii="Times New Roman" w:hAnsi="Times New Roman" w:cs="Times New Roman"/>
          <w:sz w:val="24"/>
          <w:szCs w:val="24"/>
        </w:rPr>
        <w:t>a la advertencia más peligrosa.</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w:t>
      </w:r>
      <w:r w:rsidRPr="00757460">
        <w:rPr>
          <w:rFonts w:ascii="Times New Roman" w:hAnsi="Times New Roman" w:cs="Times New Roman"/>
          <w:sz w:val="24"/>
          <w:szCs w:val="24"/>
        </w:rPr>
        <w:t>Todos sabemos por experiencia que si uno cae por debajo del escalón del grad</w:t>
      </w:r>
      <w:r>
        <w:rPr>
          <w:rFonts w:ascii="Times New Roman" w:hAnsi="Times New Roman" w:cs="Times New Roman"/>
          <w:sz w:val="24"/>
          <w:szCs w:val="24"/>
        </w:rPr>
        <w:t>o de inversión, sucederán cosas”, comenta Kraemer. “</w:t>
      </w:r>
      <w:r w:rsidRPr="00757460">
        <w:rPr>
          <w:rFonts w:ascii="Times New Roman" w:hAnsi="Times New Roman" w:cs="Times New Roman"/>
          <w:sz w:val="24"/>
          <w:szCs w:val="24"/>
        </w:rPr>
        <w:t>Lo vimos con Grecia, por lo que es necesario pensar antes de actuar. Pero Grecia es una cosa, Italia es otra muy distinta, basta con mirar el t</w:t>
      </w:r>
      <w:r>
        <w:rPr>
          <w:rFonts w:ascii="Times New Roman" w:hAnsi="Times New Roman" w:cs="Times New Roman"/>
          <w:sz w:val="24"/>
          <w:szCs w:val="24"/>
        </w:rPr>
        <w:t>amaño de su deuda y su economía”</w:t>
      </w:r>
      <w:r w:rsidRPr="00757460">
        <w:rPr>
          <w:rFonts w:ascii="Times New Roman" w:hAnsi="Times New Roman" w:cs="Times New Roman"/>
          <w:sz w:val="24"/>
          <w:szCs w:val="24"/>
        </w:rPr>
        <w:t>.</w:t>
      </w:r>
    </w:p>
    <w:p w:rsidR="007E3D39" w:rsidRPr="007E7F01"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E7F01">
        <w:rPr>
          <w:rFonts w:ascii="Times New Roman" w:hAnsi="Times New Roman" w:cs="Times New Roman"/>
          <w:sz w:val="24"/>
          <w:szCs w:val="24"/>
          <w:u w:val="single"/>
        </w:rPr>
        <w:t>Los cinco principales generadores de incertidumbre económica global</w:t>
      </w:r>
      <w:r>
        <w:rPr>
          <w:rFonts w:ascii="Times New Roman" w:hAnsi="Times New Roman" w:cs="Times New Roman"/>
          <w:sz w:val="24"/>
          <w:szCs w:val="24"/>
        </w:rPr>
        <w:t xml:space="preserve"> (El Economista - </w:t>
      </w:r>
      <w:r w:rsidRPr="007E7F01">
        <w:rPr>
          <w:rFonts w:ascii="Times New Roman" w:hAnsi="Times New Roman" w:cs="Times New Roman"/>
          <w:b/>
          <w:sz w:val="24"/>
          <w:szCs w:val="24"/>
        </w:rPr>
        <w:t>18/11/23</w:t>
      </w:r>
      <w:r>
        <w:rPr>
          <w:rFonts w:ascii="Times New Roman" w:hAnsi="Times New Roman" w:cs="Times New Roman"/>
          <w:sz w:val="24"/>
          <w:szCs w:val="24"/>
        </w:rPr>
        <w:t>)</w:t>
      </w:r>
    </w:p>
    <w:p w:rsidR="007E3D39" w:rsidRPr="0081337C" w:rsidRDefault="007E3D39" w:rsidP="007E3D39">
      <w:pPr>
        <w:spacing w:line="240" w:lineRule="auto"/>
        <w:jc w:val="both"/>
        <w:rPr>
          <w:rFonts w:ascii="Times New Roman" w:hAnsi="Times New Roman" w:cs="Times New Roman"/>
          <w:color w:val="FF0000"/>
          <w:sz w:val="24"/>
          <w:szCs w:val="24"/>
        </w:rPr>
      </w:pPr>
      <w:r w:rsidRPr="0081337C">
        <w:rPr>
          <w:rFonts w:ascii="Times New Roman" w:hAnsi="Times New Roman" w:cs="Times New Roman"/>
          <w:color w:val="FF0000"/>
          <w:sz w:val="24"/>
          <w:szCs w:val="24"/>
        </w:rPr>
        <w:t>Está la cuestión de quién absorberá el incremento de la emisión de deuda gubernamental</w:t>
      </w:r>
    </w:p>
    <w:p w:rsidR="007E3D39" w:rsidRPr="007E7F01"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7E7F01">
        <w:rPr>
          <w:rFonts w:ascii="Times New Roman" w:hAnsi="Times New Roman" w:cs="Times New Roman"/>
          <w:sz w:val="24"/>
          <w:szCs w:val="24"/>
        </w:rPr>
        <w:t>Mohamed A. El-Erian</w:t>
      </w:r>
      <w:r>
        <w:rPr>
          <w:rFonts w:ascii="Times New Roman" w:hAnsi="Times New Roman" w:cs="Times New Roman"/>
          <w:sz w:val="24"/>
          <w:szCs w:val="24"/>
        </w:rPr>
        <w:t>)</w:t>
      </w:r>
    </w:p>
    <w:p w:rsidR="007E3D39" w:rsidRPr="0081337C" w:rsidRDefault="007E3D39" w:rsidP="007E3D39">
      <w:pPr>
        <w:spacing w:line="240" w:lineRule="auto"/>
        <w:jc w:val="both"/>
        <w:rPr>
          <w:rFonts w:ascii="Times New Roman" w:hAnsi="Times New Roman" w:cs="Times New Roman"/>
          <w:sz w:val="24"/>
          <w:szCs w:val="24"/>
          <w:u w:val="single"/>
        </w:rPr>
      </w:pPr>
      <w:r w:rsidRPr="0081337C">
        <w:rPr>
          <w:rFonts w:ascii="Times New Roman" w:hAnsi="Times New Roman" w:cs="Times New Roman"/>
          <w:sz w:val="24"/>
          <w:szCs w:val="24"/>
          <w:u w:val="single"/>
        </w:rPr>
        <w:t>Las empresas, los Gobiernos y los inversores ya estaban navegando un paisaje global nebuloso antes de los acontecimientos trágicos que se desarrollan en Oriente Medio</w:t>
      </w:r>
      <w:r w:rsidRPr="007E7F01">
        <w:rPr>
          <w:rFonts w:ascii="Times New Roman" w:hAnsi="Times New Roman" w:cs="Times New Roman"/>
          <w:sz w:val="24"/>
          <w:szCs w:val="24"/>
        </w:rPr>
        <w:t xml:space="preserve">. Pero el conflicto horroroso entre Hamás e Israel, que ya ha producido un sufrimiento enorme y se ha cobrado miles de vidas de civiles, entre ellos muchos niños, ha introducido una nueva capa de incertidumbre para la economía global, el tema de este comentario. </w:t>
      </w:r>
      <w:r w:rsidRPr="0081337C">
        <w:rPr>
          <w:rFonts w:ascii="Times New Roman" w:hAnsi="Times New Roman" w:cs="Times New Roman"/>
          <w:sz w:val="24"/>
          <w:szCs w:val="24"/>
          <w:u w:val="single"/>
        </w:rPr>
        <w:t>Aun en el caso sumamente improbable de que la situación geopolítica mejore rápidamente en la región y otras partes, prevalecerá una profunda sensación de incertidumbre, motivada por cinco factores económicos y financieros.</w:t>
      </w:r>
    </w:p>
    <w:p w:rsidR="007E3D39" w:rsidRPr="007E7F01" w:rsidRDefault="007E3D39" w:rsidP="007E3D39">
      <w:pPr>
        <w:spacing w:line="240" w:lineRule="auto"/>
        <w:jc w:val="both"/>
        <w:rPr>
          <w:rFonts w:ascii="Times New Roman" w:hAnsi="Times New Roman" w:cs="Times New Roman"/>
          <w:sz w:val="24"/>
          <w:szCs w:val="24"/>
        </w:rPr>
      </w:pPr>
      <w:r w:rsidRPr="0081337C">
        <w:rPr>
          <w:rFonts w:ascii="Times New Roman" w:hAnsi="Times New Roman" w:cs="Times New Roman"/>
          <w:color w:val="FF0000"/>
          <w:sz w:val="24"/>
          <w:szCs w:val="24"/>
          <w:u w:val="single"/>
        </w:rPr>
        <w:t>Primero, los principales motores de crecimiento de la economía global hoy en día están bajo presión</w:t>
      </w:r>
      <w:r w:rsidRPr="007E7F01">
        <w:rPr>
          <w:rFonts w:ascii="Times New Roman" w:hAnsi="Times New Roman" w:cs="Times New Roman"/>
          <w:sz w:val="24"/>
          <w:szCs w:val="24"/>
        </w:rPr>
        <w:t xml:space="preserve">. </w:t>
      </w:r>
      <w:r w:rsidRPr="0081337C">
        <w:rPr>
          <w:rFonts w:ascii="Times New Roman" w:hAnsi="Times New Roman" w:cs="Times New Roman"/>
          <w:sz w:val="24"/>
          <w:szCs w:val="24"/>
          <w:u w:val="single"/>
        </w:rPr>
        <w:t>En un contexto en que Europa se balancea al borde de la recesión y China se estanca, la economía de Estados Unidos se ha perfilado como el principal motor de crecimiento global</w:t>
      </w:r>
      <w:r w:rsidRPr="007E7F01">
        <w:rPr>
          <w:rFonts w:ascii="Times New Roman" w:hAnsi="Times New Roman" w:cs="Times New Roman"/>
          <w:sz w:val="24"/>
          <w:szCs w:val="24"/>
        </w:rPr>
        <w:t>. Esto se volvió particularmente evidente en el tercer trimestre de 2023, cuando las estimaciones de crecimiento de Estados Unidos volvieron a impresionar.</w:t>
      </w:r>
    </w:p>
    <w:p w:rsidR="007E3D39" w:rsidRPr="007E7F01" w:rsidRDefault="007E3D39" w:rsidP="007E3D39">
      <w:pPr>
        <w:spacing w:line="240" w:lineRule="auto"/>
        <w:jc w:val="both"/>
        <w:rPr>
          <w:rFonts w:ascii="Times New Roman" w:hAnsi="Times New Roman" w:cs="Times New Roman"/>
          <w:sz w:val="24"/>
          <w:szCs w:val="24"/>
        </w:rPr>
      </w:pPr>
      <w:r w:rsidRPr="0081337C">
        <w:rPr>
          <w:rFonts w:ascii="Times New Roman" w:hAnsi="Times New Roman" w:cs="Times New Roman"/>
          <w:sz w:val="24"/>
          <w:szCs w:val="24"/>
          <w:u w:val="single"/>
        </w:rPr>
        <w:t>Sin embargo, hasta la perspectiva de crecimiento de Estados Unidos es incierta</w:t>
      </w:r>
      <w:r w:rsidRPr="007E7F01">
        <w:rPr>
          <w:rFonts w:ascii="Times New Roman" w:hAnsi="Times New Roman" w:cs="Times New Roman"/>
          <w:sz w:val="24"/>
          <w:szCs w:val="24"/>
        </w:rPr>
        <w:t xml:space="preserve">. En los últimos 15 meses, </w:t>
      </w:r>
      <w:r w:rsidRPr="0081337C">
        <w:rPr>
          <w:rFonts w:ascii="Times New Roman" w:hAnsi="Times New Roman" w:cs="Times New Roman"/>
          <w:sz w:val="24"/>
          <w:szCs w:val="24"/>
          <w:u w:val="single"/>
        </w:rPr>
        <w:t>el consenso de los analistas en torno a la dirección de la economía norteamericana ha oscilado ampliamente entre cuatro escenarios: aterrizaje suave, aterrizaje brusco, aterrizaje forzoso y no aterrizaje</w:t>
      </w:r>
      <w:r w:rsidRPr="007E7F01">
        <w:rPr>
          <w:rFonts w:ascii="Times New Roman" w:hAnsi="Times New Roman" w:cs="Times New Roman"/>
          <w:sz w:val="24"/>
          <w:szCs w:val="24"/>
        </w:rPr>
        <w:t>. Si bien la visión prevaleciente hoy es que Estados Unidos se encamina a un aterrizaje suave, los pronósticos bien pueden cambiar hacia un aterrizaje brusco en las próximas semanas.</w:t>
      </w:r>
    </w:p>
    <w:p w:rsidR="007E3D39" w:rsidRPr="0081337C" w:rsidRDefault="007E3D39" w:rsidP="007E3D39">
      <w:pPr>
        <w:spacing w:line="240" w:lineRule="auto"/>
        <w:jc w:val="both"/>
        <w:rPr>
          <w:rFonts w:ascii="Times New Roman" w:hAnsi="Times New Roman" w:cs="Times New Roman"/>
          <w:color w:val="FF0000"/>
          <w:sz w:val="24"/>
          <w:szCs w:val="24"/>
          <w:u w:val="single"/>
        </w:rPr>
      </w:pPr>
      <w:r w:rsidRPr="0081337C">
        <w:rPr>
          <w:rFonts w:ascii="Times New Roman" w:hAnsi="Times New Roman" w:cs="Times New Roman"/>
          <w:color w:val="FF0000"/>
          <w:sz w:val="24"/>
          <w:szCs w:val="24"/>
          <w:u w:val="single"/>
        </w:rPr>
        <w:t xml:space="preserve">Cuando la trayectoria de crecimiento de la mayor economía del mundo, con sus instituciones maduras y su base productiva diversificada, puede cambiar tan fácilmente, no debe sorprendernos que la incertidumbre en el resto del mundo sea aún más pronunciada. En lugar </w:t>
      </w:r>
      <w:r w:rsidRPr="0081337C">
        <w:rPr>
          <w:rFonts w:ascii="Times New Roman" w:hAnsi="Times New Roman" w:cs="Times New Roman"/>
          <w:color w:val="FF0000"/>
          <w:sz w:val="24"/>
          <w:szCs w:val="24"/>
          <w:u w:val="single"/>
        </w:rPr>
        <w:lastRenderedPageBreak/>
        <w:t>de parecerse a una distribución normal y bien delineada de potenciales desenlaces con un pico único y colas delgadas, la perspectiva global se asemeja más a una distribución multimodal con colas gruesas en ambos extremos, lo que sugiere una posibilidad más alta de episodios extremos.</w:t>
      </w:r>
    </w:p>
    <w:p w:rsidR="007E3D39" w:rsidRPr="007E7F01" w:rsidRDefault="007E3D39" w:rsidP="007E3D39">
      <w:pPr>
        <w:spacing w:line="240" w:lineRule="auto"/>
        <w:jc w:val="both"/>
        <w:rPr>
          <w:rFonts w:ascii="Times New Roman" w:hAnsi="Times New Roman" w:cs="Times New Roman"/>
          <w:sz w:val="24"/>
          <w:szCs w:val="24"/>
        </w:rPr>
      </w:pPr>
      <w:r w:rsidRPr="007E7F01">
        <w:rPr>
          <w:rFonts w:ascii="Times New Roman" w:hAnsi="Times New Roman" w:cs="Times New Roman"/>
          <w:sz w:val="24"/>
          <w:szCs w:val="24"/>
        </w:rPr>
        <w:t>Del lado positivo, como sostenemos junto con Gordon Brown, Michael Spence y Reid Lidow en nuestro nuevo libro Permacrisis, los avances en inteligencia artificial generativa, ciencias biológicas y energía limpia tienen chances de mejorar la productividad e impulsar el crecimiento potencial del PIB de manera significativa. Del otro lado de la distribución, existe el riesgo de que un conjunto de círculos viciosos agrave los efectos en cascada.</w:t>
      </w:r>
    </w:p>
    <w:p w:rsidR="007E3D39" w:rsidRPr="0081337C" w:rsidRDefault="007E3D39" w:rsidP="007E3D39">
      <w:pPr>
        <w:spacing w:line="240" w:lineRule="auto"/>
        <w:jc w:val="both"/>
        <w:rPr>
          <w:rFonts w:ascii="Times New Roman" w:hAnsi="Times New Roman" w:cs="Times New Roman"/>
          <w:color w:val="FF0000"/>
          <w:sz w:val="24"/>
          <w:szCs w:val="24"/>
          <w:u w:val="single"/>
        </w:rPr>
      </w:pPr>
      <w:r w:rsidRPr="0081337C">
        <w:rPr>
          <w:rFonts w:ascii="Times New Roman" w:hAnsi="Times New Roman" w:cs="Times New Roman"/>
          <w:color w:val="FF0000"/>
          <w:sz w:val="24"/>
          <w:szCs w:val="24"/>
          <w:u w:val="single"/>
        </w:rPr>
        <w:t>Segundo, el recorrido hacia este futuro incierto está plagado de peligros. El riesgo más inmediato es la reciente disparada de los costos de endeudamiento globales en tanto los mercados se adaptan a la posibilidad de que la Reserva Federal de Estados Unidos y otros bancos centrales importantes, tras haber aumentado las tasas de interés de manera agresiva -aunque tardíamente- para contrarrestar las tendencias inflacionarias mal diagnosticadas en un principio, mantengan tasas elevadas por un período prolongado.</w:t>
      </w:r>
    </w:p>
    <w:p w:rsidR="007E3D39" w:rsidRPr="0081337C" w:rsidRDefault="007E3D39" w:rsidP="007E3D39">
      <w:pPr>
        <w:spacing w:line="240" w:lineRule="auto"/>
        <w:jc w:val="both"/>
        <w:rPr>
          <w:rFonts w:ascii="Times New Roman" w:hAnsi="Times New Roman" w:cs="Times New Roman"/>
          <w:sz w:val="24"/>
          <w:szCs w:val="24"/>
          <w:u w:val="single"/>
        </w:rPr>
      </w:pPr>
      <w:r w:rsidRPr="0081337C">
        <w:rPr>
          <w:rFonts w:ascii="Times New Roman" w:hAnsi="Times New Roman" w:cs="Times New Roman"/>
          <w:color w:val="FF0000"/>
          <w:sz w:val="24"/>
          <w:szCs w:val="24"/>
          <w:u w:val="single"/>
        </w:rPr>
        <w:t>Tercero, la persistencia de esta perspectiva para las tasas de interés aumenta el riesgo de recesiones y turbulencia en los mercados financieros</w:t>
      </w:r>
      <w:r w:rsidRPr="0081337C">
        <w:rPr>
          <w:rFonts w:ascii="Times New Roman" w:hAnsi="Times New Roman" w:cs="Times New Roman"/>
          <w:sz w:val="24"/>
          <w:szCs w:val="24"/>
          <w:u w:val="single"/>
        </w:rPr>
        <w:t>. Vimos señales tempranas de esto en marzo cuando el mal manejo y las deficiencias de los balances en la supervisión bancaria condujeron a la quiebra de algunos bancos norteamericanos regionales.</w:t>
      </w:r>
    </w:p>
    <w:p w:rsidR="007E3D39" w:rsidRPr="0081337C" w:rsidRDefault="007E3D39" w:rsidP="007E3D39">
      <w:pPr>
        <w:spacing w:line="240" w:lineRule="auto"/>
        <w:jc w:val="both"/>
        <w:rPr>
          <w:rFonts w:ascii="Times New Roman" w:hAnsi="Times New Roman" w:cs="Times New Roman"/>
          <w:color w:val="FF0000"/>
          <w:sz w:val="24"/>
          <w:szCs w:val="24"/>
          <w:u w:val="single"/>
        </w:rPr>
      </w:pPr>
      <w:r w:rsidRPr="0081337C">
        <w:rPr>
          <w:rFonts w:ascii="Times New Roman" w:hAnsi="Times New Roman" w:cs="Times New Roman"/>
          <w:color w:val="FF0000"/>
          <w:sz w:val="24"/>
          <w:szCs w:val="24"/>
          <w:u w:val="single"/>
        </w:rPr>
        <w:t>Cuarto, la economía global y los mercados financieros clave como el de los bonos gubernamentales de referencia de Estados Unidos hoy carecen de anclajes descendientes fundamentales como el impulso del crecimiento, la confianza en las señales de la formulación de políticas y una estabilización de los flujos financieros.</w:t>
      </w:r>
    </w:p>
    <w:p w:rsidR="007E3D39" w:rsidRPr="0081337C" w:rsidRDefault="007E3D39" w:rsidP="007E3D39">
      <w:pPr>
        <w:spacing w:line="240" w:lineRule="auto"/>
        <w:jc w:val="both"/>
        <w:rPr>
          <w:rFonts w:ascii="Times New Roman" w:hAnsi="Times New Roman" w:cs="Times New Roman"/>
          <w:color w:val="FF0000"/>
          <w:sz w:val="24"/>
          <w:szCs w:val="24"/>
          <w:u w:val="single"/>
        </w:rPr>
      </w:pPr>
      <w:r w:rsidRPr="007E7F01">
        <w:rPr>
          <w:rFonts w:ascii="Times New Roman" w:hAnsi="Times New Roman" w:cs="Times New Roman"/>
          <w:sz w:val="24"/>
          <w:szCs w:val="24"/>
        </w:rPr>
        <w:t xml:space="preserve">En tanto las herramientas de la política económica se subordinan más a las consideraciones políticas y geopolíticas, la perspectiva ya débil para el crecimiento global bien puede deteriorarse. </w:t>
      </w:r>
      <w:r w:rsidRPr="0081337C">
        <w:rPr>
          <w:rFonts w:ascii="Times New Roman" w:hAnsi="Times New Roman" w:cs="Times New Roman"/>
          <w:color w:val="FF0000"/>
          <w:sz w:val="24"/>
          <w:szCs w:val="24"/>
          <w:u w:val="single"/>
        </w:rPr>
        <w:t>La política monetaria enfrenta una amenaza de credibilidad e incertidumbres estructurales genuinas respecto del nivel de equilibrio de las tasas de interés y los efectos retrasados de un ciclo de alza de tasas considerablemente concentrado. Asimismo, los balances decrecientes de los bancos centrales y la ausencia de un marco de políticas efectivo agravan el desafío de determinar las metas de inflación correctas en una economía mundial caracterizada por un lado de la oferta que no es lo suficientemente flexible.</w:t>
      </w:r>
    </w:p>
    <w:p w:rsidR="007E3D39" w:rsidRPr="0081337C" w:rsidRDefault="007E3D39" w:rsidP="007E3D39">
      <w:pPr>
        <w:spacing w:line="240" w:lineRule="auto"/>
        <w:jc w:val="both"/>
        <w:rPr>
          <w:rFonts w:ascii="Times New Roman" w:hAnsi="Times New Roman" w:cs="Times New Roman"/>
          <w:color w:val="FF0000"/>
          <w:sz w:val="24"/>
          <w:szCs w:val="24"/>
          <w:u w:val="single"/>
        </w:rPr>
      </w:pPr>
      <w:r w:rsidRPr="0081337C">
        <w:rPr>
          <w:rFonts w:ascii="Times New Roman" w:hAnsi="Times New Roman" w:cs="Times New Roman"/>
          <w:b/>
          <w:color w:val="FF0000"/>
          <w:sz w:val="24"/>
          <w:szCs w:val="24"/>
          <w:u w:val="single"/>
        </w:rPr>
        <w:t>En medio de déficits crecientes y de pagos de intereses en alza, también está la cuestión de quién absorberá el incremento significativo de la emisión de deuda gubernamental</w:t>
      </w:r>
      <w:r w:rsidRPr="007E7F01">
        <w:rPr>
          <w:rFonts w:ascii="Times New Roman" w:hAnsi="Times New Roman" w:cs="Times New Roman"/>
          <w:sz w:val="24"/>
          <w:szCs w:val="24"/>
        </w:rPr>
        <w:t xml:space="preserve">. </w:t>
      </w:r>
      <w:r w:rsidRPr="0081337C">
        <w:rPr>
          <w:rFonts w:ascii="Times New Roman" w:hAnsi="Times New Roman" w:cs="Times New Roman"/>
          <w:color w:val="FF0000"/>
          <w:sz w:val="24"/>
          <w:szCs w:val="24"/>
          <w:u w:val="single"/>
        </w:rPr>
        <w:t>Durante más de una década, la Fed ha sido el comprador más confiable de bonos gubernamentales estadounidenses, debido a sus capacidades aparentemente ilimitadas para imprimir dinero y su sensibilidad a los precios mínimos. Pero, al haberse visto forzada por la inflación y otros excesos a pasar del alivio cuantitativo al ajuste cuantitativo, la Fed hoy es un vendedor neto confiable. Los compradores internacionales también parecen más cautelosos, en parte debido a las tensiones geopolíticas. Asimismo, muchos inversores institucionales domésticos, como los fondos de pensión y las compañías de seguros, ya han acumulado tenencias de bonos significativas, incurriendo en pérdidas de mercado sustanciales.</w:t>
      </w:r>
    </w:p>
    <w:p w:rsidR="007E3D39" w:rsidRPr="0081337C" w:rsidRDefault="007E3D39" w:rsidP="007E3D39">
      <w:pPr>
        <w:spacing w:line="240" w:lineRule="auto"/>
        <w:jc w:val="both"/>
        <w:rPr>
          <w:rFonts w:ascii="Times New Roman" w:hAnsi="Times New Roman" w:cs="Times New Roman"/>
          <w:sz w:val="24"/>
          <w:szCs w:val="24"/>
          <w:u w:val="single"/>
        </w:rPr>
      </w:pPr>
      <w:r w:rsidRPr="0081337C">
        <w:rPr>
          <w:rFonts w:ascii="Times New Roman" w:hAnsi="Times New Roman" w:cs="Times New Roman"/>
          <w:sz w:val="24"/>
          <w:szCs w:val="24"/>
          <w:u w:val="single"/>
        </w:rPr>
        <w:t>Sin estos anclajes económicos, técnicos y de políticas, la economía global y los mercados de capital parecen barcos en un mar bravío e imprevisible</w:t>
      </w:r>
      <w:r w:rsidRPr="007E7F01">
        <w:rPr>
          <w:rFonts w:ascii="Times New Roman" w:hAnsi="Times New Roman" w:cs="Times New Roman"/>
          <w:sz w:val="24"/>
          <w:szCs w:val="24"/>
        </w:rPr>
        <w:t xml:space="preserve">. </w:t>
      </w:r>
      <w:r w:rsidRPr="0081337C">
        <w:rPr>
          <w:rFonts w:ascii="Times New Roman" w:hAnsi="Times New Roman" w:cs="Times New Roman"/>
          <w:color w:val="FF0000"/>
          <w:sz w:val="24"/>
          <w:szCs w:val="24"/>
          <w:u w:val="single"/>
        </w:rPr>
        <w:t>Eso nos lleva al quinto motivo de incertidumbre global: la respuesta inadecuada a crisis de largo plazo como el cambio climático y la creciente desigualdad económica.</w:t>
      </w:r>
      <w:r w:rsidRPr="007E7F01">
        <w:rPr>
          <w:rFonts w:ascii="Times New Roman" w:hAnsi="Times New Roman" w:cs="Times New Roman"/>
          <w:sz w:val="24"/>
          <w:szCs w:val="24"/>
        </w:rPr>
        <w:t xml:space="preserve"> </w:t>
      </w:r>
      <w:r w:rsidRPr="0081337C">
        <w:rPr>
          <w:rFonts w:ascii="Times New Roman" w:hAnsi="Times New Roman" w:cs="Times New Roman"/>
          <w:sz w:val="24"/>
          <w:szCs w:val="24"/>
          <w:u w:val="single"/>
        </w:rPr>
        <w:t xml:space="preserve">Cuanto más nos demoremos en afrontar estos </w:t>
      </w:r>
      <w:r w:rsidRPr="0081337C">
        <w:rPr>
          <w:rFonts w:ascii="Times New Roman" w:hAnsi="Times New Roman" w:cs="Times New Roman"/>
          <w:sz w:val="24"/>
          <w:szCs w:val="24"/>
          <w:u w:val="single"/>
        </w:rPr>
        <w:lastRenderedPageBreak/>
        <w:t>problemas, mayores serán los eventuales costos. Nuestras acciones insuficientes hoy nos garantizan que enfrentaremos obstáculos económicos y políticos más complicados en el camino.</w:t>
      </w:r>
    </w:p>
    <w:p w:rsidR="007E3D39" w:rsidRPr="007E7F01" w:rsidRDefault="007E3D39" w:rsidP="007E3D39">
      <w:pPr>
        <w:spacing w:line="240" w:lineRule="auto"/>
        <w:jc w:val="both"/>
        <w:rPr>
          <w:rFonts w:ascii="Times New Roman" w:hAnsi="Times New Roman" w:cs="Times New Roman"/>
          <w:sz w:val="24"/>
          <w:szCs w:val="24"/>
        </w:rPr>
      </w:pPr>
      <w:r w:rsidRPr="007E7F01">
        <w:rPr>
          <w:rFonts w:ascii="Times New Roman" w:hAnsi="Times New Roman" w:cs="Times New Roman"/>
          <w:sz w:val="24"/>
          <w:szCs w:val="24"/>
        </w:rPr>
        <w:t>Como escribimos en Permacrisis, el mundo de hoy se ha visto forjado por tres fracasos en curso: la repetida incapacidad para alcanzar un crecimiento consistente e inclusivo que también respete nuestro planeta, los errores recurrentes en las políticas domésticas y la constante falta de una coordinación de políticas global efectiva en un momento en el cual los desafíos compartidos exigen una acción colectiva. En conjunto, estos fracasos han tenido profundas ramificaciones económicas, financieras, institucionales, sociopolíticas y geopolíticas.</w:t>
      </w:r>
    </w:p>
    <w:p w:rsidR="007E3D39" w:rsidRDefault="007E3D39" w:rsidP="007E3D39">
      <w:pPr>
        <w:spacing w:line="240" w:lineRule="auto"/>
        <w:jc w:val="both"/>
        <w:rPr>
          <w:rFonts w:ascii="Times New Roman" w:hAnsi="Times New Roman" w:cs="Times New Roman"/>
          <w:color w:val="FF0000"/>
          <w:sz w:val="24"/>
          <w:szCs w:val="24"/>
          <w:u w:val="single"/>
        </w:rPr>
      </w:pPr>
      <w:r w:rsidRPr="0081337C">
        <w:rPr>
          <w:rFonts w:ascii="Times New Roman" w:hAnsi="Times New Roman" w:cs="Times New Roman"/>
          <w:color w:val="FF0000"/>
          <w:sz w:val="24"/>
          <w:szCs w:val="24"/>
          <w:u w:val="single"/>
        </w:rPr>
        <w:t>Esas son las malas noticias. La buena noticia es que tenemos la capacidad para resolver estos problemas y transformar los círculos viciosos de hoy en círculos virtuosos. Pero para implementar los cambios importantes necesarios para alcanzar este objetivo, necesitamos de un liderazgo político visionario a nivel nacional y de una mayor conciencia global de nuestros desafíos compartidos. A falta de este liderazgo, corremos el riesgo de dejarles a nuestros hijos y nietos un mundo plagado de inestabilidad económica y financiera, de malestar político doméstico y de turbulencia geopolítica.</w:t>
      </w:r>
    </w:p>
    <w:p w:rsidR="007E3D39" w:rsidRPr="00FD7B35"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FD7B35">
        <w:rPr>
          <w:rFonts w:ascii="Times New Roman" w:hAnsi="Times New Roman" w:cs="Times New Roman"/>
          <w:sz w:val="24"/>
          <w:szCs w:val="24"/>
          <w:u w:val="single"/>
        </w:rPr>
        <w:t>La oferta monetaria M3 se reduce al ritmo más rápido de la historia en Europa</w:t>
      </w:r>
      <w:r>
        <w:rPr>
          <w:rFonts w:ascii="Times New Roman" w:hAnsi="Times New Roman" w:cs="Times New Roman"/>
          <w:sz w:val="24"/>
          <w:szCs w:val="24"/>
        </w:rPr>
        <w:t xml:space="preserve"> (El Economista - </w:t>
      </w:r>
      <w:r w:rsidRPr="00FD7B35">
        <w:rPr>
          <w:rFonts w:ascii="Times New Roman" w:hAnsi="Times New Roman" w:cs="Times New Roman"/>
          <w:b/>
          <w:sz w:val="24"/>
          <w:szCs w:val="24"/>
        </w:rPr>
        <w:t>21/11/23</w:t>
      </w:r>
      <w:r>
        <w:rPr>
          <w:rFonts w:ascii="Times New Roman" w:hAnsi="Times New Roman" w:cs="Times New Roman"/>
          <w:sz w:val="24"/>
          <w:szCs w:val="24"/>
        </w:rPr>
        <w:t>)</w:t>
      </w:r>
    </w:p>
    <w:p w:rsidR="007E3D39" w:rsidRPr="000C0338" w:rsidRDefault="007E3D39" w:rsidP="007E3D39">
      <w:pPr>
        <w:spacing w:line="240" w:lineRule="auto"/>
        <w:jc w:val="both"/>
        <w:rPr>
          <w:rFonts w:ascii="Times New Roman" w:hAnsi="Times New Roman" w:cs="Times New Roman"/>
          <w:color w:val="FF0000"/>
          <w:sz w:val="24"/>
          <w:szCs w:val="24"/>
        </w:rPr>
      </w:pPr>
      <w:r w:rsidRPr="000C0338">
        <w:rPr>
          <w:rFonts w:ascii="Times New Roman" w:hAnsi="Times New Roman" w:cs="Times New Roman"/>
          <w:color w:val="FF0000"/>
          <w:sz w:val="24"/>
          <w:szCs w:val="24"/>
        </w:rPr>
        <w:t>El recorte de estímulos de los bancos centrales está “secando” la economía</w:t>
      </w:r>
    </w:p>
    <w:p w:rsidR="007E3D39" w:rsidRPr="000C0338" w:rsidRDefault="007E3D39" w:rsidP="007E3D39">
      <w:pPr>
        <w:spacing w:line="240" w:lineRule="auto"/>
        <w:jc w:val="both"/>
        <w:rPr>
          <w:rFonts w:ascii="Times New Roman" w:hAnsi="Times New Roman" w:cs="Times New Roman"/>
          <w:color w:val="FF0000"/>
          <w:sz w:val="24"/>
          <w:szCs w:val="24"/>
        </w:rPr>
      </w:pPr>
      <w:r w:rsidRPr="000C0338">
        <w:rPr>
          <w:rFonts w:ascii="Times New Roman" w:hAnsi="Times New Roman" w:cs="Times New Roman"/>
          <w:color w:val="FF0000"/>
          <w:sz w:val="24"/>
          <w:szCs w:val="24"/>
        </w:rPr>
        <w:t>La caída de las “murallas de vencimientos” en 2024 amenaza al crecimiento</w:t>
      </w:r>
    </w:p>
    <w:p w:rsidR="007E3D39" w:rsidRPr="00FD7B35"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FD7B35">
        <w:rPr>
          <w:rFonts w:ascii="Times New Roman" w:hAnsi="Times New Roman" w:cs="Times New Roman"/>
          <w:sz w:val="24"/>
          <w:szCs w:val="24"/>
        </w:rPr>
        <w:t>Víctor Blanco Moro</w:t>
      </w:r>
      <w:r>
        <w:rPr>
          <w:rFonts w:ascii="Times New Roman" w:hAnsi="Times New Roman" w:cs="Times New Roman"/>
          <w:sz w:val="24"/>
          <w:szCs w:val="24"/>
        </w:rPr>
        <w:t>)</w:t>
      </w:r>
    </w:p>
    <w:p w:rsidR="007E3D39" w:rsidRPr="00481570" w:rsidRDefault="007E3D39" w:rsidP="007E3D39">
      <w:pPr>
        <w:spacing w:line="240" w:lineRule="auto"/>
        <w:jc w:val="both"/>
        <w:rPr>
          <w:rFonts w:ascii="Times New Roman" w:hAnsi="Times New Roman" w:cs="Times New Roman"/>
          <w:color w:val="FF0000"/>
          <w:sz w:val="24"/>
          <w:szCs w:val="24"/>
          <w:u w:val="single"/>
        </w:rPr>
      </w:pPr>
      <w:r w:rsidRPr="00481570">
        <w:rPr>
          <w:rFonts w:ascii="Times New Roman" w:hAnsi="Times New Roman" w:cs="Times New Roman"/>
          <w:color w:val="FF0000"/>
          <w:sz w:val="24"/>
          <w:szCs w:val="24"/>
          <w:u w:val="single"/>
        </w:rPr>
        <w:t>Si el banco central ha sido el corazón de la economía desde la crisis de 2008, la oferta monetaria es la sangre que circula por sus venas, y desde el pasado mes de julio cada vez fluye en menor cantidad. Los analistas llevan meses avisando del impacto negativo que va a tener en el crecimiento, la subida de tipos a un ritmo acelerado por parte de los bancos centrales, y el desmantelamiento del balance de activos que han construido en los últimos años. Este proceso ha llevado a la oferta monetaria (M3) a contraerse al ritmo más rápido de la historia de la zona euro, y a caer por primera vez en 74 años en Estados Unidos, un indicador adelantado que parece anticipar una recesión en los próximos meses.</w:t>
      </w:r>
    </w:p>
    <w:p w:rsidR="007E3D39" w:rsidRPr="00FD7B35" w:rsidRDefault="007E3D39" w:rsidP="007E3D39">
      <w:pPr>
        <w:spacing w:line="240" w:lineRule="auto"/>
        <w:jc w:val="both"/>
        <w:rPr>
          <w:rFonts w:ascii="Times New Roman" w:hAnsi="Times New Roman" w:cs="Times New Roman"/>
          <w:sz w:val="24"/>
          <w:szCs w:val="24"/>
        </w:rPr>
      </w:pPr>
      <w:r w:rsidRPr="00481570">
        <w:rPr>
          <w:rFonts w:ascii="Times New Roman" w:hAnsi="Times New Roman" w:cs="Times New Roman"/>
          <w:b/>
          <w:color w:val="FF0000"/>
          <w:sz w:val="24"/>
          <w:szCs w:val="24"/>
          <w:u w:val="single"/>
        </w:rPr>
        <w:t>El impacto de los cambios que se producen en la oferta monetaria se deja notar en la economía con cierto retraso, recalentando la actividad en un mercado cuando se incrementan mucho los agregados monetarios, lo que termina generando inflación, y causando un frenazo en el crecimiento, o incluso recesión, cuando estos se contraen por las políticas de los bancos centrales.</w:t>
      </w:r>
      <w:r w:rsidRPr="00481570">
        <w:rPr>
          <w:rFonts w:ascii="Times New Roman" w:hAnsi="Times New Roman" w:cs="Times New Roman"/>
          <w:color w:val="FF0000"/>
          <w:sz w:val="24"/>
          <w:szCs w:val="24"/>
        </w:rPr>
        <w:t xml:space="preserve"> </w:t>
      </w:r>
      <w:r w:rsidRPr="00FD7B35">
        <w:rPr>
          <w:rFonts w:ascii="Times New Roman" w:hAnsi="Times New Roman" w:cs="Times New Roman"/>
          <w:sz w:val="24"/>
          <w:szCs w:val="24"/>
        </w:rPr>
        <w:t>Con la oferta monetaria M3 (dentro de las que recoge el BCE es la que más componentes tiene en cuenta) contrayéndose a un ritmo del 1,2% en este momento, hay analistas que avisan de que la economía no aguantará mucho tiempo sin caer en una recesión.</w:t>
      </w:r>
    </w:p>
    <w:p w:rsidR="007E3D39" w:rsidRPr="00FD7B35" w:rsidRDefault="007E3D39" w:rsidP="007E3D39">
      <w:pPr>
        <w:spacing w:line="240" w:lineRule="auto"/>
        <w:jc w:val="both"/>
        <w:rPr>
          <w:rFonts w:ascii="Times New Roman" w:hAnsi="Times New Roman" w:cs="Times New Roman"/>
          <w:sz w:val="24"/>
          <w:szCs w:val="24"/>
        </w:rPr>
      </w:pPr>
      <w:r w:rsidRPr="00FD7B35">
        <w:rPr>
          <w:rFonts w:ascii="Times New Roman" w:hAnsi="Times New Roman" w:cs="Times New Roman"/>
          <w:sz w:val="24"/>
          <w:szCs w:val="24"/>
        </w:rPr>
        <w:t>Los avisos de una recesión</w:t>
      </w:r>
    </w:p>
    <w:p w:rsidR="007E3D39" w:rsidRPr="00FD7B35" w:rsidRDefault="007E3D39" w:rsidP="007E3D39">
      <w:pPr>
        <w:spacing w:line="240" w:lineRule="auto"/>
        <w:jc w:val="both"/>
        <w:rPr>
          <w:rFonts w:ascii="Times New Roman" w:hAnsi="Times New Roman" w:cs="Times New Roman"/>
          <w:sz w:val="24"/>
          <w:szCs w:val="24"/>
        </w:rPr>
      </w:pPr>
      <w:r w:rsidRPr="00481570">
        <w:rPr>
          <w:rFonts w:ascii="Times New Roman" w:hAnsi="Times New Roman" w:cs="Times New Roman"/>
          <w:color w:val="FF0000"/>
          <w:sz w:val="24"/>
          <w:szCs w:val="24"/>
          <w:u w:val="single"/>
        </w:rPr>
        <w:t xml:space="preserve">Uno de los economistas monetaristas de más prestigio, Tim Congdon, asesor del gobierno británico durante los años 1993 y 1997, ha señalado este año de que “la Fed, el BCE y el Banco de Inglaterra son los culpables de la alta inflación que están sufriendo las economías”, y avisa de que “también serán los responsables de las recesiones que van a llegar a partir de </w:t>
      </w:r>
      <w:r w:rsidRPr="00481570">
        <w:rPr>
          <w:rFonts w:ascii="Times New Roman" w:hAnsi="Times New Roman" w:cs="Times New Roman"/>
          <w:color w:val="FF0000"/>
          <w:sz w:val="24"/>
          <w:szCs w:val="24"/>
          <w:u w:val="single"/>
        </w:rPr>
        <w:lastRenderedPageBreak/>
        <w:t>mediados de 2023”</w:t>
      </w:r>
      <w:r>
        <w:rPr>
          <w:rFonts w:ascii="Times New Roman" w:hAnsi="Times New Roman" w:cs="Times New Roman"/>
          <w:sz w:val="24"/>
          <w:szCs w:val="24"/>
        </w:rPr>
        <w:t>. A su juicio, “</w:t>
      </w:r>
      <w:r w:rsidRPr="00FD7B35">
        <w:rPr>
          <w:rFonts w:ascii="Times New Roman" w:hAnsi="Times New Roman" w:cs="Times New Roman"/>
          <w:sz w:val="24"/>
          <w:szCs w:val="24"/>
        </w:rPr>
        <w:t>la cantidad de dinero en circulación debe estar en el panel de control de los bancos centrales. Si no lo está, los banqueros centrales serán tan peligrosos como un ciudadano</w:t>
      </w:r>
      <w:r>
        <w:rPr>
          <w:rFonts w:ascii="Times New Roman" w:hAnsi="Times New Roman" w:cs="Times New Roman"/>
          <w:sz w:val="24"/>
          <w:szCs w:val="24"/>
        </w:rPr>
        <w:t xml:space="preserve"> que conduce sin un velocímetro”</w:t>
      </w:r>
      <w:r w:rsidRPr="00FD7B35">
        <w:rPr>
          <w:rFonts w:ascii="Times New Roman" w:hAnsi="Times New Roman" w:cs="Times New Roman"/>
          <w:sz w:val="24"/>
          <w:szCs w:val="24"/>
        </w:rPr>
        <w:t>, avisa Congdon.</w:t>
      </w:r>
    </w:p>
    <w:p w:rsidR="007E3D39" w:rsidRPr="00481570" w:rsidRDefault="007E3D39" w:rsidP="007E3D39">
      <w:pPr>
        <w:spacing w:line="240" w:lineRule="auto"/>
        <w:jc w:val="both"/>
        <w:rPr>
          <w:rFonts w:ascii="Times New Roman" w:hAnsi="Times New Roman" w:cs="Times New Roman"/>
          <w:color w:val="FF0000"/>
          <w:sz w:val="24"/>
          <w:szCs w:val="24"/>
          <w:u w:val="single"/>
        </w:rPr>
      </w:pPr>
      <w:r w:rsidRPr="00481570">
        <w:rPr>
          <w:rFonts w:ascii="Times New Roman" w:hAnsi="Times New Roman" w:cs="Times New Roman"/>
          <w:color w:val="FF0000"/>
          <w:sz w:val="24"/>
          <w:szCs w:val="24"/>
          <w:u w:val="single"/>
        </w:rPr>
        <w:t>Felipe Villaroel, gestor de carteras en TwentyFour AM, coincide: “La creación (o destrucción) de dinero es un concepto importante, aunque no sencillo, que, en nuestra opinión, ha tenido mucho que ver con la parte del problema de la inflación al que se enfrenta hoy el mundo, impulsada por la demanda”, señala.</w:t>
      </w:r>
    </w:p>
    <w:p w:rsidR="007E3D39" w:rsidRPr="00481570" w:rsidRDefault="007E3D39" w:rsidP="007E3D39">
      <w:pPr>
        <w:spacing w:line="240" w:lineRule="auto"/>
        <w:jc w:val="both"/>
        <w:rPr>
          <w:rFonts w:ascii="Times New Roman" w:hAnsi="Times New Roman" w:cs="Times New Roman"/>
          <w:color w:val="FF0000"/>
          <w:sz w:val="24"/>
          <w:szCs w:val="24"/>
          <w:u w:val="single"/>
        </w:rPr>
      </w:pPr>
      <w:r w:rsidRPr="00481570">
        <w:rPr>
          <w:rFonts w:ascii="Times New Roman" w:hAnsi="Times New Roman" w:cs="Times New Roman"/>
          <w:color w:val="FF0000"/>
          <w:sz w:val="24"/>
          <w:szCs w:val="24"/>
          <w:u w:val="single"/>
        </w:rPr>
        <w:t>El economista jefe de la gestora Janus Henderson, Simon Ward</w:t>
      </w:r>
      <w:r w:rsidRPr="00FD7B35">
        <w:rPr>
          <w:rFonts w:ascii="Times New Roman" w:hAnsi="Times New Roman" w:cs="Times New Roman"/>
          <w:sz w:val="24"/>
          <w:szCs w:val="24"/>
        </w:rPr>
        <w:t xml:space="preserve">, también se encuentra entre el grupo de monetaristas que avisan del frenazo económico que están anticipando estos indicadores adelantados. </w:t>
      </w:r>
      <w:r w:rsidRPr="00481570">
        <w:rPr>
          <w:rFonts w:ascii="Times New Roman" w:hAnsi="Times New Roman" w:cs="Times New Roman"/>
          <w:color w:val="FF0000"/>
          <w:sz w:val="24"/>
          <w:szCs w:val="24"/>
          <w:u w:val="single"/>
        </w:rPr>
        <w:t>Para él, la oferta monetaria termina contagiándose a la economía real con el tiempo, primero a través de los indicadores de actividad PMI, y posteriormente llegando hasta la economía real y el dato de PIB. Y para él, “los bancos centrales deben recuperar el crecimiento monetario positivo. Los monetaristas han ganado en la competición de previsiones de inflación, pero los banqueros centrales reclaman que fue por casualidad. Ahora, vamos a por la revancha: si los bancos centrales vuelven a perder y nos caemos en una situación de recesión o deflación, ¿reconocerán finalmente su error?”, se pregunta Ward.</w:t>
      </w:r>
    </w:p>
    <w:p w:rsidR="007E3D39" w:rsidRPr="00FD7B35" w:rsidRDefault="007E3D39" w:rsidP="007E3D39">
      <w:pPr>
        <w:spacing w:line="240" w:lineRule="auto"/>
        <w:jc w:val="both"/>
        <w:rPr>
          <w:rFonts w:ascii="Times New Roman" w:hAnsi="Times New Roman" w:cs="Times New Roman"/>
          <w:sz w:val="24"/>
          <w:szCs w:val="24"/>
        </w:rPr>
      </w:pPr>
      <w:r w:rsidRPr="00FD7B35">
        <w:rPr>
          <w:rFonts w:ascii="Times New Roman" w:hAnsi="Times New Roman" w:cs="Times New Roman"/>
          <w:noProof/>
          <w:sz w:val="24"/>
          <w:szCs w:val="24"/>
          <w:lang w:eastAsia="es-ES"/>
        </w:rPr>
        <w:drawing>
          <wp:inline distT="0" distB="0" distL="0" distR="0" wp14:anchorId="349C7CB6" wp14:editId="7269134D">
            <wp:extent cx="5676900" cy="3308350"/>
            <wp:effectExtent l="0" t="0" r="0" b="6350"/>
            <wp:docPr id="116" name="Imagen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674386" cy="3306885"/>
                    </a:xfrm>
                    <a:prstGeom prst="rect">
                      <a:avLst/>
                    </a:prstGeom>
                  </pic:spPr>
                </pic:pic>
              </a:graphicData>
            </a:graphic>
          </wp:inline>
        </w:drawing>
      </w:r>
    </w:p>
    <w:p w:rsidR="007E3D39" w:rsidRPr="00481570" w:rsidRDefault="007E3D39" w:rsidP="007E3D39">
      <w:pPr>
        <w:spacing w:line="240" w:lineRule="auto"/>
        <w:jc w:val="both"/>
        <w:rPr>
          <w:rFonts w:ascii="Times New Roman" w:hAnsi="Times New Roman" w:cs="Times New Roman"/>
          <w:color w:val="FF0000"/>
          <w:sz w:val="24"/>
          <w:szCs w:val="24"/>
          <w:u w:val="single"/>
        </w:rPr>
      </w:pPr>
      <w:r w:rsidRPr="00481570">
        <w:rPr>
          <w:rFonts w:ascii="Times New Roman" w:hAnsi="Times New Roman" w:cs="Times New Roman"/>
          <w:color w:val="FF0000"/>
          <w:sz w:val="24"/>
          <w:szCs w:val="24"/>
          <w:u w:val="single"/>
        </w:rPr>
        <w:t>En su opinión, esto es lo que se está jugando en este momento la economía: una recesión, estancamiento y el peligro de caer una situación de deflación, los miedos que había antes de que los bancos centrales inundasen la economía con estímulos sin precedentes tras la llegada de la pandemia de Covid-19. “El crecimiento de la oferta monetaria en Reino Unido y la zona euro están muy por debajo de las medias de la década de 2010”, algo que “es extremadamente preocupante y sugiere una recesión, desinflación y deflación”, avisa.</w:t>
      </w:r>
    </w:p>
    <w:p w:rsidR="007E3D39" w:rsidRDefault="007E3D39" w:rsidP="007E3D39">
      <w:pPr>
        <w:spacing w:line="240" w:lineRule="auto"/>
        <w:jc w:val="both"/>
        <w:rPr>
          <w:rFonts w:ascii="Times New Roman" w:hAnsi="Times New Roman" w:cs="Times New Roman"/>
          <w:sz w:val="24"/>
          <w:szCs w:val="24"/>
        </w:rPr>
      </w:pPr>
      <w:r w:rsidRPr="00FD7B35">
        <w:rPr>
          <w:rFonts w:ascii="Times New Roman" w:hAnsi="Times New Roman" w:cs="Times New Roman"/>
          <w:sz w:val="24"/>
          <w:szCs w:val="24"/>
        </w:rPr>
        <w:t>De hecho, desde mediados de este año los indicadores adelantados PMI ya están apuntando a una contracción en la actividad económica, que, sin embargo, todavía no se habría dejado sentir con toda la virulencia con la que puede llegar. El PMI compuesto (combina el sector manufacturero con el de los servicios) se mueve ahora en los 46,5 puntos (por debajo de 50 puntos indica contracción), el nivel más bajo que se ha visto desde finales de 2</w:t>
      </w:r>
      <w:r>
        <w:rPr>
          <w:rFonts w:ascii="Times New Roman" w:hAnsi="Times New Roman" w:cs="Times New Roman"/>
          <w:sz w:val="24"/>
          <w:szCs w:val="24"/>
        </w:rPr>
        <w:t>020, en plena crisis del Covid.</w:t>
      </w:r>
    </w:p>
    <w:p w:rsidR="007E3D39" w:rsidRPr="00FD7B35" w:rsidRDefault="007E3D39" w:rsidP="007E3D39">
      <w:pPr>
        <w:spacing w:line="240" w:lineRule="auto"/>
        <w:jc w:val="both"/>
        <w:rPr>
          <w:rFonts w:ascii="Times New Roman" w:hAnsi="Times New Roman" w:cs="Times New Roman"/>
          <w:sz w:val="24"/>
          <w:szCs w:val="24"/>
        </w:rPr>
      </w:pPr>
      <w:r w:rsidRPr="00FD7B35">
        <w:rPr>
          <w:rFonts w:ascii="Times New Roman" w:hAnsi="Times New Roman" w:cs="Times New Roman"/>
          <w:noProof/>
          <w:sz w:val="24"/>
          <w:szCs w:val="24"/>
          <w:lang w:eastAsia="es-ES"/>
        </w:rPr>
        <w:lastRenderedPageBreak/>
        <w:drawing>
          <wp:inline distT="0" distB="0" distL="0" distR="0" wp14:anchorId="33926636" wp14:editId="1267E6CF">
            <wp:extent cx="5676900" cy="3098800"/>
            <wp:effectExtent l="0" t="0" r="0" b="6350"/>
            <wp:docPr id="118" name="Imagen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5681075" cy="3101079"/>
                    </a:xfrm>
                    <a:prstGeom prst="rect">
                      <a:avLst/>
                    </a:prstGeom>
                  </pic:spPr>
                </pic:pic>
              </a:graphicData>
            </a:graphic>
          </wp:inline>
        </w:drawing>
      </w:r>
    </w:p>
    <w:p w:rsidR="007E3D39" w:rsidRPr="00481570" w:rsidRDefault="007E3D39" w:rsidP="007E3D39">
      <w:pPr>
        <w:spacing w:line="240" w:lineRule="auto"/>
        <w:jc w:val="both"/>
        <w:rPr>
          <w:rFonts w:ascii="Times New Roman" w:hAnsi="Times New Roman" w:cs="Times New Roman"/>
          <w:color w:val="FF0000"/>
          <w:sz w:val="24"/>
          <w:szCs w:val="24"/>
          <w:u w:val="single"/>
        </w:rPr>
      </w:pPr>
      <w:r w:rsidRPr="00481570">
        <w:rPr>
          <w:rFonts w:ascii="Times New Roman" w:hAnsi="Times New Roman" w:cs="Times New Roman"/>
          <w:color w:val="FF0000"/>
          <w:sz w:val="24"/>
          <w:szCs w:val="24"/>
          <w:u w:val="single"/>
        </w:rPr>
        <w:t>Thomas Hempell, responsable de estudios macroeconómicos y de mercado en Generali Investments coincide al señalar cómo “la falta de confianza y los datos monetarios, con el indicador M3 bajando un 1,1% interanual, hacen más probable una recesión liderada por Alemania”.</w:t>
      </w:r>
    </w:p>
    <w:p w:rsidR="007E3D39" w:rsidRPr="00FD7B35" w:rsidRDefault="007E3D39" w:rsidP="007E3D39">
      <w:pPr>
        <w:spacing w:line="240" w:lineRule="auto"/>
        <w:jc w:val="both"/>
        <w:rPr>
          <w:rFonts w:ascii="Times New Roman" w:hAnsi="Times New Roman" w:cs="Times New Roman"/>
          <w:sz w:val="24"/>
          <w:szCs w:val="24"/>
        </w:rPr>
      </w:pPr>
      <w:r w:rsidRPr="00FD7B35">
        <w:rPr>
          <w:rFonts w:ascii="Times New Roman" w:hAnsi="Times New Roman" w:cs="Times New Roman"/>
          <w:sz w:val="24"/>
          <w:szCs w:val="24"/>
        </w:rPr>
        <w:t>La muralla de deuda y su caída en 2024</w:t>
      </w:r>
    </w:p>
    <w:p w:rsidR="007E3D39" w:rsidRPr="00481570" w:rsidRDefault="007E3D39" w:rsidP="007E3D39">
      <w:pPr>
        <w:spacing w:line="240" w:lineRule="auto"/>
        <w:jc w:val="both"/>
        <w:rPr>
          <w:rFonts w:ascii="Times New Roman" w:hAnsi="Times New Roman" w:cs="Times New Roman"/>
          <w:sz w:val="24"/>
          <w:szCs w:val="24"/>
          <w:u w:val="single"/>
        </w:rPr>
      </w:pPr>
      <w:r w:rsidRPr="00481570">
        <w:rPr>
          <w:rFonts w:ascii="Times New Roman" w:hAnsi="Times New Roman" w:cs="Times New Roman"/>
          <w:sz w:val="24"/>
          <w:szCs w:val="24"/>
          <w:u w:val="single"/>
        </w:rPr>
        <w:t>Para muchos economistas ha sido una sorpresa ver cómo Estados Unidos aguantaba el año 2023 sin caer en una recesión. Los datos macroeconómicos invitaban a que se produjese una contracción en el crecimiento este año, pero, por el momento, la economía estadounidense está aguantando mejor de lo que se esperaba a principios del ejercicio. El apoyo de la Fed al sector bancario cuando estalló la crisis en marzo, y la muralla de vencimientos de la deuda, que todavía no se ha desmontado, son las dos claves.</w:t>
      </w:r>
    </w:p>
    <w:p w:rsidR="007E3D39" w:rsidRPr="00481570" w:rsidRDefault="007E3D39" w:rsidP="007E3D39">
      <w:pPr>
        <w:spacing w:line="240" w:lineRule="auto"/>
        <w:jc w:val="both"/>
        <w:rPr>
          <w:rFonts w:ascii="Times New Roman" w:hAnsi="Times New Roman" w:cs="Times New Roman"/>
          <w:color w:val="FF0000"/>
          <w:sz w:val="24"/>
          <w:szCs w:val="24"/>
          <w:u w:val="single"/>
        </w:rPr>
      </w:pPr>
      <w:r w:rsidRPr="00481570">
        <w:rPr>
          <w:rFonts w:ascii="Times New Roman" w:hAnsi="Times New Roman" w:cs="Times New Roman"/>
          <w:color w:val="FF0000"/>
          <w:sz w:val="24"/>
          <w:szCs w:val="24"/>
          <w:u w:val="single"/>
        </w:rPr>
        <w:t>Daniel Lacalle, economista jefe de Tressis, explica cómo la Reserva Federal se ha guardado un as en la manga, y cómo está consiguiendo sostener el crecimiento de la primera economía del mundo en los últimos meses. “Si ahora miras los agregados monetarios, es incuestionable que nos estaríamos metiendo ya en una recesión segura. Y además, “una muy fuerte”, destaca, pero destaca un factor que no se está teniendo en cuenta: “La oferta monetaria no incluye los préstamos al sistema interbancario, las inyecciones de liquidez que ha dado la Fed a los bancos en la ventana de descuento. Esta se ha disparado masivamente”, explica.</w:t>
      </w:r>
    </w:p>
    <w:p w:rsidR="007E3D39" w:rsidRPr="00481570" w:rsidRDefault="007E3D39" w:rsidP="007E3D39">
      <w:pPr>
        <w:spacing w:line="240" w:lineRule="auto"/>
        <w:jc w:val="both"/>
        <w:rPr>
          <w:rFonts w:ascii="Times New Roman" w:hAnsi="Times New Roman" w:cs="Times New Roman"/>
          <w:sz w:val="24"/>
          <w:szCs w:val="24"/>
          <w:u w:val="single"/>
        </w:rPr>
      </w:pPr>
      <w:r w:rsidRPr="00481570">
        <w:rPr>
          <w:rFonts w:ascii="Times New Roman" w:hAnsi="Times New Roman" w:cs="Times New Roman"/>
          <w:color w:val="FF0000"/>
          <w:sz w:val="24"/>
          <w:szCs w:val="24"/>
          <w:u w:val="single"/>
        </w:rPr>
        <w:t>El dato es muy significativo: si bien la oferta monetaria se ha reducido en Estados Unidos un 10,4% desde septiembre de 2022 hasta el mismo mes de este año en sus componentes más líquidos (M1), y un 3,58% en el mismo periodo para la oferta monetaria M2, está caída se ha visto parcialmente compensada por el incremento de los préstamos a los bancos por parte de la Fed</w:t>
      </w:r>
      <w:r w:rsidRPr="00FD7B35">
        <w:rPr>
          <w:rFonts w:ascii="Times New Roman" w:hAnsi="Times New Roman" w:cs="Times New Roman"/>
          <w:sz w:val="24"/>
          <w:szCs w:val="24"/>
        </w:rPr>
        <w:t xml:space="preserve">. </w:t>
      </w:r>
      <w:r w:rsidRPr="00481570">
        <w:rPr>
          <w:rFonts w:ascii="Times New Roman" w:hAnsi="Times New Roman" w:cs="Times New Roman"/>
          <w:sz w:val="24"/>
          <w:szCs w:val="24"/>
          <w:u w:val="single"/>
        </w:rPr>
        <w:t>El aumento en este sentido ha sido vertiginoso: en febrero de 2023, justo antes de que surgiese la crisis bancaria de SVB, los préstamos a la banca de la Fed alcanzaban los 15.605 millones de dólares; en apenas un mes saltaron hasta superar los 215.000 millones. La cifra llegó a ser de 307.190 millones de dólares en mayo, y el pasado septiembre cayó hasta los 222.000 millones de dólares.</w:t>
      </w:r>
    </w:p>
    <w:p w:rsidR="007E3D39" w:rsidRPr="00481570" w:rsidRDefault="007E3D39" w:rsidP="007E3D39">
      <w:pPr>
        <w:spacing w:line="240" w:lineRule="auto"/>
        <w:jc w:val="both"/>
        <w:rPr>
          <w:rFonts w:ascii="Times New Roman" w:hAnsi="Times New Roman" w:cs="Times New Roman"/>
          <w:color w:val="FF0000"/>
          <w:sz w:val="24"/>
          <w:szCs w:val="24"/>
          <w:u w:val="single"/>
        </w:rPr>
      </w:pPr>
      <w:r w:rsidRPr="00FD7B35">
        <w:rPr>
          <w:rFonts w:ascii="Times New Roman" w:hAnsi="Times New Roman" w:cs="Times New Roman"/>
          <w:sz w:val="24"/>
          <w:szCs w:val="24"/>
        </w:rPr>
        <w:lastRenderedPageBreak/>
        <w:t>Además del apoyo que ha tenido la economía por parte de la Fed, que consiguió evitar que la crisis bancaria de marzo tuviese consecuencias sistémicas, la estructura de vencimientos de la deuda habría sido el otro gran aliado que ha conseguido evitar</w:t>
      </w:r>
      <w:r>
        <w:rPr>
          <w:rFonts w:ascii="Times New Roman" w:hAnsi="Times New Roman" w:cs="Times New Roman"/>
          <w:sz w:val="24"/>
          <w:szCs w:val="24"/>
        </w:rPr>
        <w:t xml:space="preserve"> la crisis hasta este momento. </w:t>
      </w:r>
      <w:r w:rsidRPr="00481570">
        <w:rPr>
          <w:rFonts w:ascii="Times New Roman" w:hAnsi="Times New Roman" w:cs="Times New Roman"/>
          <w:color w:val="FF0000"/>
          <w:sz w:val="24"/>
          <w:szCs w:val="24"/>
          <w:u w:val="single"/>
        </w:rPr>
        <w:t>“El PIB está siendo sostenido por el exceso de deuda, y por eso, mientras los indicadores de oferta de crédito dan unas cifras que indicarían una fortísima recesión, es posible que esto se quede en un estancamiento”, explica Lacalle.</w:t>
      </w:r>
    </w:p>
    <w:p w:rsidR="007E3D39" w:rsidRDefault="007E3D39" w:rsidP="007E3D39">
      <w:pPr>
        <w:spacing w:line="240" w:lineRule="auto"/>
        <w:jc w:val="both"/>
        <w:rPr>
          <w:rFonts w:ascii="Times New Roman" w:hAnsi="Times New Roman" w:cs="Times New Roman"/>
          <w:color w:val="FF0000"/>
          <w:sz w:val="24"/>
          <w:szCs w:val="24"/>
          <w:u w:val="single"/>
        </w:rPr>
      </w:pPr>
      <w:r w:rsidRPr="00097245">
        <w:rPr>
          <w:rFonts w:ascii="Times New Roman" w:hAnsi="Times New Roman" w:cs="Times New Roman"/>
          <w:color w:val="FF0000"/>
          <w:sz w:val="24"/>
          <w:szCs w:val="24"/>
          <w:u w:val="single"/>
        </w:rPr>
        <w:t>“En 2023 aún no ha ocurrido porque hay una enorme muralla de deuda protegiendo a la economía, por los años del dinero barato. Pero esta muralla de deuda vence en 2024 y 2025: la combinación de una oferta monetaria en caída y de estos vencimientos, con EEUU refinanciando el año que viene 7 billones de dólares en deuda, lo hace todo mucho más complicado”, reconoce. “Habrá que ver qué va a pasar el año que viene, cuando nos enfrentemos a la caída de esa muralla de vencimientos”, avisa Lacalle.</w:t>
      </w:r>
    </w:p>
    <w:p w:rsidR="000C0338" w:rsidRPr="00733E04" w:rsidRDefault="000C0338" w:rsidP="000C033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733E04">
        <w:rPr>
          <w:rFonts w:ascii="Times New Roman" w:hAnsi="Times New Roman" w:cs="Times New Roman"/>
          <w:sz w:val="24"/>
          <w:szCs w:val="24"/>
          <w:u w:val="single"/>
        </w:rPr>
        <w:t>La historia muestra que los países pueden bajar de una montaña de deuda, pero esta vez será más difícil</w:t>
      </w:r>
      <w:r>
        <w:rPr>
          <w:rFonts w:ascii="Times New Roman" w:hAnsi="Times New Roman" w:cs="Times New Roman"/>
          <w:sz w:val="24"/>
          <w:szCs w:val="24"/>
        </w:rPr>
        <w:t xml:space="preserve"> (El Economista - </w:t>
      </w:r>
      <w:r w:rsidRPr="00733E04">
        <w:rPr>
          <w:rFonts w:ascii="Times New Roman" w:hAnsi="Times New Roman" w:cs="Times New Roman"/>
          <w:b/>
          <w:sz w:val="24"/>
          <w:szCs w:val="24"/>
        </w:rPr>
        <w:t>22/11/23</w:t>
      </w:r>
      <w:r>
        <w:rPr>
          <w:rFonts w:ascii="Times New Roman" w:hAnsi="Times New Roman" w:cs="Times New Roman"/>
          <w:sz w:val="24"/>
          <w:szCs w:val="24"/>
        </w:rPr>
        <w:t>)</w:t>
      </w:r>
    </w:p>
    <w:p w:rsidR="000C0338" w:rsidRPr="005F42E9" w:rsidRDefault="000C0338" w:rsidP="000C0338">
      <w:pPr>
        <w:spacing w:line="240" w:lineRule="auto"/>
        <w:jc w:val="both"/>
        <w:rPr>
          <w:rFonts w:ascii="Times New Roman" w:hAnsi="Times New Roman" w:cs="Times New Roman"/>
          <w:color w:val="FF0000"/>
          <w:sz w:val="24"/>
          <w:szCs w:val="24"/>
        </w:rPr>
      </w:pPr>
      <w:r w:rsidRPr="005F42E9">
        <w:rPr>
          <w:rFonts w:ascii="Times New Roman" w:hAnsi="Times New Roman" w:cs="Times New Roman"/>
          <w:color w:val="FF0000"/>
          <w:sz w:val="24"/>
          <w:szCs w:val="24"/>
        </w:rPr>
        <w:t>La deuda pública alcanza sus niveles más altos desde la Segunda Guerra Mundial</w:t>
      </w:r>
    </w:p>
    <w:p w:rsidR="000C0338" w:rsidRPr="005F42E9" w:rsidRDefault="000C0338" w:rsidP="000C0338">
      <w:pPr>
        <w:spacing w:line="240" w:lineRule="auto"/>
        <w:jc w:val="both"/>
        <w:rPr>
          <w:rFonts w:ascii="Times New Roman" w:hAnsi="Times New Roman" w:cs="Times New Roman"/>
          <w:color w:val="FF0000"/>
          <w:sz w:val="24"/>
          <w:szCs w:val="24"/>
        </w:rPr>
      </w:pPr>
      <w:r w:rsidRPr="005F42E9">
        <w:rPr>
          <w:rFonts w:ascii="Times New Roman" w:hAnsi="Times New Roman" w:cs="Times New Roman"/>
          <w:color w:val="FF0000"/>
          <w:sz w:val="24"/>
          <w:szCs w:val="24"/>
        </w:rPr>
        <w:t xml:space="preserve">EEUU y Reino Unido </w:t>
      </w:r>
      <w:r>
        <w:rPr>
          <w:rFonts w:ascii="Times New Roman" w:hAnsi="Times New Roman" w:cs="Times New Roman"/>
          <w:color w:val="FF0000"/>
          <w:sz w:val="24"/>
          <w:szCs w:val="24"/>
        </w:rPr>
        <w:t>lograron recortar con éxito su “montaña”</w:t>
      </w:r>
      <w:r w:rsidRPr="005F42E9">
        <w:rPr>
          <w:rFonts w:ascii="Times New Roman" w:hAnsi="Times New Roman" w:cs="Times New Roman"/>
          <w:color w:val="FF0000"/>
          <w:sz w:val="24"/>
          <w:szCs w:val="24"/>
        </w:rPr>
        <w:t xml:space="preserve"> en los siglos XIX y XX</w:t>
      </w:r>
    </w:p>
    <w:p w:rsidR="000C0338" w:rsidRPr="005F42E9" w:rsidRDefault="000C0338" w:rsidP="000C0338">
      <w:pPr>
        <w:spacing w:line="240" w:lineRule="auto"/>
        <w:jc w:val="both"/>
        <w:rPr>
          <w:rFonts w:ascii="Times New Roman" w:hAnsi="Times New Roman" w:cs="Times New Roman"/>
          <w:color w:val="FF0000"/>
          <w:sz w:val="24"/>
          <w:szCs w:val="24"/>
        </w:rPr>
      </w:pPr>
      <w:r w:rsidRPr="005F42E9">
        <w:rPr>
          <w:rFonts w:ascii="Times New Roman" w:hAnsi="Times New Roman" w:cs="Times New Roman"/>
          <w:color w:val="FF0000"/>
          <w:sz w:val="24"/>
          <w:szCs w:val="24"/>
        </w:rPr>
        <w:t>El crecimiento, los déficits y el actual contexto económico no ayudarán ahora</w:t>
      </w:r>
    </w:p>
    <w:p w:rsidR="000C0338" w:rsidRPr="00733E04" w:rsidRDefault="000C0338" w:rsidP="000C0338">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733E04">
        <w:rPr>
          <w:rFonts w:ascii="Times New Roman" w:hAnsi="Times New Roman" w:cs="Times New Roman"/>
          <w:sz w:val="24"/>
          <w:szCs w:val="24"/>
        </w:rPr>
        <w:t>Mario Becedas</w:t>
      </w:r>
      <w:r>
        <w:rPr>
          <w:rFonts w:ascii="Times New Roman" w:hAnsi="Times New Roman" w:cs="Times New Roman"/>
          <w:sz w:val="24"/>
          <w:szCs w:val="24"/>
        </w:rPr>
        <w:t>)</w:t>
      </w:r>
    </w:p>
    <w:p w:rsidR="000C0338" w:rsidRPr="005F42E9" w:rsidRDefault="000C0338" w:rsidP="000C0338">
      <w:pPr>
        <w:spacing w:line="240" w:lineRule="auto"/>
        <w:jc w:val="both"/>
        <w:rPr>
          <w:rFonts w:ascii="Times New Roman" w:hAnsi="Times New Roman" w:cs="Times New Roman"/>
          <w:b/>
          <w:color w:val="FF0000"/>
          <w:sz w:val="24"/>
          <w:szCs w:val="24"/>
          <w:u w:val="single"/>
        </w:rPr>
      </w:pPr>
      <w:r w:rsidRPr="005F42E9">
        <w:rPr>
          <w:rFonts w:ascii="Times New Roman" w:hAnsi="Times New Roman" w:cs="Times New Roman"/>
          <w:b/>
          <w:color w:val="FF0000"/>
          <w:sz w:val="24"/>
          <w:szCs w:val="24"/>
          <w:u w:val="single"/>
        </w:rPr>
        <w:t>El uso masivo de la política fiscal en la crisis financiera mundial posterior a 2007 y durante la pandemia de covid (no es barato levantar la economía) ha disparado la deuda pública, con unos ratios de endeudamiento que han alcanzado sus niveles más altos desde la Segunda Guerra Mundial. La historia demuestra que los países han conseguido bajar de esta montaña de deuda en anteriores ocasiones, pero todo apunta a que eso será más difícil esta vez. Entre otros motivos, el crecimiento no será el mismo, se antoja difícil bajar los déficits y la llamada represión financiera no es tan factible como antaño.</w:t>
      </w:r>
    </w:p>
    <w:p w:rsidR="000C0338" w:rsidRPr="00733E04" w:rsidRDefault="000C0338" w:rsidP="000C0338">
      <w:pPr>
        <w:spacing w:line="240" w:lineRule="auto"/>
        <w:jc w:val="both"/>
        <w:rPr>
          <w:rFonts w:ascii="Times New Roman" w:hAnsi="Times New Roman" w:cs="Times New Roman"/>
          <w:sz w:val="24"/>
          <w:szCs w:val="24"/>
        </w:rPr>
      </w:pPr>
      <w:r w:rsidRPr="005F42E9">
        <w:rPr>
          <w:rFonts w:ascii="Times New Roman" w:hAnsi="Times New Roman" w:cs="Times New Roman"/>
          <w:sz w:val="24"/>
          <w:szCs w:val="24"/>
          <w:u w:val="single"/>
        </w:rPr>
        <w:t>Mirando al pasado, los casos de Reino Unido y EEUU son especialmente significativos</w:t>
      </w:r>
      <w:r w:rsidRPr="00733E04">
        <w:rPr>
          <w:rFonts w:ascii="Times New Roman" w:hAnsi="Times New Roman" w:cs="Times New Roman"/>
          <w:sz w:val="24"/>
          <w:szCs w:val="24"/>
        </w:rPr>
        <w:t>, subraya en un informe reciente Bernd Weidensteiner, economista de Commerzbank. En el Reino Unido, la ratio de endeudamiento (la relación entre la deuda pública y el Producto Interior Bruto) inmediatamente después de la Segunda Guerra Mundial superaba el 250% del PIB. En el siglo XIX, la ratio también era el doble de la actual, en torno al 200% pocos años después de la victoria sobre Napoleón. Sin embargo, los británicos consiguieron reducir su ratio de deuda en ambas ocasiones. En el siglo XIX, la consolidación fue un proceso largo. La ratio de deuda descendió de forma relativamente constante desde su punto álgido en 1823 hasta 1913. En estos 90 años, el gobierno británico consiguió reducir la ra</w:t>
      </w:r>
      <w:r>
        <w:rPr>
          <w:rFonts w:ascii="Times New Roman" w:hAnsi="Times New Roman" w:cs="Times New Roman"/>
          <w:sz w:val="24"/>
          <w:szCs w:val="24"/>
        </w:rPr>
        <w:t>tio por debajo del 30% del PIB.</w:t>
      </w:r>
    </w:p>
    <w:p w:rsidR="000C0338" w:rsidRPr="00733E04" w:rsidRDefault="000C0338" w:rsidP="000C0338">
      <w:pPr>
        <w:spacing w:line="240" w:lineRule="auto"/>
        <w:jc w:val="both"/>
        <w:rPr>
          <w:rFonts w:ascii="Times New Roman" w:hAnsi="Times New Roman" w:cs="Times New Roman"/>
          <w:sz w:val="24"/>
          <w:szCs w:val="24"/>
        </w:rPr>
      </w:pPr>
      <w:r w:rsidRPr="005F42E9">
        <w:rPr>
          <w:rFonts w:ascii="Times New Roman" w:hAnsi="Times New Roman" w:cs="Times New Roman"/>
          <w:sz w:val="24"/>
          <w:szCs w:val="24"/>
          <w:u w:val="single"/>
        </w:rPr>
        <w:t>¿Cómo se logró este saneamiento de las finanzas públicas?</w:t>
      </w:r>
      <w:r>
        <w:rPr>
          <w:rFonts w:ascii="Times New Roman" w:hAnsi="Times New Roman" w:cs="Times New Roman"/>
          <w:sz w:val="24"/>
          <w:szCs w:val="24"/>
        </w:rPr>
        <w:t xml:space="preserve"> “</w:t>
      </w:r>
      <w:r w:rsidRPr="00733E04">
        <w:rPr>
          <w:rFonts w:ascii="Times New Roman" w:hAnsi="Times New Roman" w:cs="Times New Roman"/>
          <w:sz w:val="24"/>
          <w:szCs w:val="24"/>
        </w:rPr>
        <w:t>El reembolso de la deuda acumulada no fue, desde luego, la razón principal. En 1823, el nivel de deuda era de 883 millones de libras (en dinero de hoy, sería unas 100 veces más en términos nominales) y 30 años después seguía rondando los 800 millones de libras. Al Tesoro británico tampoco le ayudó la inflación, ya que los precios se mantuvieron estables en general en el siglo XIX. Tanto en términos nominales como reales, la deuda pend</w:t>
      </w:r>
      <w:r>
        <w:rPr>
          <w:rFonts w:ascii="Times New Roman" w:hAnsi="Times New Roman" w:cs="Times New Roman"/>
          <w:sz w:val="24"/>
          <w:szCs w:val="24"/>
        </w:rPr>
        <w:t>iente disminuyó muy lentamente”</w:t>
      </w:r>
      <w:r w:rsidRPr="00733E04">
        <w:rPr>
          <w:rFonts w:ascii="Times New Roman" w:hAnsi="Times New Roman" w:cs="Times New Roman"/>
          <w:sz w:val="24"/>
          <w:szCs w:val="24"/>
        </w:rPr>
        <w:t>, explica Weidensteiner.</w:t>
      </w:r>
    </w:p>
    <w:p w:rsidR="000C0338" w:rsidRPr="00733E04" w:rsidRDefault="000C0338" w:rsidP="000C0338">
      <w:pPr>
        <w:spacing w:line="240" w:lineRule="auto"/>
        <w:jc w:val="both"/>
        <w:rPr>
          <w:rFonts w:ascii="Times New Roman" w:hAnsi="Times New Roman" w:cs="Times New Roman"/>
          <w:sz w:val="24"/>
          <w:szCs w:val="24"/>
        </w:rPr>
      </w:pPr>
      <w:r w:rsidRPr="00733E04">
        <w:rPr>
          <w:rFonts w:ascii="Times New Roman" w:hAnsi="Times New Roman" w:cs="Times New Roman"/>
          <w:sz w:val="24"/>
          <w:szCs w:val="24"/>
        </w:rPr>
        <w:lastRenderedPageBreak/>
        <w:t xml:space="preserve">Por lo tanto, </w:t>
      </w:r>
      <w:r w:rsidRPr="005F42E9">
        <w:rPr>
          <w:rFonts w:ascii="Times New Roman" w:hAnsi="Times New Roman" w:cs="Times New Roman"/>
          <w:sz w:val="24"/>
          <w:szCs w:val="24"/>
          <w:u w:val="single"/>
        </w:rPr>
        <w:t>deduce el economista, la principal razón del constante descenso de la ratio de deuda fue el crecimiento económico real: “La economía británica se multiplicó por seis entre 1823 y 1913, lo que significó que el denominador de la ratio de la deuda pública aumentó significativamente a pesar de la estabilidad de los precios y la carga de la deuda se aligeró constantemente”.</w:t>
      </w:r>
    </w:p>
    <w:p w:rsidR="000C0338" w:rsidRPr="00733E04" w:rsidRDefault="000C0338" w:rsidP="000C0338">
      <w:pPr>
        <w:spacing w:line="240" w:lineRule="auto"/>
        <w:jc w:val="both"/>
        <w:rPr>
          <w:rFonts w:ascii="Times New Roman" w:hAnsi="Times New Roman" w:cs="Times New Roman"/>
          <w:sz w:val="24"/>
          <w:szCs w:val="24"/>
        </w:rPr>
      </w:pPr>
      <w:r w:rsidRPr="005F42E9">
        <w:rPr>
          <w:rFonts w:ascii="Times New Roman" w:hAnsi="Times New Roman" w:cs="Times New Roman"/>
          <w:sz w:val="24"/>
          <w:szCs w:val="24"/>
          <w:u w:val="single"/>
        </w:rPr>
        <w:t>En el particular de EEUU, la ratio de endeudamiento se sitúa ahora en torno al 120% del PIB, pero poco antes del inicio de la gran crisis financiera rondaba el 60% del PIB. El país se enfrentó a un problema similar tras la Segunda Guerra Mundial: la ratio de deuda había aumentado del 38,6% del PIB al 121,2% del PIB entre el año fiscal 1941</w:t>
      </w:r>
      <w:r w:rsidRPr="00733E04">
        <w:rPr>
          <w:rFonts w:ascii="Times New Roman" w:hAnsi="Times New Roman" w:cs="Times New Roman"/>
          <w:sz w:val="24"/>
          <w:szCs w:val="24"/>
        </w:rPr>
        <w:t xml:space="preserve"> (que finalizó el 30 de junio de 1941 y fue, por tanto, el último año de paz para EEUU) y 1946. Los estadounidenses consiguieron reducir el ratio de deuda con una rapidez inesperada. Tan sólo diez años después, en 1956, la ratio se situaba en torno al 60%, a pesar de que EEUU tuvo que financiar otro conflicto, la gue</w:t>
      </w:r>
      <w:r>
        <w:rPr>
          <w:rFonts w:ascii="Times New Roman" w:hAnsi="Times New Roman" w:cs="Times New Roman"/>
          <w:sz w:val="24"/>
          <w:szCs w:val="24"/>
        </w:rPr>
        <w:t>rra de Corea entre 1951 y 1953.</w:t>
      </w:r>
    </w:p>
    <w:p w:rsidR="000C0338" w:rsidRDefault="000C0338" w:rsidP="000C0338">
      <w:pPr>
        <w:spacing w:line="240" w:lineRule="auto"/>
        <w:jc w:val="both"/>
        <w:rPr>
          <w:rFonts w:ascii="Times New Roman" w:hAnsi="Times New Roman" w:cs="Times New Roman"/>
          <w:sz w:val="24"/>
          <w:szCs w:val="24"/>
          <w:u w:val="single"/>
        </w:rPr>
      </w:pPr>
      <w:r>
        <w:rPr>
          <w:rFonts w:ascii="Times New Roman" w:hAnsi="Times New Roman" w:cs="Times New Roman"/>
          <w:sz w:val="24"/>
          <w:szCs w:val="24"/>
        </w:rPr>
        <w:t>“</w:t>
      </w:r>
      <w:r w:rsidRPr="00733E04">
        <w:rPr>
          <w:rFonts w:ascii="Times New Roman" w:hAnsi="Times New Roman" w:cs="Times New Roman"/>
          <w:sz w:val="24"/>
          <w:szCs w:val="24"/>
        </w:rPr>
        <w:t xml:space="preserve">Solo en los primeros años después de la guerra se reembolsaron las deudas en pequeña medida. A partir de 1948, el presupuesto volvió a ser deficitario, es decir, se contrajeron nuevas deudas. </w:t>
      </w:r>
      <w:r w:rsidRPr="005F42E9">
        <w:rPr>
          <w:rFonts w:ascii="Times New Roman" w:hAnsi="Times New Roman" w:cs="Times New Roman"/>
          <w:sz w:val="24"/>
          <w:szCs w:val="24"/>
          <w:u w:val="single"/>
        </w:rPr>
        <w:t>Sin embargo, el aumento en los veinte años hasta 1966 fue muy bajo, apenas inferior al 1% anual. Esto se debió a que las finanzas del gobierno federal estadounidense eran sólidas en comparación con las actuales, con déficits medios del 0,5% del PIB en el cuarto de siglo posterior a la Segunda Guerra Mundial. En cambio, el denominador de la ratio de deuda, el PIB, aumentó considerablemente. Y esto se debió en gran parte al fuerte crecimiento real de casi el 4% anual. La tasa de inflación (aquí: el deflactor del PIB) se situó en torno al 2,5%. Por tanto, la inflación desempeñó un papel mayor que en el caso de la consolidación británica en el siglo XIX, pero no el papel principal que se le suele atribuir”, ilustra Weidensteiner.</w:t>
      </w:r>
    </w:p>
    <w:p w:rsidR="000C0338" w:rsidRDefault="000C0338" w:rsidP="000C0338">
      <w:pPr>
        <w:spacing w:line="240" w:lineRule="auto"/>
        <w:jc w:val="both"/>
        <w:rPr>
          <w:rFonts w:ascii="Times New Roman" w:hAnsi="Times New Roman" w:cs="Times New Roman"/>
          <w:sz w:val="24"/>
          <w:szCs w:val="24"/>
        </w:rPr>
      </w:pPr>
      <w:r>
        <w:rPr>
          <w:noProof/>
          <w:lang w:eastAsia="es-ES"/>
        </w:rPr>
        <w:drawing>
          <wp:inline distT="0" distB="0" distL="0" distR="0" wp14:anchorId="50070566" wp14:editId="3866FFCF">
            <wp:extent cx="5727700" cy="2857500"/>
            <wp:effectExtent l="0" t="0" r="6350" b="0"/>
            <wp:docPr id="145" name="Imagen 145" descr="https://s03.s3c.es/imag/_v0/2310x1500/4/e/4/221123_Deuda_RUnid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s03.s3c.es/imag/_v0/2310x1500/4/e/4/221123_Deuda_RUnido.gif"/>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5731510" cy="2859401"/>
                    </a:xfrm>
                    <a:prstGeom prst="rect">
                      <a:avLst/>
                    </a:prstGeom>
                    <a:noFill/>
                    <a:ln>
                      <a:noFill/>
                    </a:ln>
                  </pic:spPr>
                </pic:pic>
              </a:graphicData>
            </a:graphic>
          </wp:inline>
        </w:drawing>
      </w:r>
    </w:p>
    <w:p w:rsidR="000C0338" w:rsidRPr="000C0338" w:rsidRDefault="000C0338" w:rsidP="000C0338">
      <w:pPr>
        <w:spacing w:line="240" w:lineRule="auto"/>
        <w:jc w:val="both"/>
        <w:rPr>
          <w:rFonts w:ascii="Times New Roman" w:hAnsi="Times New Roman" w:cs="Times New Roman"/>
          <w:sz w:val="24"/>
          <w:szCs w:val="24"/>
          <w:u w:val="single"/>
        </w:rPr>
      </w:pPr>
      <w:r w:rsidRPr="00733E04">
        <w:rPr>
          <w:rFonts w:ascii="Times New Roman" w:hAnsi="Times New Roman" w:cs="Times New Roman"/>
          <w:sz w:val="24"/>
          <w:szCs w:val="24"/>
        </w:rPr>
        <w:t>La ratio de deuda siguió bajando hasta 1974, cuando alcanzó su punto más bajo con un 30%. Sin embargo, el periodo de 1966 a 1974 se caracterizó por una elevada inflación, con un deflactor medio del 5%. Al mismo tiempo, la deuda volvió a aumentar bruscamente, también un 5% anual. Esto refleja el elevado gasto público y el impacto de la recesión de 1970. Por lo tanto, la fase de altas tasas de inflación en este periodo de consolidación sólo estuvo acompañada de una disminución moderada de la ratio de deu</w:t>
      </w:r>
      <w:r>
        <w:rPr>
          <w:rFonts w:ascii="Times New Roman" w:hAnsi="Times New Roman" w:cs="Times New Roman"/>
          <w:sz w:val="24"/>
          <w:szCs w:val="24"/>
        </w:rPr>
        <w:t>da, que rondaba el 40% en 1966.</w:t>
      </w:r>
    </w:p>
    <w:p w:rsidR="000C0338" w:rsidRPr="00733E04" w:rsidRDefault="000C0338" w:rsidP="000C0338">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w:t>
      </w:r>
      <w:r w:rsidRPr="00733E04">
        <w:rPr>
          <w:rFonts w:ascii="Times New Roman" w:hAnsi="Times New Roman" w:cs="Times New Roman"/>
          <w:sz w:val="24"/>
          <w:szCs w:val="24"/>
        </w:rPr>
        <w:t xml:space="preserve">Además del elevado crecimiento, el saneamiento de las finanzas públicas también se vio favorecido por el hecho de que el gobierno estadounidense mantuvo bajos los pagos de intereses durante varios años mediante todo tipo de regulaciones y con la ayuda de la Reserva Federal (represión financiera). Por lo tanto, </w:t>
      </w:r>
      <w:r w:rsidRPr="0090313D">
        <w:rPr>
          <w:rFonts w:ascii="Times New Roman" w:hAnsi="Times New Roman" w:cs="Times New Roman"/>
          <w:sz w:val="24"/>
          <w:szCs w:val="24"/>
          <w:u w:val="single"/>
        </w:rPr>
        <w:t>los acreedores del gobierno tuvieron que contentarse con un rendimiento bastante bajo. Los tipos de interés realizados fueron sólo ligeramente superiores a cero entre 1945 y 1965. En 1945, un bono del Estado estadounidense a largo plazo rendía una media del 2,4%. Sin embargo, la tasa de inflación media anual en los diez años siguientes fue del 4,1%. Como resultado, el rendimiento real de este bono fue de menos 1,7%", continúa el experto.</w:t>
      </w:r>
    </w:p>
    <w:p w:rsidR="000C0338" w:rsidRPr="0090313D" w:rsidRDefault="000C0338" w:rsidP="000C0338">
      <w:pPr>
        <w:spacing w:line="240" w:lineRule="auto"/>
        <w:jc w:val="both"/>
        <w:rPr>
          <w:rFonts w:ascii="Times New Roman" w:hAnsi="Times New Roman" w:cs="Times New Roman"/>
          <w:color w:val="FF0000"/>
          <w:sz w:val="24"/>
          <w:szCs w:val="24"/>
          <w:u w:val="single"/>
        </w:rPr>
      </w:pPr>
      <w:r w:rsidRPr="0090313D">
        <w:rPr>
          <w:rFonts w:ascii="Times New Roman" w:hAnsi="Times New Roman" w:cs="Times New Roman"/>
          <w:color w:val="FF0000"/>
          <w:sz w:val="24"/>
          <w:szCs w:val="24"/>
          <w:u w:val="single"/>
        </w:rPr>
        <w:t>Para ampliar el concepto de represión financiera avanzada por el analista de Commerzbank, baste la definición hecha por la conocida economista Carmen Reinhart en un artículo del Fondo Monetario Internacional (FMI): “La represión financiera ocurre cuando hay políticas que canalizan hacia el gobierno fondos que en un mercado desregulado habrían tomado otra dirección; por ejemplo, préstamos obligados de públicos nacionales cautivos (como fondos de pensiones o bancos nacionales) al gobierno, topes explícitos o implícitos a los tipos de interés, regulación de la circulación transfronteriza de capitales y (en un plano general) una conexión más estrecha entre el gobierno y los bancos, ya sea explícitamente mediante la participación pública en el capital de un banco o mediante una “persuasión moral” intensa”.</w:t>
      </w:r>
    </w:p>
    <w:p w:rsidR="000C0338" w:rsidRPr="00733E04" w:rsidRDefault="000C0338" w:rsidP="000C0338">
      <w:pPr>
        <w:spacing w:line="240" w:lineRule="auto"/>
        <w:jc w:val="both"/>
        <w:rPr>
          <w:rFonts w:ascii="Times New Roman" w:hAnsi="Times New Roman" w:cs="Times New Roman"/>
          <w:sz w:val="24"/>
          <w:szCs w:val="24"/>
        </w:rPr>
      </w:pPr>
      <w:r w:rsidRPr="0090313D">
        <w:rPr>
          <w:rFonts w:ascii="Times New Roman" w:hAnsi="Times New Roman" w:cs="Times New Roman"/>
          <w:color w:val="FF0000"/>
          <w:sz w:val="24"/>
          <w:szCs w:val="24"/>
          <w:u w:val="single"/>
        </w:rPr>
        <w:t>La cuestión, incide Weidensteiner, es que la deuda pública casi nunca se reembolsa, ni siquiera tras periodos de crisis y gastos especiales financiados con deuda, como guerras, pandemias o recesiones: “Para que sea más fácil soportar la carga de la deuda una vez contraída, el denominador del coeficiente de endeudamiento es, por tanto, importante. La inflación no es la panacea para aumentar el PIB nominal</w:t>
      </w:r>
      <w:r w:rsidRPr="00733E04">
        <w:rPr>
          <w:rFonts w:ascii="Times New Roman" w:hAnsi="Times New Roman" w:cs="Times New Roman"/>
          <w:sz w:val="24"/>
          <w:szCs w:val="24"/>
        </w:rPr>
        <w:t>. Como demostró la década de 1970, una inflación masiva hace subir los tipos de interés, lo que dificulta la consolidación. Sin embargo, el presupuesto nacional puede contr</w:t>
      </w:r>
      <w:r>
        <w:rPr>
          <w:rFonts w:ascii="Times New Roman" w:hAnsi="Times New Roman" w:cs="Times New Roman"/>
          <w:sz w:val="24"/>
          <w:szCs w:val="24"/>
        </w:rPr>
        <w:t>olarse aunque baje la inflación”</w:t>
      </w:r>
      <w:r w:rsidRPr="00733E04">
        <w:rPr>
          <w:rFonts w:ascii="Times New Roman" w:hAnsi="Times New Roman" w:cs="Times New Roman"/>
          <w:sz w:val="24"/>
          <w:szCs w:val="24"/>
        </w:rPr>
        <w:t>. Un ejemplo de ello lo encuentra en la década de 1990, cuando la ratio de deuda de EEUU se redujo con éxito del 64% del PIB en el ejercicio fiscal 1993 a alrededor del 54% en el ejercicio fiscal 2001. A ello contribuyó la significativa aceleración del crecimiento económico real, mientr</w:t>
      </w:r>
      <w:r>
        <w:rPr>
          <w:rFonts w:ascii="Times New Roman" w:hAnsi="Times New Roman" w:cs="Times New Roman"/>
          <w:sz w:val="24"/>
          <w:szCs w:val="24"/>
        </w:rPr>
        <w:t>as que la inflación descendió”.</w:t>
      </w:r>
    </w:p>
    <w:p w:rsidR="000C0338" w:rsidRPr="0090313D" w:rsidRDefault="000C0338" w:rsidP="000C0338">
      <w:pPr>
        <w:spacing w:line="240" w:lineRule="auto"/>
        <w:jc w:val="both"/>
        <w:rPr>
          <w:rFonts w:ascii="Times New Roman" w:hAnsi="Times New Roman" w:cs="Times New Roman"/>
          <w:b/>
          <w:color w:val="FF0000"/>
          <w:sz w:val="24"/>
          <w:szCs w:val="24"/>
          <w:u w:val="single"/>
        </w:rPr>
      </w:pPr>
      <w:r w:rsidRPr="0090313D">
        <w:rPr>
          <w:rFonts w:ascii="Times New Roman" w:hAnsi="Times New Roman" w:cs="Times New Roman"/>
          <w:b/>
          <w:color w:val="FF0000"/>
          <w:sz w:val="24"/>
          <w:szCs w:val="24"/>
          <w:u w:val="single"/>
        </w:rPr>
        <w:t>El gran problema viene al aplicar al presente estas lecciones del pasado. El economista de Commerzbank tiene claro que la mejor ayuda para la consolidación sería un crecimiento (real) elevado. El denominador de la ratio de deuda aumentaría significativamente sin los efectos negativos de una inflación acelerada. Sin embargo, señala para el caso de EEUU, todas las proyecciones actuales muestran que la economía estadounidense puede crecer como mucho un 1,75% anual a largo plazo, probablemente más bien un 1,5%. Por lo tanto, admite, no cabe esperar una rápida reducción del ratio de deuda, como ocurrió tras la Segunda Guerra Mundial.</w:t>
      </w:r>
    </w:p>
    <w:p w:rsidR="000C0338" w:rsidRPr="0090313D" w:rsidRDefault="000C0338" w:rsidP="000C0338">
      <w:pPr>
        <w:spacing w:line="240" w:lineRule="auto"/>
        <w:jc w:val="both"/>
        <w:rPr>
          <w:rFonts w:ascii="Times New Roman" w:hAnsi="Times New Roman" w:cs="Times New Roman"/>
          <w:color w:val="FF0000"/>
          <w:sz w:val="24"/>
          <w:szCs w:val="24"/>
          <w:u w:val="single"/>
        </w:rPr>
      </w:pPr>
      <w:r w:rsidRPr="0090313D">
        <w:rPr>
          <w:rFonts w:ascii="Times New Roman" w:hAnsi="Times New Roman" w:cs="Times New Roman"/>
          <w:color w:val="FF0000"/>
          <w:sz w:val="24"/>
          <w:szCs w:val="24"/>
          <w:u w:val="single"/>
        </w:rPr>
        <w:t>Este escenario, apunta, obligaría a los gobiernos a verse en la tesitura de recurrir a la represión financiera para, al menos, hacer más soportable la carga de los intereses. No obstante, reconoce que esto es más difícil de aplicar en las circunstancias actuales de un mercado financiero globalizado que en los años posteriores a la contienda mundial. Lo que queda es una reducción significativa de los déficits. Pero esto se ve contrarrestado, termina, por la fuerte presión sobre el gasto debida al envejecimiento de la sociedad, que podría verse exacerbada por un aumento presumiblemente significativo del gasto en defensa. Y vuelve al ejemplo de EEUU, donde se espera que persistan déficits del orden del 6-7% del PIB.</w:t>
      </w:r>
    </w:p>
    <w:p w:rsidR="000C0338" w:rsidRPr="0090313D" w:rsidRDefault="000C0338" w:rsidP="000C0338">
      <w:pPr>
        <w:spacing w:line="240" w:lineRule="auto"/>
        <w:jc w:val="both"/>
        <w:rPr>
          <w:rFonts w:ascii="Times New Roman" w:hAnsi="Times New Roman" w:cs="Times New Roman"/>
          <w:color w:val="FF0000"/>
          <w:sz w:val="24"/>
          <w:szCs w:val="24"/>
          <w:u w:val="single"/>
        </w:rPr>
      </w:pPr>
      <w:r w:rsidRPr="0090313D">
        <w:rPr>
          <w:rFonts w:ascii="Times New Roman" w:hAnsi="Times New Roman" w:cs="Times New Roman"/>
          <w:color w:val="FF0000"/>
          <w:sz w:val="24"/>
          <w:szCs w:val="24"/>
          <w:u w:val="single"/>
        </w:rPr>
        <w:lastRenderedPageBreak/>
        <w:t>El escenario actual tampoco le parece el idóneo a Vicky Redwood, asesora económica sénior de Capital Economics. “Los cambios en las perspectivas a largo plazo de los tipos de interés en relación con el crecimiento del PIB han hecho que la situación presupuestaria de la mayoría de las economías desarrolladas parezca más precaria. A menos que los gobiernos consigan reducir sus considerables déficits primarios, es probable que aumente la preocupación de los mercados por la sostenibilidad de la deuda del sector público, lo que podría empujar a algunos países de nuevo a la represión financiera para mantener los tipos de interés artificialmente bajos”, arranca una nota suya para clientes de esta semana.</w:t>
      </w:r>
    </w:p>
    <w:p w:rsidR="000C0338" w:rsidRPr="0090313D" w:rsidRDefault="000C0338" w:rsidP="000C0338">
      <w:pPr>
        <w:spacing w:line="240" w:lineRule="auto"/>
        <w:jc w:val="both"/>
        <w:rPr>
          <w:rFonts w:ascii="Times New Roman" w:hAnsi="Times New Roman" w:cs="Times New Roman"/>
          <w:b/>
          <w:color w:val="FF0000"/>
          <w:sz w:val="24"/>
          <w:szCs w:val="24"/>
          <w:u w:val="single"/>
        </w:rPr>
      </w:pPr>
      <w:r w:rsidRPr="0090313D">
        <w:rPr>
          <w:rFonts w:ascii="Times New Roman" w:hAnsi="Times New Roman" w:cs="Times New Roman"/>
          <w:b/>
          <w:color w:val="FF0000"/>
          <w:sz w:val="24"/>
          <w:szCs w:val="24"/>
          <w:u w:val="single"/>
        </w:rPr>
        <w:t>Durante la última década o dos, explica Redwood, la caída de los rendimientos de los bonos a tasas muy bajas en relación con el crecimiento del PIB nominal significó que las economías desarrolladas fueron capaces de mantener estables los ratios de deuda pública en relación con el PIB, incluso mientras registraban pequeños déficits primarios. En general, agrega, se esperaba que este diferencial negativo entre los tipos de interés y el crecimiento persistiera indefinidamente, lo que significaba que la preocupación por los elevados niveles de deuda del sector público prácticamente había desaparecido. Sin embargo, todo eso ahora ha cambiado y el reciente aumento de los rendimientos de los bonos ha vuelto a poner la sostenibilidad de la deuda pública en el centro de atención.</w:t>
      </w:r>
    </w:p>
    <w:p w:rsidR="000C0338" w:rsidRPr="0090313D" w:rsidRDefault="000C0338" w:rsidP="000C0338">
      <w:pPr>
        <w:spacing w:line="240" w:lineRule="auto"/>
        <w:jc w:val="both"/>
        <w:rPr>
          <w:rFonts w:ascii="Times New Roman" w:hAnsi="Times New Roman" w:cs="Times New Roman"/>
          <w:color w:val="FF0000"/>
          <w:sz w:val="24"/>
          <w:szCs w:val="24"/>
          <w:u w:val="single"/>
        </w:rPr>
      </w:pPr>
      <w:r w:rsidRPr="0090313D">
        <w:rPr>
          <w:rFonts w:ascii="Times New Roman" w:hAnsi="Times New Roman" w:cs="Times New Roman"/>
          <w:color w:val="FF0000"/>
          <w:sz w:val="24"/>
          <w:szCs w:val="24"/>
          <w:u w:val="single"/>
        </w:rPr>
        <w:t>Desde Capital Economics no esperan una crisis de deuda inminente en ningún país, pero advierten de que, si empiezan a aparecer graves tensiones en los mercados de deuda pública, los países podrían verse obligados a una brusca consolidación fiscal o podrían utilizar la represión financiera para volver a bajar los tipos de interés, lo que podría incluir incluso poner fin prematuramente al reciente ciclo de endurecimiento cuantitativo (reducción de balance) de los bancos centrales.</w:t>
      </w:r>
    </w:p>
    <w:p w:rsidR="000C0338" w:rsidRPr="0090313D" w:rsidRDefault="000C0338" w:rsidP="000C0338">
      <w:pPr>
        <w:spacing w:line="240" w:lineRule="auto"/>
        <w:jc w:val="both"/>
        <w:rPr>
          <w:rFonts w:ascii="Times New Roman" w:hAnsi="Times New Roman" w:cs="Times New Roman"/>
          <w:b/>
          <w:color w:val="FF0000"/>
          <w:sz w:val="24"/>
          <w:szCs w:val="24"/>
          <w:u w:val="single"/>
        </w:rPr>
      </w:pPr>
      <w:r w:rsidRPr="0090313D">
        <w:rPr>
          <w:rFonts w:ascii="Times New Roman" w:hAnsi="Times New Roman" w:cs="Times New Roman"/>
          <w:b/>
          <w:color w:val="FF0000"/>
          <w:sz w:val="24"/>
          <w:szCs w:val="24"/>
          <w:u w:val="single"/>
        </w:rPr>
        <w:t>“Una opción sería volver a bajar los tipos de interés en relación con el crecimiento del PIB mediante el uso de la represión financiera. En las circunstancias actuales, lo más probable es que eso signifique que los bancos centrales relajen la QT o incluso que reanuden nuevamente la expansión cuantitativa (QE) de los últimos años. Algunos bancos centrales podrían avanzar hacia alguna forma de control de la curva de rendimiento (o restablecerlo en el caso de Japón). Esto nos llevaría al ámbito del dominio fiscal; que ocurre cuando la necesidad del banco central de mantener bajos los tipos de interés para mantener manejables los costes de endeudamiento del gobierno compromete su capacidad para controlar la inflación. La represión financiera no es una solución gratuita”, argumenta Redwood.</w:t>
      </w:r>
    </w:p>
    <w:p w:rsidR="000C0338" w:rsidRPr="00733E04" w:rsidRDefault="000C0338" w:rsidP="000C0338">
      <w:pPr>
        <w:spacing w:line="240" w:lineRule="auto"/>
        <w:jc w:val="both"/>
        <w:rPr>
          <w:rFonts w:ascii="Times New Roman" w:hAnsi="Times New Roman" w:cs="Times New Roman"/>
          <w:sz w:val="24"/>
          <w:szCs w:val="24"/>
        </w:rPr>
      </w:pPr>
      <w:r w:rsidRPr="00733E04">
        <w:rPr>
          <w:rFonts w:ascii="Times New Roman" w:hAnsi="Times New Roman" w:cs="Times New Roman"/>
          <w:sz w:val="24"/>
          <w:szCs w:val="24"/>
        </w:rPr>
        <w:t>EEUU, Reino Unido, Japón, Italia, Francia...</w:t>
      </w:r>
    </w:p>
    <w:p w:rsidR="000C0338" w:rsidRPr="0090313D" w:rsidRDefault="000C0338" w:rsidP="000C0338">
      <w:pPr>
        <w:spacing w:line="240" w:lineRule="auto"/>
        <w:jc w:val="both"/>
        <w:rPr>
          <w:rFonts w:ascii="Times New Roman" w:hAnsi="Times New Roman" w:cs="Times New Roman"/>
          <w:color w:val="FF0000"/>
          <w:sz w:val="24"/>
          <w:szCs w:val="24"/>
          <w:u w:val="single"/>
        </w:rPr>
      </w:pPr>
      <w:r w:rsidRPr="0090313D">
        <w:rPr>
          <w:rFonts w:ascii="Times New Roman" w:hAnsi="Times New Roman" w:cs="Times New Roman"/>
          <w:color w:val="FF0000"/>
          <w:sz w:val="24"/>
          <w:szCs w:val="24"/>
          <w:u w:val="single"/>
        </w:rPr>
        <w:t>En el caso de la eurozona, reseña la economista, estas opciones no necesariamente estarían disponibles para sus países miembros, dado que no están individualmente a cargo de su propia política monetaria</w:t>
      </w:r>
      <w:r>
        <w:rPr>
          <w:rFonts w:ascii="Times New Roman" w:hAnsi="Times New Roman" w:cs="Times New Roman"/>
          <w:sz w:val="24"/>
          <w:szCs w:val="24"/>
        </w:rPr>
        <w:t>: “</w:t>
      </w:r>
      <w:r w:rsidRPr="00733E04">
        <w:rPr>
          <w:rFonts w:ascii="Times New Roman" w:hAnsi="Times New Roman" w:cs="Times New Roman"/>
          <w:sz w:val="24"/>
          <w:szCs w:val="24"/>
        </w:rPr>
        <w:t>Dependerían, por ejemplo, de que el Banco Central Europeo (BCE) cambiara los límites de emisor de su PEPP (Programa de compras de bonos por la pandemia) para afectar a los mercados de cada paí</w:t>
      </w:r>
      <w:r>
        <w:rPr>
          <w:rFonts w:ascii="Times New Roman" w:hAnsi="Times New Roman" w:cs="Times New Roman"/>
          <w:sz w:val="24"/>
          <w:szCs w:val="24"/>
        </w:rPr>
        <w:t>s”</w:t>
      </w:r>
      <w:r w:rsidRPr="00733E04">
        <w:rPr>
          <w:rFonts w:ascii="Times New Roman" w:hAnsi="Times New Roman" w:cs="Times New Roman"/>
          <w:sz w:val="24"/>
          <w:szCs w:val="24"/>
        </w:rPr>
        <w:t>. Redwood no tarda en apuntar al caso habitualmente más comentado y que reciente</w:t>
      </w:r>
      <w:r>
        <w:rPr>
          <w:rFonts w:ascii="Times New Roman" w:hAnsi="Times New Roman" w:cs="Times New Roman"/>
          <w:sz w:val="24"/>
          <w:szCs w:val="24"/>
        </w:rPr>
        <w:t xml:space="preserve">mente ha estado de actualidad: </w:t>
      </w:r>
      <w:r w:rsidRPr="0090313D">
        <w:rPr>
          <w:rFonts w:ascii="Times New Roman" w:hAnsi="Times New Roman" w:cs="Times New Roman"/>
          <w:color w:val="FF0000"/>
          <w:sz w:val="24"/>
          <w:szCs w:val="24"/>
          <w:u w:val="single"/>
        </w:rPr>
        <w:t>“Italia tiene un historial de pedir a gobiernos técnicos que implementen austeridad si existe un alto riesgo de una crisis fiscal y creemos que esto seguirá siendo una opción viable en el futuro. De hecho, un gobierno que evite lograr un control más firme de sus finanzas públicas en el corto plazo podría tener que implementar un ajuste fiscal más abrupto en el futuro si los mercados financieros lo obligan”.</w:t>
      </w:r>
    </w:p>
    <w:p w:rsidR="000C0338" w:rsidRPr="0090313D" w:rsidRDefault="000C0338" w:rsidP="000C0338">
      <w:pPr>
        <w:spacing w:line="240" w:lineRule="auto"/>
        <w:jc w:val="both"/>
        <w:rPr>
          <w:rFonts w:ascii="Times New Roman" w:hAnsi="Times New Roman" w:cs="Times New Roman"/>
          <w:b/>
          <w:color w:val="FF0000"/>
          <w:sz w:val="24"/>
          <w:szCs w:val="24"/>
          <w:u w:val="single"/>
        </w:rPr>
      </w:pPr>
      <w:r w:rsidRPr="00733E04">
        <w:rPr>
          <w:rFonts w:ascii="Times New Roman" w:hAnsi="Times New Roman" w:cs="Times New Roman"/>
          <w:sz w:val="24"/>
          <w:szCs w:val="24"/>
        </w:rPr>
        <w:lastRenderedPageBreak/>
        <w:t xml:space="preserve">Pero el peligro se antoja más grande. El reciente aumento de las primas por plazo (el porcentaje de los rendimientos de los bonos soberanos que dependen de perspectivas futuras sobre la oferta y la demanda de los mismos- en EEUU sugiere para Redwood que la tolerancia está disminuyendo incluso en países que históricamente han tenido más margen de maniobra en los mercados. </w:t>
      </w:r>
      <w:r w:rsidRPr="0090313D">
        <w:rPr>
          <w:rFonts w:ascii="Times New Roman" w:hAnsi="Times New Roman" w:cs="Times New Roman"/>
          <w:b/>
          <w:color w:val="FF0000"/>
          <w:sz w:val="24"/>
          <w:szCs w:val="24"/>
          <w:u w:val="single"/>
        </w:rPr>
        <w:t>Por primera vez en décadas, alerta, podría surgir la preocupación por el elevado nivel de deuda de Japón (por encima del 250% del PIB). El Reino Unido también está claramente en riesgo, añade: “La liquidación en el mercado de bonos en septiembre de 2022 como reacción al cambio de rumbo fiscal de la primera ministra Liz Truss muestra cuán sensibles son los mercados a los cambios percibidos en la disciplina fiscal del gobierno del Reino Unido”.</w:t>
      </w:r>
    </w:p>
    <w:p w:rsidR="000C0338" w:rsidRPr="000C0338" w:rsidRDefault="000C0338" w:rsidP="007E3D39">
      <w:pPr>
        <w:spacing w:line="240" w:lineRule="auto"/>
        <w:jc w:val="both"/>
        <w:rPr>
          <w:rFonts w:ascii="Times New Roman" w:hAnsi="Times New Roman" w:cs="Times New Roman"/>
          <w:b/>
          <w:color w:val="FF0000"/>
          <w:sz w:val="24"/>
          <w:szCs w:val="24"/>
          <w:u w:val="single"/>
        </w:rPr>
      </w:pPr>
      <w:r w:rsidRPr="00C90C0D">
        <w:rPr>
          <w:rFonts w:ascii="Times New Roman" w:hAnsi="Times New Roman" w:cs="Times New Roman"/>
          <w:b/>
          <w:color w:val="FF0000"/>
          <w:sz w:val="24"/>
          <w:szCs w:val="24"/>
          <w:u w:val="single"/>
        </w:rPr>
        <w:t>Dentro de la eurozona, más allá del foco de atención para Italia, Redwood otro caso: “Francia también es un posible punto de tensión. La deuda pública de Francia, que representa el 110% del PIB, como porcentaje del PIB, es menor que la de Italia y es poco probable que se convierta en una preocupación importante para los inversores en el corto plazo. Sin embargo, el ratio de deuda sigue siendo alto en relación con el promedio de la eurozona, y Francia tiene un déficit primario mucho mayor que Italia. Además, aunque Francia aumentó su edad de jubilación a principios de este año, las protestas contra este cambio y la oposición en el parlamento resaltan las barreras que debe superar si quiere implementar las políticas estructurales necesarias para hacer frente al envejecimiento de la población. Es más, es probable que los gobiernos futuros estén menos comprometidos con la consolidación fiscal que la administración del presidente Macron”. En España, el último porcentaje disponible es el 109,9% del PIB en e</w:t>
      </w:r>
      <w:r>
        <w:rPr>
          <w:rFonts w:ascii="Times New Roman" w:hAnsi="Times New Roman" w:cs="Times New Roman"/>
          <w:b/>
          <w:color w:val="FF0000"/>
          <w:sz w:val="24"/>
          <w:szCs w:val="24"/>
          <w:u w:val="single"/>
        </w:rPr>
        <w:t>l tercer trimestre de este año.</w:t>
      </w:r>
    </w:p>
    <w:p w:rsidR="007E3D39" w:rsidRDefault="007E3D39" w:rsidP="007E3D39">
      <w:pPr>
        <w:spacing w:line="240" w:lineRule="auto"/>
        <w:jc w:val="both"/>
        <w:rPr>
          <w:rFonts w:ascii="Times New Roman" w:hAnsi="Times New Roman" w:cs="Times New Roman"/>
          <w:b/>
          <w:sz w:val="24"/>
          <w:szCs w:val="24"/>
        </w:rPr>
      </w:pPr>
      <w:r>
        <w:rPr>
          <w:rFonts w:ascii="Times New Roman" w:hAnsi="Times New Roman" w:cs="Times New Roman"/>
          <w:b/>
          <w:sz w:val="24"/>
          <w:szCs w:val="24"/>
        </w:rPr>
        <w:t>Nota: “a verlas venir”… (el riesgo de una crisis de deuda soberana)</w:t>
      </w:r>
    </w:p>
    <w:p w:rsidR="007E3D39" w:rsidRDefault="007E3D39" w:rsidP="007E3D39">
      <w:pPr>
        <w:spacing w:line="240" w:lineRule="auto"/>
        <w:jc w:val="both"/>
        <w:rPr>
          <w:rFonts w:ascii="Times New Roman" w:hAnsi="Times New Roman" w:cs="Times New Roman"/>
          <w:b/>
          <w:sz w:val="24"/>
          <w:szCs w:val="24"/>
        </w:rPr>
      </w:pPr>
      <w:r>
        <w:rPr>
          <w:rFonts w:ascii="Times New Roman" w:hAnsi="Times New Roman" w:cs="Times New Roman"/>
          <w:b/>
          <w:sz w:val="24"/>
          <w:szCs w:val="24"/>
        </w:rPr>
        <w:t>Según toda lógica, lo previsible, guiado por razones que solo son suyas, acabe en una crisis de deuda, revelada por los mismos que se beneficiaron de ella. Algo aberrante pero circunstancial (en individuos acostumbrados a ganar en las buenas y en las malas). Un hábito adquirido al menos desde 1980, y puesto en evidencia de forma descarnada (por si alguno tenía dudas) en 2008 y en 2020.</w:t>
      </w:r>
    </w:p>
    <w:p w:rsidR="007E3D39" w:rsidRDefault="007E3D39" w:rsidP="007E3D39">
      <w:pPr>
        <w:spacing w:line="240" w:lineRule="auto"/>
        <w:jc w:val="both"/>
        <w:rPr>
          <w:rFonts w:ascii="Times New Roman" w:hAnsi="Times New Roman" w:cs="Times New Roman"/>
          <w:b/>
          <w:sz w:val="24"/>
          <w:szCs w:val="24"/>
        </w:rPr>
      </w:pPr>
      <w:r>
        <w:rPr>
          <w:rFonts w:ascii="Times New Roman" w:hAnsi="Times New Roman" w:cs="Times New Roman"/>
          <w:b/>
          <w:sz w:val="24"/>
          <w:szCs w:val="24"/>
        </w:rPr>
        <w:t>Sin sorpresa, por parte de los que lo quieren todo (un día sí y otro también). Causas antiguas, que se transforman en razón nueva, para ansiosos especuladores financieros.</w:t>
      </w:r>
    </w:p>
    <w:p w:rsidR="007E3D39" w:rsidRPr="00A1123E" w:rsidRDefault="007E3D39" w:rsidP="007E3D39">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Es posible que EEUU pueda eludir una crisis de deuda soberana (imprimiendo dólares -sin respaldo-, y </w:t>
      </w:r>
      <w:r w:rsidR="00E92717">
        <w:rPr>
          <w:rFonts w:ascii="Times New Roman" w:hAnsi="Times New Roman" w:cs="Times New Roman"/>
          <w:b/>
          <w:sz w:val="24"/>
          <w:szCs w:val="24"/>
        </w:rPr>
        <w:t>repartiéndolos</w:t>
      </w:r>
      <w:r>
        <w:rPr>
          <w:rFonts w:ascii="Times New Roman" w:hAnsi="Times New Roman" w:cs="Times New Roman"/>
          <w:b/>
          <w:sz w:val="24"/>
          <w:szCs w:val="24"/>
        </w:rPr>
        <w:t xml:space="preserve"> por el mundo mundial), pero en el caso de la Unión Europea, el peligro es mayor (mucho mayor) y puede producirse una caída en cascada.  </w:t>
      </w:r>
    </w:p>
    <w:p w:rsidR="007E3D39" w:rsidRDefault="007E3D39" w:rsidP="007E3D39">
      <w:pPr>
        <w:rPr>
          <w:rFonts w:ascii="Times New Roman" w:hAnsi="Times New Roman" w:cs="Times New Roman"/>
          <w:sz w:val="24"/>
          <w:szCs w:val="24"/>
        </w:rPr>
      </w:pPr>
      <w:r w:rsidRPr="00757460">
        <w:rPr>
          <w:rFonts w:ascii="Times New Roman" w:hAnsi="Times New Roman" w:cs="Times New Roman"/>
          <w:noProof/>
          <w:sz w:val="24"/>
          <w:szCs w:val="24"/>
          <w:lang w:eastAsia="es-ES"/>
        </w:rPr>
        <w:drawing>
          <wp:inline distT="0" distB="0" distL="0" distR="0" wp14:anchorId="7DBDE688" wp14:editId="7941EC62">
            <wp:extent cx="5664200" cy="1924050"/>
            <wp:effectExtent l="0"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5661692" cy="1923198"/>
                    </a:xfrm>
                    <a:prstGeom prst="rect">
                      <a:avLst/>
                    </a:prstGeom>
                  </pic:spPr>
                </pic:pic>
              </a:graphicData>
            </a:graphic>
          </wp:inline>
        </w:drawing>
      </w:r>
      <w:r w:rsidRPr="00757460">
        <w:rPr>
          <w:rFonts w:ascii="Times New Roman" w:hAnsi="Times New Roman" w:cs="Times New Roman"/>
          <w:sz w:val="24"/>
          <w:szCs w:val="24"/>
        </w:rPr>
        <w:t xml:space="preserve">Caída de los países del </w:t>
      </w:r>
      <w:r w:rsidR="000C0338">
        <w:rPr>
          <w:rFonts w:ascii="Times New Roman" w:hAnsi="Times New Roman" w:cs="Times New Roman"/>
          <w:sz w:val="24"/>
          <w:szCs w:val="24"/>
        </w:rPr>
        <w:t>euro por efecto dominó</w:t>
      </w:r>
      <w:bookmarkStart w:id="2" w:name="_GoBack"/>
      <w:bookmarkEnd w:id="2"/>
    </w:p>
    <w:p w:rsidR="007E3D39" w:rsidRPr="00D0462F" w:rsidRDefault="007E3D39" w:rsidP="007E3D39">
      <w:pPr>
        <w:spacing w:line="240" w:lineRule="auto"/>
        <w:jc w:val="both"/>
        <w:rPr>
          <w:rFonts w:ascii="Times New Roman" w:hAnsi="Times New Roman" w:cs="Times New Roman"/>
          <w:b/>
          <w:sz w:val="24"/>
          <w:szCs w:val="24"/>
        </w:rPr>
      </w:pPr>
      <w:r w:rsidRPr="00D0462F">
        <w:rPr>
          <w:rFonts w:ascii="Times New Roman" w:hAnsi="Times New Roman" w:cs="Times New Roman"/>
          <w:b/>
          <w:sz w:val="24"/>
          <w:szCs w:val="24"/>
        </w:rPr>
        <w:lastRenderedPageBreak/>
        <w:t>- “El toro de Wall Street” y “La niña sin miedo”</w:t>
      </w:r>
      <w:r>
        <w:rPr>
          <w:rFonts w:ascii="Times New Roman" w:hAnsi="Times New Roman" w:cs="Times New Roman"/>
          <w:b/>
          <w:sz w:val="24"/>
          <w:szCs w:val="24"/>
        </w:rPr>
        <w:t xml:space="preserve"> (una interpretación libre, de la “maldita” hemeroteca)</w:t>
      </w:r>
    </w:p>
    <w:p w:rsidR="007E3D39" w:rsidRDefault="007E3D39" w:rsidP="007E3D39">
      <w:pPr>
        <w:spacing w:line="240" w:lineRule="auto"/>
        <w:jc w:val="both"/>
        <w:rPr>
          <w:rFonts w:ascii="Times New Roman" w:hAnsi="Times New Roman" w:cs="Times New Roman"/>
          <w:sz w:val="24"/>
          <w:szCs w:val="24"/>
        </w:rPr>
      </w:pPr>
      <w:r>
        <w:rPr>
          <w:noProof/>
          <w:lang w:eastAsia="es-ES"/>
        </w:rPr>
        <w:drawing>
          <wp:inline distT="0" distB="0" distL="0" distR="0" wp14:anchorId="5A7AD072" wp14:editId="349B7C8F">
            <wp:extent cx="5731932" cy="3625850"/>
            <wp:effectExtent l="0" t="0" r="2540" b="0"/>
            <wp:docPr id="123" name="Imagen 123" descr="El toro de Wall Street' contra 'La niña sin miedo': ¿y si el malo no es el  que piens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l toro de Wall Street' contra 'La niña sin miedo': ¿y si el malo no es el  que piensas?"/>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731510" cy="3625583"/>
                    </a:xfrm>
                    <a:prstGeom prst="rect">
                      <a:avLst/>
                    </a:prstGeom>
                    <a:noFill/>
                    <a:ln>
                      <a:noFill/>
                    </a:ln>
                  </pic:spPr>
                </pic:pic>
              </a:graphicData>
            </a:graphic>
          </wp:inline>
        </w:drawing>
      </w:r>
    </w:p>
    <w:p w:rsidR="007E3D39" w:rsidRDefault="007E3D39" w:rsidP="007E3D39">
      <w:pPr>
        <w:spacing w:line="240" w:lineRule="auto"/>
        <w:jc w:val="both"/>
        <w:rPr>
          <w:rFonts w:ascii="Times New Roman" w:hAnsi="Times New Roman" w:cs="Times New Roman"/>
          <w:sz w:val="24"/>
          <w:szCs w:val="24"/>
        </w:rPr>
      </w:pPr>
    </w:p>
    <w:p w:rsidR="007E3D39" w:rsidRPr="0062569D" w:rsidRDefault="007E3D39" w:rsidP="007E3D39">
      <w:pPr>
        <w:spacing w:line="240" w:lineRule="auto"/>
        <w:jc w:val="both"/>
        <w:rPr>
          <w:rFonts w:ascii="Times New Roman" w:hAnsi="Times New Roman" w:cs="Times New Roman"/>
          <w:b/>
          <w:sz w:val="24"/>
          <w:szCs w:val="24"/>
        </w:rPr>
      </w:pPr>
      <w:r w:rsidRPr="0062569D">
        <w:rPr>
          <w:rFonts w:ascii="Times New Roman" w:hAnsi="Times New Roman" w:cs="Times New Roman"/>
          <w:b/>
          <w:sz w:val="24"/>
          <w:szCs w:val="24"/>
        </w:rPr>
        <w:t xml:space="preserve">¿Falta de recursos fiscales, o elevado gasto público? </w:t>
      </w:r>
    </w:p>
    <w:p w:rsidR="007E3D39" w:rsidRDefault="007E3D39" w:rsidP="007E3D39">
      <w:pPr>
        <w:spacing w:line="240" w:lineRule="auto"/>
        <w:jc w:val="both"/>
        <w:rPr>
          <w:rFonts w:ascii="Times New Roman" w:hAnsi="Times New Roman" w:cs="Times New Roman"/>
          <w:sz w:val="24"/>
          <w:szCs w:val="24"/>
        </w:rPr>
      </w:pPr>
    </w:p>
    <w:p w:rsidR="007E3D39" w:rsidRDefault="007E3D39" w:rsidP="007E3D39">
      <w:pPr>
        <w:spacing w:line="240" w:lineRule="auto"/>
        <w:jc w:val="both"/>
        <w:rPr>
          <w:rFonts w:ascii="Times New Roman" w:hAnsi="Times New Roman" w:cs="Times New Roman"/>
          <w:sz w:val="24"/>
          <w:szCs w:val="24"/>
        </w:rPr>
      </w:pPr>
      <w:r>
        <w:rPr>
          <w:noProof/>
          <w:lang w:eastAsia="es-ES"/>
        </w:rPr>
        <w:drawing>
          <wp:inline distT="0" distB="0" distL="0" distR="0" wp14:anchorId="4C0636F1" wp14:editId="25768FD9">
            <wp:extent cx="5728534" cy="3105150"/>
            <wp:effectExtent l="0" t="0" r="5715" b="0"/>
            <wp:docPr id="104" name="Imagen 104" descr="https://s.libertaddigital.com/fotos/noticias/berl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s.libertaddigital.com/fotos/noticias/berle2.pn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31510" cy="3106763"/>
                    </a:xfrm>
                    <a:prstGeom prst="rect">
                      <a:avLst/>
                    </a:prstGeom>
                    <a:noFill/>
                    <a:ln>
                      <a:noFill/>
                    </a:ln>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50793892" wp14:editId="557C107B">
            <wp:extent cx="5731510" cy="3371850"/>
            <wp:effectExtent l="0" t="0" r="2540" b="0"/>
            <wp:docPr id="14" name="Imagen 14" descr="https://e00-expansion.uecdn.es/assets/multimedia/imagenes/2022/11/02/16674200470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e00-expansion.uecdn.es/assets/multimedia/imagenes/2022/11/02/16674200470242.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31510" cy="3371850"/>
                    </a:xfrm>
                    <a:prstGeom prst="rect">
                      <a:avLst/>
                    </a:prstGeom>
                    <a:noFill/>
                    <a:ln>
                      <a:noFill/>
                    </a:ln>
                  </pic:spPr>
                </pic:pic>
              </a:graphicData>
            </a:graphic>
          </wp:inline>
        </w:drawing>
      </w:r>
    </w:p>
    <w:p w:rsidR="007E3D39" w:rsidRDefault="007E3D39" w:rsidP="007E3D39">
      <w:pPr>
        <w:spacing w:line="240" w:lineRule="auto"/>
        <w:jc w:val="both"/>
        <w:rPr>
          <w:rFonts w:ascii="Times New Roman" w:hAnsi="Times New Roman" w:cs="Times New Roman"/>
          <w:sz w:val="24"/>
          <w:szCs w:val="24"/>
        </w:rPr>
      </w:pPr>
    </w:p>
    <w:p w:rsidR="007E3D39" w:rsidRDefault="007E3D39" w:rsidP="007E3D39">
      <w:pPr>
        <w:spacing w:line="240" w:lineRule="auto"/>
        <w:jc w:val="both"/>
        <w:rPr>
          <w:rFonts w:ascii="Times New Roman" w:hAnsi="Times New Roman" w:cs="Times New Roman"/>
          <w:sz w:val="24"/>
          <w:szCs w:val="24"/>
        </w:rPr>
      </w:pPr>
    </w:p>
    <w:p w:rsidR="007E3D39" w:rsidRDefault="007E3D39" w:rsidP="007E3D39">
      <w:pPr>
        <w:spacing w:line="240" w:lineRule="auto"/>
        <w:jc w:val="both"/>
        <w:rPr>
          <w:rFonts w:ascii="Times New Roman" w:hAnsi="Times New Roman" w:cs="Times New Roman"/>
          <w:sz w:val="24"/>
          <w:szCs w:val="24"/>
        </w:rPr>
      </w:pPr>
      <w:r>
        <w:rPr>
          <w:noProof/>
          <w:lang w:eastAsia="es-ES"/>
        </w:rPr>
        <w:drawing>
          <wp:inline distT="0" distB="0" distL="0" distR="0" wp14:anchorId="1391178D" wp14:editId="40414008">
            <wp:extent cx="5607050" cy="3816350"/>
            <wp:effectExtent l="0" t="0" r="0" b="0"/>
            <wp:docPr id="132" name="Imagen 132" descr="https://s.libertaddigital.com/fotos/noticias/berl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libertaddigital.com/fotos/noticias/berle3.pn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607050" cy="3816350"/>
                    </a:xfrm>
                    <a:prstGeom prst="rect">
                      <a:avLst/>
                    </a:prstGeom>
                    <a:noFill/>
                    <a:ln>
                      <a:noFill/>
                    </a:ln>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22425B82" wp14:editId="66BD5394">
            <wp:extent cx="5403850" cy="3867150"/>
            <wp:effectExtent l="0" t="0" r="6350" b="0"/>
            <wp:docPr id="133" name="Imagen 133" descr="https://s.libertaddigital.com/fotos/noticias/berl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s.libertaddigital.com/fotos/noticias/berle4.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403850" cy="3867150"/>
                    </a:xfrm>
                    <a:prstGeom prst="rect">
                      <a:avLst/>
                    </a:prstGeom>
                    <a:noFill/>
                    <a:ln>
                      <a:noFill/>
                    </a:ln>
                  </pic:spPr>
                </pic:pic>
              </a:graphicData>
            </a:graphic>
          </wp:inline>
        </w:drawing>
      </w:r>
    </w:p>
    <w:p w:rsidR="007E3D39" w:rsidRDefault="007E3D39" w:rsidP="007E3D39">
      <w:pPr>
        <w:spacing w:line="240" w:lineRule="auto"/>
        <w:jc w:val="both"/>
        <w:rPr>
          <w:rFonts w:ascii="Times New Roman" w:hAnsi="Times New Roman" w:cs="Times New Roman"/>
          <w:sz w:val="24"/>
          <w:szCs w:val="24"/>
        </w:rPr>
      </w:pPr>
    </w:p>
    <w:p w:rsidR="007E3D39" w:rsidRDefault="007E3D39" w:rsidP="007E3D39">
      <w:pPr>
        <w:spacing w:line="240" w:lineRule="auto"/>
        <w:jc w:val="both"/>
        <w:rPr>
          <w:rFonts w:ascii="Times New Roman" w:hAnsi="Times New Roman" w:cs="Times New Roman"/>
          <w:sz w:val="24"/>
          <w:szCs w:val="24"/>
        </w:rPr>
      </w:pPr>
      <w:r>
        <w:rPr>
          <w:noProof/>
          <w:lang w:eastAsia="es-ES"/>
        </w:rPr>
        <w:drawing>
          <wp:inline distT="0" distB="0" distL="0" distR="0" wp14:anchorId="083C4E4E" wp14:editId="0C94AB47">
            <wp:extent cx="5657850" cy="4089400"/>
            <wp:effectExtent l="0" t="0" r="0" b="6350"/>
            <wp:docPr id="134" name="Imagen 134" descr="https://s.libertaddigital.com/fotos/noticias/berl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s.libertaddigital.com/fotos/noticias/berle1.pn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657850" cy="4089400"/>
                    </a:xfrm>
                    <a:prstGeom prst="rect">
                      <a:avLst/>
                    </a:prstGeom>
                    <a:noFill/>
                    <a:ln>
                      <a:noFill/>
                    </a:ln>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3E7B8B53" wp14:editId="249CC266">
            <wp:extent cx="5734050" cy="3384550"/>
            <wp:effectExtent l="0" t="0" r="0" b="6350"/>
            <wp:docPr id="135" name="Imagen 135" descr="https://s.libertaddigital.com/fotos/noticias/berl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libertaddigital.com/fotos/noticias/berle6.pn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31510" cy="3383051"/>
                    </a:xfrm>
                    <a:prstGeom prst="rect">
                      <a:avLst/>
                    </a:prstGeom>
                    <a:noFill/>
                    <a:ln>
                      <a:noFill/>
                    </a:ln>
                  </pic:spPr>
                </pic:pic>
              </a:graphicData>
            </a:graphic>
          </wp:inline>
        </w:drawing>
      </w:r>
    </w:p>
    <w:p w:rsidR="007E3D39" w:rsidRDefault="007E3D39" w:rsidP="007E3D39">
      <w:pPr>
        <w:spacing w:line="240" w:lineRule="auto"/>
        <w:jc w:val="both"/>
        <w:rPr>
          <w:rFonts w:ascii="Times New Roman" w:hAnsi="Times New Roman" w:cs="Times New Roman"/>
          <w:sz w:val="24"/>
          <w:szCs w:val="24"/>
        </w:rPr>
      </w:pPr>
    </w:p>
    <w:p w:rsidR="007E3D39" w:rsidRDefault="007E3D39" w:rsidP="007E3D39">
      <w:pPr>
        <w:spacing w:line="240" w:lineRule="auto"/>
        <w:jc w:val="both"/>
        <w:rPr>
          <w:rFonts w:ascii="Times New Roman" w:hAnsi="Times New Roman" w:cs="Times New Roman"/>
          <w:sz w:val="24"/>
          <w:szCs w:val="24"/>
        </w:rPr>
      </w:pPr>
    </w:p>
    <w:p w:rsidR="007E3D39" w:rsidRDefault="007E3D39" w:rsidP="007E3D39">
      <w:pPr>
        <w:spacing w:line="240" w:lineRule="auto"/>
        <w:jc w:val="both"/>
        <w:rPr>
          <w:rFonts w:ascii="Times New Roman" w:hAnsi="Times New Roman" w:cs="Times New Roman"/>
          <w:sz w:val="24"/>
          <w:szCs w:val="24"/>
        </w:rPr>
      </w:pPr>
      <w:r>
        <w:rPr>
          <w:noProof/>
          <w:lang w:eastAsia="es-ES"/>
        </w:rPr>
        <w:drawing>
          <wp:inline distT="0" distB="0" distL="0" distR="0" wp14:anchorId="2CDA9554" wp14:editId="589F7BED">
            <wp:extent cx="5732477" cy="2844800"/>
            <wp:effectExtent l="0" t="0" r="1905" b="0"/>
            <wp:docPr id="141" name="Imagen 141" descr="undefin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undefined"/>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731510" cy="2844320"/>
                    </a:xfrm>
                    <a:prstGeom prst="rect">
                      <a:avLst/>
                    </a:prstGeom>
                    <a:noFill/>
                    <a:ln>
                      <a:noFill/>
                    </a:ln>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796206B7" wp14:editId="40A88F98">
            <wp:extent cx="5724923" cy="2444750"/>
            <wp:effectExtent l="0" t="0" r="9525" b="0"/>
            <wp:docPr id="139" name="Imagen 139" descr="https://www.ecb.europa.eu/pub/annual/html/ar2020/ar2020.es_img19.png?4e45364ff9b4ef66b12902aeb21ea40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ecb.europa.eu/pub/annual/html/ar2020/ar2020.es_img19.png?4e45364ff9b4ef66b12902aeb21ea40d"/>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31510" cy="2447563"/>
                    </a:xfrm>
                    <a:prstGeom prst="rect">
                      <a:avLst/>
                    </a:prstGeom>
                    <a:noFill/>
                    <a:ln>
                      <a:noFill/>
                    </a:ln>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Pr>
          <w:noProof/>
          <w:lang w:eastAsia="es-ES"/>
        </w:rPr>
        <w:drawing>
          <wp:inline distT="0" distB="0" distL="0" distR="0" wp14:anchorId="1D999077" wp14:editId="2747DB55">
            <wp:extent cx="5734050" cy="3206750"/>
            <wp:effectExtent l="0" t="0" r="0" b="0"/>
            <wp:docPr id="140" name="Imagen 140" descr="https://www.ecb.europa.eu/pub/annual/html/ar2020/ar2020.es_img25.png?7209a9f2ce19f8f14a0da3ad2ead96b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ecb.europa.eu/pub/annual/html/ar2020/ar2020.es_img25.png?7209a9f2ce19f8f14a0da3ad2ead96b9"/>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31510" cy="3205330"/>
                    </a:xfrm>
                    <a:prstGeom prst="rect">
                      <a:avLst/>
                    </a:prstGeom>
                    <a:noFill/>
                    <a:ln>
                      <a:noFill/>
                    </a:ln>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Pr>
          <w:noProof/>
          <w:lang w:eastAsia="es-ES"/>
        </w:rPr>
        <w:drawing>
          <wp:inline distT="0" distB="0" distL="0" distR="0" wp14:anchorId="0AB604E7" wp14:editId="03E6CE2A">
            <wp:extent cx="5530850" cy="2552700"/>
            <wp:effectExtent l="0" t="0" r="0" b="0"/>
            <wp:docPr id="142" name="Imagen 142" descr="https://s3.ppllstatics.com/rc/www/multimedia/2023/06/15/tipos-bce@2x-kAeC-U200561461631Ts-650x455@RC-R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3.ppllstatics.com/rc/www/multimedia/2023/06/15/tipos-bce@2x-kAeC-U200561461631Ts-650x455@RC-RC.pn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530850" cy="2552700"/>
                    </a:xfrm>
                    <a:prstGeom prst="rect">
                      <a:avLst/>
                    </a:prstGeom>
                    <a:noFill/>
                    <a:ln>
                      <a:noFill/>
                    </a:ln>
                  </pic:spPr>
                </pic:pic>
              </a:graphicData>
            </a:graphic>
          </wp:inline>
        </w:drawing>
      </w:r>
    </w:p>
    <w:p w:rsidR="007E3D39" w:rsidRDefault="007E3D39" w:rsidP="007E3D39">
      <w:pPr>
        <w:spacing w:line="240" w:lineRule="auto"/>
        <w:jc w:val="both"/>
        <w:rPr>
          <w:rFonts w:ascii="Times New Roman" w:hAnsi="Times New Roman" w:cs="Times New Roman"/>
          <w:sz w:val="24"/>
          <w:szCs w:val="24"/>
        </w:rPr>
      </w:pPr>
    </w:p>
    <w:p w:rsidR="007E3D39" w:rsidRDefault="007E3D39" w:rsidP="007E3D39">
      <w:pPr>
        <w:spacing w:line="240" w:lineRule="auto"/>
        <w:jc w:val="both"/>
        <w:rPr>
          <w:rFonts w:ascii="Times New Roman" w:hAnsi="Times New Roman" w:cs="Times New Roman"/>
          <w:sz w:val="24"/>
          <w:szCs w:val="24"/>
        </w:rPr>
      </w:pPr>
      <w:r w:rsidRPr="009E331F">
        <w:rPr>
          <w:noProof/>
          <w:color w:val="000000"/>
          <w:lang w:eastAsia="es-ES"/>
        </w:rPr>
        <w:lastRenderedPageBreak/>
        <w:drawing>
          <wp:inline distT="0" distB="0" distL="0" distR="0" wp14:anchorId="487FD63B" wp14:editId="6B4A7F61">
            <wp:extent cx="5731510" cy="3641090"/>
            <wp:effectExtent l="0" t="0" r="2540" b="0"/>
            <wp:docPr id="82" name="Imagen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2"/>
                    <a:stretch>
                      <a:fillRect/>
                    </a:stretch>
                  </pic:blipFill>
                  <pic:spPr>
                    <a:xfrm>
                      <a:off x="0" y="0"/>
                      <a:ext cx="5731510" cy="3641090"/>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sidRPr="009E331F">
        <w:rPr>
          <w:noProof/>
          <w:color w:val="000000"/>
          <w:lang w:eastAsia="es-ES"/>
        </w:rPr>
        <w:drawing>
          <wp:inline distT="0" distB="0" distL="0" distR="0" wp14:anchorId="2405A64C" wp14:editId="07C98768">
            <wp:extent cx="5731510" cy="3581400"/>
            <wp:effectExtent l="0" t="0" r="2540" b="0"/>
            <wp:docPr id="138" name="Imagen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3"/>
                    <a:stretch>
                      <a:fillRect/>
                    </a:stretch>
                  </pic:blipFill>
                  <pic:spPr>
                    <a:xfrm>
                      <a:off x="0" y="0"/>
                      <a:ext cx="5731510" cy="3581400"/>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sidRPr="009E331F">
        <w:rPr>
          <w:noProof/>
          <w:color w:val="000000"/>
          <w:lang w:eastAsia="es-ES"/>
        </w:rPr>
        <w:lastRenderedPageBreak/>
        <w:drawing>
          <wp:inline distT="0" distB="0" distL="0" distR="0" wp14:anchorId="595C536E" wp14:editId="45F99B12">
            <wp:extent cx="5734049" cy="3041650"/>
            <wp:effectExtent l="0" t="0" r="635" b="6350"/>
            <wp:docPr id="143" name="Imagen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4"/>
                    <a:stretch>
                      <a:fillRect/>
                    </a:stretch>
                  </pic:blipFill>
                  <pic:spPr>
                    <a:xfrm>
                      <a:off x="0" y="0"/>
                      <a:ext cx="5731510" cy="3040303"/>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sidRPr="009E331F">
        <w:rPr>
          <w:noProof/>
          <w:color w:val="000000"/>
          <w:lang w:eastAsia="es-ES"/>
        </w:rPr>
        <w:drawing>
          <wp:inline distT="0" distB="0" distL="0" distR="0" wp14:anchorId="13BEE1E6" wp14:editId="1CECFEA9">
            <wp:extent cx="5732502" cy="3194050"/>
            <wp:effectExtent l="0" t="0" r="1905" b="6350"/>
            <wp:docPr id="144" name="Imagen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5"/>
                    <a:stretch>
                      <a:fillRect/>
                    </a:stretch>
                  </pic:blipFill>
                  <pic:spPr>
                    <a:xfrm>
                      <a:off x="0" y="0"/>
                      <a:ext cx="5731510" cy="3193497"/>
                    </a:xfrm>
                    <a:prstGeom prst="rect">
                      <a:avLst/>
                    </a:prstGeom>
                  </pic:spPr>
                </pic:pic>
              </a:graphicData>
            </a:graphic>
          </wp:inline>
        </w:drawing>
      </w:r>
    </w:p>
    <w:p w:rsidR="007E3D39" w:rsidRPr="0062569D" w:rsidRDefault="007E3D39" w:rsidP="007E3D39">
      <w:pPr>
        <w:spacing w:line="240" w:lineRule="auto"/>
        <w:jc w:val="both"/>
        <w:rPr>
          <w:rFonts w:ascii="Times New Roman" w:hAnsi="Times New Roman" w:cs="Times New Roman"/>
          <w:b/>
          <w:sz w:val="24"/>
          <w:szCs w:val="24"/>
        </w:rPr>
      </w:pPr>
      <w:r w:rsidRPr="0062569D">
        <w:rPr>
          <w:rFonts w:ascii="Times New Roman" w:hAnsi="Times New Roman" w:cs="Times New Roman"/>
          <w:b/>
          <w:sz w:val="24"/>
          <w:szCs w:val="24"/>
        </w:rPr>
        <w:t xml:space="preserve">La elección entre lo malo conocido (incrementar ilimitadamente la deuda soberana), y lo raro por conocer (no pretender vivir por encima de las posibilidades) </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En el centro del debate sobre los desafíos económicos de los países avanzados persiste la discusión sobre dónde está realmente la clave para atajar las crisis: un mayor ingreso fiscal, o un profundo recorte del gasto fiscal.</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La economía de los países avanzados, después del experimento globalizador, es disfuncional y tiene muchos problemas, para algunos analistas el nudo central es que no tiene ingresos fiscales suficientes para mantener el estado de bienestar, y para otros (entre los que me incluyo), hay una estructura industrial débil, un crecimiento económico insuficiente, y un gasto público excesivo. </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lastRenderedPageBreak/>
        <w:t>Probablemente, dicen algunos analistas, una combinación entre mayores ingresos fiscales provenientes del crecimiento de la economía y una disminución del gasto público pueda ayudar a las autoridades a estabilizar las finanzas y recuperar la confianza social.</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Sobre la posibilidad de eliminar el déficit fiscal, restringir el gasto público, reducir la deuda soberana, eliminar la expansión monetaria sin respaldo, los dirigentes políticos, empresariales, financieros, sindicales, funcionariales, y demás estómagos agradecidos que pastan de los presupuestos, se negaran en redondo (por todo lo alto), e iniciarán una batalla (mediática y operativa), por tierra, mar, y aire… porque temen perder su rol privilegiado, sus enormes recursos, sus ingresos estrafalarios, sus negocios ilegales... todo aquello que  controlan, todo aquello que pasa por ellos. </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Lo intentarán todo para que la racionalidad económica y la libertad de mercado no avancen. Desde hace décadas, esas “partes interesadas” forman una casta delincuencial y hereditaria, donde los negocios y cargos pasan de padres a hijos como en una dinastía del saqueo y el horror. Será una batalla cruenta, larga, y difícil, con un resultado incierto. Lo intentarán todo, para que la libertad económica y social, no avance. Desarmar la red de intereses (relato, telaraña, andamiaje, connivencia, corrupción) va a resultar muy complicado. Pero es una apuesta relevante: eliminar la posibilidad que los recursos del Estado sean un medio de multiplicación de la riqueza para los extractores de rentas o para la creación y mantenimiento de clientelas fieles. </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No será fácil, gobierne quien gobierne, si se sigue aceptando el dominio -industrial- de China (la fábrica del mundo) y se sigue tolerando una economía de casino y entretenimiento -servicios- de Wall Street y Silicon Valley (las factorías de ficciones). Si no se rompen las barreras (mentales y de intereses) cualquier opción económica, se resumirá a elegir entre lo malo y lo peor. O los malos (China), y los peores (Wall Street + Silicon Valley). O sea.</w:t>
      </w:r>
    </w:p>
    <w:p w:rsidR="007E3D39" w:rsidRPr="00C11630" w:rsidRDefault="007E3D39" w:rsidP="007E3D39">
      <w:pPr>
        <w:spacing w:line="240" w:lineRule="auto"/>
        <w:jc w:val="both"/>
        <w:rPr>
          <w:rFonts w:ascii="Times New Roman" w:hAnsi="Times New Roman" w:cs="Times New Roman"/>
          <w:b/>
          <w:sz w:val="24"/>
          <w:szCs w:val="24"/>
        </w:rPr>
      </w:pPr>
      <w:r>
        <w:rPr>
          <w:rFonts w:ascii="Times New Roman" w:hAnsi="Times New Roman" w:cs="Times New Roman"/>
          <w:b/>
          <w:sz w:val="24"/>
          <w:szCs w:val="24"/>
        </w:rPr>
        <w:t>L</w:t>
      </w:r>
      <w:r w:rsidRPr="00C11630">
        <w:rPr>
          <w:rFonts w:ascii="Times New Roman" w:hAnsi="Times New Roman" w:cs="Times New Roman"/>
          <w:b/>
          <w:sz w:val="24"/>
          <w:szCs w:val="24"/>
        </w:rPr>
        <w:t>os Bancos Centrales se dedican “empujar la soga”</w:t>
      </w:r>
      <w:r>
        <w:rPr>
          <w:rFonts w:ascii="Times New Roman" w:hAnsi="Times New Roman" w:cs="Times New Roman"/>
          <w:b/>
          <w:sz w:val="24"/>
          <w:szCs w:val="24"/>
        </w:rPr>
        <w:t xml:space="preserve"> (dopando los mercados)</w:t>
      </w:r>
    </w:p>
    <w:p w:rsidR="007E3D39" w:rsidRPr="002327A9" w:rsidRDefault="007E3D39" w:rsidP="007E3D39">
      <w:pPr>
        <w:spacing w:line="240" w:lineRule="auto"/>
        <w:jc w:val="both"/>
        <w:rPr>
          <w:rFonts w:ascii="Times New Roman" w:hAnsi="Times New Roman" w:cs="Times New Roman"/>
          <w:sz w:val="24"/>
          <w:szCs w:val="24"/>
        </w:rPr>
      </w:pPr>
      <w:r w:rsidRPr="002A5FC8">
        <w:rPr>
          <w:rFonts w:ascii="Times New Roman" w:hAnsi="Times New Roman" w:cs="Times New Roman"/>
          <w:sz w:val="24"/>
          <w:szCs w:val="24"/>
        </w:rPr>
        <w:t xml:space="preserve">La política no convencional incluye modificaciones en la hoja de balance del banco central mediante la compra/venta </w:t>
      </w:r>
      <w:r>
        <w:rPr>
          <w:rFonts w:ascii="Times New Roman" w:hAnsi="Times New Roman" w:cs="Times New Roman"/>
          <w:sz w:val="24"/>
          <w:szCs w:val="24"/>
        </w:rPr>
        <w:t>de activos de renta fija (</w:t>
      </w:r>
      <w:r w:rsidRPr="002A5FC8">
        <w:rPr>
          <w:rFonts w:ascii="Times New Roman" w:hAnsi="Times New Roman" w:cs="Times New Roman"/>
          <w:sz w:val="24"/>
          <w:szCs w:val="24"/>
        </w:rPr>
        <w:t>“Quantitative Easing”, “Credit Easing”, “Quantitative Tightening”) y otros mecanismos que no implican una modificación directa de la tasa de interés; por ejemplo: fijar tasas de interés negativas, ajustes al colateral (“colateral adjustments”) y anuncios públicos (“forward guidance”).</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Los economistas de la Fed y el BCE no entienden que la inflación es un fenómeno monetario y creen que pueden fomentar el crecimiento aumentando la oferta monetaria… ¿No aprenden, no quieren aprender, o nos engañan con premeditación y alevosía? ¿Los hacedores de las burbujas, consideran a los ahorristas como meros burbu-giles? ¿Ustedes que piensan?</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Las autoridades de la Fed y el BCE tienen la indecencia de bendecir lo inimaginable, pactar lo inaceptable, y acordar lo inasumible, en una economía liberal (donde cada palo aguanta su vela). Perdonan a los traficantes de influencias, borran los crímenes de los saqueadores financieros, se ponen de rodillas ante las exigencias de los hacedores de mercado y, para más inri, endosan al Estado todas las pérdidas de la economía de casino, colmando los bolsillos de traders y banqueros, con el dinero de todos.</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Los BCs son subalternos del establishment, especialistas en ponerle música hasta al delito. ¿Simuladores? ¿permisivos? ¿relativistas? ¿clandestinos? ¿falaces? ¿hipócritas? ¿cínicos? ¿conniventes? ¿cooperadores necesarios? ¿agradadores? o ¿simplemente, corruptos? </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Antes que nos borren el recuerdo, veamos  algunas “deposiciones” (cagadas) de los Maestros:</w:t>
      </w:r>
    </w:p>
    <w:p w:rsidR="007E3D39" w:rsidRPr="0062569D" w:rsidRDefault="007E3D39" w:rsidP="007E3D39">
      <w:pPr>
        <w:spacing w:line="240" w:lineRule="auto"/>
        <w:jc w:val="both"/>
        <w:rPr>
          <w:rFonts w:ascii="Times New Roman" w:hAnsi="Times New Roman" w:cs="Times New Roman"/>
          <w:b/>
          <w:sz w:val="24"/>
          <w:szCs w:val="24"/>
        </w:rPr>
      </w:pPr>
      <w:r w:rsidRPr="0062569D">
        <w:rPr>
          <w:rFonts w:ascii="Times New Roman" w:hAnsi="Times New Roman" w:cs="Times New Roman"/>
          <w:b/>
          <w:sz w:val="24"/>
          <w:szCs w:val="24"/>
        </w:rPr>
        <w:lastRenderedPageBreak/>
        <w:t>“Burbujita” Greenspan: de guardián del dinero, a ordenanza del “Club de banqueros”</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“La historia demuestra que los pronósticos sobre la supresión o el repunte de la inflación, como todos los pronósticos, no son fiables. Ante esta incertidumbre, la actitud vigilante de un Banco Central contra la inflación es más un tópico de la política monetaria, en, por supuesto, el verdadero cumplimiento de nuestro mandato de promover el crecimiento sostenible”.</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“Como he dicho en ocasiones anteriores, identificar las burbujas financieras y vaticinar su final es una tarea sumamente difícil”.</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“La política monetaria no puede anticipar el aumento o el final de los excesos especulativos. De hecho, si bajáramos de un día para otro los tipos de interés ante las previsiones de una caída de las cotizaciones, con ello sólo agravaríamos los desequilibrios económicos y financieros. Nuestra única alternativa realista es actuar contra las presiones inflacionistas que a veces acompañan un aumento de precio de los activos, haya burbuja financiera o no, y abordar decididamente las consecuencias de una pronunciada deflación de precios de los activos”</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“Los bajos tipos de interés y el aumento de la oferta monetaria bajo mi mandato no tuvieron nada que ver con la burbuja inmobiliaria. Eso es ridículo”.</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“Nadie podría haber desarticulado las amenazas que causaron la crisis, dado que nadie podría haberla advertido”.</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“Los derivados son un vehículo extremadamente útil para transferir el riesgo y sería un grave error regular esos contratos con mayor profundidad”.</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“Los Estados Unidos pueden pagar cualquier deuda porque siempre puede imprimir dinero para hacerlo. Así es que hay cero probabilidad de falta de pago”.</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“Las finanzas son totalmente diferentes al resto de la economía”.</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“En efecto, tenemos que hacer que el sistema de recepción de pagos fantasma montado alrededor del fideicomiso parezca real”.</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“Estoy conmocionado por el maremoto crediticio”.</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“Es muy difícil predecir cuándo podría ocurrir una crisis de bonos”.</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“El capitalismo de amigotes es esencialmente una condición en la cual los funcionarios públicos están dando favores a las personas en el sector privado como pago de favores políticos”.</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 </w:t>
      </w:r>
      <w:r w:rsidRPr="0062569D">
        <w:rPr>
          <w:rFonts w:ascii="Times New Roman" w:hAnsi="Times New Roman" w:cs="Times New Roman"/>
          <w:sz w:val="24"/>
          <w:szCs w:val="24"/>
          <w:u w:val="single"/>
        </w:rPr>
        <w:t>De lo actuado en la crisis de 1987</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Cerrar la bolsa de Nueva York era una opción que Greenspan no tenía en cuenta. Porque, una vez cerrada, ¿cómo la iban a abrir luego? ¿A qué precio se cotizarían las acciones? La bolsa de Hong Kong cerró una vez y costó una semana volver a abrir. Los mercados establecen los precios, si no hay mercado, no hay precios. Era algo casi impensable…</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Si cerraba Nueva York, ¿qué ocurriría con el mercado de futuros?… El mercado de futuros se hundiría. Aquello desataría el pánico general…Verdaderamente estaban al borde del precipicio…</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lastRenderedPageBreak/>
        <w:t>El presidente (Ronald Reagan) podría haber cerrado la bolsa o actuado de alguna otra forma, pero aquello tampoco habría conseguido gran cosa. Sólo una parte de la maquinaria gubernamental tenía poder para dar la vuelta a la situación, y esa parte era precisamente la Fed, ofreciendo crédito ilimitado. Al fin el dinero lo puede todo… o, al menos, la disposición incondicional y abierta de la Fed a proporcionarlo…</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¿Podía recibir el capitalismo americano un indulto mediante la inversión estratégica (o accidental) de varios millones de dólares? Claro que era posible… Greenspan comprendió que en aquel momento nadie habría sabido que hacer… Aquel espacio fantástico y nebuloso entre los mercados libres del capitalismo y las regulaciones del gobierno era una verdadera tierra de nadie.</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El jueves 22 de octubre, el presidente de la Fed de Chicago llamó e informó de una nueva crisis. First Options, una subsidiaria del Continental Illinois, un banco gigantesco estaba en quiebra y no podía proporcionar más créditos al mercado de acciones…</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Debían seguir sus propias regulaciones y proteger al Continental y a sus clientes. No podían permitir que First Options sangrara al banco…</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La quiebra de First Options paralizaría completamente el mercado de opciones y quizá provocase también un nuevo derrumbe de la bolsa. Miró a Greenspan, que parecía asentir.</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No vamos a dejarlo -le dijo Johnson a Taylor-. No lo bloquearemos. Que fluya el dinero, ya lo limpiaremos más tarde.</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Greenspan se limitó a asentir…</w:t>
      </w:r>
    </w:p>
    <w:p w:rsidR="007E3D39" w:rsidRPr="0062569D" w:rsidRDefault="007E3D39" w:rsidP="007E3D39">
      <w:pPr>
        <w:spacing w:line="240" w:lineRule="auto"/>
        <w:jc w:val="both"/>
        <w:rPr>
          <w:rFonts w:ascii="Times New Roman" w:hAnsi="Times New Roman" w:cs="Times New Roman"/>
          <w:b/>
          <w:sz w:val="24"/>
          <w:szCs w:val="24"/>
        </w:rPr>
      </w:pPr>
      <w:r w:rsidRPr="0062569D">
        <w:rPr>
          <w:rFonts w:ascii="Times New Roman" w:hAnsi="Times New Roman" w:cs="Times New Roman"/>
          <w:b/>
          <w:sz w:val="24"/>
          <w:szCs w:val="24"/>
        </w:rPr>
        <w:t>“Helicopter” Bernanke: el “fandango” de la deuda y la “socialización” de las pérdidas</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La teoría, que nunca ha sido probada en una economía importante moderna, es unir la política monetaria y fiscal. Los gobiernos, faltos de liquidez, emiten deuda a corto plazo que compra directamente el banco central con dinero fresco imprimido por él mismo, y esos fondos obtenidos por el gobierno se inyectan directamente en la economía bien a través de rebajas de impuesto bien a través de programas de gasto. Los bancos, que normalmente actúan como intermediarios, se dejan de lado.</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La idea es impulsar el gasto e invertir directamente, ir más allá de la influir en los rendimientos de los bonos o la confianza. Los bancos centrales pueden establecer límites (por ejemplo un determinado nivel de inflación o de crecimiento) para evitar que los gobiernos se conviertan en adictos a este helicóptero.</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En 2002, el entonces gobernador de la Reserva Federal, Ben Bernanke (después sería presidente), dijo en un discurso que estas medidas “casi seguro que serían un estímulo efectivo al consumo y, por lo tanto, para los precios”. Desde entonces, su apodo es Helicopter Ben.</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“La Reserva Federal no puede resolver por sí sola todos los problemas de la economía”.</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“La política monetaria no es una ciencia exacta, sino un arte basado en la experiencia y el juicio”.</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“La estabilidad financiera es un objetivo fundamental de la política monetaria”.</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lastRenderedPageBreak/>
        <w:t>“La política monetaria expansiva puede ser necesaria en tiempos de crisis para estimular la economía”.</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“No hay una bala mágica para resolver todos los problemas económicos”.</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“La inflación moderada puede ser deseable para promover el crecimiento económico”.</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“Se le perdonaría a uno llegar a la conclusión de que las supuestas ventajas de la innovación financiera no son todo lo que se dice”.</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“Los libros de texto describen la economía como el estudio de la asignación de recursos escasos. Esta definición puede ser el “qué”, pero ciertamente no es el “por qué”.</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“Nunca he estado en Wall Street y me preocupa Wall Street por una razón y solo por una: porque lo que le ocurra a Wall Street le importa a Main Street”.</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“Un error honesto, ante problemas complejos y posiblemente insolubles, es una fuente mucho más importante de malos resultados que de malos motivos”. </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“He hablado de los déficits y creo que son importantes porque abordan la estabilidad económica y financiera en general. Tenemos que hablar de eso”. </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“La frase “demasiado grande para quebrar” es uno de los mayores problemas a los que nos enfrentamos en este país”.</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“El presidente de Greenspan es, por supuesto, un maestro”.</w:t>
      </w:r>
    </w:p>
    <w:p w:rsidR="007E3D39" w:rsidRPr="0062569D" w:rsidRDefault="007E3D39" w:rsidP="007E3D39">
      <w:pPr>
        <w:spacing w:line="240" w:lineRule="auto"/>
        <w:jc w:val="both"/>
        <w:rPr>
          <w:rFonts w:ascii="Times New Roman" w:hAnsi="Times New Roman" w:cs="Times New Roman"/>
          <w:sz w:val="24"/>
          <w:szCs w:val="24"/>
          <w:u w:val="single"/>
        </w:rPr>
      </w:pPr>
      <w:r w:rsidRPr="0062569D">
        <w:rPr>
          <w:rFonts w:ascii="Times New Roman" w:hAnsi="Times New Roman" w:cs="Times New Roman"/>
          <w:sz w:val="24"/>
          <w:szCs w:val="24"/>
          <w:u w:val="single"/>
        </w:rPr>
        <w:t>Las primeras reacciones políticas e institucionales a la Crisis de las hipotecas “subprime”</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Bush (POTUS): el gobierno federal “tiene un papel en la ayuda a las familias, pero no para salvar a los especuladores”… </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Bernanke (Fed) “La Reserva Federal está lista para tomar acciones adicionales como sea necesario para ofrecer liquidez y promover un ordenado funcionamiento de los mercados”. Las pérdidas excedieron “las proyecciones más pesimistas”… </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El FMI recuerda que las pérdidas por la crisis deben ser para los inversores y no para los contribuyentes. “Las autoridades deben resistir las presiones por parte de los acreedores en apuros para evitar el refuerzo de comportamientos especulativos y fraudulentos”…</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Greenspan (ex Fed) admite que sólo entendió el problema de las hipotecas hacia el “fin de 2005”… </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El presidente de la Reserva Federal, Ben Bernanke, explicaba en el Washington Post (14/11/10):</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“Los mercados subieron y los tipos de interés a largo plazo bajaron cuando los inversores empezaron a anticipar la actuación más reciente de la Fed. Una situación financiera más favorable promoverá el crecimiento económico. Por ejemplo, unas hipotecas a tipos más bajos harán las viviendas más asequibles y permitirán que un mayor número de propietarios puedan refinanciarse. Unos tipos más bajos para las empresas incentivarán la inversión. Los precios más altos de los activos impulsarán el patrimonio de los consumidores, devolviéndoles la confianza, lo que podrá también reactivar el gasto. El aumento del gasto </w:t>
      </w:r>
      <w:r w:rsidRPr="0062569D">
        <w:rPr>
          <w:rFonts w:ascii="Times New Roman" w:hAnsi="Times New Roman" w:cs="Times New Roman"/>
          <w:sz w:val="24"/>
          <w:szCs w:val="24"/>
        </w:rPr>
        <w:lastRenderedPageBreak/>
        <w:t>producirá mayores rentas y beneficios que, en un círculo virtual, darán un mayor soporte a la expansión económica”.</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Sólo le faltó decir: Y si el “círculo virtual” no se cierra, que Dios (o Yahveh, en su caso) y la Patria, me lo demanden.</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Para unos (que creen en Dios), u otros (que creen en la Patria) o los pocos (que creemos en Dios y la Patria), algunas reflexiones de “Manias, panics and crashes”:</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“La labor del prestamista de último recurso ante una debacle está plagada de ambigüedades y dilemas. (...) En estas circunstancias, más que una ciencia la intervención se convierte en un arte”. </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“La evolución del “Arte del banquero central” durante los últimos doscientos años tiene como seña de identidad la evolución del concepto de prestamista de último recurso”.  </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“El prestamista de último recurso está listo para frenar una estampida (…) proporcionando tanto dinero como sea necesario”.</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“¿Con cuánto dinero? ¿Para quién? ¿En qué condiciones? ¿Cuándo? Estas preguntas acechan al prestamista de último recurso, que afronta el dilema de que los inversores piensen que los bancos y otros privilegiados acreedores recibirán apoyo en caso de dificultades, lo que reducirá su prudencia en el siguiente boom”.</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“Sin embargo, si en medio del pánico la estampida no se frena (…) la venta de activos para minimizar pérdidas puede llevar a la bancarrota a un gran número de empresas, que hasta entonces eran solventes y estaban bien capitalizadas”. </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“Los argumentos en contra del prestamista de último recurso han sido continuos. (…) El más tajante fue de Herbert Spencer. “Proteger al hombre de los efectos de su locura lo único que consigue es llenar el mundo de locos”. Un punto de vista comprensible en una era Darwiniana”. </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“Los bancos centrales suelen tener normas. Cuando no se pueden romper con facilidad, a menudo surgen problemas. También hay problemas cuando las normas se rompen con demasiada facilidad”.  </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““Demasiado poco, demasiado tarde” es una de las frases más tristes en la jerga de los bancos centrales y de cualquier actividad. Pero ¿cuánto es bastante? Y ¿cuándo es el momento adecuado?”. </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“La gestión del tiempo es un arte. Eso no dice nada y lo dice todo”…</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b/>
          <w:sz w:val="24"/>
          <w:szCs w:val="24"/>
        </w:rPr>
        <w:t>Nota</w:t>
      </w:r>
      <w:r w:rsidRPr="0062569D">
        <w:rPr>
          <w:rFonts w:ascii="Times New Roman" w:hAnsi="Times New Roman" w:cs="Times New Roman"/>
          <w:sz w:val="24"/>
          <w:szCs w:val="24"/>
        </w:rPr>
        <w:t xml:space="preserve">: ¿Para la Fed, el BCE, es un amigo, un admirador, un siervo o un esclavo? Aunque pienso que los dirigentes del BCE son meros lacayos, serviles y glenuflexos, de la Fed (¿poder duro? ¿poder blando? ¿complejo de inferioridad? ¿miedo escénico? ¿debilidad manifiesta? ¿deuda de guerra?...), creo que puede resultar de interés para el lector, presentar una breve reseña histórica de los principales sucesos acontecidos en la entidad:  </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(Recomiendo poner especial atención en el desempeño de Mario Draghi y su mítico “whatever it takes”, en defensa del euro, y de Christine Lagarde, en su esforzada defensa de la validez del análisis de la institución, insistiendo en que el alza de la inflación sería transitoria y remitiría en 2022)  </w:t>
      </w:r>
    </w:p>
    <w:p w:rsidR="007E3D39" w:rsidRPr="00054DB4"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054DB4">
        <w:rPr>
          <w:rFonts w:ascii="Times New Roman" w:hAnsi="Times New Roman" w:cs="Times New Roman"/>
          <w:sz w:val="24"/>
          <w:szCs w:val="24"/>
          <w:u w:val="single"/>
        </w:rPr>
        <w:t>De la crisis inmobiliaria a la lucha contra el monstruo de la inflación: grandes hitos del BCE en 25 años de historia</w:t>
      </w:r>
      <w:r>
        <w:rPr>
          <w:rFonts w:ascii="Times New Roman" w:hAnsi="Times New Roman" w:cs="Times New Roman"/>
          <w:sz w:val="24"/>
          <w:szCs w:val="24"/>
        </w:rPr>
        <w:t xml:space="preserve"> (El Economista - </w:t>
      </w:r>
      <w:r w:rsidRPr="00054DB4">
        <w:rPr>
          <w:rFonts w:ascii="Times New Roman" w:hAnsi="Times New Roman" w:cs="Times New Roman"/>
          <w:b/>
          <w:sz w:val="24"/>
          <w:szCs w:val="24"/>
        </w:rPr>
        <w:t>24/5/23</w:t>
      </w:r>
      <w:r>
        <w:rPr>
          <w:rFonts w:ascii="Times New Roman" w:hAnsi="Times New Roman" w:cs="Times New Roman"/>
          <w:sz w:val="24"/>
          <w:szCs w:val="24"/>
        </w:rPr>
        <w:t>)</w:t>
      </w:r>
    </w:p>
    <w:p w:rsidR="007E3D39" w:rsidRPr="00054DB4"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El Banco Central Europeo “nació”</w:t>
      </w:r>
      <w:r w:rsidRPr="00054DB4">
        <w:rPr>
          <w:rFonts w:ascii="Times New Roman" w:hAnsi="Times New Roman" w:cs="Times New Roman"/>
          <w:sz w:val="24"/>
          <w:szCs w:val="24"/>
        </w:rPr>
        <w:t xml:space="preserve"> el 1 de junio de 1998</w:t>
      </w:r>
    </w:p>
    <w:p w:rsidR="007E3D39"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Ha tenido cuatro presidentes que han encarado numerosos retos económicos</w:t>
      </w:r>
    </w:p>
    <w:p w:rsidR="007E3D39"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El Banco Central Europeo (BCE) cumple años, aunque la realidad es que tiene poco que celebrar. Los precios en la eurozona suben a un ritmo que más que triplica el objetivo de inflación de la institución y algunos componentes como los alimentos no muestran signos claros de moderación. No es de extrañar que el BCE se encuentre en su vigésimo quinto aniversario en medio de una crisis. En su corta vida, los diferentes presidentes de la institución y sus Consejos de Gobierno se han enfrentado a cinco crisis de naturaleza muy diferente: el estadillo de una burbuja tecnológica en Estados Unidos; una crisis financiera aliñada con una burbuja inmobiliaria en varios países del euro; una crisis de deuda soberana que casi acaba con la moneda única; una pandemia mundial... y cuando ya parecía imposible que la situación empeorase, llega la mayor subida de la inflación en décadas, junto a un</w:t>
      </w:r>
      <w:r>
        <w:rPr>
          <w:rFonts w:ascii="Times New Roman" w:hAnsi="Times New Roman" w:cs="Times New Roman"/>
          <w:sz w:val="24"/>
          <w:szCs w:val="24"/>
        </w:rPr>
        <w:t>a guerra en territorio europeo.</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noProof/>
          <w:sz w:val="24"/>
          <w:szCs w:val="24"/>
          <w:lang w:eastAsia="es-ES"/>
        </w:rPr>
        <w:drawing>
          <wp:inline distT="0" distB="0" distL="0" distR="0" wp14:anchorId="4AF26585" wp14:editId="502D8E22">
            <wp:extent cx="5731510" cy="3128449"/>
            <wp:effectExtent l="0" t="0" r="2540" b="0"/>
            <wp:docPr id="137" name="Imagen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6"/>
                    <a:stretch>
                      <a:fillRect/>
                    </a:stretch>
                  </pic:blipFill>
                  <pic:spPr>
                    <a:xfrm>
                      <a:off x="0" y="0"/>
                      <a:ext cx="5731510" cy="3128449"/>
                    </a:xfrm>
                    <a:prstGeom prst="rect">
                      <a:avLst/>
                    </a:prstGeom>
                  </pic:spPr>
                </pic:pic>
              </a:graphicData>
            </a:graphic>
          </wp:inline>
        </w:drawing>
      </w:r>
    </w:p>
    <w:p w:rsidR="007E3D39" w:rsidRPr="00054DB4"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(Por </w:t>
      </w:r>
      <w:r w:rsidRPr="00054DB4">
        <w:rPr>
          <w:rFonts w:ascii="Times New Roman" w:hAnsi="Times New Roman" w:cs="Times New Roman"/>
          <w:sz w:val="24"/>
          <w:szCs w:val="24"/>
        </w:rPr>
        <w:t>Vicente Nieves</w:t>
      </w:r>
      <w:r>
        <w:rPr>
          <w:rFonts w:ascii="Times New Roman" w:hAnsi="Times New Roman" w:cs="Times New Roman"/>
          <w:sz w:val="24"/>
          <w:szCs w:val="24"/>
        </w:rPr>
        <w:t>)</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El 25 de mayo de 1998 fueron escogidos los seis miembros del primer Comité Ejecutivo del BCE, pero no fue hasta unos días después, el 1 de junio, cuando el organismo empezó a funcionar oficialmente en virtud del Tratado de Maastricht. Sucedió medio año antes de que comenzar</w:t>
      </w:r>
      <w:r>
        <w:rPr>
          <w:rFonts w:ascii="Times New Roman" w:hAnsi="Times New Roman" w:cs="Times New Roman"/>
          <w:sz w:val="24"/>
          <w:szCs w:val="24"/>
        </w:rPr>
        <w:t>a la introducción del euro, la “moneda única”</w:t>
      </w:r>
      <w:r w:rsidRPr="00054DB4">
        <w:rPr>
          <w:rFonts w:ascii="Times New Roman" w:hAnsi="Times New Roman" w:cs="Times New Roman"/>
          <w:sz w:val="24"/>
          <w:szCs w:val="24"/>
        </w:rPr>
        <w:t xml:space="preserve"> con la que la Unión Europea (UE) buscaba integrar las economías de todos los países que la conforman.</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 xml:space="preserve">No obstante, hay que remontarse a finales de los 80 para encontrar el verdadero origen del Banco Central Europeo. En concreto, a junio de 1988, cuando el Consejo Europeo decidió que la Unión Económica y Monetaria de la UE se llevaría a cabo de forma progresiva. Los primeros pasos se dieron a lo largo de los 90 y a finales de la década (y a las puertas del siglo XXI) el BCE tomó el mando único de la política monetaria de toda la eurozona. Eso sí, no pasó a ser una institución de la Unión Europea hasta 2009, con la entrada en vigor del </w:t>
      </w:r>
      <w:r w:rsidRPr="00054DB4">
        <w:rPr>
          <w:rFonts w:ascii="Times New Roman" w:hAnsi="Times New Roman" w:cs="Times New Roman"/>
          <w:sz w:val="24"/>
          <w:szCs w:val="24"/>
        </w:rPr>
        <w:lastRenderedPageBreak/>
        <w:t xml:space="preserve">Tratado de Lisboa, </w:t>
      </w:r>
      <w:r>
        <w:rPr>
          <w:rFonts w:ascii="Times New Roman" w:hAnsi="Times New Roman" w:cs="Times New Roman"/>
          <w:sz w:val="24"/>
          <w:szCs w:val="24"/>
        </w:rPr>
        <w:t>que deja claro su cometido: el “</w:t>
      </w:r>
      <w:r w:rsidRPr="00054DB4">
        <w:rPr>
          <w:rFonts w:ascii="Times New Roman" w:hAnsi="Times New Roman" w:cs="Times New Roman"/>
          <w:sz w:val="24"/>
          <w:szCs w:val="24"/>
        </w:rPr>
        <w:t>objeti</w:t>
      </w:r>
      <w:r>
        <w:rPr>
          <w:rFonts w:ascii="Times New Roman" w:hAnsi="Times New Roman" w:cs="Times New Roman"/>
          <w:sz w:val="24"/>
          <w:szCs w:val="24"/>
        </w:rPr>
        <w:t>vo principal” es “</w:t>
      </w:r>
      <w:r w:rsidRPr="00054DB4">
        <w:rPr>
          <w:rFonts w:ascii="Times New Roman" w:hAnsi="Times New Roman" w:cs="Times New Roman"/>
          <w:sz w:val="24"/>
          <w:szCs w:val="24"/>
        </w:rPr>
        <w:t>man</w:t>
      </w:r>
      <w:r>
        <w:rPr>
          <w:rFonts w:ascii="Times New Roman" w:hAnsi="Times New Roman" w:cs="Times New Roman"/>
          <w:sz w:val="24"/>
          <w:szCs w:val="24"/>
        </w:rPr>
        <w:t>tener la estabilidad de precios”</w:t>
      </w:r>
      <w:r w:rsidRPr="00054DB4">
        <w:rPr>
          <w:rFonts w:ascii="Times New Roman" w:hAnsi="Times New Roman" w:cs="Times New Roman"/>
          <w:sz w:val="24"/>
          <w:szCs w:val="24"/>
        </w:rPr>
        <w:t>. Para conseguirla, su principal herramienta son los tipos de interés.</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El BCE ha adelantado un poco la celebración de su vigésimo quinto aniversario, pues el acto conmemorativo tiene lugar este 24 de mayo en Fráncfort, ciudad en la que se encuentra s</w:t>
      </w:r>
      <w:r>
        <w:rPr>
          <w:rFonts w:ascii="Times New Roman" w:hAnsi="Times New Roman" w:cs="Times New Roman"/>
          <w:sz w:val="24"/>
          <w:szCs w:val="24"/>
        </w:rPr>
        <w:t>u sede, a orillas del río Meno.</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A lo largo de estos cinco lustros, el Banco Central Europeo ha contado con cuatro presidentes: tres hombres (Wim Duisenberg, Jean Claude Trichet y Mario Draghi) y una mujer (Christine Lagarde). Quizá se tiende a ver de forma más dramática los hechos recientes que los pasados, pero lo cierto es que el BCE se ha ido enfrentando a situaciones cada vez más complejas de gestionar. La parte positiva, que también existe, es que algunos de estos eventos límite han unido a los países europeos en una toma de decisiones que hace 20 años parecía imposibl</w:t>
      </w:r>
      <w:r>
        <w:rPr>
          <w:rFonts w:ascii="Times New Roman" w:hAnsi="Times New Roman" w:cs="Times New Roman"/>
          <w:sz w:val="24"/>
          <w:szCs w:val="24"/>
        </w:rPr>
        <w:t>e.</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Duisenberg: el que no escuchaba y vio al euro en mínimos</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 xml:space="preserve">No siempre fue tan ajetreada la vida del Banco Central Europeo. Los primeros años fueron relativamente tranquilos, aunque no estuvieron exentos de polémica. La cara visible de esa etapa fue la del neerlandés Willem </w:t>
      </w:r>
      <w:r w:rsidR="00E92717" w:rsidRPr="00054DB4">
        <w:rPr>
          <w:rFonts w:ascii="Times New Roman" w:hAnsi="Times New Roman" w:cs="Times New Roman"/>
          <w:sz w:val="24"/>
          <w:szCs w:val="24"/>
        </w:rPr>
        <w:t>Frederick</w:t>
      </w:r>
      <w:r w:rsidRPr="00054DB4">
        <w:rPr>
          <w:rFonts w:ascii="Times New Roman" w:hAnsi="Times New Roman" w:cs="Times New Roman"/>
          <w:sz w:val="24"/>
          <w:szCs w:val="24"/>
        </w:rPr>
        <w:t xml:space="preserve"> Duisenberg, más conocido como Wim Duisenberg, quien asumió el cargo como presidente</w:t>
      </w:r>
      <w:r>
        <w:rPr>
          <w:rFonts w:ascii="Times New Roman" w:hAnsi="Times New Roman" w:cs="Times New Roman"/>
          <w:sz w:val="24"/>
          <w:szCs w:val="24"/>
        </w:rPr>
        <w:t xml:space="preserve"> del BCE el 1 de julio de 1998.</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Alto, de voz grave y con un pelo blanco muy característico, antes de aterrizar en el BCE Duisenberg ganó buena fama con su política monetaria al frente del banco central de Países Bajos, la cual estuvo muy vinculada a la del banco central alemán (el Bundesbank) y se caracterizó por la cautela. Fue precisamente el respaldo claro de Alemania lo que permitió el nombramiento de Wim Duisenberg como primer presidente del Banco Central Europeo, pese al rechazo de Francia, que quería que el puesto fuera ocupado por Jean Claude Trichet, el entonces gobernador del banco central galo. La solución a este (enésimo) choque entre París y Berlín fue que el banquero neerlandés no agotara su mandato (de ocho años no renovables) al frente del BCE. Y así fue: Duisenberg anunció en julio de 2003 que abandonaba la presidencia del organismo monetario y lo hizo ofi</w:t>
      </w:r>
      <w:r>
        <w:rPr>
          <w:rFonts w:ascii="Times New Roman" w:hAnsi="Times New Roman" w:cs="Times New Roman"/>
          <w:sz w:val="24"/>
          <w:szCs w:val="24"/>
        </w:rPr>
        <w:t>cialmente cuatro meses después.</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 xml:space="preserve">No obstante, el holandés fue el rostro de un hito para la historia del Viejo Continente: la introducción del euro, primero, en los mercados y, posteriormente en 2002, en cientos de millones de hogares europeos. Él mismo admitió en un </w:t>
      </w:r>
      <w:r>
        <w:rPr>
          <w:rFonts w:ascii="Times New Roman" w:hAnsi="Times New Roman" w:cs="Times New Roman"/>
          <w:sz w:val="24"/>
          <w:szCs w:val="24"/>
        </w:rPr>
        <w:t>artículo publicado en 2005 que “</w:t>
      </w:r>
      <w:r w:rsidRPr="00054DB4">
        <w:rPr>
          <w:rFonts w:ascii="Times New Roman" w:hAnsi="Times New Roman" w:cs="Times New Roman"/>
          <w:sz w:val="24"/>
          <w:szCs w:val="24"/>
        </w:rPr>
        <w:t>los p</w:t>
      </w:r>
      <w:r>
        <w:rPr>
          <w:rFonts w:ascii="Times New Roman" w:hAnsi="Times New Roman" w:cs="Times New Roman"/>
          <w:sz w:val="24"/>
          <w:szCs w:val="24"/>
        </w:rPr>
        <w:t>rimeros años del BCE fueron un “bautismo de fuego”” debido a una “serie crisis específicas”</w:t>
      </w:r>
      <w:r w:rsidRPr="00054DB4">
        <w:rPr>
          <w:rFonts w:ascii="Times New Roman" w:hAnsi="Times New Roman" w:cs="Times New Roman"/>
          <w:sz w:val="24"/>
          <w:szCs w:val="24"/>
        </w:rPr>
        <w:t xml:space="preserve"> que afrontó la nueva moneda al</w:t>
      </w:r>
      <w:r>
        <w:rPr>
          <w:rFonts w:ascii="Times New Roman" w:hAnsi="Times New Roman" w:cs="Times New Roman"/>
          <w:sz w:val="24"/>
          <w:szCs w:val="24"/>
        </w:rPr>
        <w:t xml:space="preserve"> poco de nacer: “</w:t>
      </w:r>
      <w:r w:rsidRPr="00054DB4">
        <w:rPr>
          <w:rFonts w:ascii="Times New Roman" w:hAnsi="Times New Roman" w:cs="Times New Roman"/>
          <w:sz w:val="24"/>
          <w:szCs w:val="24"/>
        </w:rPr>
        <w:t>La mayor provino inicialmente del abrupto ascenso de los precios del petróleo y, más tarde, del rápido debilitamiento del tipo de cambio, lo que provocó un fuerte aumento de l</w:t>
      </w:r>
      <w:r>
        <w:rPr>
          <w:rFonts w:ascii="Times New Roman" w:hAnsi="Times New Roman" w:cs="Times New Roman"/>
          <w:sz w:val="24"/>
          <w:szCs w:val="24"/>
        </w:rPr>
        <w:t>os precios de las importaciones”</w:t>
      </w:r>
      <w:r w:rsidRPr="00054DB4">
        <w:rPr>
          <w:rFonts w:ascii="Times New Roman" w:hAnsi="Times New Roman" w:cs="Times New Roman"/>
          <w:sz w:val="24"/>
          <w:szCs w:val="24"/>
        </w:rPr>
        <w:t>, escribió Duisenberg.</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Con esas palabras, hizo referencia a los mínimos históricos que a principios de siglo marcó el euro en su cruce con el dólar estadounidense, llegando a intercambiarse un euro por menos de 85 centavos. Actualmente un euro vale alrededor de 1,08 dólares. La divisa comunitaria se estrenó en el 99 intercambiándose por 1,18 billetes, pero en el inicio del siglo XXI (en concreto, el 27 de enero del 2000), el euro cayó por primera vez por debajo del nivel de paridad (1 euro = 1 dólar) con la moneda norteameric</w:t>
      </w:r>
      <w:r>
        <w:rPr>
          <w:rFonts w:ascii="Times New Roman" w:hAnsi="Times New Roman" w:cs="Times New Roman"/>
          <w:sz w:val="24"/>
          <w:szCs w:val="24"/>
        </w:rPr>
        <w:t>ana.</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 xml:space="preserve">Las mencionadas bajas cotas récord se registraron precisamente después de que en octubre de 2000 Wim Duisenberg asegurara que el BCE no intervendría en el mercado de </w:t>
      </w:r>
      <w:r>
        <w:rPr>
          <w:rFonts w:ascii="Times New Roman" w:hAnsi="Times New Roman" w:cs="Times New Roman"/>
          <w:sz w:val="24"/>
          <w:szCs w:val="24"/>
        </w:rPr>
        <w:t>divisas para apuntalar el euro.</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lastRenderedPageBreak/>
        <w:t>Esa es solo una prueba de la torpeza del banquero neerlandés a la hora de comunicar la política monetaria del Banco Central Europeo, algo por lo que fue criticado en numerosas ocasiones, además de por su actitud desdeñosa hacia los políticos del Viejo Continente. En este sentido, uno de sus momentos más representativos fue cuando en una rueda de prensa, preguntado sobre las peticiones para que el BCE bajara los tipos, resp</w:t>
      </w:r>
      <w:r>
        <w:rPr>
          <w:rFonts w:ascii="Times New Roman" w:hAnsi="Times New Roman" w:cs="Times New Roman"/>
          <w:sz w:val="24"/>
          <w:szCs w:val="24"/>
        </w:rPr>
        <w:t>ondió: “Oigo, pero no escucho”.</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Sin embargo, el Consejo de Gobierno del BCE acabó bajando los tipos de interés a niveles no vistos en la corta historia del instituto monetario, con el objetivo de fomentar la economía del euro. Aun así, el banco central no evitó la recesión de 2001 y no fueron pocos los que aseguraron que la ralentización de la eurozona podría haber sido menos profunda si el organismo hubiera recortado los tipos antes y de forma más agresiva. En cambio, Duisenberg</w:t>
      </w:r>
      <w:r>
        <w:rPr>
          <w:rFonts w:ascii="Times New Roman" w:hAnsi="Times New Roman" w:cs="Times New Roman"/>
          <w:sz w:val="24"/>
          <w:szCs w:val="24"/>
        </w:rPr>
        <w:t xml:space="preserve"> valoró pocos años después que “</w:t>
      </w:r>
      <w:r w:rsidRPr="00054DB4">
        <w:rPr>
          <w:rFonts w:ascii="Times New Roman" w:hAnsi="Times New Roman" w:cs="Times New Roman"/>
          <w:sz w:val="24"/>
          <w:szCs w:val="24"/>
        </w:rPr>
        <w:t>la breve historia d</w:t>
      </w:r>
      <w:r>
        <w:rPr>
          <w:rFonts w:ascii="Times New Roman" w:hAnsi="Times New Roman" w:cs="Times New Roman"/>
          <w:sz w:val="24"/>
          <w:szCs w:val="24"/>
        </w:rPr>
        <w:t>e la política monetaria del BCE” ya estaba “marcada por el éxito”</w:t>
      </w:r>
      <w:r w:rsidRPr="00054DB4">
        <w:rPr>
          <w:rFonts w:ascii="Times New Roman" w:hAnsi="Times New Roman" w:cs="Times New Roman"/>
          <w:sz w:val="24"/>
          <w:szCs w:val="24"/>
        </w:rPr>
        <w:t>.</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Trichet: de la crisis financiera a la de deuda soberana</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El 1 de noviembre de 2003, Jean Claude Trichet asumió el cargo como presidente del BCE. Sus primeros años se caracterizaron por la continuidad. El banquero francés mantuvo sin cambios (en niveles relativamente bajos) los tipos hasta finales de 2005, lo que años después ha sido considerado como un error. Esta política de bajos tipos de interés alimentó una burbuja crediticia en los países que presentaban un mayor crecimiento económico (España, Irlanda, Grecia...). Por su parte, los bajos tipos también en EEUU estaban generando igualmente importantes desequilibrios (una burbuja inmobiliaria, agravada por la titulización de hipotecas y la concesión de hipotecas subprime o basura).</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 xml:space="preserve">¿Por qué mantenía el Trichet los tipos bajos? Las economías de Francia y Alemania no terminaban de despegar y la inflación del conjunto del euro daba espacio al BCE para mantener los tipos muy bajos. No obstante, aunque la inflación se encontraba cerca del 2% en el conjunto de la zona euro, economías como España superaban holgadamente ese objetivo, lo que dejaba entrever que se estaban generando importantes desequilibrios. Con la inflación por encima del 3%, los tipos de interés reales frisaban el terreno negativo en España, lo que incentivaba el endeudamiento de los agentes. Familias y empresas centraron su inversión </w:t>
      </w:r>
      <w:r>
        <w:rPr>
          <w:rFonts w:ascii="Times New Roman" w:hAnsi="Times New Roman" w:cs="Times New Roman"/>
          <w:sz w:val="24"/>
          <w:szCs w:val="24"/>
        </w:rPr>
        <w:t>y endeudamiento en el ladrillo.</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Cuando Trichet y el Consejo de Gobierno comenzaron a subir los tipos de interés (finales de 2005), ya era demasiado tarde para economías como la española. El BCE elevó la tasa de depósitos en 225 puntos básicos entre diciembre de 2005 y julio de 2008, cuando se situaron en el 3,25% (tasa de depósitos) y 3,75% (tipo principal de refinanciación). La Reserva Federal estadounidense (Fed) elevó el precio del dinero del 1% hasta el 5,25%. El endurecimiento monetario en EEUU prendió la chispa de la crisis subprime. El contagio llegó rápido a la zona euro. El crédito se secó y los países que habían basado su crecimiento en el endeudamiento (sobre todo con deuda externa) suf</w:t>
      </w:r>
      <w:r>
        <w:rPr>
          <w:rFonts w:ascii="Times New Roman" w:hAnsi="Times New Roman" w:cs="Times New Roman"/>
          <w:sz w:val="24"/>
          <w:szCs w:val="24"/>
        </w:rPr>
        <w:t>rieron el golpe con más fuerza.</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 xml:space="preserve">Desde entonces, el BCE apostó por bajar los tipos de referencia de forma contundente (con alguna vacilación en medio), pasando desde el 3,25% al 0,25% en abril de 2009 en el caso de la tasa de depósito. El tipo principal de refinanciación cayó desde el 3,75% hasta el 1%. A la vez que se bajaban los tipos, los gobiernos pusieron en marcha planes de estímulo que se activaron junto a los estabilizadores automáticos (prestaciones por desempleo, ayudas...). La economía logró estabilizarse, pero las fragilidades eran muy notables. La deuda pública comenzó a subir rápidamente en los países que partían con mayores desequilibrios, lo que estaba ya generando ciertas tensiones en los mercados: el BCE había bajado los tipos a cerca </w:t>
      </w:r>
      <w:r w:rsidRPr="00054DB4">
        <w:rPr>
          <w:rFonts w:ascii="Times New Roman" w:hAnsi="Times New Roman" w:cs="Times New Roman"/>
          <w:sz w:val="24"/>
          <w:szCs w:val="24"/>
        </w:rPr>
        <w:lastRenderedPageBreak/>
        <w:t>de cero, pero los bonos periféricos presentaban rentabilidades del 4 y 5%. Hay que recordar que entonces no había quantitative easing (programa</w:t>
      </w:r>
      <w:r>
        <w:rPr>
          <w:rFonts w:ascii="Times New Roman" w:hAnsi="Times New Roman" w:cs="Times New Roman"/>
          <w:sz w:val="24"/>
          <w:szCs w:val="24"/>
        </w:rPr>
        <w:t>s de compras de bonos masivas).</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 xml:space="preserve">La estocada final a los países vulnerables o periféricos </w:t>
      </w:r>
      <w:r w:rsidR="00E92717">
        <w:rPr>
          <w:rFonts w:ascii="Times New Roman" w:hAnsi="Times New Roman" w:cs="Times New Roman"/>
          <w:sz w:val="24"/>
          <w:szCs w:val="24"/>
        </w:rPr>
        <w:t>fue lo que se conoció como el “trichetazo”</w:t>
      </w:r>
      <w:r w:rsidRPr="00054DB4">
        <w:rPr>
          <w:rFonts w:ascii="Times New Roman" w:hAnsi="Times New Roman" w:cs="Times New Roman"/>
          <w:sz w:val="24"/>
          <w:szCs w:val="24"/>
        </w:rPr>
        <w:t>, una subida de tipos en julio de 2011 para intentar aplacar el reciente incremento de la inflación que repuntaba al calor de la subida del petróleo. Este movimiento auspiciado por los halcones (aquellos que defienden una política monetaria más restrictiva) del BCE desencadenó una crisis de deuda en la zona euro (los intereses de los bonos de los países del sur de Europa e Irlanda se dispararon) que estuvo a punto de acabar con el euro. Grecia, Portugal e Irlanda tuvieron que ser rescatadas, mientras que España recibió una inyección de dinero para 'r</w:t>
      </w:r>
      <w:r>
        <w:rPr>
          <w:rFonts w:ascii="Times New Roman" w:hAnsi="Times New Roman" w:cs="Times New Roman"/>
          <w:sz w:val="24"/>
          <w:szCs w:val="24"/>
        </w:rPr>
        <w:t>escatar' a las cajas de ahorro.</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Jean Claude Trichet dejó la presidencia del BCE con una zona euro patas arriba. El italiano Mario Draghi tomó el relevo el noviembre de 2011 con una misión nada sencilla: evitar la ruptura del euro. Las condiciones que se habían impuesto junto a los paquetes de rescate de la conocida como troika comenzaron a generar un enorme malestar en los países del sur de Europa. La salida de Grecia del club del euro fue una posibilidad que finalmente no llegó a suceder, pero el riesgo fue real.</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Draghi: los tipos negativos y el QE</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El 1 de noviembre de 2011 comenzó su mandato y solo dos días después el Banco Central Europeo anunció la primera bajada de tipos en dos años, para dejar el tipo principal de refinanciación en el 1,25%, la facilidad de depósito en el 0,50% y la marginalidad de crédito en el 2%. La inflación se encontraba por encima del 2%, superando el objetivo que se marca el BCE, con un barril de petróleo que había vuelto a superar los 100 dólares. Sin embargo, la economía de la zona euro se adentraba en la crisis de deuda soberana y la actividad se desaceleraba a pasos agigantados, la excusa perfecta para la llegada de un descenso de los p</w:t>
      </w:r>
      <w:r>
        <w:rPr>
          <w:rFonts w:ascii="Times New Roman" w:hAnsi="Times New Roman" w:cs="Times New Roman"/>
          <w:sz w:val="24"/>
          <w:szCs w:val="24"/>
        </w:rPr>
        <w:t>recios y empezar a bajar tipos.</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Mario Draghi y el Consejo de Gobierno del BCE anunciaron varios recortes de tipos que, sin embargo, no sirvieron para aplacar las ventas de deuda soberana de los PIGS por parte los inversores, incluso a pesar de los rescates de la troika (Grecia, Irlanda y Portugal) y las expectativas de más bajadas de tipos. Los siguientes en caer podían ser España, Italia y quién sabe si hasta Francia, las primas de riesgo estaban disparadas y el miedo a la desintegración del euro dominaba a i</w:t>
      </w:r>
      <w:r>
        <w:rPr>
          <w:rFonts w:ascii="Times New Roman" w:hAnsi="Times New Roman" w:cs="Times New Roman"/>
          <w:sz w:val="24"/>
          <w:szCs w:val="24"/>
        </w:rPr>
        <w:t>nversores y agentes económicos.</w:t>
      </w:r>
    </w:p>
    <w:p w:rsidR="007E3D39" w:rsidRPr="001D5193"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Al</w:t>
      </w:r>
      <w:r>
        <w:rPr>
          <w:rFonts w:ascii="Times New Roman" w:hAnsi="Times New Roman" w:cs="Times New Roman"/>
          <w:sz w:val="24"/>
          <w:szCs w:val="24"/>
        </w:rPr>
        <w:t xml:space="preserve"> final, lo más importante para “</w:t>
      </w:r>
      <w:r w:rsidRPr="00054DB4">
        <w:rPr>
          <w:rFonts w:ascii="Times New Roman" w:hAnsi="Times New Roman" w:cs="Times New Roman"/>
          <w:sz w:val="24"/>
          <w:szCs w:val="24"/>
        </w:rPr>
        <w:t>re</w:t>
      </w:r>
      <w:r>
        <w:rPr>
          <w:rFonts w:ascii="Times New Roman" w:hAnsi="Times New Roman" w:cs="Times New Roman"/>
          <w:sz w:val="24"/>
          <w:szCs w:val="24"/>
        </w:rPr>
        <w:t>scatar”</w:t>
      </w:r>
      <w:r w:rsidRPr="00054DB4">
        <w:rPr>
          <w:rFonts w:ascii="Times New Roman" w:hAnsi="Times New Roman" w:cs="Times New Roman"/>
          <w:sz w:val="24"/>
          <w:szCs w:val="24"/>
        </w:rPr>
        <w:t xml:space="preserve"> al euro no fueron las acciones, sino las palabras. Draghi logró revertir la situación, o dar una patada hacia delante (según se mire), con el mítico discurso pronunciado en julio de 2012 en el que aseguró que el BCE haría todo lo que fuera necesario para preservar la </w:t>
      </w:r>
      <w:r>
        <w:rPr>
          <w:rFonts w:ascii="Times New Roman" w:hAnsi="Times New Roman" w:cs="Times New Roman"/>
          <w:sz w:val="24"/>
          <w:szCs w:val="24"/>
        </w:rPr>
        <w:t>integridad del euro (el mítico “whatever it takes”</w:t>
      </w:r>
      <w:r w:rsidRPr="00054DB4">
        <w:rPr>
          <w:rFonts w:ascii="Times New Roman" w:hAnsi="Times New Roman" w:cs="Times New Roman"/>
          <w:sz w:val="24"/>
          <w:szCs w:val="24"/>
        </w:rPr>
        <w:t xml:space="preserve">). Esa promesa incondicional vino días después acompañado del programa OMT (permitía la compra de deuda en el mercado secundario de países concretos), que con su sola presencia (no ha llegado a usarse) relajó las primas de riesgo y evitó una mayor fractura entre los países del euro. </w:t>
      </w:r>
      <w:r w:rsidRPr="001D5193">
        <w:rPr>
          <w:rFonts w:ascii="Times New Roman" w:hAnsi="Times New Roman" w:cs="Times New Roman"/>
          <w:sz w:val="24"/>
          <w:szCs w:val="24"/>
        </w:rPr>
        <w:t>Los intereses cayeron más y las primas se comprimieron.</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El BCE de Draghi también aprovechó para lanzar lo que sería el embrión de las subastas de liquidez a muy largo plazo (TLTRO) para la banca. Estas se llamaron VLTRO y supusieron un salto en el balance del banco. Los bancos pedían liquidez que luego usaban para comprar deuda soberana, generando un círculo vicioso entre bancos y sus países que acabó siendo peligroso para el sistema financiero, pero que también contribuyó a reducir e</w:t>
      </w:r>
      <w:r>
        <w:rPr>
          <w:rFonts w:ascii="Times New Roman" w:hAnsi="Times New Roman" w:cs="Times New Roman"/>
          <w:sz w:val="24"/>
          <w:szCs w:val="24"/>
        </w:rPr>
        <w:t>l interés de la deuda soberana.</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lastRenderedPageBreak/>
        <w:t>Con los mercados calmados y la economía recuperando el pulso, apareció el fantasma de la deflación en la zona euro. Aunque la economía de la región comenzó a crecer en 2013, la inflación inició una senda descendente que el desplome del petróleo (con la irrupción del fracking en EEUU) amplificó generando grandes dudas sobre el poder el banco central para mantener el índice de precios</w:t>
      </w:r>
      <w:r>
        <w:rPr>
          <w:rFonts w:ascii="Times New Roman" w:hAnsi="Times New Roman" w:cs="Times New Roman"/>
          <w:sz w:val="24"/>
          <w:szCs w:val="24"/>
        </w:rPr>
        <w:t xml:space="preserve"> al consumo (IPC) cerca del 2%.</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Una vez más hubo respuesta: tarde o no, Mario Draghi y el BCE anunciaron las primeras TLTRO en 2014, orientadas para que el crédito fluyese a familias y empresas en lugar de acabar en la deuda soberana. Por si esto fuera poco, Draghi cruzó una frontera más y metió a la zona euro en el mundo de los tipos de interés negativos en junio de 2014, anunciando que el tipo sobre la facilidad de depósito sería del -0,10%, donde los bancos aparcan su exceso de liquidez. Esta decisión tenía la intención de incentivar a los bancos a aumentar el crédito y reducir sus niveles de liquidez que tení</w:t>
      </w:r>
      <w:r>
        <w:rPr>
          <w:rFonts w:ascii="Times New Roman" w:hAnsi="Times New Roman" w:cs="Times New Roman"/>
          <w:sz w:val="24"/>
          <w:szCs w:val="24"/>
        </w:rPr>
        <w:t>an esa penalización del -0,10%.</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Además, el italiano fue el primer presidente en usar las compras masivas de bonos, que anunció en enero de 2015 y que hoy se han convertido en una herramienta más de política monetaria (los bancos centrales incrementan y reducen el balance como herramienta complementaria a l</w:t>
      </w:r>
      <w:r>
        <w:rPr>
          <w:rFonts w:ascii="Times New Roman" w:hAnsi="Times New Roman" w:cs="Times New Roman"/>
          <w:sz w:val="24"/>
          <w:szCs w:val="24"/>
        </w:rPr>
        <w:t>as subidas y bajadas de tipos).</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El BCE de Draghi terminó llevando los tipos hasta el -0,5%. El italiano fue víctima de las críticas más feroces de los halcones, que llegaron a acusarle de manejar el BCE a su antojo sin contar con la opinión de todos los miembros del Consejo en las reuniones de política monetaria. Mario Draghi fue considerado una paloma (aquellos que defienden una política monetaria muy expansiva). Y entre los halcones y las palomas... llegó el búho.</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Lagarde: el búho que capitanea un alza de tipos histórica</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Christine Madeleine Odette Lagarde tomó las riendas del Banco Central Europeo a finales de 2019, convirtiéndose en la primera mujer en ocupar el cargo. En una de sus primeras entrevistas como presidenta de la institución, la abogada francesa se definió como un búho. Ni halcón ni paloma; ni en un bando ni en el otro de la percepción de la política monetar</w:t>
      </w:r>
      <w:r>
        <w:rPr>
          <w:rFonts w:ascii="Times New Roman" w:hAnsi="Times New Roman" w:cs="Times New Roman"/>
          <w:sz w:val="24"/>
          <w:szCs w:val="24"/>
        </w:rPr>
        <w:t>ia. “Son animales muy sabios”</w:t>
      </w:r>
      <w:r w:rsidRPr="00054DB4">
        <w:rPr>
          <w:rFonts w:ascii="Times New Roman" w:hAnsi="Times New Roman" w:cs="Times New Roman"/>
          <w:sz w:val="24"/>
          <w:szCs w:val="24"/>
        </w:rPr>
        <w:t>, aseguró entonces. Y defendió que todos los miembros del Consejo de Gobierno de</w:t>
      </w:r>
      <w:r>
        <w:rPr>
          <w:rFonts w:ascii="Times New Roman" w:hAnsi="Times New Roman" w:cs="Times New Roman"/>
          <w:sz w:val="24"/>
          <w:szCs w:val="24"/>
        </w:rPr>
        <w:t>l BCE “tienen que estar a una”.</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De esta forma, apelando a la unanimidad o, al menos, al consenso en el seno del organismo monetario del euro y mostrando un perfil más bien político, la gala cogió el mando de la política monetaria de la eurozona en un momento en el que los tipos de interés estaban en mínimos. Y Lagarde apuntó alto nada más comenzar: tras su primera reunión del Consejo anunció una revisión del objetivo de inflación y, en general, del mandato del BCE, con la idea de incluir nuevos factores en la toma de decisiones de la entidad central como la des</w:t>
      </w:r>
      <w:r>
        <w:rPr>
          <w:rFonts w:ascii="Times New Roman" w:hAnsi="Times New Roman" w:cs="Times New Roman"/>
          <w:sz w:val="24"/>
          <w:szCs w:val="24"/>
        </w:rPr>
        <w:t>igualdad o el cambio climático.</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 xml:space="preserve">Sin embargo, sus planes pasaron rápidamente a un segundo plano. A los pocos meses el mundo entero se paralizó por la irrupción del covid-19 y el estallido de la pandemia. En un primer momento, el BCE apenas actuó: el 12 de marzo de 2020 se limitó a mantener los tipos, cuando el mercado esperaba un recorte, y a anunciar más inyecciones de liquidez </w:t>
      </w:r>
      <w:r>
        <w:rPr>
          <w:rFonts w:ascii="Times New Roman" w:hAnsi="Times New Roman" w:cs="Times New Roman"/>
          <w:sz w:val="24"/>
          <w:szCs w:val="24"/>
        </w:rPr>
        <w:t>a la banca y más estímulos por “apenas”</w:t>
      </w:r>
      <w:r w:rsidRPr="00054DB4">
        <w:rPr>
          <w:rFonts w:ascii="Times New Roman" w:hAnsi="Times New Roman" w:cs="Times New Roman"/>
          <w:sz w:val="24"/>
          <w:szCs w:val="24"/>
        </w:rPr>
        <w:t xml:space="preserve"> 120.000 millones de euros. Ese acabó siendo el peor día de la historia de la bolsa española y la europea y Lagarde recibió no pocas críticas por su gestión comunicativa. Hubo que esperar una semana para que el banco central, tras una re</w:t>
      </w:r>
      <w:r>
        <w:rPr>
          <w:rFonts w:ascii="Times New Roman" w:hAnsi="Times New Roman" w:cs="Times New Roman"/>
          <w:sz w:val="24"/>
          <w:szCs w:val="24"/>
        </w:rPr>
        <w:t>unión de emergencia, sacara la “bazuca”</w:t>
      </w:r>
      <w:r w:rsidRPr="00054DB4">
        <w:rPr>
          <w:rFonts w:ascii="Times New Roman" w:hAnsi="Times New Roman" w:cs="Times New Roman"/>
          <w:sz w:val="24"/>
          <w:szCs w:val="24"/>
        </w:rPr>
        <w:t xml:space="preserve"> con un nuevo programa de compras masivas de bonos, el conocido como PEPP, que comenzó teniendo un volumen de 750.000 millones y </w:t>
      </w:r>
      <w:r w:rsidRPr="00054DB4">
        <w:rPr>
          <w:rFonts w:ascii="Times New Roman" w:hAnsi="Times New Roman" w:cs="Times New Roman"/>
          <w:sz w:val="24"/>
          <w:szCs w:val="24"/>
        </w:rPr>
        <w:lastRenderedPageBreak/>
        <w:t>acabó contando con 1,85 billones de euros. En cuanto al precio del dinero, la tasa de depósito terminó descendiendo al</w:t>
      </w:r>
      <w:r>
        <w:rPr>
          <w:rFonts w:ascii="Times New Roman" w:hAnsi="Times New Roman" w:cs="Times New Roman"/>
          <w:sz w:val="24"/>
          <w:szCs w:val="24"/>
        </w:rPr>
        <w:t xml:space="preserve"> -0,5% (desde el -0,1% previo).</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Pasada la tormenta inicial por el coronavirus, el Banco Central Europeo acabó estableciendo en julio de 2021 un nuevo objetivo de inflación en la zona euro, más alto que el anterior, e incluso se plantea revisarlo de nuevo</w:t>
      </w:r>
      <w:r>
        <w:rPr>
          <w:rFonts w:ascii="Times New Roman" w:hAnsi="Times New Roman" w:cs="Times New Roman"/>
          <w:sz w:val="24"/>
          <w:szCs w:val="24"/>
        </w:rPr>
        <w:t xml:space="preserve"> (aunque no en el corto plazo).</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 xml:space="preserve">Lo que el BCE no esperaba era que, tras la pandemia, y en los inicios de una delicada recuperación de la economía tras un shock histórico, estallara a principios de 2022 una guerra en el continente europeo con la invasión rusa de Ucrania. Un conflicto bélico que no tardó en notarse en los bolsillos de la ciudadanía de toda la zona del euro, pues </w:t>
      </w:r>
      <w:r>
        <w:rPr>
          <w:rFonts w:ascii="Times New Roman" w:hAnsi="Times New Roman" w:cs="Times New Roman"/>
          <w:sz w:val="24"/>
          <w:szCs w:val="24"/>
        </w:rPr>
        <w:t>la inflación, que ya comenzó a “calentarse”</w:t>
      </w:r>
      <w:r w:rsidRPr="00054DB4">
        <w:rPr>
          <w:rFonts w:ascii="Times New Roman" w:hAnsi="Times New Roman" w:cs="Times New Roman"/>
          <w:sz w:val="24"/>
          <w:szCs w:val="24"/>
        </w:rPr>
        <w:t xml:space="preserve"> en 2021 con el levantamiento de las restricciones anti-covid (sumado a años de políticas </w:t>
      </w:r>
      <w:r>
        <w:rPr>
          <w:rFonts w:ascii="Times New Roman" w:hAnsi="Times New Roman" w:cs="Times New Roman"/>
          <w:sz w:val="24"/>
          <w:szCs w:val="24"/>
        </w:rPr>
        <w:t>monetarias expansivas y con el “dinero gratis”</w:t>
      </w:r>
      <w:r w:rsidRPr="00054DB4">
        <w:rPr>
          <w:rFonts w:ascii="Times New Roman" w:hAnsi="Times New Roman" w:cs="Times New Roman"/>
          <w:sz w:val="24"/>
          <w:szCs w:val="24"/>
        </w:rPr>
        <w:t>), pasó a dispararse. Para muestra, un botón: si el objetivo de inflación del Banco Central Europeo a medio plazo es simétrico al 2%, llegó a superar el 10% a finales de 2022. Y aun a día de hoy se encuentra muy por encima de dicha meta. El propio BCE no prevé do</w:t>
      </w:r>
      <w:r>
        <w:rPr>
          <w:rFonts w:ascii="Times New Roman" w:hAnsi="Times New Roman" w:cs="Times New Roman"/>
          <w:sz w:val="24"/>
          <w:szCs w:val="24"/>
        </w:rPr>
        <w:t>blegar la inflación hasta 2025.</w:t>
      </w:r>
    </w:p>
    <w:p w:rsidR="007E3D39" w:rsidRPr="00054DB4"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La guerra en Ucrania estalló a finales de febrero del pasado año, pero no fue hasta verano (julio) cuando Lagarde y el resto de miembros del Consejo de Gobierno decidieron subir los tipos de interés. La Fed norteamericana ya había comenzado a hacerlo cuatro meses antes. Eso sí, el BCE empezó a endurecer su política monetaria pisando fuerte: la primera alza de tipos fue de 50 puntos básicos, aunque la propia institución había anticipado que sería de 25. A esa le siguieron dos incrementos históricos de 75 puntos básicos. Posteriormente la entidad volvió a desacelerar el ritmo, pero el encarecimiento del dinero no ha terminado en Europa: el BCE ha elevado los tipos de interés 375 puntos básicos en nueve meses y la propia Lagarde ha asegurado que</w:t>
      </w:r>
      <w:r>
        <w:rPr>
          <w:rFonts w:ascii="Times New Roman" w:hAnsi="Times New Roman" w:cs="Times New Roman"/>
          <w:sz w:val="24"/>
          <w:szCs w:val="24"/>
        </w:rPr>
        <w:t xml:space="preserve"> quedan más subidas por venir. “</w:t>
      </w:r>
      <w:r w:rsidRPr="00054DB4">
        <w:rPr>
          <w:rFonts w:ascii="Times New Roman" w:hAnsi="Times New Roman" w:cs="Times New Roman"/>
          <w:sz w:val="24"/>
          <w:szCs w:val="24"/>
        </w:rPr>
        <w:t>No estamos pausando</w:t>
      </w:r>
      <w:r>
        <w:rPr>
          <w:rFonts w:ascii="Times New Roman" w:hAnsi="Times New Roman" w:cs="Times New Roman"/>
          <w:sz w:val="24"/>
          <w:szCs w:val="24"/>
        </w:rPr>
        <w:t xml:space="preserve"> las alzas, esto está muy claro”</w:t>
      </w:r>
      <w:r w:rsidRPr="00054DB4">
        <w:rPr>
          <w:rFonts w:ascii="Times New Roman" w:hAnsi="Times New Roman" w:cs="Times New Roman"/>
          <w:sz w:val="24"/>
          <w:szCs w:val="24"/>
        </w:rPr>
        <w:t>, subrayó la presidenta del BCE en varias ocasiones en la rueda de prensa posterior a l</w:t>
      </w:r>
      <w:r>
        <w:rPr>
          <w:rFonts w:ascii="Times New Roman" w:hAnsi="Times New Roman" w:cs="Times New Roman"/>
          <w:sz w:val="24"/>
          <w:szCs w:val="24"/>
        </w:rPr>
        <w:t>a última reunión del organismo.</w:t>
      </w:r>
    </w:p>
    <w:p w:rsidR="007E3D39" w:rsidRDefault="007E3D39" w:rsidP="007E3D39">
      <w:pPr>
        <w:spacing w:line="240" w:lineRule="auto"/>
        <w:jc w:val="both"/>
        <w:rPr>
          <w:rFonts w:ascii="Times New Roman" w:hAnsi="Times New Roman" w:cs="Times New Roman"/>
          <w:sz w:val="24"/>
          <w:szCs w:val="24"/>
        </w:rPr>
      </w:pPr>
      <w:r w:rsidRPr="00054DB4">
        <w:rPr>
          <w:rFonts w:ascii="Times New Roman" w:hAnsi="Times New Roman" w:cs="Times New Roman"/>
          <w:sz w:val="24"/>
          <w:szCs w:val="24"/>
        </w:rPr>
        <w:t xml:space="preserve">El mandato de Lagarde no acabará, en principio, hasta finales de 2027. Por ahora se desconoce quién cogerá el relevo. Tampoco hay certeza sobre hasta dónde y hasta cuándo aumentarán los tipos de interés en lo que queda del mandato de la lechuza francesa. Y visto lo visto en sus primeros 25 años de vida, es imposible no preguntarse: ¿cuántas crisis más tendrá que encarar el Banco Central Europeo antes de llegar a la treintena? </w:t>
      </w:r>
      <w:r w:rsidRPr="001D5193">
        <w:rPr>
          <w:rFonts w:ascii="Times New Roman" w:hAnsi="Times New Roman" w:cs="Times New Roman"/>
          <w:sz w:val="24"/>
          <w:szCs w:val="24"/>
        </w:rPr>
        <w:t>Solo el tiempo lo dirá.</w:t>
      </w:r>
    </w:p>
    <w:p w:rsidR="007E3D39" w:rsidRPr="0062569D" w:rsidRDefault="007E3D39" w:rsidP="007E3D39">
      <w:pPr>
        <w:spacing w:line="240" w:lineRule="auto"/>
        <w:jc w:val="both"/>
        <w:rPr>
          <w:rFonts w:ascii="Times New Roman" w:hAnsi="Times New Roman" w:cs="Times New Roman"/>
          <w:b/>
          <w:sz w:val="24"/>
          <w:szCs w:val="24"/>
        </w:rPr>
      </w:pPr>
      <w:r w:rsidRPr="0062569D">
        <w:rPr>
          <w:rFonts w:ascii="Times New Roman" w:hAnsi="Times New Roman" w:cs="Times New Roman"/>
          <w:b/>
          <w:sz w:val="24"/>
          <w:szCs w:val="24"/>
        </w:rPr>
        <w:t>¿La conjura de los necios, o un sentido elogio de la locura?</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En la “Sociedad de los Comienzos” repetimos inicios sin llegar al fondo de las cosas (victoria de la ignorancia contra la sabiduría)</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 </w:t>
      </w:r>
      <w:r w:rsidRPr="0062569D">
        <w:rPr>
          <w:rFonts w:ascii="Times New Roman" w:hAnsi="Times New Roman" w:cs="Times New Roman"/>
          <w:sz w:val="24"/>
          <w:szCs w:val="24"/>
          <w:u w:val="single"/>
        </w:rPr>
        <w:t>Los CEO estadounidenses sirven a Xi Jinping un postre demasiado rico</w:t>
      </w:r>
      <w:r w:rsidRPr="0062569D">
        <w:rPr>
          <w:rFonts w:ascii="Times New Roman" w:hAnsi="Times New Roman" w:cs="Times New Roman"/>
          <w:sz w:val="24"/>
          <w:szCs w:val="24"/>
        </w:rPr>
        <w:t xml:space="preserve"> (Cinco Días - </w:t>
      </w:r>
      <w:r w:rsidRPr="0062569D">
        <w:rPr>
          <w:rFonts w:ascii="Times New Roman" w:hAnsi="Times New Roman" w:cs="Times New Roman"/>
          <w:b/>
          <w:sz w:val="24"/>
          <w:szCs w:val="24"/>
        </w:rPr>
        <w:t>18/11/23</w:t>
      </w:r>
      <w:r w:rsidRPr="0062569D">
        <w:rPr>
          <w:rFonts w:ascii="Times New Roman" w:hAnsi="Times New Roman" w:cs="Times New Roman"/>
          <w:sz w:val="24"/>
          <w:szCs w:val="24"/>
        </w:rPr>
        <w:t>)</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La ovación de ejecutivos como Cook o Fink al dirigente chino recuerda a Biden las dificultades para desacoplarse</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Los jefes empresariales de EEUU se emocionaron al ver al presidente de China, Xi Jinping, en una cena privada de gala del miércoles en San Francisco, tras la reunión de este con Joe Biden. Tan emocionados, que le dedicaron una gran ovación. Para Xi, saber que grandes firmas como Apple, BlackRock y Blackstone le apoyan debe ser alentador, especialmente si las tensiones políticas entre China y EEUU vuelven a crecer. Para Biden, esta exhibición performativa puede ser más difícil de digerir....</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b/>
          <w:sz w:val="24"/>
          <w:szCs w:val="24"/>
        </w:rPr>
        <w:lastRenderedPageBreak/>
        <w:t>Nota</w:t>
      </w:r>
      <w:r w:rsidRPr="0062569D">
        <w:rPr>
          <w:rFonts w:ascii="Times New Roman" w:hAnsi="Times New Roman" w:cs="Times New Roman"/>
          <w:sz w:val="24"/>
          <w:szCs w:val="24"/>
        </w:rPr>
        <w:t>: a estas “partes interesadas” (los mayores titiriteros de Wall Street y los principales alquimistas de Silicon Valley), solo les faltó decir, ante una audiencia perpleja: “los hechos a partir de ahora serán contados de otra manera”.</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Remember (por si no nos habíamos dado cuenta): Xi Jinping dijo en Davos 2021: “en 2030 no tendrás nada y serás feliz”... (China ya no admitirá que ningún país, empezando por los USA, discuta su poder militar, ni económico, ni político, o sea, dictatorial)</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“En 2030 no tendrás nada y serás feliz”: el proyecto comunista mundial que aplaudieron Macron y Merkel en Davos.</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¿Estaremos obligados a vivir en otra mentira? Demasiadas si echamos la vista atrás.</w:t>
      </w:r>
    </w:p>
    <w:p w:rsidR="007E3D39" w:rsidRPr="00D037EE" w:rsidRDefault="007E3D39" w:rsidP="007E3D39">
      <w:pPr>
        <w:spacing w:line="240" w:lineRule="auto"/>
        <w:jc w:val="both"/>
        <w:rPr>
          <w:rFonts w:ascii="Times New Roman" w:hAnsi="Times New Roman" w:cs="Times New Roman"/>
          <w:b/>
          <w:sz w:val="24"/>
          <w:szCs w:val="24"/>
          <w:shd w:val="clear" w:color="auto" w:fill="FFFFFF"/>
        </w:rPr>
      </w:pPr>
      <w:r w:rsidRPr="00D037EE">
        <w:rPr>
          <w:rFonts w:ascii="Times New Roman" w:hAnsi="Times New Roman" w:cs="Times New Roman"/>
          <w:b/>
          <w:sz w:val="24"/>
          <w:szCs w:val="24"/>
          <w:shd w:val="clear" w:color="auto" w:fill="FFFFFF"/>
        </w:rPr>
        <w:t>El paradigma del librecambio, y</w:t>
      </w:r>
      <w:r>
        <w:rPr>
          <w:rFonts w:ascii="Times New Roman" w:hAnsi="Times New Roman" w:cs="Times New Roman"/>
          <w:b/>
          <w:sz w:val="24"/>
          <w:szCs w:val="24"/>
          <w:shd w:val="clear" w:color="auto" w:fill="FFFFFF"/>
        </w:rPr>
        <w:t xml:space="preserve"> la realidad económica, en</w:t>
      </w:r>
      <w:r w:rsidRPr="00D037EE">
        <w:rPr>
          <w:rFonts w:ascii="Times New Roman" w:hAnsi="Times New Roman" w:cs="Times New Roman"/>
          <w:b/>
          <w:sz w:val="24"/>
          <w:szCs w:val="24"/>
          <w:shd w:val="clear" w:color="auto" w:fill="FFFFFF"/>
        </w:rPr>
        <w:t xml:space="preserve"> los países avanzados</w:t>
      </w:r>
    </w:p>
    <w:p w:rsidR="007E3D39" w:rsidRDefault="007E3D39" w:rsidP="007E3D3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E574AA">
        <w:rPr>
          <w:rFonts w:ascii="Times New Roman" w:hAnsi="Times New Roman" w:cs="Times New Roman"/>
          <w:sz w:val="24"/>
          <w:szCs w:val="24"/>
          <w:shd w:val="clear" w:color="auto" w:fill="FFFFFF"/>
        </w:rPr>
        <w:t>Cuando los hechos cambian, yo cambio de opinión. Y ¿usted qué hace?”, respondió el gran economista ­británico John Maynard Keynes cuando en los años de entreguerras y de la Gran Depresión le acusaban de cambiar de opinión sobre la política que seguir. Su criterio moral era que el análisis económico y la acción de los gobiernos debían estar dirigidos por la razón y no</w:t>
      </w:r>
      <w:r>
        <w:rPr>
          <w:rFonts w:ascii="Times New Roman" w:hAnsi="Times New Roman" w:cs="Times New Roman"/>
          <w:sz w:val="24"/>
          <w:szCs w:val="24"/>
          <w:shd w:val="clear" w:color="auto" w:fill="FFFFFF"/>
        </w:rPr>
        <w:t xml:space="preserve"> </w:t>
      </w:r>
      <w:r w:rsidRPr="00D037EE">
        <w:rPr>
          <w:rFonts w:ascii="Times New Roman" w:hAnsi="Times New Roman" w:cs="Times New Roman"/>
          <w:sz w:val="24"/>
          <w:szCs w:val="24"/>
          <w:shd w:val="clear" w:color="auto" w:fill="FFFFFF"/>
        </w:rPr>
        <w:t>por la ideología de partido o los intereses de grupo.</w:t>
      </w:r>
    </w:p>
    <w:p w:rsidR="007E3D39" w:rsidRDefault="007E3D39" w:rsidP="007E3D3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w:t>
      </w:r>
      <w:r w:rsidRPr="00610572">
        <w:rPr>
          <w:rFonts w:ascii="Times New Roman" w:hAnsi="Times New Roman" w:cs="Times New Roman"/>
          <w:sz w:val="24"/>
          <w:szCs w:val="24"/>
          <w:shd w:val="clear" w:color="auto" w:fill="FFFFFF"/>
        </w:rPr>
        <w:t>Resulta fundamental preguntarse qué está pasando con los manuales económicos de los países que, al igual que en la época anterior a la gran depresión, no son capaces de dar respuesta a los problemas que el sistema económico actual está teniendo continua</w:t>
      </w:r>
      <w:r>
        <w:rPr>
          <w:rFonts w:ascii="Times New Roman" w:hAnsi="Times New Roman" w:cs="Times New Roman"/>
          <w:sz w:val="24"/>
          <w:szCs w:val="24"/>
          <w:shd w:val="clear" w:color="auto" w:fill="FFFFFF"/>
        </w:rPr>
        <w:t>mente. En la actualidad, estos “manuales”</w:t>
      </w:r>
      <w:r w:rsidRPr="00610572">
        <w:rPr>
          <w:rFonts w:ascii="Times New Roman" w:hAnsi="Times New Roman" w:cs="Times New Roman"/>
          <w:sz w:val="24"/>
          <w:szCs w:val="24"/>
          <w:shd w:val="clear" w:color="auto" w:fill="FFFFFF"/>
        </w:rPr>
        <w:t xml:space="preserve"> están regidos por la teoría económica neoclásica, pero la realidad es compleja y es imposible analiza</w:t>
      </w:r>
      <w:r>
        <w:rPr>
          <w:rFonts w:ascii="Times New Roman" w:hAnsi="Times New Roman" w:cs="Times New Roman"/>
          <w:sz w:val="24"/>
          <w:szCs w:val="24"/>
          <w:shd w:val="clear" w:color="auto" w:fill="FFFFFF"/>
        </w:rPr>
        <w:t>rla a partir de una sola teoría”..</w:t>
      </w:r>
      <w:r w:rsidRPr="00610572">
        <w:rPr>
          <w:rFonts w:ascii="Times New Roman" w:hAnsi="Times New Roman" w:cs="Times New Roman"/>
          <w:sz w:val="24"/>
          <w:szCs w:val="24"/>
          <w:shd w:val="clear" w:color="auto" w:fill="FFFFFF"/>
        </w:rPr>
        <w:t>.</w:t>
      </w:r>
    </w:p>
    <w:p w:rsidR="007E3D39" w:rsidRDefault="007E3D39" w:rsidP="007E3D3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¿Estamos ante un debate zanjado?</w:t>
      </w:r>
      <w:r w:rsidRPr="009B73F5">
        <w:rPr>
          <w:rFonts w:ascii="Times New Roman" w:hAnsi="Times New Roman" w:cs="Times New Roman"/>
          <w:sz w:val="24"/>
          <w:szCs w:val="24"/>
          <w:shd w:val="clear" w:color="auto" w:fill="FFFFFF"/>
        </w:rPr>
        <w:t xml:space="preserve"> </w:t>
      </w:r>
      <w:r>
        <w:rPr>
          <w:rFonts w:ascii="Times New Roman" w:hAnsi="Times New Roman" w:cs="Times New Roman"/>
          <w:sz w:val="24"/>
          <w:szCs w:val="24"/>
          <w:shd w:val="clear" w:color="auto" w:fill="FFFFFF"/>
        </w:rPr>
        <w:t>¿O es que</w:t>
      </w:r>
      <w:r w:rsidRPr="009B73F5">
        <w:rPr>
          <w:rFonts w:ascii="Times New Roman" w:hAnsi="Times New Roman" w:cs="Times New Roman"/>
          <w:sz w:val="24"/>
          <w:szCs w:val="24"/>
          <w:shd w:val="clear" w:color="auto" w:fill="FFFFFF"/>
        </w:rPr>
        <w:t xml:space="preserve"> sigue habiendo quienes </w:t>
      </w:r>
      <w:r>
        <w:rPr>
          <w:rFonts w:ascii="Times New Roman" w:hAnsi="Times New Roman" w:cs="Times New Roman"/>
          <w:sz w:val="24"/>
          <w:szCs w:val="24"/>
          <w:shd w:val="clear" w:color="auto" w:fill="FFFFFF"/>
        </w:rPr>
        <w:t xml:space="preserve">se niegan a aceptar lo evidente? Más allá de los delirios, de algunos personajes, y muchos más, personajillos, </w:t>
      </w:r>
      <w:r w:rsidRPr="004D1F72">
        <w:rPr>
          <w:rFonts w:ascii="Times New Roman" w:hAnsi="Times New Roman" w:cs="Times New Roman"/>
          <w:sz w:val="24"/>
          <w:szCs w:val="24"/>
          <w:shd w:val="clear" w:color="auto" w:fill="FFFFFF"/>
        </w:rPr>
        <w:t xml:space="preserve"> uncido</w:t>
      </w:r>
      <w:r>
        <w:rPr>
          <w:rFonts w:ascii="Times New Roman" w:hAnsi="Times New Roman" w:cs="Times New Roman"/>
          <w:sz w:val="24"/>
          <w:szCs w:val="24"/>
          <w:shd w:val="clear" w:color="auto" w:fill="FFFFFF"/>
        </w:rPr>
        <w:t>s</w:t>
      </w:r>
      <w:r w:rsidRPr="004D1F72">
        <w:rPr>
          <w:rFonts w:ascii="Times New Roman" w:hAnsi="Times New Roman" w:cs="Times New Roman"/>
          <w:sz w:val="24"/>
          <w:szCs w:val="24"/>
          <w:shd w:val="clear" w:color="auto" w:fill="FFFFFF"/>
        </w:rPr>
        <w:t xml:space="preserve"> a la arrogancia más que a la razón</w:t>
      </w:r>
      <w:r>
        <w:rPr>
          <w:rFonts w:ascii="Times New Roman" w:hAnsi="Times New Roman" w:cs="Times New Roman"/>
          <w:sz w:val="24"/>
          <w:szCs w:val="24"/>
          <w:shd w:val="clear" w:color="auto" w:fill="FFFFFF"/>
        </w:rPr>
        <w:t>, veamos la “seca información”, de que hablaba Dante. O la “raya de abajo”, como decían los “hacedores de mercado” del Citygroup:</w:t>
      </w:r>
    </w:p>
    <w:p w:rsidR="007E3D39" w:rsidRPr="009B73F5" w:rsidRDefault="007E3D39" w:rsidP="007E3D3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w:t>
      </w:r>
      <w:r w:rsidRPr="009B73F5">
        <w:rPr>
          <w:rFonts w:ascii="Times New Roman" w:hAnsi="Times New Roman" w:cs="Times New Roman"/>
          <w:sz w:val="24"/>
          <w:szCs w:val="24"/>
          <w:shd w:val="clear" w:color="auto" w:fill="FFFFFF"/>
        </w:rPr>
        <w:t>n China: en 1981, el 88 por ciento de la población vivía en una situación de pobreza extrema. Entonces, Deng Xiaoping puso en marcha sus reformas de</w:t>
      </w:r>
      <w:r w:rsidR="00E92717">
        <w:rPr>
          <w:rFonts w:ascii="Times New Roman" w:hAnsi="Times New Roman" w:cs="Times New Roman"/>
          <w:sz w:val="24"/>
          <w:szCs w:val="24"/>
          <w:shd w:val="clear" w:color="auto" w:fill="FFFFFF"/>
        </w:rPr>
        <w:t xml:space="preserve"> libre mercado, con el lema de “</w:t>
      </w:r>
      <w:r w:rsidRPr="009B73F5">
        <w:rPr>
          <w:rFonts w:ascii="Times New Roman" w:hAnsi="Times New Roman" w:cs="Times New Roman"/>
          <w:sz w:val="24"/>
          <w:szCs w:val="24"/>
          <w:shd w:val="clear" w:color="auto" w:fill="FFFFFF"/>
        </w:rPr>
        <w:t xml:space="preserve">dejar que algunas </w:t>
      </w:r>
      <w:r w:rsidR="00E92717">
        <w:rPr>
          <w:rFonts w:ascii="Times New Roman" w:hAnsi="Times New Roman" w:cs="Times New Roman"/>
          <w:sz w:val="24"/>
          <w:szCs w:val="24"/>
          <w:shd w:val="clear" w:color="auto" w:fill="FFFFFF"/>
        </w:rPr>
        <w:t>personas se enriquezcan primero”</w:t>
      </w:r>
      <w:r w:rsidRPr="009B73F5">
        <w:rPr>
          <w:rFonts w:ascii="Times New Roman" w:hAnsi="Times New Roman" w:cs="Times New Roman"/>
          <w:sz w:val="24"/>
          <w:szCs w:val="24"/>
          <w:shd w:val="clear" w:color="auto" w:fill="FFFFFF"/>
        </w:rPr>
        <w:t>. Hasta entonces, China no tenía ni un solo multimillonario porque la propiedad privada no estaba permitida bajo el régimen de Mao. En cambio, hoy hay más multimillonarios en China que en cualquier otro lugar del mundo, salvo Estados Unidos, pero la tasa de pobreza extrema ha caído hast</w:t>
      </w:r>
      <w:r>
        <w:rPr>
          <w:rFonts w:ascii="Times New Roman" w:hAnsi="Times New Roman" w:cs="Times New Roman"/>
          <w:sz w:val="24"/>
          <w:szCs w:val="24"/>
          <w:shd w:val="clear" w:color="auto" w:fill="FFFFFF"/>
        </w:rPr>
        <w:t>a ser inferior al 1 por ciento.</w:t>
      </w:r>
    </w:p>
    <w:p w:rsidR="007E3D39" w:rsidRDefault="007E3D39" w:rsidP="007E3D39">
      <w:pPr>
        <w:spacing w:line="240" w:lineRule="auto"/>
        <w:jc w:val="both"/>
        <w:rPr>
          <w:rFonts w:ascii="Times New Roman" w:hAnsi="Times New Roman" w:cs="Times New Roman"/>
          <w:sz w:val="24"/>
          <w:szCs w:val="24"/>
          <w:shd w:val="clear" w:color="auto" w:fill="FFFFFF"/>
        </w:rPr>
      </w:pPr>
      <w:r w:rsidRPr="009B73F5">
        <w:rPr>
          <w:rFonts w:ascii="Times New Roman" w:hAnsi="Times New Roman" w:cs="Times New Roman"/>
          <w:sz w:val="24"/>
          <w:szCs w:val="24"/>
          <w:shd w:val="clear" w:color="auto" w:fill="FFFFFF"/>
        </w:rPr>
        <w:t>Otro ejemplo claro es Vietnam. Tan recientemente como en 1993, hasta el 80 por ciento de la población del país vivía en la pobreza. Llegado el año 2020, esta proporción se había reducido a apenas un 5 por ciento, gracias a la introducción de derechos de propiedad privada y reformas de libre mercado. Al mismo tiempo, esto hizo que algunas personas en Vietnam se hicieran muy ricas y hoy en día hay varios multimillonarios en el país.</w:t>
      </w:r>
    </w:p>
    <w:p w:rsidR="007E3D39" w:rsidRDefault="007E3D39" w:rsidP="007E3D39">
      <w:pPr>
        <w:spacing w:line="240" w:lineRule="auto"/>
        <w:jc w:val="both"/>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¿Es una sorpresa? ¿No se lo esperaban? ¿Será porque algunos ciudadanos (necios) de los países avanzados se niegan a creer en las “promesas” de los “illuminatis” del librecambio?</w:t>
      </w:r>
    </w:p>
    <w:p w:rsidR="007E3D39" w:rsidRPr="007124B4" w:rsidRDefault="007E3D39" w:rsidP="007E3D39">
      <w:pPr>
        <w:spacing w:line="240" w:lineRule="auto"/>
        <w:jc w:val="both"/>
        <w:rPr>
          <w:rFonts w:ascii="Times New Roman" w:hAnsi="Times New Roman" w:cs="Times New Roman"/>
          <w:sz w:val="24"/>
          <w:szCs w:val="24"/>
        </w:rPr>
      </w:pPr>
      <w:r w:rsidRPr="007124B4">
        <w:rPr>
          <w:rFonts w:ascii="Times New Roman" w:hAnsi="Times New Roman" w:cs="Times New Roman"/>
          <w:sz w:val="24"/>
          <w:szCs w:val="24"/>
        </w:rPr>
        <w:t xml:space="preserve">• La riqueza de los milmillonarios se ha duplicado en los últimos diez años, acaparando casi seis veces más riqueza de la que acaba en manos del 50 % más pobre de la población. </w:t>
      </w:r>
    </w:p>
    <w:p w:rsidR="007E3D39" w:rsidRPr="007124B4" w:rsidRDefault="007E3D39" w:rsidP="007E3D39">
      <w:pPr>
        <w:spacing w:line="240" w:lineRule="auto"/>
        <w:jc w:val="both"/>
        <w:rPr>
          <w:rFonts w:ascii="Times New Roman" w:hAnsi="Times New Roman" w:cs="Times New Roman"/>
          <w:sz w:val="24"/>
          <w:szCs w:val="24"/>
        </w:rPr>
      </w:pPr>
      <w:r w:rsidRPr="007124B4">
        <w:rPr>
          <w:rFonts w:ascii="Times New Roman" w:hAnsi="Times New Roman" w:cs="Times New Roman"/>
          <w:sz w:val="24"/>
          <w:szCs w:val="24"/>
        </w:rPr>
        <w:lastRenderedPageBreak/>
        <w:t xml:space="preserve">• De cada 100 dólares de la riqueza generada en los últimos diez años, 54,40 dólares han ido a parar a manos del 1 % más rico de la población, mientras que el 50 % más pobre tan solo ha percibido 0,70 dólares. </w:t>
      </w:r>
    </w:p>
    <w:p w:rsidR="007E3D39" w:rsidRPr="007124B4" w:rsidRDefault="007E3D39" w:rsidP="007E3D39">
      <w:pPr>
        <w:spacing w:line="240" w:lineRule="auto"/>
        <w:jc w:val="both"/>
        <w:rPr>
          <w:rFonts w:ascii="Times New Roman" w:hAnsi="Times New Roman" w:cs="Times New Roman"/>
          <w:sz w:val="24"/>
          <w:szCs w:val="24"/>
        </w:rPr>
      </w:pPr>
      <w:r w:rsidRPr="007124B4">
        <w:rPr>
          <w:rFonts w:ascii="Times New Roman" w:hAnsi="Times New Roman" w:cs="Times New Roman"/>
          <w:sz w:val="24"/>
          <w:szCs w:val="24"/>
        </w:rPr>
        <w:t xml:space="preserve">• La riqueza obtenida por el 1 % más rico de la población en los últimos diez años es 74 veces mayor que la que ha llegado a manos del 50 % más pobre. Más recientemente, la pandemia de la COVID-19 y el incremento desbocado de los precios de los alimentos y la energía han agravado aún más esta desigualdad extrema. </w:t>
      </w:r>
    </w:p>
    <w:p w:rsidR="007E3D39" w:rsidRPr="007124B4" w:rsidRDefault="007E3D39" w:rsidP="007E3D39">
      <w:pPr>
        <w:spacing w:line="240" w:lineRule="auto"/>
        <w:jc w:val="both"/>
        <w:rPr>
          <w:rFonts w:ascii="Times New Roman" w:hAnsi="Times New Roman" w:cs="Times New Roman"/>
          <w:sz w:val="24"/>
          <w:szCs w:val="24"/>
        </w:rPr>
      </w:pPr>
      <w:r w:rsidRPr="007124B4">
        <w:rPr>
          <w:rFonts w:ascii="Times New Roman" w:hAnsi="Times New Roman" w:cs="Times New Roman"/>
          <w:sz w:val="24"/>
          <w:szCs w:val="24"/>
        </w:rPr>
        <w:t xml:space="preserve">• Desde 2020, por cada dólar de nueva riqueza que pudiera obtener cualquier persona perteneciente al 90 % más pobre, un milmillonario se embolsa 1,7 millones de dólares. </w:t>
      </w:r>
    </w:p>
    <w:p w:rsidR="007E3D39" w:rsidRPr="007124B4" w:rsidRDefault="007E3D39" w:rsidP="007E3D39">
      <w:pPr>
        <w:spacing w:line="240" w:lineRule="auto"/>
        <w:jc w:val="both"/>
        <w:rPr>
          <w:rFonts w:ascii="Times New Roman" w:hAnsi="Times New Roman" w:cs="Times New Roman"/>
          <w:sz w:val="24"/>
          <w:szCs w:val="24"/>
          <w:shd w:val="clear" w:color="auto" w:fill="FFFFFF"/>
        </w:rPr>
      </w:pPr>
      <w:r w:rsidRPr="007124B4">
        <w:rPr>
          <w:rFonts w:ascii="Times New Roman" w:hAnsi="Times New Roman" w:cs="Times New Roman"/>
          <w:sz w:val="24"/>
          <w:szCs w:val="24"/>
        </w:rPr>
        <w:t>• Por cada 100 dólares de nueva riqueza generados en la economía mundial entre diciembre de 2019 y diciembre de 2021,  fueron a parar a manos del 1 % más rico de la población, y tan solo 10 al 90 % más pobre.</w:t>
      </w:r>
    </w:p>
    <w:p w:rsidR="007E3D39" w:rsidRPr="006070B5" w:rsidRDefault="007E3D39" w:rsidP="007E3D39">
      <w:pPr>
        <w:spacing w:line="240" w:lineRule="auto"/>
        <w:jc w:val="both"/>
        <w:rPr>
          <w:rFonts w:ascii="Times New Roman" w:hAnsi="Times New Roman" w:cs="Times New Roman"/>
          <w:sz w:val="24"/>
          <w:szCs w:val="24"/>
        </w:rPr>
      </w:pPr>
      <w:r w:rsidRPr="006070B5">
        <w:rPr>
          <w:rFonts w:ascii="Times New Roman" w:hAnsi="Times New Roman" w:cs="Times New Roman"/>
          <w:sz w:val="24"/>
          <w:szCs w:val="24"/>
        </w:rPr>
        <w:t>• Desde 2020, el 1% más rico ha acaparado casi dos terceras partes de la nueva riqueza generada en el mundo, casi el doble que el 99 % restante.</w:t>
      </w:r>
    </w:p>
    <w:p w:rsidR="007E3D39" w:rsidRPr="006070B5" w:rsidRDefault="007E3D39" w:rsidP="007E3D39">
      <w:pPr>
        <w:spacing w:line="240" w:lineRule="auto"/>
        <w:jc w:val="both"/>
        <w:rPr>
          <w:rFonts w:ascii="Times New Roman" w:hAnsi="Times New Roman" w:cs="Times New Roman"/>
          <w:sz w:val="24"/>
          <w:szCs w:val="24"/>
        </w:rPr>
      </w:pPr>
      <w:r w:rsidRPr="006070B5">
        <w:rPr>
          <w:rFonts w:ascii="Times New Roman" w:hAnsi="Times New Roman" w:cs="Times New Roman"/>
          <w:sz w:val="24"/>
          <w:szCs w:val="24"/>
        </w:rPr>
        <w:t>• La fortuna de los milmillonarios aumenta en 2700 millones de dólares cada día, mientras que los salarios de al menos 1700 millones de trabajadoras y trabajadores, más que la población de India, crecen por debajo de lo que sube la inflación.</w:t>
      </w:r>
    </w:p>
    <w:p w:rsidR="007E3D39" w:rsidRDefault="007E3D39" w:rsidP="007E3D39">
      <w:pPr>
        <w:spacing w:line="240" w:lineRule="auto"/>
        <w:jc w:val="both"/>
        <w:rPr>
          <w:rFonts w:ascii="Times New Roman" w:hAnsi="Times New Roman" w:cs="Times New Roman"/>
          <w:sz w:val="24"/>
          <w:szCs w:val="24"/>
        </w:rPr>
      </w:pPr>
      <w:r w:rsidRPr="006070B5">
        <w:rPr>
          <w:rFonts w:ascii="Times New Roman" w:hAnsi="Times New Roman" w:cs="Times New Roman"/>
          <w:sz w:val="24"/>
          <w:szCs w:val="24"/>
        </w:rPr>
        <w:t xml:space="preserve">• Por cada dólar recaudado en impuestos a nivel global, tan sólo 4 centavos se recaudan sobre la riqueza, y la mitad de los milmillonarios del mundo vive en países donde no se aplica ningún impuesto de sucesiones a la riqueza que heredan sus descendientes. </w:t>
      </w:r>
    </w:p>
    <w:p w:rsidR="007E3D39" w:rsidRPr="006070B5" w:rsidRDefault="007E3D39" w:rsidP="007E3D39">
      <w:pPr>
        <w:spacing w:line="240" w:lineRule="auto"/>
        <w:jc w:val="both"/>
        <w:rPr>
          <w:rFonts w:ascii="Times New Roman" w:hAnsi="Times New Roman" w:cs="Times New Roman"/>
          <w:sz w:val="24"/>
          <w:szCs w:val="24"/>
        </w:rPr>
      </w:pPr>
      <w:r w:rsidRPr="006070B5">
        <w:rPr>
          <w:rFonts w:ascii="Times New Roman" w:hAnsi="Times New Roman" w:cs="Times New Roman"/>
          <w:sz w:val="24"/>
          <w:szCs w:val="24"/>
        </w:rPr>
        <w:t xml:space="preserve">Tiempos de crisis que están generando enormes fortunas para una minoría privilegiada </w:t>
      </w:r>
    </w:p>
    <w:p w:rsidR="007E3D39" w:rsidRDefault="007E3D39" w:rsidP="007E3D39">
      <w:pPr>
        <w:spacing w:line="240" w:lineRule="auto"/>
        <w:jc w:val="both"/>
        <w:rPr>
          <w:rFonts w:ascii="Times New Roman" w:hAnsi="Times New Roman" w:cs="Times New Roman"/>
          <w:sz w:val="24"/>
          <w:szCs w:val="24"/>
        </w:rPr>
      </w:pPr>
      <w:r w:rsidRPr="006070B5">
        <w:rPr>
          <w:rFonts w:ascii="Times New Roman" w:hAnsi="Times New Roman" w:cs="Times New Roman"/>
          <w:sz w:val="24"/>
          <w:szCs w:val="24"/>
        </w:rPr>
        <w:t xml:space="preserve">Mientras tanto, la concentración de riqueza acumulada en manos de una minoría de ultra ricos, que ya alcanzaba niveles récord, se ha intensificado. La actual “policrisis” global ha enriquecido aún más a esta reducida élite. Durante la última década, el 1 % más rico de la humanidad ha acaparado más del 50 % de la nueva riqueza global generada. </w:t>
      </w:r>
    </w:p>
    <w:p w:rsidR="007E3D39" w:rsidRDefault="007E3D39" w:rsidP="007E3D39">
      <w:pPr>
        <w:spacing w:line="240" w:lineRule="auto"/>
        <w:jc w:val="both"/>
        <w:rPr>
          <w:rFonts w:ascii="Times New Roman" w:hAnsi="Times New Roman" w:cs="Times New Roman"/>
          <w:sz w:val="24"/>
          <w:szCs w:val="24"/>
        </w:rPr>
      </w:pPr>
    </w:p>
    <w:p w:rsidR="007E3D39" w:rsidRPr="006070B5" w:rsidRDefault="007E3D39" w:rsidP="007E3D39">
      <w:pPr>
        <w:spacing w:line="240" w:lineRule="auto"/>
        <w:jc w:val="both"/>
        <w:rPr>
          <w:rFonts w:ascii="Times New Roman" w:hAnsi="Times New Roman" w:cs="Times New Roman"/>
          <w:sz w:val="24"/>
          <w:szCs w:val="24"/>
        </w:rPr>
      </w:pPr>
      <w:r w:rsidRPr="006070B5">
        <w:rPr>
          <w:rFonts w:ascii="Times New Roman" w:hAnsi="Times New Roman" w:cs="Times New Roman"/>
          <w:noProof/>
          <w:color w:val="FF0000"/>
          <w:sz w:val="24"/>
          <w:szCs w:val="24"/>
          <w:shd w:val="clear" w:color="auto" w:fill="FFFFFF"/>
          <w:lang w:eastAsia="es-ES"/>
        </w:rPr>
        <w:drawing>
          <wp:inline distT="0" distB="0" distL="0" distR="0" wp14:anchorId="7EB2A0FD" wp14:editId="25D706AB">
            <wp:extent cx="5731510" cy="2957789"/>
            <wp:effectExtent l="0" t="0" r="2540" b="0"/>
            <wp:docPr id="136" name="Imagen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7"/>
                    <a:stretch>
                      <a:fillRect/>
                    </a:stretch>
                  </pic:blipFill>
                  <pic:spPr>
                    <a:xfrm>
                      <a:off x="0" y="0"/>
                      <a:ext cx="5731510" cy="2957789"/>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sidRPr="006070B5">
        <w:rPr>
          <w:rFonts w:ascii="Times New Roman" w:hAnsi="Times New Roman" w:cs="Times New Roman"/>
          <w:sz w:val="24"/>
          <w:szCs w:val="24"/>
        </w:rPr>
        <w:lastRenderedPageBreak/>
        <w:t>El análisis de Oxfam a partir de los datos de Credit Suisse muestra que, desde 2020, la súper concentración de riqueza por parte de los súper ricos se ha intensificado. Desde entonces, dos tercios de la nueva riqueza generada a nivel global han ido a parar al 1 % más rico, casi seis veces más que la que acaba en manos del 90 % más pobre de la humanidad. Esto supone que, por cada dólar de nueva riqueza obtenido por una persona perteneciente al 90 % más pobre de la humanidad, un milmillonario se embolsa 1,7 millones de dólares.</w:t>
      </w:r>
    </w:p>
    <w:p w:rsidR="007E3D39" w:rsidRPr="00294267" w:rsidRDefault="007E3D39" w:rsidP="007E3D39">
      <w:pPr>
        <w:spacing w:line="240" w:lineRule="auto"/>
        <w:jc w:val="both"/>
        <w:rPr>
          <w:rFonts w:ascii="Times New Roman" w:hAnsi="Times New Roman" w:cs="Times New Roman"/>
          <w:sz w:val="24"/>
          <w:szCs w:val="24"/>
        </w:rPr>
      </w:pPr>
      <w:r w:rsidRPr="007124B4">
        <w:rPr>
          <w:rFonts w:ascii="Times New Roman" w:hAnsi="Times New Roman" w:cs="Times New Roman"/>
          <w:sz w:val="24"/>
          <w:szCs w:val="24"/>
        </w:rPr>
        <w:t>• Según el Banco Mundial, en el momento más crudo de la pandemia, las pérdidas de ingresos del 40 % más pobre de la población mundial duplicaron a las del 20 % más rico, y la desigualdad de ingresos a nivel global aumentó por primera vez en décadas.</w:t>
      </w:r>
    </w:p>
    <w:p w:rsidR="007E3D39" w:rsidRPr="00E574AA" w:rsidRDefault="007E3D39" w:rsidP="007E3D39">
      <w:pPr>
        <w:spacing w:line="240" w:lineRule="auto"/>
        <w:jc w:val="both"/>
        <w:rPr>
          <w:rFonts w:ascii="Times New Roman" w:hAnsi="Times New Roman" w:cs="Times New Roman"/>
          <w:sz w:val="24"/>
          <w:szCs w:val="24"/>
        </w:rPr>
      </w:pPr>
      <w:r w:rsidRPr="00E574AA">
        <w:rPr>
          <w:rFonts w:ascii="Times New Roman" w:hAnsi="Times New Roman" w:cs="Times New Roman"/>
          <w:sz w:val="24"/>
          <w:szCs w:val="24"/>
        </w:rPr>
        <w:t xml:space="preserve">En 2022, la fortuna total de los milmillonarios cayó ligeramente después de haber alcanzado niveles sin precedentes en 2021, pero sigue estando varios billones de dólares por encima de su valor pre-pandemia. De hecho, los últimos datos sugieren que, en los últimos meses, los milmillonarios han empezado a recuperar de nuevo la senda del crecimiento. </w:t>
      </w:r>
    </w:p>
    <w:p w:rsidR="007E3D39" w:rsidRPr="00E574AA" w:rsidRDefault="007E3D39" w:rsidP="007E3D39">
      <w:pPr>
        <w:spacing w:line="240" w:lineRule="auto"/>
        <w:jc w:val="both"/>
        <w:rPr>
          <w:rFonts w:ascii="Times New Roman" w:hAnsi="Times New Roman" w:cs="Times New Roman"/>
          <w:sz w:val="24"/>
          <w:szCs w:val="24"/>
        </w:rPr>
      </w:pPr>
      <w:r w:rsidRPr="00E574AA">
        <w:rPr>
          <w:rFonts w:ascii="Times New Roman" w:hAnsi="Times New Roman" w:cs="Times New Roman"/>
          <w:sz w:val="24"/>
          <w:szCs w:val="24"/>
        </w:rPr>
        <w:t xml:space="preserve">En 2022: </w:t>
      </w:r>
    </w:p>
    <w:p w:rsidR="007E3D39" w:rsidRPr="00E574AA" w:rsidRDefault="007E3D39" w:rsidP="007E3D39">
      <w:pPr>
        <w:spacing w:line="240" w:lineRule="auto"/>
        <w:jc w:val="both"/>
        <w:rPr>
          <w:rFonts w:ascii="Times New Roman" w:hAnsi="Times New Roman" w:cs="Times New Roman"/>
          <w:sz w:val="24"/>
          <w:szCs w:val="24"/>
        </w:rPr>
      </w:pPr>
      <w:r w:rsidRPr="00E574AA">
        <w:rPr>
          <w:rFonts w:ascii="Times New Roman" w:hAnsi="Times New Roman" w:cs="Times New Roman"/>
          <w:sz w:val="24"/>
          <w:szCs w:val="24"/>
        </w:rPr>
        <w:t xml:space="preserve">• El 1 % más rico de la población posee el 45,6 % de la riqueza mundial, mientras que la mitad más pobre tan solo tiene el 0,75 %. </w:t>
      </w:r>
    </w:p>
    <w:p w:rsidR="007E3D39" w:rsidRPr="00E574AA" w:rsidRDefault="007E3D39" w:rsidP="007E3D39">
      <w:pPr>
        <w:spacing w:line="240" w:lineRule="auto"/>
        <w:jc w:val="both"/>
        <w:rPr>
          <w:rFonts w:ascii="Times New Roman" w:hAnsi="Times New Roman" w:cs="Times New Roman"/>
          <w:sz w:val="24"/>
          <w:szCs w:val="24"/>
        </w:rPr>
      </w:pPr>
      <w:r w:rsidRPr="00E574AA">
        <w:rPr>
          <w:rFonts w:ascii="Times New Roman" w:hAnsi="Times New Roman" w:cs="Times New Roman"/>
          <w:sz w:val="24"/>
          <w:szCs w:val="24"/>
        </w:rPr>
        <w:t>• 81 milmillonarios poseen más riqueza que el 50 % de la población mundial.</w:t>
      </w:r>
    </w:p>
    <w:p w:rsidR="007E3D39" w:rsidRDefault="007E3D39" w:rsidP="007E3D39">
      <w:pPr>
        <w:spacing w:line="240" w:lineRule="auto"/>
        <w:jc w:val="both"/>
        <w:rPr>
          <w:rFonts w:ascii="Times New Roman" w:hAnsi="Times New Roman" w:cs="Times New Roman"/>
          <w:sz w:val="24"/>
          <w:szCs w:val="24"/>
        </w:rPr>
      </w:pPr>
      <w:r w:rsidRPr="00E574AA">
        <w:rPr>
          <w:rFonts w:ascii="Times New Roman" w:hAnsi="Times New Roman" w:cs="Times New Roman"/>
          <w:sz w:val="24"/>
          <w:szCs w:val="24"/>
        </w:rPr>
        <w:t>• Diez milmillonarios poseen más riqueza que 200 millones de mujeres africanas en conjunto.</w:t>
      </w:r>
    </w:p>
    <w:p w:rsidR="007E3D39" w:rsidRDefault="007E3D39" w:rsidP="007E3D39">
      <w:pPr>
        <w:spacing w:line="240" w:lineRule="auto"/>
        <w:jc w:val="both"/>
        <w:rPr>
          <w:rFonts w:ascii="Times New Roman" w:hAnsi="Times New Roman" w:cs="Times New Roman"/>
          <w:b/>
          <w:sz w:val="24"/>
          <w:szCs w:val="24"/>
        </w:rPr>
      </w:pPr>
      <w:r>
        <w:rPr>
          <w:rFonts w:ascii="Times New Roman" w:hAnsi="Times New Roman" w:cs="Times New Roman"/>
          <w:b/>
          <w:sz w:val="24"/>
          <w:szCs w:val="24"/>
        </w:rPr>
        <w:t>“</w:t>
      </w:r>
      <w:r w:rsidRPr="00D5156B">
        <w:rPr>
          <w:rFonts w:ascii="Times New Roman" w:hAnsi="Times New Roman" w:cs="Times New Roman"/>
          <w:b/>
          <w:sz w:val="24"/>
          <w:szCs w:val="24"/>
        </w:rPr>
        <w:t>La ley del más rico</w:t>
      </w:r>
      <w:r>
        <w:rPr>
          <w:rFonts w:ascii="Times New Roman" w:hAnsi="Times New Roman" w:cs="Times New Roman"/>
          <w:b/>
          <w:sz w:val="24"/>
          <w:szCs w:val="24"/>
        </w:rPr>
        <w:t>”</w:t>
      </w:r>
      <w:r w:rsidRPr="00D5156B">
        <w:rPr>
          <w:rFonts w:ascii="Times New Roman" w:hAnsi="Times New Roman" w:cs="Times New Roman"/>
          <w:b/>
          <w:sz w:val="24"/>
          <w:szCs w:val="24"/>
        </w:rPr>
        <w:t xml:space="preserve"> (según Oxfam)</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“La riqueza de los milmillonarios ha aumentado a un ritmo desconcertante. Si durante la última década, el 1% más rico de la población mundial capturó alrededor del 50% de la nueva riqueza, desde 2020, con la pandemia y la crisis del coste de la vida, el fenómeno se ha acelerado, de forma que ese 1% acaparó 26 billones de dólares (el 63% de un total de 42 billones de dólares), mientras que el 99% restante tuvo que conformarse con 16 billones (el 37%)”. Así de impactante era lead del informe presentado el pasado 16 de enero por la ONG británica Oxfam (“La ley del más rico”) en Davos, Suiza, con motivo del inicio del World Economic Forum, evento que cada año reúne en la estación de esquí alpina a lo más granado de la política y la economía mundial, con el objetivo, se supone, de avergonzar, o al menos intentarlo, a esas elites del gran poder en un momento en que “la riqueza y la pobreza extremas en el mundo se han incrementado simultáneamente por primera vez en 25 años”.</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Según Oxfam, “por cada dólar de nueva riqueza global que percibe una persona perteneciente al 90% más pobre de la humanidad, un milmillonario -cuyas fortunas han crecido colectivamente a un ritmo de 2.700 millones diarios-, se embolsa 1,7 millones”. La ONG apunta directamente a los sectores de la energía y la alimentación como responsables del incremento del patrimonio de los más ricos. “95 grandes empresas de energía y alimentación más que duplicaron sus beneficios en 2022, generando unos resultados extraordinarios de 306.000 millones de dólares y repartiendo 257.000 millones en forma de dividendo entre sus accionistas. La saga familiar Walton, propietaria del 50% de la multinacional de supermercados Walmart, se embolsó 8.500 millones de dividendos el año pasado. Solo en 2022, la riqueza del indio Gautam Adani, propietario de varias compañías energéticas, se incrementó en 42.000 millones de dólares. En Australia, EEUU y Reino Unido, al menos el 50% del crecimiento de la inflación es achacable a esos enormes beneficios”… (Vozpópuli - </w:t>
      </w:r>
      <w:r w:rsidRPr="0062569D">
        <w:rPr>
          <w:rFonts w:ascii="Times New Roman" w:hAnsi="Times New Roman" w:cs="Times New Roman"/>
          <w:b/>
          <w:sz w:val="24"/>
          <w:szCs w:val="24"/>
        </w:rPr>
        <w:t>19/2/23</w:t>
      </w:r>
      <w:r w:rsidRPr="0062569D">
        <w:rPr>
          <w:rFonts w:ascii="Times New Roman" w:hAnsi="Times New Roman" w:cs="Times New Roman"/>
          <w:sz w:val="24"/>
          <w:szCs w:val="24"/>
        </w:rPr>
        <w:t>)</w:t>
      </w:r>
    </w:p>
    <w:p w:rsidR="007E3D39" w:rsidRPr="00DA0886" w:rsidRDefault="007E3D39" w:rsidP="007E3D39">
      <w:pPr>
        <w:spacing w:line="240" w:lineRule="auto"/>
        <w:jc w:val="both"/>
        <w:rPr>
          <w:rFonts w:ascii="Times New Roman" w:hAnsi="Times New Roman" w:cs="Times New Roman"/>
          <w:b/>
          <w:sz w:val="24"/>
          <w:szCs w:val="24"/>
        </w:rPr>
      </w:pPr>
      <w:r w:rsidRPr="00DA0886">
        <w:rPr>
          <w:rFonts w:ascii="Times New Roman" w:hAnsi="Times New Roman" w:cs="Times New Roman"/>
          <w:b/>
          <w:sz w:val="24"/>
          <w:szCs w:val="24"/>
        </w:rPr>
        <w:lastRenderedPageBreak/>
        <w:t>La trayectoria explosiva de la deuda</w:t>
      </w:r>
    </w:p>
    <w:p w:rsidR="007E3D39" w:rsidRPr="0062569D" w:rsidRDefault="007E3D39" w:rsidP="007E3D39">
      <w:pPr>
        <w:spacing w:line="240" w:lineRule="auto"/>
        <w:jc w:val="both"/>
        <w:rPr>
          <w:rFonts w:ascii="Times New Roman" w:hAnsi="Times New Roman" w:cs="Times New Roman"/>
          <w:b/>
          <w:sz w:val="24"/>
          <w:szCs w:val="24"/>
        </w:rPr>
      </w:pPr>
      <w:r w:rsidRPr="0062569D">
        <w:rPr>
          <w:rFonts w:ascii="Times New Roman" w:hAnsi="Times New Roman" w:cs="Times New Roman"/>
          <w:b/>
          <w:sz w:val="24"/>
          <w:szCs w:val="24"/>
        </w:rPr>
        <w:t>Los gobiernos prefieren enfrentarse a los compromisos electorales presumiendo de ayudas que intentando ajustar las cuentas públicas, pero las decisiones impopulares llegarán.</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La recesión económica global de 2008 fue muy dura ya que el estallido de la burbuja inmobiliaria provocó una crisis financiera de tal calibre que se llegó a temer que fuera sistémica. La situación fue tan mala entre otras cosas porque los niveles de endeudamiento privado, tanto de empresas como de hogares, eran elevadísimos, y los problemas de liquidez ante el parón de la economía llevaron a quiebras y dispararon el desempleo.</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Entonces se activó el círculo vicioso: al perder empleo, la gente retrasó el pago de sus deudas y redujo su consumo, lo que implicó más problemas para las entidades financieras y para las empresas que respondieron, las primeras cortando el grifo del crédito y las segundas despidiendo más trabajadores. Esto es sabido porque ya había pasado en otras crisis, y la forma de salir de ellas siempre había sido la misma: bajar los tipos de interés para que el ahorro se convirtiera en consumo y fuera más fácil renegociar las deudas.</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Para que no se parara el grifo del crédito se ayudó, en todo el mundo, a la banca a salir del bache, en ocasiones entrando el propio estado como accionista en entidades privadas y en otras nacionalizando. Pero el tamaño de la crisis era tan grande y el miedo a un parón económico global tan presente, especialmente tras la quiebra de Lehman Brothers, que la Fed fue aún más agresiva e introdujo de forma masiva las compras de activos para inyectar liquidez al sistema. De este modo la Reserva Federal favoreció que el endeudamiento privado pasara a ser público, proceso al que se sumaron todos los bancos centrales y que se tradujo en que, en unos pocos años, los volúmenes de deuda pública se dispararan a la par que los de deuda privada descendían.</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La gran mentira que hemos vivido desde entonces es que el crecimiento, y la mejora (o el mantenimiento) de los servicios públicos (lo que en Europa llamamos estado del bienestar) se ha debido a que los bancos centrales, con sus radicales bajadas de tipos de interés (que incluso llevaron a que se pudiera emitir deuda en negativo, cobrando intereses a los que la compraban) y el creciente volumen de su balance, permitían a los gobiernos endeudarse más y más de una forma muy cómoda.</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En Europa, la UE se blindó contra esto, en sus inicios, prohibiendo que el BCE financiara a los estados pero lo cierto es que los políticos, tanto los que mandan en el banco central como en los diferentes gobiernos, ignoraron esto, y tras la crisis griega, los rescates de Irlanda y Portugal, el corralito chipriota… decidieron que bastaba con que BCE no comprara la deuda en las subastas para esquivar dicha prohibición; es decir, teóricamente sólo financian a los bancos que les venden la deuda que ellos compran en las subastas de los estados cuando en realidad, la compraban porque podían vendérsela después. La situación se volvió tan surrealista que BCE hasta compraba deuda de empresas (peor es el caso japonés, cuyo banco central hasta intervino en el mercado bursátil).</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Y llegó la pandemia, y como la situación era tan objetivamente grave, se aprobaron aún más medidas de estímulo que seguían el mismo principio: sostener la actividad económica y el estado del bienestar tirando de deuda pública, gracias a la complicidad de los bancos centrales. Y como se salió con fuerza en 2021 del decrecimiento de 2020, empezó a aumentar la inflación: se sumaba el entumecimiento de las cadenas de distribución globales al mayor </w:t>
      </w:r>
      <w:r w:rsidRPr="0062569D">
        <w:rPr>
          <w:rFonts w:ascii="Times New Roman" w:hAnsi="Times New Roman" w:cs="Times New Roman"/>
          <w:sz w:val="24"/>
          <w:szCs w:val="24"/>
        </w:rPr>
        <w:lastRenderedPageBreak/>
        <w:t>gasto asociado tanto con el fin de los confinamientos como con el aumento del ahorro detectado el año anterior, debido a los confinamientos.</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Además, gracias a que la recesión de 2020, a pesar de provocar caídas del PIB no vistas en tiempo de paz en décadas, no disparó la tasa de paro (en Estados Unidos sí, pero la flexibilidad de su mercado laboral llevó a que bajara también muy rápido), no se disparó la desconfianza hacia el futuro, y no frenó el consumo, lo que también presionaba los precios. Por eso en diciembre de 2021 la Fed anunció que empezaría a subir los tipos de interés en 2022 y a reducir su balance. Por entonces Lagarde afirmó que BCE no haría lo mismo pero, y aunque se resistió, tras la invasión rusa de Ucrania, desde el verano de 2022 hasta ahora no ha dejado de elevar los tipos de interés, en un intento desesperado por frenar la inflación y que incide en un menor crecimiento económico.</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Una enorme deuda pública explica los últimos años de crecimiento y de aumento del gasto público en todo el mundo, y especialmente en los países desarrollados (ahora, en vías de subdesarrollo). El problema es que esto no parece sostenible, es como si una familia vive bien gracias a que cada vez pide más dinero prestado y pretende que eso no tenga consecuencias. Hay quien cree que el que los estados se endeuden no es problemático ya que no necesitan devolver lo que toman prestado, les basta con emitir nueva deuda una y otra vez. Así deben pensar los gobiernos, que prefieren enfrentarse a los compromisos electorales presumiendo de ayudas y prometiendo más gasto que intentando ajustar las cuentas públicas para que al menos deje de aumentar el volumen de deudas. Por supuesto se equivocan, es insostenible seguir emitiendo más y más deuda para mantener la ficción de una economía que sin ella no podría sostenerse, más sabiendo que cada pocos años habrá una nueva recesión que disparará la ratio deuda/PIB. “Las decisiones impopulares llegarán, la única duda es cuándo”, sostiene Pedro Pablo Valero (Libertad Digital - </w:t>
      </w:r>
      <w:r w:rsidRPr="0062569D">
        <w:rPr>
          <w:rFonts w:ascii="Times New Roman" w:hAnsi="Times New Roman" w:cs="Times New Roman"/>
          <w:b/>
          <w:sz w:val="24"/>
          <w:szCs w:val="24"/>
        </w:rPr>
        <w:t>24/2/23</w:t>
      </w:r>
      <w:r w:rsidRPr="0062569D">
        <w:rPr>
          <w:rFonts w:ascii="Times New Roman" w:hAnsi="Times New Roman" w:cs="Times New Roman"/>
          <w:sz w:val="24"/>
          <w:szCs w:val="24"/>
        </w:rPr>
        <w:t>)</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Thomas Fricke, Xhulia Likaj, Maren Buchholtz, Sonja Hennen, Tom Krebs y David Kläffling, econimistas del New Economy Forum, han publicado un trabajo en enero (2023) en el que van más allá y hablan de un cambio de modelo total. “Durante más de tres décadas, las políticas económicas y sociales se han basado en gran medida en los principios liberales del mercado. Desde la crisis financiera de 2008, este leitmotiv ha perdido gran parte de su atractivo, dejando atrás un peligroso vacío paradigmático que los populistas intentan llenar”.</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El su informe identifican al menos una docena de nuevas corrientes de pensamiento importantes, cada una reflejada por destacados pensadores internacionales que van desde Dani Rodrik sobre la redefinición de la globalización o Thomas Piketty sobre cómo reducir las desigualdades. Estos expertos también identifican un número creciente de organizaciones o individuos que apoyan activamente la búsqueda de un nuevo paradigma para la economía y la sociedad en general. Son muchas las corrientes que están surgiendo y que proponen un cambio al sistema globzalizador y capitalista que ha perdurado durante décadas. Esta vez parece que el cambio de paradigma está en marcha y no tiene vuelta atrás. Sin embargo, hay que ser cautelosos a la hora de llegar a conclusiones contundentes. Esta no es la primera vez que se ha dado por muerta a la globalización o al capitalismo… - La economía atisba un cambio de paradigma: el comercio internacional crecerá menos que el PIB por primera vez en 25 años (El Economista - </w:t>
      </w:r>
      <w:r w:rsidRPr="0062569D">
        <w:rPr>
          <w:rFonts w:ascii="Times New Roman" w:hAnsi="Times New Roman" w:cs="Times New Roman"/>
          <w:b/>
          <w:sz w:val="24"/>
          <w:szCs w:val="24"/>
        </w:rPr>
        <w:t>31/1/23</w:t>
      </w:r>
      <w:r w:rsidRPr="0062569D">
        <w:rPr>
          <w:rFonts w:ascii="Times New Roman" w:hAnsi="Times New Roman" w:cs="Times New Roman"/>
          <w:sz w:val="24"/>
          <w:szCs w:val="24"/>
        </w:rPr>
        <w:t>)</w:t>
      </w:r>
    </w:p>
    <w:p w:rsidR="007E3D39" w:rsidRPr="00A36329" w:rsidRDefault="007E3D39" w:rsidP="007E3D39">
      <w:pPr>
        <w:spacing w:line="240" w:lineRule="auto"/>
        <w:jc w:val="both"/>
        <w:rPr>
          <w:rFonts w:ascii="Times New Roman" w:hAnsi="Times New Roman" w:cs="Times New Roman"/>
          <w:b/>
          <w:sz w:val="24"/>
          <w:szCs w:val="24"/>
        </w:rPr>
      </w:pPr>
      <w:r w:rsidRPr="00A36329">
        <w:rPr>
          <w:rFonts w:ascii="Times New Roman" w:hAnsi="Times New Roman" w:cs="Times New Roman"/>
          <w:b/>
          <w:sz w:val="24"/>
          <w:szCs w:val="24"/>
        </w:rPr>
        <w:t>Mientras</w:t>
      </w:r>
      <w:r>
        <w:rPr>
          <w:rFonts w:ascii="Times New Roman" w:hAnsi="Times New Roman" w:cs="Times New Roman"/>
          <w:b/>
          <w:sz w:val="24"/>
          <w:szCs w:val="24"/>
        </w:rPr>
        <w:t xml:space="preserve"> que </w:t>
      </w:r>
      <w:r w:rsidRPr="00DA0886">
        <w:rPr>
          <w:rFonts w:ascii="Times New Roman" w:hAnsi="Times New Roman" w:cs="Times New Roman"/>
          <w:b/>
          <w:sz w:val="24"/>
          <w:szCs w:val="24"/>
        </w:rPr>
        <w:t>lo viejo no acaba de morir y lo nuevo no acaba de nacer</w:t>
      </w:r>
      <w:r w:rsidRPr="00A36329">
        <w:rPr>
          <w:rFonts w:ascii="Times New Roman" w:hAnsi="Times New Roman" w:cs="Times New Roman"/>
          <w:b/>
          <w:sz w:val="24"/>
          <w:szCs w:val="24"/>
        </w:rPr>
        <w:t>, el riesgo de contagio del autoritarismo es real: y no solo porque los grandes empresarios busquen la protección de China</w:t>
      </w:r>
      <w:r>
        <w:rPr>
          <w:rFonts w:ascii="Times New Roman" w:hAnsi="Times New Roman" w:cs="Times New Roman"/>
          <w:b/>
          <w:sz w:val="24"/>
          <w:szCs w:val="24"/>
        </w:rPr>
        <w:t xml:space="preserve"> para sostener la extracción de rentas</w:t>
      </w:r>
      <w:r w:rsidRPr="00A36329">
        <w:rPr>
          <w:rFonts w:ascii="Times New Roman" w:hAnsi="Times New Roman" w:cs="Times New Roman"/>
          <w:b/>
          <w:sz w:val="24"/>
          <w:szCs w:val="24"/>
        </w:rPr>
        <w:t>, sino porque el gran malestar de la sociedad</w:t>
      </w:r>
      <w:r>
        <w:rPr>
          <w:rFonts w:ascii="Times New Roman" w:hAnsi="Times New Roman" w:cs="Times New Roman"/>
          <w:b/>
          <w:sz w:val="24"/>
          <w:szCs w:val="24"/>
        </w:rPr>
        <w:t>,</w:t>
      </w:r>
      <w:r w:rsidRPr="00A36329">
        <w:rPr>
          <w:rFonts w:ascii="Times New Roman" w:hAnsi="Times New Roman" w:cs="Times New Roman"/>
          <w:b/>
          <w:sz w:val="24"/>
          <w:szCs w:val="24"/>
        </w:rPr>
        <w:t xml:space="preserve"> favo</w:t>
      </w:r>
      <w:r>
        <w:rPr>
          <w:rFonts w:ascii="Times New Roman" w:hAnsi="Times New Roman" w:cs="Times New Roman"/>
          <w:b/>
          <w:sz w:val="24"/>
          <w:szCs w:val="24"/>
        </w:rPr>
        <w:t>rece las propuestas irracionales</w:t>
      </w:r>
      <w:r w:rsidRPr="00A36329">
        <w:rPr>
          <w:rFonts w:ascii="Times New Roman" w:hAnsi="Times New Roman" w:cs="Times New Roman"/>
          <w:b/>
          <w:sz w:val="24"/>
          <w:szCs w:val="24"/>
        </w:rPr>
        <w:t>, y los liderazgos mesiánicos.</w:t>
      </w:r>
    </w:p>
    <w:p w:rsidR="007E3D39" w:rsidRDefault="007E3D39" w:rsidP="007E3D39">
      <w:pPr>
        <w:pStyle w:val="yiv5244443261msonormal"/>
        <w:shd w:val="clear" w:color="auto" w:fill="FFFFFF"/>
        <w:jc w:val="both"/>
        <w:rPr>
          <w:b/>
        </w:rPr>
      </w:pPr>
      <w:r>
        <w:rPr>
          <w:b/>
        </w:rPr>
        <w:lastRenderedPageBreak/>
        <w:t xml:space="preserve">- Anexo: Evolución de las Cuentas Nacionales, de los países avanzados, desde 1989 en adelante (hasta los últimos datos disponibles a la fecha de redacción del Paper) </w:t>
      </w:r>
    </w:p>
    <w:p w:rsidR="007E3D39" w:rsidRDefault="007E3D39" w:rsidP="007E3D39">
      <w:pPr>
        <w:pStyle w:val="yiv5244443261msonormal"/>
        <w:shd w:val="clear" w:color="auto" w:fill="FFFFFF"/>
        <w:jc w:val="both"/>
      </w:pPr>
      <w:r w:rsidRPr="00914EC9">
        <w:rPr>
          <w:b/>
        </w:rPr>
        <w:t>Nota</w:t>
      </w:r>
      <w:r w:rsidRPr="00D87C13">
        <w:t xml:space="preserve">: se toma como punto de partida la </w:t>
      </w:r>
      <w:r>
        <w:t>“</w:t>
      </w:r>
      <w:r w:rsidRPr="00D87C13">
        <w:t>caída del muro de Berlín</w:t>
      </w:r>
      <w:r>
        <w:t>”</w:t>
      </w:r>
      <w:r w:rsidRPr="00D87C13">
        <w:t xml:space="preserve"> (1989), porque a partir de ese momento se da</w:t>
      </w:r>
      <w:r>
        <w:t>n</w:t>
      </w:r>
      <w:r w:rsidRPr="00D87C13">
        <w:t xml:space="preserve"> </w:t>
      </w:r>
      <w:r>
        <w:t>“manos</w:t>
      </w:r>
      <w:r w:rsidRPr="00D87C13">
        <w:t xml:space="preserve"> libre</w:t>
      </w:r>
      <w:r>
        <w:t xml:space="preserve">s” a la globalización, la financierización, el  librecambio, la </w:t>
      </w:r>
      <w:r w:rsidRPr="00D87C13">
        <w:t>deslocalización</w:t>
      </w:r>
      <w:r>
        <w:t xml:space="preserve">, la </w:t>
      </w:r>
      <w:r w:rsidRPr="00D87C13">
        <w:t>tercerización,</w:t>
      </w:r>
      <w:r>
        <w:t xml:space="preserve"> la economía de casino, y se inicia “la era de los excesos”.</w:t>
      </w:r>
      <w:r w:rsidRPr="00D87C13">
        <w:t xml:space="preserve"> </w:t>
      </w:r>
    </w:p>
    <w:p w:rsidR="007E3D39" w:rsidRPr="00914EC9" w:rsidRDefault="007E3D39" w:rsidP="007E3D39">
      <w:pPr>
        <w:spacing w:line="240" w:lineRule="auto"/>
        <w:jc w:val="both"/>
        <w:rPr>
          <w:rFonts w:ascii="Times New Roman" w:hAnsi="Times New Roman" w:cs="Times New Roman"/>
          <w:sz w:val="24"/>
          <w:szCs w:val="24"/>
        </w:rPr>
      </w:pPr>
      <w:r w:rsidRPr="00914EC9">
        <w:rPr>
          <w:rFonts w:ascii="Times New Roman" w:hAnsi="Times New Roman" w:cs="Times New Roman"/>
          <w:sz w:val="24"/>
          <w:szCs w:val="24"/>
        </w:rPr>
        <w:t>Pero el problema seguía siendo el mismo, que las necesidades son infinitas, los derechos hay que pagarlos y los recursos son finitos. Para un economista, eso no es difícil de entender.</w:t>
      </w:r>
    </w:p>
    <w:p w:rsidR="007E3D39" w:rsidRPr="00914EC9" w:rsidRDefault="007E3D39" w:rsidP="007E3D39">
      <w:pPr>
        <w:spacing w:line="240" w:lineRule="auto"/>
        <w:jc w:val="both"/>
        <w:rPr>
          <w:rFonts w:ascii="Times New Roman" w:hAnsi="Times New Roman" w:cs="Times New Roman"/>
          <w:sz w:val="24"/>
          <w:szCs w:val="24"/>
        </w:rPr>
      </w:pPr>
      <w:r w:rsidRPr="00914EC9">
        <w:rPr>
          <w:rFonts w:ascii="Times New Roman" w:hAnsi="Times New Roman" w:cs="Times New Roman"/>
          <w:sz w:val="24"/>
          <w:szCs w:val="24"/>
        </w:rPr>
        <w:t>Sin embargo, el “establishment” no acepta esa realidad y se dedica a financiar un enorme déficit fiscal, primero cargando de nueva deuda a las futuras generaciones, después usando la máquina de imprimir billetes del banco central, lo que genera inflación. En esas</w:t>
      </w:r>
      <w:r>
        <w:rPr>
          <w:rFonts w:ascii="Times New Roman" w:hAnsi="Times New Roman" w:cs="Times New Roman"/>
          <w:sz w:val="24"/>
          <w:szCs w:val="24"/>
        </w:rPr>
        <w:t>,</w:t>
      </w:r>
      <w:r w:rsidRPr="00914EC9">
        <w:rPr>
          <w:rFonts w:ascii="Times New Roman" w:hAnsi="Times New Roman" w:cs="Times New Roman"/>
          <w:sz w:val="24"/>
          <w:szCs w:val="24"/>
        </w:rPr>
        <w:t xml:space="preserve"> estamos… Pero no está claro -aún- quién deberá pagar el ajuste: el sector público, el sector privado, los trabajadores, los pensionistas… u otra vez más, “patada hacia adelante”. En esas</w:t>
      </w:r>
      <w:r>
        <w:rPr>
          <w:rFonts w:ascii="Times New Roman" w:hAnsi="Times New Roman" w:cs="Times New Roman"/>
          <w:sz w:val="24"/>
          <w:szCs w:val="24"/>
        </w:rPr>
        <w:t>,</w:t>
      </w:r>
      <w:r w:rsidRPr="00914EC9">
        <w:rPr>
          <w:rFonts w:ascii="Times New Roman" w:hAnsi="Times New Roman" w:cs="Times New Roman"/>
          <w:sz w:val="24"/>
          <w:szCs w:val="24"/>
        </w:rPr>
        <w:t xml:space="preserve"> está</w:t>
      </w:r>
      <w:r>
        <w:rPr>
          <w:rFonts w:ascii="Times New Roman" w:hAnsi="Times New Roman" w:cs="Times New Roman"/>
          <w:sz w:val="24"/>
          <w:szCs w:val="24"/>
        </w:rPr>
        <w:t>n…</w:t>
      </w:r>
    </w:p>
    <w:p w:rsidR="007E3D39" w:rsidRPr="007F3852" w:rsidRDefault="007E3D39" w:rsidP="007E3D39">
      <w:pPr>
        <w:pStyle w:val="yiv5244443261msonormal"/>
        <w:shd w:val="clear" w:color="auto" w:fill="FFFFFF"/>
        <w:jc w:val="both"/>
        <w:rPr>
          <w:b/>
          <w:color w:val="000000"/>
        </w:rPr>
      </w:pPr>
      <w:r w:rsidRPr="00187C2A">
        <w:rPr>
          <w:b/>
        </w:rPr>
        <w:t>Base de datos del Banco Mundial</w:t>
      </w:r>
    </w:p>
    <w:p w:rsidR="007E3D39" w:rsidRPr="00187C2A" w:rsidRDefault="007E3D39" w:rsidP="007E3D39">
      <w:pPr>
        <w:rPr>
          <w:rFonts w:ascii="Times New Roman" w:hAnsi="Times New Roman" w:cs="Times New Roman"/>
          <w:b/>
          <w:sz w:val="24"/>
          <w:szCs w:val="24"/>
        </w:rPr>
      </w:pPr>
      <w:r>
        <w:rPr>
          <w:rFonts w:ascii="Times New Roman" w:hAnsi="Times New Roman" w:cs="Times New Roman"/>
          <w:b/>
          <w:sz w:val="24"/>
          <w:szCs w:val="24"/>
        </w:rPr>
        <w:t>Estados Unidos</w:t>
      </w:r>
    </w:p>
    <w:p w:rsidR="007E3D39" w:rsidRDefault="007E3D39" w:rsidP="007E3D39">
      <w:r w:rsidRPr="00187C2A">
        <w:rPr>
          <w:noProof/>
          <w:lang w:eastAsia="es-ES"/>
        </w:rPr>
        <w:drawing>
          <wp:inline distT="0" distB="0" distL="0" distR="0" wp14:anchorId="59C6D8BD" wp14:editId="3C75B2D0">
            <wp:extent cx="5727700" cy="5041900"/>
            <wp:effectExtent l="0" t="0" r="6350" b="635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8"/>
                    <a:stretch>
                      <a:fillRect/>
                    </a:stretch>
                  </pic:blipFill>
                  <pic:spPr>
                    <a:xfrm>
                      <a:off x="0" y="0"/>
                      <a:ext cx="5731510" cy="5045254"/>
                    </a:xfrm>
                    <a:prstGeom prst="rect">
                      <a:avLst/>
                    </a:prstGeom>
                  </pic:spPr>
                </pic:pic>
              </a:graphicData>
            </a:graphic>
          </wp:inline>
        </w:drawing>
      </w:r>
    </w:p>
    <w:p w:rsidR="007E3D39" w:rsidRDefault="007E3D39" w:rsidP="007E3D39">
      <w:r w:rsidRPr="00187C2A">
        <w:rPr>
          <w:noProof/>
          <w:lang w:eastAsia="es-ES"/>
        </w:rPr>
        <w:lastRenderedPageBreak/>
        <w:drawing>
          <wp:inline distT="0" distB="0" distL="0" distR="0" wp14:anchorId="2AAE367E" wp14:editId="786D48D3">
            <wp:extent cx="5727700" cy="3956050"/>
            <wp:effectExtent l="0" t="0" r="6350" b="635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31510" cy="3958682"/>
                    </a:xfrm>
                    <a:prstGeom prst="rect">
                      <a:avLst/>
                    </a:prstGeom>
                  </pic:spPr>
                </pic:pic>
              </a:graphicData>
            </a:graphic>
          </wp:inline>
        </w:drawing>
      </w:r>
    </w:p>
    <w:p w:rsidR="007E3D39" w:rsidRDefault="007E3D39" w:rsidP="007E3D39">
      <w:r w:rsidRPr="00187C2A">
        <w:rPr>
          <w:noProof/>
          <w:lang w:eastAsia="es-ES"/>
        </w:rPr>
        <w:drawing>
          <wp:inline distT="0" distB="0" distL="0" distR="0" wp14:anchorId="0E5F2ACA" wp14:editId="73F935FC">
            <wp:extent cx="5732247" cy="4127500"/>
            <wp:effectExtent l="0" t="0" r="1905" b="635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32247" cy="4127500"/>
                    </a:xfrm>
                    <a:prstGeom prst="rect">
                      <a:avLst/>
                    </a:prstGeom>
                  </pic:spPr>
                </pic:pic>
              </a:graphicData>
            </a:graphic>
          </wp:inline>
        </w:drawing>
      </w:r>
    </w:p>
    <w:p w:rsidR="007E3D39" w:rsidRPr="001A5E2D" w:rsidRDefault="007E3D39" w:rsidP="007E3D39">
      <w:pPr>
        <w:rPr>
          <w:rFonts w:ascii="Times New Roman" w:hAnsi="Times New Roman" w:cs="Times New Roman"/>
          <w:sz w:val="24"/>
          <w:szCs w:val="24"/>
        </w:rPr>
      </w:pPr>
      <w:r w:rsidRPr="00914EC9">
        <w:rPr>
          <w:rFonts w:ascii="Times New Roman" w:hAnsi="Times New Roman" w:cs="Times New Roman"/>
          <w:b/>
          <w:sz w:val="24"/>
          <w:szCs w:val="24"/>
        </w:rPr>
        <w:t>Nota</w:t>
      </w:r>
      <w:r w:rsidRPr="001A5E2D">
        <w:rPr>
          <w:rFonts w:ascii="Times New Roman" w:hAnsi="Times New Roman" w:cs="Times New Roman"/>
          <w:sz w:val="24"/>
          <w:szCs w:val="24"/>
        </w:rPr>
        <w:t>:</w:t>
      </w:r>
      <w:r>
        <w:rPr>
          <w:rFonts w:ascii="Times New Roman" w:hAnsi="Times New Roman" w:cs="Times New Roman"/>
          <w:sz w:val="24"/>
          <w:szCs w:val="24"/>
        </w:rPr>
        <w:t xml:space="preserve"> los cuadros anteriores muestran el “fenomenal” incremento de la deuda soberana, y del gasto público, en relación con el PIB, de los Estados Unidos, durante el periodo observado.</w:t>
      </w:r>
    </w:p>
    <w:p w:rsidR="007E3D39" w:rsidRDefault="007E3D39" w:rsidP="007E3D39">
      <w:pPr>
        <w:rPr>
          <w:rFonts w:ascii="Times New Roman" w:hAnsi="Times New Roman" w:cs="Times New Roman"/>
          <w:b/>
          <w:sz w:val="24"/>
          <w:szCs w:val="24"/>
        </w:rPr>
      </w:pPr>
      <w:r>
        <w:rPr>
          <w:rFonts w:ascii="Times New Roman" w:hAnsi="Times New Roman" w:cs="Times New Roman"/>
          <w:b/>
          <w:sz w:val="24"/>
          <w:szCs w:val="24"/>
        </w:rPr>
        <w:lastRenderedPageBreak/>
        <w:t>Base de datos Eurostat</w:t>
      </w:r>
    </w:p>
    <w:p w:rsidR="007E3D39" w:rsidRDefault="007E3D39" w:rsidP="007E3D39">
      <w:pPr>
        <w:rPr>
          <w:rFonts w:ascii="Times New Roman" w:hAnsi="Times New Roman" w:cs="Times New Roman"/>
          <w:b/>
          <w:sz w:val="24"/>
          <w:szCs w:val="24"/>
        </w:rPr>
      </w:pPr>
      <w:r>
        <w:rPr>
          <w:rFonts w:ascii="Times New Roman" w:hAnsi="Times New Roman" w:cs="Times New Roman"/>
          <w:b/>
          <w:sz w:val="24"/>
          <w:szCs w:val="24"/>
        </w:rPr>
        <w:t>Unión Europea</w:t>
      </w:r>
    </w:p>
    <w:p w:rsidR="007E3D39" w:rsidRDefault="007E3D39" w:rsidP="007E3D39">
      <w:pPr>
        <w:rPr>
          <w:rFonts w:ascii="Times New Roman" w:hAnsi="Times New Roman" w:cs="Times New Roman"/>
          <w:b/>
          <w:sz w:val="24"/>
          <w:szCs w:val="24"/>
        </w:rPr>
      </w:pPr>
      <w:r w:rsidRPr="00CE463D">
        <w:rPr>
          <w:rFonts w:ascii="Times New Roman" w:hAnsi="Times New Roman" w:cs="Times New Roman"/>
          <w:b/>
          <w:noProof/>
          <w:sz w:val="24"/>
          <w:szCs w:val="24"/>
          <w:lang w:eastAsia="es-ES"/>
        </w:rPr>
        <w:drawing>
          <wp:inline distT="0" distB="0" distL="0" distR="0" wp14:anchorId="412E55F6" wp14:editId="29A49510">
            <wp:extent cx="5731510" cy="3398492"/>
            <wp:effectExtent l="0" t="0" r="2540" b="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stretch>
                      <a:fillRect/>
                    </a:stretch>
                  </pic:blipFill>
                  <pic:spPr>
                    <a:xfrm>
                      <a:off x="0" y="0"/>
                      <a:ext cx="5731510" cy="3398492"/>
                    </a:xfrm>
                    <a:prstGeom prst="rect">
                      <a:avLst/>
                    </a:prstGeom>
                  </pic:spPr>
                </pic:pic>
              </a:graphicData>
            </a:graphic>
          </wp:inline>
        </w:drawing>
      </w:r>
    </w:p>
    <w:p w:rsidR="007E3D39" w:rsidRDefault="007E3D39" w:rsidP="007E3D39">
      <w:pPr>
        <w:rPr>
          <w:rFonts w:ascii="Times New Roman" w:hAnsi="Times New Roman" w:cs="Times New Roman"/>
          <w:b/>
          <w:sz w:val="24"/>
          <w:szCs w:val="24"/>
        </w:rPr>
      </w:pPr>
      <w:r w:rsidRPr="003F127B">
        <w:rPr>
          <w:rFonts w:ascii="Times New Roman" w:hAnsi="Times New Roman" w:cs="Times New Roman"/>
          <w:b/>
          <w:noProof/>
          <w:sz w:val="24"/>
          <w:szCs w:val="24"/>
          <w:lang w:eastAsia="es-ES"/>
        </w:rPr>
        <w:drawing>
          <wp:inline distT="0" distB="0" distL="0" distR="0" wp14:anchorId="0D6CD015" wp14:editId="2277741F">
            <wp:extent cx="5731510" cy="3481770"/>
            <wp:effectExtent l="0" t="0" r="2540" b="444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2"/>
                    <a:stretch>
                      <a:fillRect/>
                    </a:stretch>
                  </pic:blipFill>
                  <pic:spPr>
                    <a:xfrm>
                      <a:off x="0" y="0"/>
                      <a:ext cx="5731510" cy="3481770"/>
                    </a:xfrm>
                    <a:prstGeom prst="rect">
                      <a:avLst/>
                    </a:prstGeom>
                  </pic:spPr>
                </pic:pic>
              </a:graphicData>
            </a:graphic>
          </wp:inline>
        </w:drawing>
      </w:r>
    </w:p>
    <w:p w:rsidR="007E3D39" w:rsidRPr="001A5E2D" w:rsidRDefault="007E3D39" w:rsidP="007E3D39">
      <w:pPr>
        <w:jc w:val="both"/>
        <w:rPr>
          <w:rFonts w:ascii="Times New Roman" w:hAnsi="Times New Roman" w:cs="Times New Roman"/>
          <w:sz w:val="24"/>
          <w:szCs w:val="24"/>
        </w:rPr>
      </w:pPr>
      <w:r>
        <w:rPr>
          <w:rFonts w:ascii="Times New Roman" w:hAnsi="Times New Roman" w:cs="Times New Roman"/>
          <w:b/>
          <w:sz w:val="24"/>
          <w:szCs w:val="24"/>
        </w:rPr>
        <w:t xml:space="preserve">Nota: </w:t>
      </w:r>
      <w:r>
        <w:rPr>
          <w:rFonts w:ascii="Times New Roman" w:hAnsi="Times New Roman" w:cs="Times New Roman"/>
          <w:sz w:val="24"/>
          <w:szCs w:val="24"/>
        </w:rPr>
        <w:t>en el segundo cuadro (2000-2022), se observa mejor el “importante” incremento de la deuda soberana, de la Unión Europea y la Euro Zona, en relación con el PIB, en ese periodo.</w:t>
      </w:r>
    </w:p>
    <w:p w:rsidR="007E3D39" w:rsidRDefault="007E3D39" w:rsidP="007E3D39">
      <w:pPr>
        <w:rPr>
          <w:rFonts w:ascii="Times New Roman" w:hAnsi="Times New Roman" w:cs="Times New Roman"/>
          <w:b/>
          <w:sz w:val="24"/>
          <w:szCs w:val="24"/>
        </w:rPr>
      </w:pPr>
    </w:p>
    <w:p w:rsidR="007E3D39" w:rsidRDefault="007E3D39" w:rsidP="007E3D39">
      <w:pPr>
        <w:rPr>
          <w:rFonts w:ascii="Times New Roman" w:hAnsi="Times New Roman" w:cs="Times New Roman"/>
          <w:b/>
          <w:sz w:val="24"/>
          <w:szCs w:val="24"/>
        </w:rPr>
      </w:pPr>
      <w:r w:rsidRPr="008D58AB">
        <w:rPr>
          <w:rFonts w:ascii="Times New Roman" w:hAnsi="Times New Roman" w:cs="Times New Roman"/>
          <w:b/>
          <w:noProof/>
          <w:sz w:val="24"/>
          <w:szCs w:val="24"/>
          <w:lang w:eastAsia="es-ES"/>
        </w:rPr>
        <w:lastRenderedPageBreak/>
        <w:drawing>
          <wp:inline distT="0" distB="0" distL="0" distR="0" wp14:anchorId="5656A5FB" wp14:editId="552A823F">
            <wp:extent cx="5731510" cy="3569335"/>
            <wp:effectExtent l="0" t="0" r="2540"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3"/>
                    <a:stretch>
                      <a:fillRect/>
                    </a:stretch>
                  </pic:blipFill>
                  <pic:spPr>
                    <a:xfrm>
                      <a:off x="0" y="0"/>
                      <a:ext cx="5731510" cy="3569335"/>
                    </a:xfrm>
                    <a:prstGeom prst="rect">
                      <a:avLst/>
                    </a:prstGeom>
                  </pic:spPr>
                </pic:pic>
              </a:graphicData>
            </a:graphic>
          </wp:inline>
        </w:drawing>
      </w:r>
    </w:p>
    <w:p w:rsidR="007E3D39" w:rsidRPr="004A558B" w:rsidRDefault="007E3D39" w:rsidP="007E3D39">
      <w:pPr>
        <w:jc w:val="both"/>
        <w:rPr>
          <w:rFonts w:ascii="Times New Roman" w:hAnsi="Times New Roman" w:cs="Times New Roman"/>
          <w:sz w:val="24"/>
          <w:szCs w:val="24"/>
        </w:rPr>
      </w:pPr>
      <w:r>
        <w:rPr>
          <w:rFonts w:ascii="Times New Roman" w:hAnsi="Times New Roman" w:cs="Times New Roman"/>
          <w:b/>
          <w:sz w:val="24"/>
          <w:szCs w:val="24"/>
        </w:rPr>
        <w:t xml:space="preserve">Nota: </w:t>
      </w:r>
      <w:r>
        <w:rPr>
          <w:rFonts w:ascii="Times New Roman" w:hAnsi="Times New Roman" w:cs="Times New Roman"/>
          <w:sz w:val="24"/>
          <w:szCs w:val="24"/>
        </w:rPr>
        <w:t>en el cuadro anterior (2011-2022), se puede observar el “importante” incremento del déficit público, de la Unión Europea y la Euro Zona, en relación con el PIB, en ese periodo.</w:t>
      </w:r>
    </w:p>
    <w:p w:rsidR="007E3D39" w:rsidRDefault="007E3D39" w:rsidP="007E3D39">
      <w:pPr>
        <w:rPr>
          <w:rFonts w:ascii="Times New Roman" w:hAnsi="Times New Roman" w:cs="Times New Roman"/>
          <w:b/>
          <w:sz w:val="24"/>
          <w:szCs w:val="24"/>
        </w:rPr>
      </w:pPr>
    </w:p>
    <w:p w:rsidR="007E3D39" w:rsidRDefault="007E3D39" w:rsidP="007E3D39">
      <w:pPr>
        <w:rPr>
          <w:rFonts w:ascii="Times New Roman" w:hAnsi="Times New Roman" w:cs="Times New Roman"/>
          <w:b/>
          <w:sz w:val="24"/>
          <w:szCs w:val="24"/>
        </w:rPr>
      </w:pPr>
      <w:r w:rsidRPr="00FF5E70">
        <w:rPr>
          <w:rFonts w:ascii="Times New Roman" w:hAnsi="Times New Roman" w:cs="Times New Roman"/>
          <w:b/>
          <w:noProof/>
          <w:sz w:val="24"/>
          <w:szCs w:val="24"/>
          <w:lang w:eastAsia="es-ES"/>
        </w:rPr>
        <w:drawing>
          <wp:inline distT="0" distB="0" distL="0" distR="0" wp14:anchorId="5B7418BF" wp14:editId="0FE63AD2">
            <wp:extent cx="5731510" cy="3311539"/>
            <wp:effectExtent l="0" t="0" r="2540" b="317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4"/>
                    <a:stretch>
                      <a:fillRect/>
                    </a:stretch>
                  </pic:blipFill>
                  <pic:spPr>
                    <a:xfrm>
                      <a:off x="0" y="0"/>
                      <a:ext cx="5731510" cy="3311539"/>
                    </a:xfrm>
                    <a:prstGeom prst="rect">
                      <a:avLst/>
                    </a:prstGeom>
                  </pic:spPr>
                </pic:pic>
              </a:graphicData>
            </a:graphic>
          </wp:inline>
        </w:drawing>
      </w:r>
    </w:p>
    <w:p w:rsidR="007E3D39" w:rsidRPr="001A5E2D" w:rsidRDefault="007E3D39" w:rsidP="007E3D39">
      <w:pPr>
        <w:jc w:val="both"/>
        <w:rPr>
          <w:rFonts w:ascii="Times New Roman" w:hAnsi="Times New Roman" w:cs="Times New Roman"/>
          <w:sz w:val="24"/>
          <w:szCs w:val="24"/>
        </w:rPr>
      </w:pPr>
      <w:r>
        <w:rPr>
          <w:rFonts w:ascii="Times New Roman" w:hAnsi="Times New Roman" w:cs="Times New Roman"/>
          <w:b/>
          <w:sz w:val="24"/>
          <w:szCs w:val="24"/>
        </w:rPr>
        <w:t xml:space="preserve">Nota: </w:t>
      </w:r>
      <w:r>
        <w:rPr>
          <w:rFonts w:ascii="Times New Roman" w:hAnsi="Times New Roman" w:cs="Times New Roman"/>
          <w:sz w:val="24"/>
          <w:szCs w:val="24"/>
        </w:rPr>
        <w:t>en el cuadro anterior (1996-2022), se amplía el período de observación de la evolución de la deuda soberana, de la Unión Europea y la Euro Zona, en relación con el PIB.</w:t>
      </w:r>
    </w:p>
    <w:p w:rsidR="007E3D39" w:rsidRDefault="007E3D39" w:rsidP="007E3D39">
      <w:pPr>
        <w:rPr>
          <w:rFonts w:ascii="Times New Roman" w:hAnsi="Times New Roman" w:cs="Times New Roman"/>
          <w:b/>
          <w:sz w:val="24"/>
          <w:szCs w:val="24"/>
        </w:rPr>
      </w:pPr>
    </w:p>
    <w:p w:rsidR="007E3D39" w:rsidRDefault="007E3D39" w:rsidP="007E3D39">
      <w:pPr>
        <w:rPr>
          <w:rFonts w:ascii="Times New Roman" w:hAnsi="Times New Roman" w:cs="Times New Roman"/>
          <w:b/>
          <w:sz w:val="24"/>
          <w:szCs w:val="24"/>
        </w:rPr>
      </w:pPr>
      <w:r w:rsidRPr="003F127B">
        <w:rPr>
          <w:rFonts w:ascii="Times New Roman" w:hAnsi="Times New Roman" w:cs="Times New Roman"/>
          <w:b/>
          <w:noProof/>
          <w:sz w:val="24"/>
          <w:szCs w:val="24"/>
          <w:lang w:eastAsia="es-ES"/>
        </w:rPr>
        <w:lastRenderedPageBreak/>
        <w:drawing>
          <wp:inline distT="0" distB="0" distL="0" distR="0" wp14:anchorId="3DBC8448" wp14:editId="042B93CE">
            <wp:extent cx="5731510" cy="3531982"/>
            <wp:effectExtent l="0" t="0" r="2540" b="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731510" cy="3531982"/>
                    </a:xfrm>
                    <a:prstGeom prst="rect">
                      <a:avLst/>
                    </a:prstGeom>
                  </pic:spPr>
                </pic:pic>
              </a:graphicData>
            </a:graphic>
          </wp:inline>
        </w:drawing>
      </w:r>
    </w:p>
    <w:p w:rsidR="007E3D39" w:rsidRDefault="007E3D39" w:rsidP="007E3D39">
      <w:pPr>
        <w:jc w:val="both"/>
        <w:rPr>
          <w:rFonts w:ascii="Times New Roman" w:hAnsi="Times New Roman" w:cs="Times New Roman"/>
          <w:sz w:val="24"/>
          <w:szCs w:val="24"/>
        </w:rPr>
      </w:pPr>
      <w:r>
        <w:rPr>
          <w:rFonts w:ascii="Times New Roman" w:hAnsi="Times New Roman" w:cs="Times New Roman"/>
          <w:b/>
          <w:sz w:val="24"/>
          <w:szCs w:val="24"/>
        </w:rPr>
        <w:t xml:space="preserve">Nota: </w:t>
      </w:r>
      <w:r>
        <w:rPr>
          <w:rFonts w:ascii="Times New Roman" w:hAnsi="Times New Roman" w:cs="Times New Roman"/>
          <w:sz w:val="24"/>
          <w:szCs w:val="24"/>
        </w:rPr>
        <w:t>en el cuadro anterior (2012-2021), se puede observar de la evolución del gasto público, de la Unión Europea y la Euro Zona, en relación con el PIB, durante ese período.</w:t>
      </w:r>
    </w:p>
    <w:p w:rsidR="007E3D39" w:rsidRPr="00F50F8D" w:rsidRDefault="007E3D39" w:rsidP="007E3D39">
      <w:pPr>
        <w:jc w:val="both"/>
        <w:rPr>
          <w:rFonts w:ascii="Times New Roman" w:hAnsi="Times New Roman" w:cs="Times New Roman"/>
          <w:sz w:val="24"/>
          <w:szCs w:val="24"/>
        </w:rPr>
      </w:pPr>
    </w:p>
    <w:p w:rsidR="007E3D39" w:rsidRDefault="007E3D39" w:rsidP="007E3D39">
      <w:pPr>
        <w:rPr>
          <w:rFonts w:ascii="Times New Roman" w:hAnsi="Times New Roman" w:cs="Times New Roman"/>
          <w:b/>
          <w:sz w:val="24"/>
          <w:szCs w:val="24"/>
        </w:rPr>
      </w:pPr>
      <w:r w:rsidRPr="008D58AB">
        <w:rPr>
          <w:rFonts w:ascii="Times New Roman" w:hAnsi="Times New Roman" w:cs="Times New Roman"/>
          <w:b/>
          <w:noProof/>
          <w:sz w:val="24"/>
          <w:szCs w:val="24"/>
          <w:lang w:eastAsia="es-ES"/>
        </w:rPr>
        <w:drawing>
          <wp:inline distT="0" distB="0" distL="0" distR="0" wp14:anchorId="0643E239" wp14:editId="754A4D64">
            <wp:extent cx="5731510" cy="3501977"/>
            <wp:effectExtent l="0" t="0" r="2540" b="381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731510" cy="3501977"/>
                    </a:xfrm>
                    <a:prstGeom prst="rect">
                      <a:avLst/>
                    </a:prstGeom>
                  </pic:spPr>
                </pic:pic>
              </a:graphicData>
            </a:graphic>
          </wp:inline>
        </w:drawing>
      </w:r>
    </w:p>
    <w:p w:rsidR="007E3D39" w:rsidRDefault="007E3D39" w:rsidP="007E3D39">
      <w:pPr>
        <w:jc w:val="both"/>
        <w:rPr>
          <w:rFonts w:ascii="Times New Roman" w:hAnsi="Times New Roman" w:cs="Times New Roman"/>
          <w:sz w:val="24"/>
          <w:szCs w:val="24"/>
        </w:rPr>
      </w:pPr>
      <w:r>
        <w:rPr>
          <w:rFonts w:ascii="Times New Roman" w:hAnsi="Times New Roman" w:cs="Times New Roman"/>
          <w:b/>
          <w:sz w:val="24"/>
          <w:szCs w:val="24"/>
        </w:rPr>
        <w:t xml:space="preserve">Nota: </w:t>
      </w:r>
      <w:r>
        <w:rPr>
          <w:rFonts w:ascii="Times New Roman" w:hAnsi="Times New Roman" w:cs="Times New Roman"/>
          <w:sz w:val="24"/>
          <w:szCs w:val="24"/>
        </w:rPr>
        <w:t xml:space="preserve">en el cuadro anterior (2000-2022), se puede observar de la evolución del PIB per cápita, de la Unión Europea y la Euro Zona, durante ese período. El crecimiento del PIB per cápita resulta inferior al crecimiento de la deuda soberana y el déficit público. </w:t>
      </w:r>
    </w:p>
    <w:p w:rsidR="007E3D39" w:rsidRPr="00187C2A" w:rsidRDefault="007E3D39" w:rsidP="007E3D39">
      <w:pPr>
        <w:rPr>
          <w:rFonts w:ascii="Times New Roman" w:hAnsi="Times New Roman" w:cs="Times New Roman"/>
          <w:b/>
          <w:sz w:val="24"/>
          <w:szCs w:val="24"/>
        </w:rPr>
      </w:pPr>
    </w:p>
    <w:p w:rsidR="007E3D39" w:rsidRDefault="007E3D39" w:rsidP="007E3D39">
      <w:r w:rsidRPr="00BA74D1">
        <w:rPr>
          <w:noProof/>
          <w:lang w:eastAsia="es-ES"/>
        </w:rPr>
        <w:drawing>
          <wp:inline distT="0" distB="0" distL="0" distR="0" wp14:anchorId="72F4E4DD" wp14:editId="37FCDA23">
            <wp:extent cx="5731510" cy="3385020"/>
            <wp:effectExtent l="0" t="0" r="2540" b="635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731510" cy="3385020"/>
                    </a:xfrm>
                    <a:prstGeom prst="rect">
                      <a:avLst/>
                    </a:prstGeom>
                  </pic:spPr>
                </pic:pic>
              </a:graphicData>
            </a:graphic>
          </wp:inline>
        </w:drawing>
      </w:r>
    </w:p>
    <w:p w:rsidR="007E3D39" w:rsidRDefault="007E3D39" w:rsidP="007E3D39">
      <w:pPr>
        <w:jc w:val="both"/>
      </w:pPr>
      <w:r>
        <w:rPr>
          <w:rFonts w:ascii="Times New Roman" w:hAnsi="Times New Roman" w:cs="Times New Roman"/>
          <w:b/>
          <w:sz w:val="24"/>
          <w:szCs w:val="24"/>
        </w:rPr>
        <w:t xml:space="preserve">Nota: </w:t>
      </w:r>
      <w:r>
        <w:rPr>
          <w:rFonts w:ascii="Times New Roman" w:hAnsi="Times New Roman" w:cs="Times New Roman"/>
          <w:sz w:val="24"/>
          <w:szCs w:val="24"/>
        </w:rPr>
        <w:t xml:space="preserve">en el cuadro anterior (2011-2022), se puede observar que la evolución del PIB per cápita (en </w:t>
      </w:r>
      <w:r w:rsidRPr="001A5B46">
        <w:rPr>
          <w:rFonts w:ascii="Times New Roman" w:hAnsi="Times New Roman" w:cs="Times New Roman"/>
          <w:sz w:val="24"/>
          <w:szCs w:val="24"/>
        </w:rPr>
        <w:t>Paridad de Poder Adquisitivo</w:t>
      </w:r>
      <w:r>
        <w:rPr>
          <w:rFonts w:ascii="Times New Roman" w:hAnsi="Times New Roman" w:cs="Times New Roman"/>
          <w:sz w:val="24"/>
          <w:szCs w:val="24"/>
        </w:rPr>
        <w:t xml:space="preserve">), de la Unión Europea y la Euro Zona, es nula (UE) o decreciente (EZ), durante ese período,  </w:t>
      </w:r>
    </w:p>
    <w:p w:rsidR="007E3D39" w:rsidRDefault="007E3D39" w:rsidP="007E3D39">
      <w:r w:rsidRPr="00BA74D1">
        <w:rPr>
          <w:noProof/>
          <w:lang w:eastAsia="es-ES"/>
        </w:rPr>
        <w:drawing>
          <wp:inline distT="0" distB="0" distL="0" distR="0" wp14:anchorId="7141A212" wp14:editId="7DF386F8">
            <wp:extent cx="5731510" cy="3464624"/>
            <wp:effectExtent l="0" t="0" r="2540" b="254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731510" cy="3464624"/>
                    </a:xfrm>
                    <a:prstGeom prst="rect">
                      <a:avLst/>
                    </a:prstGeom>
                  </pic:spPr>
                </pic:pic>
              </a:graphicData>
            </a:graphic>
          </wp:inline>
        </w:drawing>
      </w:r>
    </w:p>
    <w:p w:rsidR="007E3D39" w:rsidRDefault="007E3D39" w:rsidP="007E3D39">
      <w:pPr>
        <w:jc w:val="both"/>
      </w:pPr>
      <w:r>
        <w:rPr>
          <w:rFonts w:ascii="Times New Roman" w:hAnsi="Times New Roman" w:cs="Times New Roman"/>
          <w:b/>
          <w:sz w:val="24"/>
          <w:szCs w:val="24"/>
        </w:rPr>
        <w:t xml:space="preserve">Nota: </w:t>
      </w:r>
      <w:r>
        <w:rPr>
          <w:rFonts w:ascii="Times New Roman" w:hAnsi="Times New Roman" w:cs="Times New Roman"/>
          <w:sz w:val="24"/>
          <w:szCs w:val="24"/>
        </w:rPr>
        <w:t xml:space="preserve">en el cuadro anterior (2011-2022), se puede observar que la evolución del PIB per cápita (en </w:t>
      </w:r>
      <w:r w:rsidRPr="001A5B46">
        <w:rPr>
          <w:rFonts w:ascii="Times New Roman" w:hAnsi="Times New Roman" w:cs="Times New Roman"/>
          <w:sz w:val="24"/>
          <w:szCs w:val="24"/>
        </w:rPr>
        <w:t>Paridad de Poder Adquisitivo</w:t>
      </w:r>
      <w:r>
        <w:rPr>
          <w:rFonts w:ascii="Times New Roman" w:hAnsi="Times New Roman" w:cs="Times New Roman"/>
          <w:sz w:val="24"/>
          <w:szCs w:val="24"/>
        </w:rPr>
        <w:t xml:space="preserve">), de la Unión Europea y la Euro Zona, siendo nula (UE) o decreciente (EZ), es menos desfavorable que la de EEUU, durante ese período,  </w:t>
      </w:r>
    </w:p>
    <w:p w:rsidR="007E3D39" w:rsidRDefault="007E3D39" w:rsidP="007E3D39">
      <w:pPr>
        <w:rPr>
          <w:rFonts w:ascii="Times New Roman" w:hAnsi="Times New Roman" w:cs="Times New Roman"/>
        </w:rPr>
      </w:pPr>
      <w:r w:rsidRPr="00E23612">
        <w:rPr>
          <w:rFonts w:ascii="Times New Roman" w:hAnsi="Times New Roman" w:cs="Times New Roman"/>
          <w:b/>
        </w:rPr>
        <w:lastRenderedPageBreak/>
        <w:t>Otros datos complementarios</w:t>
      </w:r>
      <w:r>
        <w:rPr>
          <w:rFonts w:ascii="Times New Roman" w:hAnsi="Times New Roman" w:cs="Times New Roman"/>
          <w:b/>
        </w:rPr>
        <w:t>: “antes de antes”… (hasta que la inflación entró en escena)</w:t>
      </w:r>
    </w:p>
    <w:p w:rsidR="007E3D39" w:rsidRDefault="007E3D39" w:rsidP="007E3D39">
      <w:pPr>
        <w:rPr>
          <w:rFonts w:ascii="Times New Roman" w:hAnsi="Times New Roman" w:cs="Times New Roman"/>
          <w:b/>
        </w:rPr>
      </w:pPr>
      <w:r>
        <w:rPr>
          <w:noProof/>
          <w:lang w:eastAsia="es-ES"/>
        </w:rPr>
        <w:drawing>
          <wp:inline distT="0" distB="0" distL="0" distR="0" wp14:anchorId="2F0901B4" wp14:editId="07932059">
            <wp:extent cx="5645150" cy="3143250"/>
            <wp:effectExtent l="0" t="0" r="0" b="0"/>
            <wp:docPr id="18" name="Imagen 18" descr="Figura 1. Tasa de inflación mensual en EEUU y la Eurozona, enero de 2000-julio de 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gura 1. Tasa de inflación mensual en EEUU y la Eurozona, enero de 2000-julio de 202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645150" cy="3143250"/>
                    </a:xfrm>
                    <a:prstGeom prst="rect">
                      <a:avLst/>
                    </a:prstGeom>
                    <a:noFill/>
                    <a:ln>
                      <a:noFill/>
                    </a:ln>
                  </pic:spPr>
                </pic:pic>
              </a:graphicData>
            </a:graphic>
          </wp:inline>
        </w:drawing>
      </w:r>
    </w:p>
    <w:p w:rsidR="007E3D39" w:rsidRDefault="007E3D39" w:rsidP="007E3D39">
      <w:pPr>
        <w:rPr>
          <w:rFonts w:ascii="Times New Roman" w:hAnsi="Times New Roman" w:cs="Times New Roman"/>
        </w:rPr>
      </w:pPr>
      <w:r w:rsidRPr="00E23612">
        <w:rPr>
          <w:rFonts w:ascii="Times New Roman" w:hAnsi="Times New Roman" w:cs="Times New Roman"/>
        </w:rPr>
        <w:t>Tasa de inflación mensual en EEUU y la Eurozona, enero de 2000-julio de 2020</w:t>
      </w:r>
    </w:p>
    <w:p w:rsidR="007E3D39" w:rsidRDefault="007E3D39" w:rsidP="007E3D39">
      <w:pPr>
        <w:rPr>
          <w:rFonts w:ascii="Times New Roman" w:hAnsi="Times New Roman" w:cs="Times New Roman"/>
        </w:rPr>
      </w:pPr>
      <w:r>
        <w:rPr>
          <w:noProof/>
          <w:lang w:eastAsia="es-ES"/>
        </w:rPr>
        <w:drawing>
          <wp:inline distT="0" distB="0" distL="0" distR="0" wp14:anchorId="4329D9C4" wp14:editId="379411A4">
            <wp:extent cx="5429250" cy="2952750"/>
            <wp:effectExtent l="0" t="0" r="0" b="0"/>
            <wp:docPr id="20" name="Imagen 20" descr="Figura 2. Balances consolidados de la Fed y el BCE, 2007-2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gura 2. Balances consolidados de la Fed y el BCE, 2007-201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429250" cy="2952750"/>
                    </a:xfrm>
                    <a:prstGeom prst="rect">
                      <a:avLst/>
                    </a:prstGeom>
                    <a:noFill/>
                    <a:ln>
                      <a:noFill/>
                    </a:ln>
                  </pic:spPr>
                </pic:pic>
              </a:graphicData>
            </a:graphic>
          </wp:inline>
        </w:drawing>
      </w:r>
    </w:p>
    <w:p w:rsidR="007E3D39" w:rsidRDefault="007E3D39" w:rsidP="007E3D39">
      <w:pPr>
        <w:rPr>
          <w:rFonts w:ascii="Times New Roman" w:hAnsi="Times New Roman" w:cs="Times New Roman"/>
          <w:bCs/>
          <w:color w:val="555555"/>
          <w:sz w:val="24"/>
          <w:szCs w:val="24"/>
          <w:shd w:val="clear" w:color="auto" w:fill="FFFFFF"/>
        </w:rPr>
      </w:pPr>
      <w:r w:rsidRPr="00E23612">
        <w:rPr>
          <w:rFonts w:ascii="Times New Roman" w:hAnsi="Times New Roman" w:cs="Times New Roman"/>
          <w:bCs/>
          <w:color w:val="555555"/>
          <w:sz w:val="24"/>
          <w:szCs w:val="24"/>
          <w:shd w:val="clear" w:color="auto" w:fill="FFFFFF"/>
        </w:rPr>
        <w:t>Balances consolidados de la Fed y el BCE, 2007-2019</w:t>
      </w:r>
    </w:p>
    <w:p w:rsidR="007E3D39" w:rsidRDefault="007E3D39" w:rsidP="007E3D39">
      <w:pPr>
        <w:rPr>
          <w:rFonts w:ascii="Times New Roman" w:hAnsi="Times New Roman" w:cs="Times New Roman"/>
          <w:sz w:val="24"/>
          <w:szCs w:val="24"/>
        </w:rPr>
      </w:pPr>
      <w:r>
        <w:rPr>
          <w:noProof/>
          <w:lang w:eastAsia="es-ES"/>
        </w:rPr>
        <w:lastRenderedPageBreak/>
        <w:drawing>
          <wp:inline distT="0" distB="0" distL="0" distR="0" wp14:anchorId="4C6A238C" wp14:editId="1EE29464">
            <wp:extent cx="4762500" cy="3619500"/>
            <wp:effectExtent l="0" t="0" r="0" b="0"/>
            <wp:docPr id="21" name="Imagen 21" descr="Figura 3. Tipo de interés natural de equilibrio en EEUU y la Eurozona, 1972-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gura 3. Tipo de interés natural de equilibrio en EEUU y la Eurozona, 1972-202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762500" cy="3619500"/>
                    </a:xfrm>
                    <a:prstGeom prst="rect">
                      <a:avLst/>
                    </a:prstGeom>
                    <a:noFill/>
                    <a:ln>
                      <a:noFill/>
                    </a:ln>
                  </pic:spPr>
                </pic:pic>
              </a:graphicData>
            </a:graphic>
          </wp:inline>
        </w:drawing>
      </w:r>
    </w:p>
    <w:p w:rsidR="007E3D39" w:rsidRDefault="007E3D39" w:rsidP="007E3D39">
      <w:pPr>
        <w:rPr>
          <w:rFonts w:ascii="Times New Roman" w:hAnsi="Times New Roman" w:cs="Times New Roman"/>
          <w:sz w:val="24"/>
          <w:szCs w:val="24"/>
        </w:rPr>
      </w:pPr>
      <w:r w:rsidRPr="00E23612">
        <w:rPr>
          <w:rFonts w:ascii="Times New Roman" w:hAnsi="Times New Roman" w:cs="Times New Roman"/>
          <w:sz w:val="24"/>
          <w:szCs w:val="24"/>
        </w:rPr>
        <w:t>Tipo de interés natural de equilibrio en EEUU y la Eurozona, 1972-2020</w:t>
      </w:r>
    </w:p>
    <w:p w:rsidR="007E3D39" w:rsidRDefault="007E3D39" w:rsidP="007E3D39">
      <w:pPr>
        <w:rPr>
          <w:rFonts w:ascii="Times New Roman" w:hAnsi="Times New Roman" w:cs="Times New Roman"/>
          <w:sz w:val="24"/>
          <w:szCs w:val="24"/>
        </w:rPr>
      </w:pPr>
      <w:r>
        <w:rPr>
          <w:noProof/>
          <w:lang w:eastAsia="es-ES"/>
        </w:rPr>
        <w:drawing>
          <wp:inline distT="0" distB="0" distL="0" distR="0" wp14:anchorId="74DB25B0" wp14:editId="1641D783">
            <wp:extent cx="5645150" cy="3143250"/>
            <wp:effectExtent l="0" t="0" r="0" b="0"/>
            <wp:docPr id="22" name="Imagen 22" descr="Figura 4. Tipos de interés establecidos por la Fed y el BCE, 1/I/2001-1/IX/2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gura 4. Tipos de interés establecidos por la Fed y el BCE, 1/I/2001-1/IX/2020"/>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645150" cy="3143250"/>
                    </a:xfrm>
                    <a:prstGeom prst="rect">
                      <a:avLst/>
                    </a:prstGeom>
                    <a:noFill/>
                    <a:ln>
                      <a:noFill/>
                    </a:ln>
                  </pic:spPr>
                </pic:pic>
              </a:graphicData>
            </a:graphic>
          </wp:inline>
        </w:drawing>
      </w:r>
    </w:p>
    <w:p w:rsidR="007E3D39" w:rsidRDefault="007E3D39" w:rsidP="007E3D39">
      <w:pPr>
        <w:rPr>
          <w:rFonts w:ascii="Times New Roman" w:hAnsi="Times New Roman" w:cs="Times New Roman"/>
          <w:sz w:val="24"/>
          <w:szCs w:val="24"/>
        </w:rPr>
      </w:pPr>
      <w:r w:rsidRPr="00D002CC">
        <w:rPr>
          <w:rFonts w:ascii="Times New Roman" w:hAnsi="Times New Roman" w:cs="Times New Roman"/>
          <w:sz w:val="24"/>
          <w:szCs w:val="24"/>
        </w:rPr>
        <w:t>Tipos de interés establecidos por la Fed y el BCE, 1/I/2001-1/IX/2020</w:t>
      </w:r>
    </w:p>
    <w:p w:rsidR="007E3D39" w:rsidRDefault="007E3D39" w:rsidP="007E3D39">
      <w:pPr>
        <w:rPr>
          <w:rFonts w:ascii="Times New Roman" w:hAnsi="Times New Roman" w:cs="Times New Roman"/>
          <w:sz w:val="24"/>
          <w:szCs w:val="24"/>
        </w:rPr>
      </w:pPr>
      <w:r>
        <w:rPr>
          <w:noProof/>
          <w:lang w:eastAsia="es-ES"/>
        </w:rPr>
        <w:lastRenderedPageBreak/>
        <w:drawing>
          <wp:inline distT="0" distB="0" distL="0" distR="0" wp14:anchorId="59DD12B0" wp14:editId="1122CB33">
            <wp:extent cx="5429250" cy="3143250"/>
            <wp:effectExtent l="0" t="0" r="0" b="0"/>
            <wp:docPr id="23" name="Imagen 23" descr="Figura 5. Deuda pública sobre el PIB, 1945-1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gura 5. Deuda pública sobre el PIB, 1945-198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429250" cy="3143250"/>
                    </a:xfrm>
                    <a:prstGeom prst="rect">
                      <a:avLst/>
                    </a:prstGeom>
                    <a:noFill/>
                    <a:ln>
                      <a:noFill/>
                    </a:ln>
                  </pic:spPr>
                </pic:pic>
              </a:graphicData>
            </a:graphic>
          </wp:inline>
        </w:drawing>
      </w:r>
    </w:p>
    <w:p w:rsidR="007E3D39" w:rsidRDefault="007E3D39" w:rsidP="007E3D39">
      <w:pPr>
        <w:rPr>
          <w:rFonts w:ascii="Times New Roman" w:hAnsi="Times New Roman" w:cs="Times New Roman"/>
          <w:sz w:val="24"/>
          <w:szCs w:val="24"/>
        </w:rPr>
      </w:pPr>
      <w:r w:rsidRPr="00D002CC">
        <w:rPr>
          <w:rFonts w:ascii="Times New Roman" w:hAnsi="Times New Roman" w:cs="Times New Roman"/>
          <w:sz w:val="24"/>
          <w:szCs w:val="24"/>
        </w:rPr>
        <w:t>Deuda pública sobre el PIB, 1945-1980</w:t>
      </w:r>
    </w:p>
    <w:p w:rsidR="007E3D39" w:rsidRDefault="007E3D39" w:rsidP="007E3D39">
      <w:pPr>
        <w:rPr>
          <w:rFonts w:ascii="Times New Roman" w:hAnsi="Times New Roman" w:cs="Times New Roman"/>
          <w:sz w:val="24"/>
          <w:szCs w:val="24"/>
        </w:rPr>
      </w:pPr>
      <w:r>
        <w:rPr>
          <w:rFonts w:ascii="Times New Roman" w:hAnsi="Times New Roman" w:cs="Times New Roman"/>
          <w:sz w:val="24"/>
          <w:szCs w:val="24"/>
        </w:rPr>
        <w:t xml:space="preserve">(Fuente: </w:t>
      </w:r>
      <w:r w:rsidRPr="00D002CC">
        <w:rPr>
          <w:rFonts w:ascii="Times New Roman" w:hAnsi="Times New Roman" w:cs="Times New Roman"/>
          <w:sz w:val="24"/>
          <w:szCs w:val="24"/>
        </w:rPr>
        <w:t>Geopolítica y política monetaria en la nueva normalidad</w:t>
      </w:r>
      <w:r>
        <w:rPr>
          <w:rFonts w:ascii="Times New Roman" w:hAnsi="Times New Roman" w:cs="Times New Roman"/>
          <w:sz w:val="24"/>
          <w:szCs w:val="24"/>
        </w:rPr>
        <w:t xml:space="preserve"> - Federico Steinberg - Real Instituto Elcano - 21/9/20)</w:t>
      </w:r>
    </w:p>
    <w:p w:rsidR="007E3D39" w:rsidRDefault="007E3D39" w:rsidP="007E3D39">
      <w:pPr>
        <w:spacing w:line="240" w:lineRule="auto"/>
        <w:jc w:val="both"/>
        <w:rPr>
          <w:rFonts w:ascii="Times New Roman" w:hAnsi="Times New Roman" w:cs="Times New Roman"/>
          <w:sz w:val="24"/>
          <w:szCs w:val="24"/>
        </w:rPr>
      </w:pPr>
      <w:r w:rsidRPr="001A5B46">
        <w:rPr>
          <w:rFonts w:ascii="Times New Roman" w:hAnsi="Times New Roman" w:cs="Times New Roman"/>
          <w:b/>
          <w:sz w:val="24"/>
          <w:szCs w:val="24"/>
        </w:rPr>
        <w:t>Nota</w:t>
      </w:r>
      <w:r>
        <w:rPr>
          <w:rFonts w:ascii="Times New Roman" w:hAnsi="Times New Roman" w:cs="Times New Roman"/>
          <w:sz w:val="24"/>
          <w:szCs w:val="24"/>
        </w:rPr>
        <w:t>: el cuadro anterior permite observar, en un largo período histórico (1945-1980), la evolución decreciente, de la deuda pública, en algunos países avanzados. Esta tendencia se rompe con Greenspan (1987-2006), y Bernanke (2006-2014), al frente de la Fed, con especial énfasis a partir de la crisis financiera del 2008, a la que se agrega la crisis sanitaria del 2020.</w:t>
      </w:r>
    </w:p>
    <w:p w:rsidR="007E3D39" w:rsidRDefault="007E3D39" w:rsidP="007E3D39">
      <w:pPr>
        <w:jc w:val="both"/>
        <w:rPr>
          <w:rFonts w:ascii="Times New Roman" w:hAnsi="Times New Roman" w:cs="Times New Roman"/>
          <w:b/>
          <w:sz w:val="24"/>
          <w:szCs w:val="24"/>
        </w:rPr>
      </w:pPr>
      <w:r w:rsidRPr="003510A2">
        <w:rPr>
          <w:rFonts w:ascii="Times New Roman" w:hAnsi="Times New Roman" w:cs="Times New Roman"/>
          <w:b/>
          <w:sz w:val="24"/>
          <w:szCs w:val="24"/>
        </w:rPr>
        <w:t xml:space="preserve">Cambio de comportamiento en la era post Covid </w:t>
      </w:r>
      <w:r>
        <w:rPr>
          <w:rFonts w:ascii="Times New Roman" w:hAnsi="Times New Roman" w:cs="Times New Roman"/>
          <w:b/>
          <w:sz w:val="24"/>
          <w:szCs w:val="24"/>
        </w:rPr>
        <w:t>(cuando la inflación, que suponían transitoria, se torna estructural, los bancos centrales empiezan a replegar velas)</w:t>
      </w:r>
    </w:p>
    <w:p w:rsidR="007E3D39" w:rsidRPr="003510A2" w:rsidRDefault="007E3D39" w:rsidP="007E3D39">
      <w:pPr>
        <w:rPr>
          <w:rFonts w:ascii="Times New Roman" w:hAnsi="Times New Roman" w:cs="Times New Roman"/>
          <w:b/>
          <w:sz w:val="24"/>
          <w:szCs w:val="24"/>
        </w:rPr>
      </w:pPr>
    </w:p>
    <w:p w:rsidR="007E3D39" w:rsidRDefault="007E3D39" w:rsidP="007E3D39">
      <w:pPr>
        <w:rPr>
          <w:rFonts w:ascii="Times New Roman" w:hAnsi="Times New Roman" w:cs="Times New Roman"/>
          <w:sz w:val="24"/>
          <w:szCs w:val="24"/>
        </w:rPr>
      </w:pPr>
      <w:r>
        <w:rPr>
          <w:noProof/>
          <w:lang w:eastAsia="es-ES"/>
        </w:rPr>
        <w:drawing>
          <wp:inline distT="0" distB="0" distL="0" distR="0" wp14:anchorId="45C4851E" wp14:editId="1F33AAA4">
            <wp:extent cx="5731510" cy="2634646"/>
            <wp:effectExtent l="0" t="0" r="2540" b="0"/>
            <wp:docPr id="24" name="Imagen 24" descr="https://www.ecb.europa.eu/pub/annual/html/ar2022/ecb.ar2022.es_img15.png?879e7aea0bd81e3b529e815f957862c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www.ecb.europa.eu/pub/annual/html/ar2022/ecb.ar2022.es_img15.png?879e7aea0bd81e3b529e815f957862c8"/>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31510" cy="2634646"/>
                    </a:xfrm>
                    <a:prstGeom prst="rect">
                      <a:avLst/>
                    </a:prstGeom>
                    <a:noFill/>
                    <a:ln>
                      <a:noFill/>
                    </a:ln>
                  </pic:spPr>
                </pic:pic>
              </a:graphicData>
            </a:graphic>
          </wp:inline>
        </w:drawing>
      </w:r>
    </w:p>
    <w:p w:rsidR="007E3D39" w:rsidRDefault="007E3D39" w:rsidP="007E3D39">
      <w:pPr>
        <w:rPr>
          <w:rFonts w:ascii="Times New Roman" w:hAnsi="Times New Roman" w:cs="Times New Roman"/>
          <w:sz w:val="24"/>
          <w:szCs w:val="24"/>
        </w:rPr>
      </w:pPr>
      <w:r>
        <w:rPr>
          <w:rFonts w:ascii="Times New Roman" w:hAnsi="Times New Roman" w:cs="Times New Roman"/>
          <w:sz w:val="24"/>
          <w:szCs w:val="24"/>
        </w:rPr>
        <w:t xml:space="preserve">Unión Europea: </w:t>
      </w:r>
      <w:r w:rsidRPr="003510A2">
        <w:rPr>
          <w:rFonts w:ascii="Times New Roman" w:hAnsi="Times New Roman" w:cs="Times New Roman"/>
          <w:sz w:val="24"/>
          <w:szCs w:val="24"/>
        </w:rPr>
        <w:t>Inflación general y sus principales componentes</w:t>
      </w:r>
    </w:p>
    <w:p w:rsidR="007E3D39" w:rsidRDefault="007E3D39" w:rsidP="007E3D39">
      <w:pPr>
        <w:rPr>
          <w:rFonts w:ascii="Times New Roman" w:hAnsi="Times New Roman" w:cs="Times New Roman"/>
          <w:sz w:val="24"/>
          <w:szCs w:val="24"/>
        </w:rPr>
      </w:pPr>
      <w:r>
        <w:rPr>
          <w:noProof/>
          <w:lang w:eastAsia="es-ES"/>
        </w:rPr>
        <w:lastRenderedPageBreak/>
        <w:drawing>
          <wp:inline distT="0" distB="0" distL="0" distR="0" wp14:anchorId="3925F6BA" wp14:editId="0077056E">
            <wp:extent cx="5729287" cy="2063750"/>
            <wp:effectExtent l="0" t="0" r="5080" b="0"/>
            <wp:docPr id="26" name="Imagen 26" descr="https://www.ecb.europa.eu/pub/annual/html/ar2022/ecb.ar2022.es_img21.png?05c68e1e004d6574898b373ef5b28a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www.ecb.europa.eu/pub/annual/html/ar2022/ecb.ar2022.es_img21.png?05c68e1e004d6574898b373ef5b28aad"/>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731510" cy="2064551"/>
                    </a:xfrm>
                    <a:prstGeom prst="rect">
                      <a:avLst/>
                    </a:prstGeom>
                    <a:noFill/>
                    <a:ln>
                      <a:noFill/>
                    </a:ln>
                  </pic:spPr>
                </pic:pic>
              </a:graphicData>
            </a:graphic>
          </wp:inline>
        </w:drawing>
      </w:r>
    </w:p>
    <w:p w:rsidR="007E3D39" w:rsidRDefault="007E3D39" w:rsidP="007E3D39">
      <w:pPr>
        <w:rPr>
          <w:rFonts w:ascii="Times New Roman" w:hAnsi="Times New Roman" w:cs="Times New Roman"/>
          <w:sz w:val="24"/>
          <w:szCs w:val="24"/>
        </w:rPr>
      </w:pPr>
      <w:r>
        <w:rPr>
          <w:rFonts w:ascii="Times New Roman" w:hAnsi="Times New Roman" w:cs="Times New Roman"/>
          <w:sz w:val="24"/>
          <w:szCs w:val="24"/>
        </w:rPr>
        <w:t xml:space="preserve">Unión Europea: </w:t>
      </w:r>
      <w:r w:rsidRPr="003510A2">
        <w:rPr>
          <w:rFonts w:ascii="Times New Roman" w:hAnsi="Times New Roman" w:cs="Times New Roman"/>
          <w:sz w:val="24"/>
          <w:szCs w:val="24"/>
        </w:rPr>
        <w:t>Crecimiento de M3 y del crédito a sociedades no financieras y a hogares</w:t>
      </w:r>
    </w:p>
    <w:p w:rsidR="007E3D39" w:rsidRDefault="007E3D39" w:rsidP="007E3D39">
      <w:pPr>
        <w:rPr>
          <w:rFonts w:ascii="Times New Roman" w:hAnsi="Times New Roman" w:cs="Times New Roman"/>
          <w:sz w:val="24"/>
          <w:szCs w:val="24"/>
        </w:rPr>
      </w:pPr>
      <w:r>
        <w:rPr>
          <w:noProof/>
          <w:lang w:eastAsia="es-ES"/>
        </w:rPr>
        <w:drawing>
          <wp:inline distT="0" distB="0" distL="0" distR="0" wp14:anchorId="02CA939B" wp14:editId="308D4DD1">
            <wp:extent cx="5734050" cy="2565400"/>
            <wp:effectExtent l="0" t="0" r="0" b="6350"/>
            <wp:docPr id="27" name="Imagen 27" descr="https://www.ecb.europa.eu/pub/annual/html/ar2022/ecb.ar2022.es_img27.png?41ee83877cdc07253614c54a7975c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www.ecb.europa.eu/pub/annual/html/ar2022/ecb.ar2022.es_img27.png?41ee83877cdc07253614c54a7975c220"/>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31510" cy="2564264"/>
                    </a:xfrm>
                    <a:prstGeom prst="rect">
                      <a:avLst/>
                    </a:prstGeom>
                    <a:noFill/>
                    <a:ln>
                      <a:noFill/>
                    </a:ln>
                  </pic:spPr>
                </pic:pic>
              </a:graphicData>
            </a:graphic>
          </wp:inline>
        </w:drawing>
      </w:r>
    </w:p>
    <w:p w:rsidR="007E3D39" w:rsidRDefault="007E3D39" w:rsidP="007E3D39">
      <w:pPr>
        <w:rPr>
          <w:rFonts w:ascii="Times New Roman" w:hAnsi="Times New Roman" w:cs="Times New Roman"/>
          <w:sz w:val="24"/>
          <w:szCs w:val="24"/>
        </w:rPr>
      </w:pPr>
      <w:r w:rsidRPr="003510A2">
        <w:rPr>
          <w:rFonts w:ascii="Times New Roman" w:hAnsi="Times New Roman" w:cs="Times New Roman"/>
          <w:sz w:val="24"/>
          <w:szCs w:val="24"/>
        </w:rPr>
        <w:t>Evolución del balance consolidado del Eurosistema</w:t>
      </w:r>
    </w:p>
    <w:p w:rsidR="007E3D39" w:rsidRDefault="007E3D39" w:rsidP="007E3D39">
      <w:pPr>
        <w:rPr>
          <w:rFonts w:ascii="Times New Roman" w:hAnsi="Times New Roman" w:cs="Times New Roman"/>
          <w:sz w:val="24"/>
          <w:szCs w:val="24"/>
        </w:rPr>
      </w:pPr>
      <w:r>
        <w:rPr>
          <w:rFonts w:ascii="Times New Roman" w:hAnsi="Times New Roman" w:cs="Times New Roman"/>
          <w:sz w:val="24"/>
          <w:szCs w:val="24"/>
        </w:rPr>
        <w:t>(Fuente: I</w:t>
      </w:r>
      <w:r w:rsidRPr="003510A2">
        <w:rPr>
          <w:rFonts w:ascii="Times New Roman" w:hAnsi="Times New Roman" w:cs="Times New Roman"/>
          <w:sz w:val="24"/>
          <w:szCs w:val="24"/>
        </w:rPr>
        <w:t>nforme Anual 2022, BCE</w:t>
      </w:r>
      <w:r>
        <w:rPr>
          <w:rFonts w:ascii="Times New Roman" w:hAnsi="Times New Roman" w:cs="Times New Roman"/>
          <w:sz w:val="24"/>
          <w:szCs w:val="24"/>
        </w:rPr>
        <w:t>)</w:t>
      </w:r>
    </w:p>
    <w:p w:rsidR="007E3D39" w:rsidRDefault="007E3D39" w:rsidP="007E3D39">
      <w:pPr>
        <w:rPr>
          <w:rFonts w:ascii="Times New Roman" w:hAnsi="Times New Roman" w:cs="Times New Roman"/>
          <w:sz w:val="24"/>
          <w:szCs w:val="24"/>
        </w:rPr>
      </w:pPr>
      <w:r>
        <w:rPr>
          <w:noProof/>
          <w:lang w:eastAsia="es-ES"/>
        </w:rPr>
        <w:drawing>
          <wp:inline distT="0" distB="0" distL="0" distR="0" wp14:anchorId="4C762510" wp14:editId="6B78AEC7">
            <wp:extent cx="5734050" cy="2501900"/>
            <wp:effectExtent l="0" t="0" r="0" b="0"/>
            <wp:docPr id="30" name="Imagen 30" descr="3-balance-bc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3-balance-bce-1.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31510" cy="2500792"/>
                    </a:xfrm>
                    <a:prstGeom prst="rect">
                      <a:avLst/>
                    </a:prstGeom>
                    <a:noFill/>
                    <a:ln>
                      <a:noFill/>
                    </a:ln>
                  </pic:spPr>
                </pic:pic>
              </a:graphicData>
            </a:graphic>
          </wp:inline>
        </w:drawing>
      </w:r>
    </w:p>
    <w:p w:rsidR="007E3D39" w:rsidRDefault="007E3D39" w:rsidP="007E3D39">
      <w:pPr>
        <w:rPr>
          <w:rFonts w:ascii="Times New Roman" w:hAnsi="Times New Roman" w:cs="Times New Roman"/>
          <w:sz w:val="24"/>
          <w:szCs w:val="24"/>
        </w:rPr>
      </w:pPr>
      <w:r>
        <w:rPr>
          <w:rFonts w:ascii="Times New Roman" w:hAnsi="Times New Roman" w:cs="Times New Roman"/>
          <w:sz w:val="24"/>
          <w:szCs w:val="24"/>
        </w:rPr>
        <w:t>(Fuente: Libertad Digital - 16/3/19)</w:t>
      </w:r>
    </w:p>
    <w:p w:rsidR="007E3D39" w:rsidRDefault="007E3D39" w:rsidP="007E3D39">
      <w:pPr>
        <w:rPr>
          <w:rFonts w:ascii="Times New Roman" w:hAnsi="Times New Roman" w:cs="Times New Roman"/>
          <w:sz w:val="24"/>
          <w:szCs w:val="24"/>
        </w:rPr>
      </w:pPr>
      <w:r>
        <w:rPr>
          <w:noProof/>
          <w:lang w:eastAsia="es-ES"/>
        </w:rPr>
        <w:lastRenderedPageBreak/>
        <w:drawing>
          <wp:inline distT="0" distB="0" distL="0" distR="0" wp14:anchorId="54BF31AA" wp14:editId="45E119B4">
            <wp:extent cx="5734050" cy="4699000"/>
            <wp:effectExtent l="0" t="0" r="0" b="6350"/>
            <wp:docPr id="28" name="Imagen 28" descr="1-aumento-base-monetaria-f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aumento-base-monetaria-fed.pn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31510" cy="4696918"/>
                    </a:xfrm>
                    <a:prstGeom prst="rect">
                      <a:avLst/>
                    </a:prstGeom>
                    <a:noFill/>
                    <a:ln>
                      <a:noFill/>
                    </a:ln>
                  </pic:spPr>
                </pic:pic>
              </a:graphicData>
            </a:graphic>
          </wp:inline>
        </w:drawing>
      </w:r>
    </w:p>
    <w:p w:rsidR="007E3D39" w:rsidRDefault="007E3D39" w:rsidP="007E3D39">
      <w:pPr>
        <w:rPr>
          <w:rFonts w:ascii="Times New Roman" w:hAnsi="Times New Roman" w:cs="Times New Roman"/>
          <w:sz w:val="24"/>
          <w:szCs w:val="24"/>
        </w:rPr>
      </w:pPr>
      <w:r>
        <w:rPr>
          <w:rFonts w:ascii="Times New Roman" w:hAnsi="Times New Roman" w:cs="Times New Roman"/>
          <w:sz w:val="24"/>
          <w:szCs w:val="24"/>
        </w:rPr>
        <w:t>(Fuente: Libertad Digital - 16/3/19)</w:t>
      </w:r>
    </w:p>
    <w:p w:rsidR="007E3D39" w:rsidRDefault="007E3D39" w:rsidP="007E3D39">
      <w:pPr>
        <w:rPr>
          <w:rFonts w:ascii="Times New Roman" w:hAnsi="Times New Roman" w:cs="Times New Roman"/>
          <w:sz w:val="24"/>
          <w:szCs w:val="24"/>
        </w:rPr>
      </w:pPr>
      <w:r>
        <w:rPr>
          <w:noProof/>
          <w:lang w:eastAsia="es-ES"/>
        </w:rPr>
        <w:drawing>
          <wp:inline distT="0" distB="0" distL="0" distR="0" wp14:anchorId="6FB893EE" wp14:editId="171014AA">
            <wp:extent cx="5734050" cy="3289300"/>
            <wp:effectExtent l="0" t="0" r="0" b="6350"/>
            <wp:docPr id="31" name="Imagen 31" descr="https://www.oroyfinanzas.com/files/2012/12/base-monetaria-de-Estados-Unid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ttps://www.oroyfinanzas.com/files/2012/12/base-monetaria-de-Estados-Unidos.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5731510" cy="3287843"/>
                    </a:xfrm>
                    <a:prstGeom prst="rect">
                      <a:avLst/>
                    </a:prstGeom>
                    <a:noFill/>
                    <a:ln>
                      <a:noFill/>
                    </a:ln>
                  </pic:spPr>
                </pic:pic>
              </a:graphicData>
            </a:graphic>
          </wp:inline>
        </w:drawing>
      </w:r>
    </w:p>
    <w:p w:rsidR="007E3D39" w:rsidRDefault="007E3D39" w:rsidP="007E3D39">
      <w:pPr>
        <w:rPr>
          <w:rFonts w:ascii="Times New Roman" w:hAnsi="Times New Roman" w:cs="Times New Roman"/>
          <w:sz w:val="24"/>
          <w:szCs w:val="24"/>
        </w:rPr>
      </w:pPr>
      <w:r>
        <w:rPr>
          <w:rFonts w:ascii="Times New Roman" w:hAnsi="Times New Roman" w:cs="Times New Roman"/>
          <w:sz w:val="24"/>
          <w:szCs w:val="24"/>
        </w:rPr>
        <w:t>(Fuente: oroyinanzas.com - 29/1/13)</w:t>
      </w:r>
    </w:p>
    <w:p w:rsidR="007E3D39" w:rsidRDefault="007E3D39" w:rsidP="007E3D39">
      <w:pPr>
        <w:rPr>
          <w:rFonts w:ascii="Times New Roman" w:hAnsi="Times New Roman" w:cs="Times New Roman"/>
          <w:sz w:val="24"/>
          <w:szCs w:val="24"/>
        </w:rPr>
      </w:pPr>
      <w:r w:rsidRPr="00646D33">
        <w:rPr>
          <w:rFonts w:ascii="Times New Roman" w:hAnsi="Times New Roman" w:cs="Times New Roman"/>
          <w:noProof/>
          <w:sz w:val="24"/>
          <w:szCs w:val="24"/>
          <w:lang w:eastAsia="es-ES"/>
        </w:rPr>
        <w:lastRenderedPageBreak/>
        <w:drawing>
          <wp:inline distT="0" distB="0" distL="0" distR="0" wp14:anchorId="509B55EC" wp14:editId="723C1772">
            <wp:extent cx="5510176" cy="3517900"/>
            <wp:effectExtent l="0" t="0" r="0" b="635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515745" cy="3521456"/>
                    </a:xfrm>
                    <a:prstGeom prst="rect">
                      <a:avLst/>
                    </a:prstGeom>
                  </pic:spPr>
                </pic:pic>
              </a:graphicData>
            </a:graphic>
          </wp:inline>
        </w:drawing>
      </w:r>
    </w:p>
    <w:p w:rsidR="007E3D39" w:rsidRDefault="007E3D39" w:rsidP="007E3D39">
      <w:pPr>
        <w:rPr>
          <w:rFonts w:ascii="Times New Roman" w:hAnsi="Times New Roman" w:cs="Times New Roman"/>
          <w:sz w:val="24"/>
          <w:szCs w:val="24"/>
        </w:rPr>
      </w:pPr>
      <w:r w:rsidRPr="00646D33">
        <w:rPr>
          <w:rFonts w:ascii="Times New Roman" w:hAnsi="Times New Roman" w:cs="Times New Roman"/>
          <w:noProof/>
          <w:sz w:val="24"/>
          <w:szCs w:val="24"/>
          <w:lang w:eastAsia="es-ES"/>
        </w:rPr>
        <w:drawing>
          <wp:inline distT="0" distB="0" distL="0" distR="0" wp14:anchorId="23B52B02" wp14:editId="783FBB4C">
            <wp:extent cx="5510047" cy="3384550"/>
            <wp:effectExtent l="0" t="0" r="0" b="6350"/>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515745" cy="3388050"/>
                    </a:xfrm>
                    <a:prstGeom prst="rect">
                      <a:avLst/>
                    </a:prstGeom>
                  </pic:spPr>
                </pic:pic>
              </a:graphicData>
            </a:graphic>
          </wp:inline>
        </w:drawing>
      </w:r>
    </w:p>
    <w:p w:rsidR="007E3D39" w:rsidRDefault="007E3D39" w:rsidP="007E3D39">
      <w:pPr>
        <w:rPr>
          <w:rFonts w:ascii="Times New Roman" w:hAnsi="Times New Roman" w:cs="Times New Roman"/>
          <w:sz w:val="24"/>
          <w:szCs w:val="24"/>
          <w:lang w:val="en-US"/>
        </w:rPr>
      </w:pPr>
      <w:r w:rsidRPr="00F45A52">
        <w:rPr>
          <w:rFonts w:ascii="Times New Roman" w:hAnsi="Times New Roman" w:cs="Times New Roman"/>
          <w:sz w:val="24"/>
          <w:szCs w:val="24"/>
          <w:lang w:val="en-US"/>
        </w:rPr>
        <w:t xml:space="preserve">(Fuente: </w:t>
      </w:r>
      <w:r>
        <w:rPr>
          <w:rFonts w:ascii="Times New Roman" w:hAnsi="Times New Roman" w:cs="Times New Roman"/>
          <w:sz w:val="24"/>
          <w:szCs w:val="24"/>
          <w:lang w:val="en-US"/>
        </w:rPr>
        <w:t xml:space="preserve">Federal Reserve Balance Sheet Developments - </w:t>
      </w:r>
      <w:r w:rsidRPr="00F45A52">
        <w:rPr>
          <w:rFonts w:ascii="Times New Roman" w:hAnsi="Times New Roman" w:cs="Times New Roman"/>
          <w:sz w:val="24"/>
          <w:szCs w:val="24"/>
          <w:lang w:val="en-US"/>
        </w:rPr>
        <w:t>May 2023</w:t>
      </w:r>
      <w:r>
        <w:rPr>
          <w:rFonts w:ascii="Times New Roman" w:hAnsi="Times New Roman" w:cs="Times New Roman"/>
          <w:sz w:val="24"/>
          <w:szCs w:val="24"/>
          <w:lang w:val="en-US"/>
        </w:rPr>
        <w:t>)</w:t>
      </w:r>
    </w:p>
    <w:p w:rsidR="007E3D39" w:rsidRDefault="007E3D39" w:rsidP="007E3D39">
      <w:pPr>
        <w:spacing w:line="240" w:lineRule="auto"/>
        <w:jc w:val="both"/>
        <w:rPr>
          <w:rFonts w:ascii="Times New Roman" w:hAnsi="Times New Roman" w:cs="Times New Roman"/>
          <w:sz w:val="24"/>
          <w:szCs w:val="24"/>
        </w:rPr>
      </w:pPr>
      <w:r w:rsidRPr="00B16BF6">
        <w:rPr>
          <w:rFonts w:ascii="Times New Roman" w:hAnsi="Times New Roman" w:cs="Times New Roman"/>
          <w:b/>
          <w:sz w:val="24"/>
          <w:szCs w:val="24"/>
        </w:rPr>
        <w:t>Nota</w:t>
      </w:r>
      <w:r w:rsidRPr="00B16BF6">
        <w:rPr>
          <w:rFonts w:ascii="Times New Roman" w:hAnsi="Times New Roman" w:cs="Times New Roman"/>
          <w:sz w:val="24"/>
          <w:szCs w:val="24"/>
        </w:rPr>
        <w:t xml:space="preserve">: los cuadros anteriores permiten </w:t>
      </w:r>
      <w:r>
        <w:rPr>
          <w:rFonts w:ascii="Times New Roman" w:hAnsi="Times New Roman" w:cs="Times New Roman"/>
          <w:sz w:val="24"/>
          <w:szCs w:val="24"/>
        </w:rPr>
        <w:t>observa</w:t>
      </w:r>
      <w:r w:rsidRPr="00B16BF6">
        <w:rPr>
          <w:rFonts w:ascii="Times New Roman" w:hAnsi="Times New Roman" w:cs="Times New Roman"/>
          <w:sz w:val="24"/>
          <w:szCs w:val="24"/>
        </w:rPr>
        <w:t xml:space="preserve">r el </w:t>
      </w:r>
      <w:r>
        <w:rPr>
          <w:rFonts w:ascii="Times New Roman" w:hAnsi="Times New Roman" w:cs="Times New Roman"/>
          <w:sz w:val="24"/>
          <w:szCs w:val="24"/>
        </w:rPr>
        <w:t>“brusco” incremento de la base monetaria en la Unión Europea (BCE), y en los EEUU (Fed), a partir del año 2008 (crisis de las hipotecas subprime), con una réplica a partir del año 2020 (crisis sanitaria), en la que ambos bancos centrales han intentado rescatar los bancos, adquirir deuda pública, tranquilizar a los mercados, y sostener la economía, en base a una expansión ilimitada de moneda (falsa).</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Como dijo Greenspan en su momento: “</w:t>
      </w:r>
      <w:r w:rsidRPr="00CD3FEC">
        <w:rPr>
          <w:rFonts w:ascii="Times New Roman" w:hAnsi="Times New Roman" w:cs="Times New Roman"/>
          <w:sz w:val="24"/>
          <w:szCs w:val="24"/>
        </w:rPr>
        <w:t>que fluya el dinero, luego veremos cómo se</w:t>
      </w:r>
      <w:r>
        <w:rPr>
          <w:rFonts w:ascii="Times New Roman" w:hAnsi="Times New Roman" w:cs="Times New Roman"/>
          <w:sz w:val="24"/>
          <w:szCs w:val="24"/>
        </w:rPr>
        <w:t xml:space="preserve"> recoge”. </w:t>
      </w:r>
    </w:p>
    <w:p w:rsidR="007E3D39" w:rsidRPr="00CD3FEC"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Pr>
          <w:rFonts w:ascii="Times New Roman" w:hAnsi="Times New Roman" w:cs="Times New Roman"/>
          <w:b/>
          <w:sz w:val="24"/>
          <w:szCs w:val="24"/>
        </w:rPr>
        <w:t>¿Quiénes fueron los “beneficiarios” del incremento exponencial de la deuda pública?</w:t>
      </w:r>
    </w:p>
    <w:p w:rsidR="007E3D39" w:rsidRDefault="007E3D39" w:rsidP="007E3D39">
      <w:pPr>
        <w:rPr>
          <w:rFonts w:ascii="Times New Roman" w:hAnsi="Times New Roman" w:cs="Times New Roman"/>
          <w:b/>
          <w:sz w:val="24"/>
          <w:szCs w:val="24"/>
        </w:rPr>
      </w:pPr>
      <w:r w:rsidRPr="00BB0CF6">
        <w:rPr>
          <w:rFonts w:ascii="Times New Roman" w:hAnsi="Times New Roman" w:cs="Times New Roman"/>
          <w:b/>
          <w:noProof/>
          <w:sz w:val="24"/>
          <w:szCs w:val="24"/>
          <w:lang w:eastAsia="es-ES"/>
        </w:rPr>
        <w:drawing>
          <wp:inline distT="0" distB="0" distL="0" distR="0" wp14:anchorId="136E259E" wp14:editId="03A5D9BF">
            <wp:extent cx="5731510" cy="5885208"/>
            <wp:effectExtent l="0" t="0" r="2540" b="127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31510" cy="5885208"/>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Nota: </w:t>
      </w:r>
      <w:r w:rsidRPr="00CD3FEC">
        <w:rPr>
          <w:rFonts w:ascii="Times New Roman" w:hAnsi="Times New Roman" w:cs="Times New Roman"/>
          <w:sz w:val="24"/>
          <w:szCs w:val="24"/>
        </w:rPr>
        <w:t>El cuadro anterior permite obse</w:t>
      </w:r>
      <w:r>
        <w:rPr>
          <w:rFonts w:ascii="Times New Roman" w:hAnsi="Times New Roman" w:cs="Times New Roman"/>
          <w:sz w:val="24"/>
          <w:szCs w:val="24"/>
        </w:rPr>
        <w:t>r</w:t>
      </w:r>
      <w:r w:rsidRPr="00CD3FEC">
        <w:rPr>
          <w:rFonts w:ascii="Times New Roman" w:hAnsi="Times New Roman" w:cs="Times New Roman"/>
          <w:sz w:val="24"/>
          <w:szCs w:val="24"/>
        </w:rPr>
        <w:t>var</w:t>
      </w:r>
      <w:r>
        <w:rPr>
          <w:rFonts w:ascii="Times New Roman" w:hAnsi="Times New Roman" w:cs="Times New Roman"/>
          <w:sz w:val="24"/>
          <w:szCs w:val="24"/>
        </w:rPr>
        <w:t xml:space="preserve"> el importante crecimiento de la capitalización del mercado de las empresas nacionales que cotizan en bolsa en los EEUU (más, mucho más), y la Unión Europea (también, pero bastante menos), durante el período 1989-2020, como porcentaje del PIB. A pesar de las crisis del año 2008 y 2020 (¿o tal vez, gracias a ellas?), el “espectáculo” de la bolsa, siguió atrayendo inversores, y las empresas multiplicaron su valor.</w:t>
      </w:r>
    </w:p>
    <w:p w:rsidR="007E3D39" w:rsidRDefault="007E3D39" w:rsidP="007E3D39">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Nota: </w:t>
      </w:r>
      <w:r>
        <w:rPr>
          <w:rFonts w:ascii="Times New Roman" w:hAnsi="Times New Roman" w:cs="Times New Roman"/>
          <w:sz w:val="24"/>
          <w:szCs w:val="24"/>
        </w:rPr>
        <w:t>En el siguiente cuadro se puede</w:t>
      </w:r>
      <w:r w:rsidRPr="00CD3FEC">
        <w:rPr>
          <w:rFonts w:ascii="Times New Roman" w:hAnsi="Times New Roman" w:cs="Times New Roman"/>
          <w:sz w:val="24"/>
          <w:szCs w:val="24"/>
        </w:rPr>
        <w:t xml:space="preserve"> obse</w:t>
      </w:r>
      <w:r>
        <w:rPr>
          <w:rFonts w:ascii="Times New Roman" w:hAnsi="Times New Roman" w:cs="Times New Roman"/>
          <w:sz w:val="24"/>
          <w:szCs w:val="24"/>
        </w:rPr>
        <w:t>r</w:t>
      </w:r>
      <w:r w:rsidRPr="00CD3FEC">
        <w:rPr>
          <w:rFonts w:ascii="Times New Roman" w:hAnsi="Times New Roman" w:cs="Times New Roman"/>
          <w:sz w:val="24"/>
          <w:szCs w:val="24"/>
        </w:rPr>
        <w:t>var</w:t>
      </w:r>
      <w:r>
        <w:rPr>
          <w:rFonts w:ascii="Times New Roman" w:hAnsi="Times New Roman" w:cs="Times New Roman"/>
          <w:sz w:val="24"/>
          <w:szCs w:val="24"/>
        </w:rPr>
        <w:t xml:space="preserve"> el crecimiento de la capitalización del mercado de las empresas nacionales que cotizan en bolsa en los EEUU (más), y la Unión Europea (menos), durante el período 1989-2020, a precios actuales.</w:t>
      </w:r>
    </w:p>
    <w:p w:rsidR="007E3D39" w:rsidRPr="00CD3FEC" w:rsidRDefault="007E3D39" w:rsidP="007E3D39">
      <w:pPr>
        <w:spacing w:line="240" w:lineRule="auto"/>
        <w:jc w:val="both"/>
        <w:rPr>
          <w:rFonts w:ascii="Times New Roman" w:hAnsi="Times New Roman" w:cs="Times New Roman"/>
          <w:sz w:val="24"/>
          <w:szCs w:val="24"/>
        </w:rPr>
      </w:pPr>
    </w:p>
    <w:p w:rsidR="007E3D39" w:rsidRDefault="007E3D39" w:rsidP="007E3D39">
      <w:pPr>
        <w:rPr>
          <w:rFonts w:ascii="Times New Roman" w:hAnsi="Times New Roman" w:cs="Times New Roman"/>
          <w:b/>
          <w:sz w:val="24"/>
          <w:szCs w:val="24"/>
        </w:rPr>
      </w:pPr>
      <w:r w:rsidRPr="00B40F2A">
        <w:rPr>
          <w:rFonts w:ascii="Times New Roman" w:hAnsi="Times New Roman" w:cs="Times New Roman"/>
          <w:b/>
          <w:noProof/>
          <w:sz w:val="24"/>
          <w:szCs w:val="24"/>
          <w:lang w:eastAsia="es-ES"/>
        </w:rPr>
        <w:lastRenderedPageBreak/>
        <w:drawing>
          <wp:inline distT="0" distB="0" distL="0" distR="0" wp14:anchorId="3C31328E" wp14:editId="466D5757">
            <wp:extent cx="5732275" cy="4914900"/>
            <wp:effectExtent l="0" t="0" r="1905"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31510" cy="4914244"/>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p>
    <w:p w:rsidR="007E3D39" w:rsidRDefault="007E3D39" w:rsidP="007E3D39">
      <w:pPr>
        <w:spacing w:line="240" w:lineRule="auto"/>
        <w:jc w:val="both"/>
        <w:rPr>
          <w:rFonts w:ascii="Times New Roman" w:hAnsi="Times New Roman" w:cs="Times New Roman"/>
          <w:sz w:val="24"/>
          <w:szCs w:val="24"/>
        </w:rPr>
      </w:pPr>
      <w:r>
        <w:rPr>
          <w:noProof/>
          <w:lang w:eastAsia="es-ES"/>
        </w:rPr>
        <w:drawing>
          <wp:inline distT="0" distB="0" distL="0" distR="0" wp14:anchorId="6C79ACF7" wp14:editId="12ED815C">
            <wp:extent cx="5638800" cy="2495550"/>
            <wp:effectExtent l="0" t="0" r="0" b="0"/>
            <wp:docPr id="121" name="Imagen 121" descr="https://imagenes.elpais.com/resizer/q8jzYUlRZpltiCpQzmMKaWN_kVE=/414x0/filters:focal(207x240:217x250)/cloudfront-eu-central-1.images.arcpublishing.com/prisa/7NSBSQ7TVVCW5ILICIWPPZLDW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imagenes.elpais.com/resizer/q8jzYUlRZpltiCpQzmMKaWN_kVE=/414x0/filters:focal(207x240:217x250)/cloudfront-eu-central-1.images.arcpublishing.com/prisa/7NSBSQ7TVVCW5ILICIWPPZLDWU.pn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638800" cy="2495550"/>
                    </a:xfrm>
                    <a:prstGeom prst="rect">
                      <a:avLst/>
                    </a:prstGeom>
                    <a:noFill/>
                    <a:ln>
                      <a:noFill/>
                    </a:ln>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Cinco Días - </w:t>
      </w:r>
      <w:r w:rsidRPr="005D7B45">
        <w:rPr>
          <w:rFonts w:ascii="Times New Roman" w:hAnsi="Times New Roman" w:cs="Times New Roman"/>
          <w:b/>
          <w:sz w:val="24"/>
          <w:szCs w:val="24"/>
        </w:rPr>
        <w:t>13/3/23</w:t>
      </w:r>
      <w:r>
        <w:rPr>
          <w:rFonts w:ascii="Times New Roman" w:hAnsi="Times New Roman" w:cs="Times New Roman"/>
          <w:sz w:val="24"/>
          <w:szCs w:val="24"/>
        </w:rPr>
        <w:t>)</w:t>
      </w:r>
    </w:p>
    <w:p w:rsidR="007E3D39" w:rsidRDefault="007E3D39" w:rsidP="007E3D39">
      <w:pPr>
        <w:spacing w:line="240" w:lineRule="auto"/>
        <w:jc w:val="both"/>
        <w:rPr>
          <w:rFonts w:ascii="Times New Roman" w:hAnsi="Times New Roman" w:cs="Times New Roman"/>
          <w:sz w:val="24"/>
          <w:szCs w:val="24"/>
        </w:rPr>
      </w:pPr>
      <w:r w:rsidRPr="00E60D92">
        <w:rPr>
          <w:rFonts w:ascii="Times New Roman" w:hAnsi="Times New Roman" w:cs="Times New Roman"/>
          <w:b/>
          <w:sz w:val="24"/>
          <w:szCs w:val="24"/>
        </w:rPr>
        <w:t>Nota</w:t>
      </w:r>
      <w:r>
        <w:rPr>
          <w:rFonts w:ascii="Times New Roman" w:hAnsi="Times New Roman" w:cs="Times New Roman"/>
          <w:sz w:val="24"/>
          <w:szCs w:val="24"/>
        </w:rPr>
        <w:t>: el cuadro anterior permite observar la evolución del peso de la renta variable como porcentaje del PIB en Reino Unido y EEUU. Indudablemente las bolsas fueron las mayores beneficiadas (si no las únicas), del proceso de expansión monetaria de los años 2008 y 2020.</w:t>
      </w:r>
    </w:p>
    <w:p w:rsidR="007E3D39" w:rsidRPr="0013643D" w:rsidRDefault="007E3D39" w:rsidP="007E3D39">
      <w:pPr>
        <w:spacing w:line="240" w:lineRule="auto"/>
        <w:jc w:val="both"/>
        <w:rPr>
          <w:rFonts w:ascii="Times New Roman" w:hAnsi="Times New Roman" w:cs="Times New Roman"/>
          <w:b/>
          <w:sz w:val="24"/>
          <w:szCs w:val="24"/>
        </w:rPr>
      </w:pPr>
      <w:r w:rsidRPr="0013643D">
        <w:rPr>
          <w:rFonts w:ascii="Times New Roman" w:hAnsi="Times New Roman" w:cs="Times New Roman"/>
          <w:b/>
          <w:sz w:val="24"/>
          <w:szCs w:val="24"/>
        </w:rPr>
        <w:lastRenderedPageBreak/>
        <w:t>¿Cuáles han sido los mejores valores de Wall Street en la última década?</w:t>
      </w:r>
    </w:p>
    <w:p w:rsidR="007E3D39" w:rsidRDefault="007E3D39" w:rsidP="007E3D39">
      <w:pPr>
        <w:spacing w:line="240" w:lineRule="auto"/>
        <w:jc w:val="both"/>
        <w:rPr>
          <w:rFonts w:ascii="Times New Roman" w:hAnsi="Times New Roman" w:cs="Times New Roman"/>
          <w:color w:val="FF0000"/>
          <w:sz w:val="24"/>
          <w:szCs w:val="24"/>
        </w:rPr>
      </w:pPr>
      <w:r>
        <w:rPr>
          <w:noProof/>
          <w:lang w:eastAsia="es-ES"/>
        </w:rPr>
        <w:drawing>
          <wp:inline distT="0" distB="0" distL="0" distR="0" wp14:anchorId="5D798F3A" wp14:editId="1B789654">
            <wp:extent cx="5731510" cy="5910211"/>
            <wp:effectExtent l="0" t="0" r="2540" b="0"/>
            <wp:docPr id="122" name="Imagen 122" descr="https://www.estrategiasdeinversion.com/uploads/noticias_redaccion/graficos_dentro/202311/semana_2/8_nov_wall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estrategiasdeinversion.com/uploads/noticias_redaccion/graficos_dentro/202311/semana_2/8_nov_wally.pn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731510" cy="5910211"/>
                    </a:xfrm>
                    <a:prstGeom prst="rect">
                      <a:avLst/>
                    </a:prstGeom>
                    <a:noFill/>
                    <a:ln>
                      <a:noFill/>
                    </a:ln>
                  </pic:spPr>
                </pic:pic>
              </a:graphicData>
            </a:graphic>
          </wp:inline>
        </w:drawing>
      </w:r>
    </w:p>
    <w:p w:rsidR="007E3D39" w:rsidRPr="00E54475" w:rsidRDefault="007E3D39" w:rsidP="007E3D39">
      <w:pPr>
        <w:spacing w:line="240" w:lineRule="auto"/>
        <w:jc w:val="both"/>
        <w:rPr>
          <w:rFonts w:ascii="Times New Roman" w:hAnsi="Times New Roman" w:cs="Times New Roman"/>
          <w:sz w:val="24"/>
          <w:szCs w:val="24"/>
        </w:rPr>
      </w:pPr>
      <w:r w:rsidRPr="00E54475">
        <w:rPr>
          <w:rFonts w:ascii="Times New Roman" w:hAnsi="Times New Roman" w:cs="Times New Roman"/>
          <w:b/>
          <w:sz w:val="24"/>
          <w:szCs w:val="24"/>
        </w:rPr>
        <w:t xml:space="preserve">Nota: </w:t>
      </w:r>
      <w:r>
        <w:rPr>
          <w:rFonts w:ascii="Times New Roman" w:hAnsi="Times New Roman" w:cs="Times New Roman"/>
          <w:sz w:val="24"/>
          <w:szCs w:val="24"/>
        </w:rPr>
        <w:t>otra forma de comprobar lo mismo (los mayores beneficiarios de la expansión monetaria, la reducción de las tasas de interés, y el incremento del gasto público) es observar el crecimiento de algunos valores del S&amp;P 500, en los últimos, 5, 10, 15, y 20 años.</w:t>
      </w:r>
    </w:p>
    <w:p w:rsidR="007E3D39" w:rsidRDefault="007E3D39" w:rsidP="007E3D39">
      <w:pPr>
        <w:spacing w:line="240" w:lineRule="auto"/>
        <w:jc w:val="both"/>
        <w:rPr>
          <w:rFonts w:ascii="Times New Roman" w:hAnsi="Times New Roman" w:cs="Times New Roman"/>
          <w:b/>
          <w:sz w:val="24"/>
          <w:szCs w:val="24"/>
        </w:rPr>
      </w:pPr>
    </w:p>
    <w:p w:rsidR="007E3D39" w:rsidRPr="00E54475" w:rsidRDefault="007E3D39" w:rsidP="007E3D39">
      <w:pPr>
        <w:rPr>
          <w:rFonts w:ascii="Times New Roman" w:hAnsi="Times New Roman" w:cs="Times New Roman"/>
          <w:b/>
          <w:sz w:val="24"/>
          <w:szCs w:val="24"/>
        </w:rPr>
      </w:pPr>
      <w:r w:rsidRPr="00E54475">
        <w:rPr>
          <w:rFonts w:ascii="Times New Roman" w:hAnsi="Times New Roman" w:cs="Times New Roman"/>
          <w:b/>
          <w:sz w:val="24"/>
          <w:szCs w:val="24"/>
        </w:rPr>
        <w:t>Euro Stoxx 50</w:t>
      </w:r>
    </w:p>
    <w:p w:rsidR="007E3D39" w:rsidRDefault="007E3D39" w:rsidP="007E3D39">
      <w:pPr>
        <w:spacing w:line="240" w:lineRule="auto"/>
        <w:jc w:val="both"/>
        <w:rPr>
          <w:rFonts w:ascii="Times New Roman" w:hAnsi="Times New Roman" w:cs="Times New Roman"/>
          <w:sz w:val="24"/>
          <w:szCs w:val="24"/>
        </w:rPr>
      </w:pPr>
      <w:r w:rsidRPr="003F2F55">
        <w:rPr>
          <w:rFonts w:ascii="Times New Roman" w:hAnsi="Times New Roman" w:cs="Times New Roman"/>
          <w:sz w:val="24"/>
          <w:szCs w:val="24"/>
        </w:rPr>
        <w:t>El Dow Jones Euro Stoxx 50 es uno de los referentes más populares y el índice mayor de la zona euro. El Euro Stoxx 50 refleja el desempeño de las cincuenta compañías de alta calidad más rentables (blue-chips) que lideran en los merados bursátiles de once países. Los componentes considerados son cotizadas de</w:t>
      </w:r>
      <w:r>
        <w:rPr>
          <w:rFonts w:ascii="Times New Roman" w:hAnsi="Times New Roman" w:cs="Times New Roman"/>
          <w:sz w:val="24"/>
          <w:szCs w:val="24"/>
        </w:rPr>
        <w:t>:</w:t>
      </w:r>
      <w:r w:rsidRPr="003F2F55">
        <w:rPr>
          <w:rFonts w:ascii="Times New Roman" w:hAnsi="Times New Roman" w:cs="Times New Roman"/>
          <w:sz w:val="24"/>
          <w:szCs w:val="24"/>
        </w:rPr>
        <w:t xml:space="preserve"> Alemania, Austria, Bélgica, España, Finlandia, Francia, Irlanda, Italia, Luxemburgo, Países Bajos y Portugal.</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w:t>
      </w:r>
      <w:r w:rsidRPr="003F2F55">
        <w:rPr>
          <w:rFonts w:ascii="Times New Roman" w:hAnsi="Times New Roman" w:cs="Times New Roman"/>
          <w:noProof/>
          <w:sz w:val="24"/>
          <w:szCs w:val="24"/>
          <w:lang w:eastAsia="es-ES"/>
        </w:rPr>
        <w:drawing>
          <wp:inline distT="0" distB="0" distL="0" distR="0" wp14:anchorId="4C277530" wp14:editId="20C78AEE">
            <wp:extent cx="3956050" cy="3321050"/>
            <wp:effectExtent l="0" t="0" r="6350" b="0"/>
            <wp:docPr id="69" name="Imagen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3958683" cy="3323260"/>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Nota: por la imposibilidad de conseguir una serie histórica amplia, se utilizan varias fuentes con diferentes períodos, como referencia para ilustrar la evolución del Índice Euro Stoxx 50.</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Euro Stoxx 50 </w:t>
      </w:r>
    </w:p>
    <w:p w:rsidR="007E3D39" w:rsidRDefault="007E3D39" w:rsidP="007E3D39">
      <w:pPr>
        <w:spacing w:line="240" w:lineRule="auto"/>
        <w:jc w:val="both"/>
        <w:rPr>
          <w:rFonts w:ascii="Times New Roman" w:hAnsi="Times New Roman" w:cs="Times New Roman"/>
          <w:sz w:val="24"/>
          <w:szCs w:val="24"/>
        </w:rPr>
      </w:pPr>
      <w:r w:rsidRPr="009C3C8D">
        <w:rPr>
          <w:rFonts w:ascii="Times New Roman" w:hAnsi="Times New Roman" w:cs="Times New Roman"/>
          <w:noProof/>
          <w:sz w:val="24"/>
          <w:szCs w:val="24"/>
          <w:lang w:eastAsia="es-ES"/>
        </w:rPr>
        <w:drawing>
          <wp:inline distT="0" distB="0" distL="0" distR="0" wp14:anchorId="09BF4106" wp14:editId="092E426C">
            <wp:extent cx="5731510" cy="3670371"/>
            <wp:effectExtent l="0" t="0" r="2540" b="6350"/>
            <wp:docPr id="70" name="Imagen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5731510" cy="3670371"/>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(Fuente: </w:t>
      </w:r>
      <w:r w:rsidRPr="009C3C8D">
        <w:rPr>
          <w:rFonts w:ascii="Times New Roman" w:hAnsi="Times New Roman" w:cs="Times New Roman"/>
          <w:sz w:val="24"/>
          <w:szCs w:val="24"/>
        </w:rPr>
        <w:t>marketscreener.com</w:t>
      </w:r>
      <w:r>
        <w:rPr>
          <w:rFonts w:ascii="Times New Roman" w:hAnsi="Times New Roman" w:cs="Times New Roman"/>
          <w:sz w:val="24"/>
          <w:szCs w:val="24"/>
        </w:rPr>
        <w:t xml:space="preserve"> - Octubre 2023)</w:t>
      </w:r>
    </w:p>
    <w:p w:rsidR="007E3D39" w:rsidRDefault="007E3D39" w:rsidP="007E3D39">
      <w:pPr>
        <w:spacing w:line="240" w:lineRule="auto"/>
        <w:jc w:val="both"/>
        <w:rPr>
          <w:rFonts w:ascii="Times New Roman" w:hAnsi="Times New Roman" w:cs="Times New Roman"/>
          <w:sz w:val="24"/>
          <w:szCs w:val="24"/>
        </w:rPr>
      </w:pPr>
    </w:p>
    <w:p w:rsidR="007E3D39" w:rsidRDefault="007E3D39" w:rsidP="007E3D39">
      <w:pPr>
        <w:spacing w:line="240" w:lineRule="auto"/>
        <w:jc w:val="both"/>
        <w:rPr>
          <w:rFonts w:ascii="Times New Roman" w:hAnsi="Times New Roman" w:cs="Times New Roman"/>
          <w:sz w:val="24"/>
          <w:szCs w:val="24"/>
        </w:rPr>
      </w:pPr>
    </w:p>
    <w:p w:rsidR="007E3D39" w:rsidRDefault="007E3D39" w:rsidP="007E3D39">
      <w:pPr>
        <w:spacing w:line="240" w:lineRule="auto"/>
        <w:jc w:val="both"/>
        <w:rPr>
          <w:rFonts w:ascii="Times New Roman" w:hAnsi="Times New Roman" w:cs="Times New Roman"/>
          <w:sz w:val="24"/>
          <w:szCs w:val="24"/>
        </w:rPr>
      </w:pPr>
      <w:r w:rsidRPr="00C11126">
        <w:rPr>
          <w:rFonts w:ascii="Times New Roman" w:hAnsi="Times New Roman" w:cs="Times New Roman"/>
          <w:noProof/>
          <w:sz w:val="24"/>
          <w:szCs w:val="24"/>
          <w:lang w:eastAsia="es-ES"/>
        </w:rPr>
        <w:lastRenderedPageBreak/>
        <w:drawing>
          <wp:inline distT="0" distB="0" distL="0" distR="0" wp14:anchorId="022EF6DA" wp14:editId="5EC0B6E6">
            <wp:extent cx="5731510" cy="194112"/>
            <wp:effectExtent l="0" t="0" r="0" b="0"/>
            <wp:docPr id="71" name="Imagen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31510" cy="194112"/>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sidRPr="00C11126">
        <w:rPr>
          <w:rFonts w:ascii="Times New Roman" w:hAnsi="Times New Roman" w:cs="Times New Roman"/>
          <w:noProof/>
          <w:sz w:val="24"/>
          <w:szCs w:val="24"/>
          <w:lang w:eastAsia="es-ES"/>
        </w:rPr>
        <w:drawing>
          <wp:inline distT="0" distB="0" distL="0" distR="0" wp14:anchorId="7B99E957" wp14:editId="5A99A3A4">
            <wp:extent cx="5727700" cy="3644900"/>
            <wp:effectExtent l="0" t="0" r="6350" b="0"/>
            <wp:docPr id="72" name="Imagen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731510" cy="3647325"/>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(Fuente: Statista - octubre 2023)</w:t>
      </w:r>
    </w:p>
    <w:p w:rsidR="007E3D39" w:rsidRDefault="007E3D39" w:rsidP="007E3D39">
      <w:pPr>
        <w:spacing w:line="240" w:lineRule="auto"/>
        <w:jc w:val="both"/>
        <w:rPr>
          <w:rFonts w:ascii="Times New Roman" w:hAnsi="Times New Roman" w:cs="Times New Roman"/>
          <w:sz w:val="24"/>
          <w:szCs w:val="24"/>
        </w:rPr>
      </w:pPr>
    </w:p>
    <w:p w:rsidR="007E3D39" w:rsidRDefault="007E3D39" w:rsidP="007E3D39">
      <w:pPr>
        <w:spacing w:line="240" w:lineRule="auto"/>
        <w:jc w:val="both"/>
        <w:rPr>
          <w:rFonts w:ascii="Times New Roman" w:hAnsi="Times New Roman" w:cs="Times New Roman"/>
          <w:sz w:val="24"/>
          <w:szCs w:val="24"/>
        </w:rPr>
      </w:pPr>
      <w:r w:rsidRPr="001D7C50">
        <w:rPr>
          <w:rFonts w:ascii="Times New Roman" w:hAnsi="Times New Roman" w:cs="Times New Roman"/>
          <w:noProof/>
          <w:sz w:val="24"/>
          <w:szCs w:val="24"/>
          <w:lang w:eastAsia="es-ES"/>
        </w:rPr>
        <w:drawing>
          <wp:inline distT="0" distB="0" distL="0" distR="0" wp14:anchorId="417C951F" wp14:editId="63718C51">
            <wp:extent cx="5729360" cy="3302000"/>
            <wp:effectExtent l="0" t="0" r="5080" b="0"/>
            <wp:docPr id="73" name="Imagen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5731510" cy="3303239"/>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(Fuente: Bolsamania - Octubre 2023)</w:t>
      </w:r>
    </w:p>
    <w:p w:rsidR="007E3D39" w:rsidRDefault="007E3D39" w:rsidP="007E3D39">
      <w:pPr>
        <w:spacing w:line="240" w:lineRule="auto"/>
        <w:jc w:val="both"/>
        <w:rPr>
          <w:rFonts w:ascii="Times New Roman" w:hAnsi="Times New Roman" w:cs="Times New Roman"/>
          <w:sz w:val="24"/>
          <w:szCs w:val="24"/>
        </w:rPr>
      </w:pPr>
    </w:p>
    <w:p w:rsidR="007E3D39" w:rsidRDefault="007E3D39" w:rsidP="007E3D39">
      <w:pPr>
        <w:spacing w:line="240" w:lineRule="auto"/>
        <w:jc w:val="both"/>
        <w:rPr>
          <w:rFonts w:ascii="Times New Roman" w:hAnsi="Times New Roman" w:cs="Times New Roman"/>
          <w:sz w:val="24"/>
          <w:szCs w:val="24"/>
        </w:rPr>
      </w:pPr>
    </w:p>
    <w:p w:rsidR="007E3D39" w:rsidRDefault="007E3D39" w:rsidP="007E3D39">
      <w:pPr>
        <w:spacing w:line="240" w:lineRule="auto"/>
        <w:jc w:val="both"/>
        <w:rPr>
          <w:rFonts w:ascii="Times New Roman" w:hAnsi="Times New Roman" w:cs="Times New Roman"/>
          <w:sz w:val="24"/>
          <w:szCs w:val="24"/>
        </w:rPr>
      </w:pPr>
      <w:r>
        <w:rPr>
          <w:rFonts w:ascii="Arial" w:hAnsi="Arial" w:cs="Arial"/>
          <w:b/>
          <w:bCs/>
          <w:color w:val="232A31"/>
          <w:sz w:val="27"/>
          <w:szCs w:val="27"/>
          <w:shd w:val="clear" w:color="auto" w:fill="FFFFFF"/>
        </w:rPr>
        <w:t>EURO STOXX 50 ETF (FEZ)</w:t>
      </w:r>
      <w:r>
        <w:rPr>
          <w:rFonts w:ascii="Times New Roman" w:hAnsi="Times New Roman" w:cs="Times New Roman"/>
          <w:sz w:val="24"/>
          <w:szCs w:val="24"/>
        </w:rPr>
        <w:t xml:space="preserve"> </w:t>
      </w:r>
    </w:p>
    <w:p w:rsidR="007E3D39" w:rsidRDefault="007E3D39" w:rsidP="007E3D39">
      <w:pPr>
        <w:spacing w:line="240" w:lineRule="auto"/>
        <w:jc w:val="both"/>
        <w:rPr>
          <w:rFonts w:ascii="Times New Roman" w:hAnsi="Times New Roman" w:cs="Times New Roman"/>
          <w:sz w:val="24"/>
          <w:szCs w:val="24"/>
        </w:rPr>
      </w:pP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11126">
        <w:rPr>
          <w:rFonts w:ascii="Times New Roman" w:hAnsi="Times New Roman" w:cs="Times New Roman"/>
          <w:noProof/>
          <w:sz w:val="24"/>
          <w:szCs w:val="24"/>
          <w:lang w:eastAsia="es-ES"/>
        </w:rPr>
        <w:drawing>
          <wp:inline distT="0" distB="0" distL="0" distR="0" wp14:anchorId="618001D6" wp14:editId="06D36A27">
            <wp:extent cx="4273549" cy="4724400"/>
            <wp:effectExtent l="0" t="0" r="0" b="0"/>
            <wp:docPr id="74" name="Imagen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4277322" cy="4728571"/>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(Fuente; Yahoo Finanzas - Octubre 2023)</w:t>
      </w:r>
    </w:p>
    <w:p w:rsidR="007E3D39" w:rsidRPr="00BC0889" w:rsidRDefault="007E3D39" w:rsidP="007E3D39">
      <w:pPr>
        <w:spacing w:line="240" w:lineRule="auto"/>
        <w:jc w:val="both"/>
        <w:rPr>
          <w:rFonts w:ascii="Times New Roman" w:hAnsi="Times New Roman" w:cs="Times New Roman"/>
          <w:sz w:val="24"/>
          <w:szCs w:val="24"/>
        </w:rPr>
      </w:pPr>
      <w:r w:rsidRPr="00BC0889">
        <w:rPr>
          <w:rFonts w:ascii="Times New Roman" w:hAnsi="Times New Roman" w:cs="Times New Roman"/>
          <w:b/>
          <w:sz w:val="24"/>
          <w:szCs w:val="24"/>
        </w:rPr>
        <w:t xml:space="preserve">Nota: </w:t>
      </w:r>
      <w:r w:rsidRPr="00BC0889">
        <w:rPr>
          <w:rFonts w:ascii="Times New Roman" w:hAnsi="Times New Roman" w:cs="Times New Roman"/>
          <w:sz w:val="24"/>
          <w:szCs w:val="24"/>
        </w:rPr>
        <w:t>aunque la evolución de</w:t>
      </w:r>
      <w:r>
        <w:rPr>
          <w:rFonts w:ascii="Times New Roman" w:hAnsi="Times New Roman" w:cs="Times New Roman"/>
          <w:sz w:val="24"/>
          <w:szCs w:val="24"/>
        </w:rPr>
        <w:t xml:space="preserve">l Euro Stoxx 50 (UE), en el período 2005-2022, es significativamente menor que la evolución del S&amp;P 500 (USA), sigue siendo mucho mayor que el crecimiento del PIB de la UE, en ese período. También la bolsa europea se benefició más que otros sectores de la economía de la expansión monetaria, la reducción de las tasas de interés, y el incremento del gasto público, aunque menos que USA (maestros del dopaje). </w:t>
      </w:r>
    </w:p>
    <w:p w:rsidR="007E3D39" w:rsidRPr="00BC0889" w:rsidRDefault="007E3D39" w:rsidP="007E3D39">
      <w:pPr>
        <w:spacing w:line="240" w:lineRule="auto"/>
        <w:jc w:val="both"/>
        <w:rPr>
          <w:rFonts w:ascii="Times New Roman" w:hAnsi="Times New Roman" w:cs="Times New Roman"/>
          <w:b/>
          <w:sz w:val="24"/>
          <w:szCs w:val="24"/>
        </w:rPr>
      </w:pPr>
      <w:r w:rsidRPr="00BC0889">
        <w:rPr>
          <w:rFonts w:ascii="Times New Roman" w:hAnsi="Times New Roman" w:cs="Times New Roman"/>
          <w:b/>
          <w:sz w:val="24"/>
          <w:szCs w:val="24"/>
        </w:rPr>
        <w:t>Nota: la inflación de la codicia</w:t>
      </w:r>
    </w:p>
    <w:p w:rsidR="007E3D39" w:rsidRPr="006718DF" w:rsidRDefault="007E3D39" w:rsidP="007E3D39">
      <w:pPr>
        <w:spacing w:line="240" w:lineRule="auto"/>
        <w:jc w:val="both"/>
        <w:rPr>
          <w:rFonts w:ascii="Times New Roman" w:hAnsi="Times New Roman" w:cs="Times New Roman"/>
          <w:b/>
          <w:sz w:val="24"/>
          <w:szCs w:val="24"/>
        </w:rPr>
      </w:pPr>
      <w:r w:rsidRPr="006718DF">
        <w:rPr>
          <w:rFonts w:ascii="Times New Roman" w:hAnsi="Times New Roman" w:cs="Times New Roman"/>
          <w:b/>
          <w:sz w:val="24"/>
          <w:szCs w:val="24"/>
        </w:rPr>
        <w:t>¿En qué medida la caída de los pagos netos de intereses ha impulsado los beneficios de las empresas en los últimos años?</w:t>
      </w:r>
    </w:p>
    <w:p w:rsidR="007E3D39" w:rsidRPr="006718DF" w:rsidRDefault="007E3D39" w:rsidP="007E3D39">
      <w:pPr>
        <w:spacing w:line="240" w:lineRule="auto"/>
        <w:jc w:val="both"/>
        <w:rPr>
          <w:rFonts w:ascii="Times New Roman" w:hAnsi="Times New Roman" w:cs="Times New Roman"/>
          <w:b/>
          <w:sz w:val="24"/>
          <w:szCs w:val="24"/>
        </w:rPr>
      </w:pPr>
      <w:r w:rsidRPr="006718DF">
        <w:rPr>
          <w:rFonts w:ascii="Times New Roman" w:hAnsi="Times New Roman" w:cs="Times New Roman"/>
          <w:b/>
          <w:sz w:val="24"/>
          <w:szCs w:val="24"/>
        </w:rPr>
        <w:t>¿En qué medida la fuerte expansión monetaria ha impulsado la inversión en acciones de las empresas en los últimos años?</w:t>
      </w:r>
    </w:p>
    <w:p w:rsidR="007E3D39" w:rsidRPr="006718DF" w:rsidRDefault="007E3D39" w:rsidP="007E3D39">
      <w:pPr>
        <w:spacing w:line="240" w:lineRule="auto"/>
        <w:jc w:val="both"/>
        <w:rPr>
          <w:rFonts w:ascii="Times New Roman" w:hAnsi="Times New Roman" w:cs="Times New Roman"/>
          <w:b/>
          <w:sz w:val="24"/>
          <w:szCs w:val="24"/>
        </w:rPr>
      </w:pPr>
      <w:r w:rsidRPr="006718DF">
        <w:rPr>
          <w:rFonts w:ascii="Times New Roman" w:hAnsi="Times New Roman" w:cs="Times New Roman"/>
          <w:b/>
          <w:sz w:val="24"/>
          <w:szCs w:val="24"/>
        </w:rPr>
        <w:t>¿En qué medida el gasto público ha impulsado los beneficios de las empresas, y la inversión en acciones en los últimos años?</w:t>
      </w:r>
    </w:p>
    <w:p w:rsidR="007E3D39" w:rsidRDefault="007E3D39" w:rsidP="007E3D39">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2FEE8A77" wp14:editId="6D42D291">
            <wp:extent cx="5731510" cy="5488305"/>
            <wp:effectExtent l="0" t="0" r="2540" b="0"/>
            <wp:docPr id="125" name="Imagen 125" descr="cre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re151.pn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5731510" cy="5488305"/>
                    </a:xfrm>
                    <a:prstGeom prst="rect">
                      <a:avLst/>
                    </a:prstGeom>
                    <a:noFill/>
                    <a:ln>
                      <a:noFill/>
                    </a:ln>
                  </pic:spPr>
                </pic:pic>
              </a:graphicData>
            </a:graphic>
          </wp:inline>
        </w:drawing>
      </w:r>
    </w:p>
    <w:p w:rsidR="007E3D39" w:rsidRPr="00871FCC" w:rsidRDefault="007E3D39" w:rsidP="007E3D39">
      <w:pPr>
        <w:spacing w:line="240" w:lineRule="auto"/>
        <w:jc w:val="both"/>
        <w:rPr>
          <w:rFonts w:ascii="Times New Roman" w:hAnsi="Times New Roman" w:cs="Times New Roman"/>
          <w:sz w:val="24"/>
          <w:szCs w:val="24"/>
        </w:rPr>
      </w:pPr>
    </w:p>
    <w:p w:rsidR="007E3D39" w:rsidRDefault="007E3D39" w:rsidP="007E3D39">
      <w:pPr>
        <w:spacing w:line="240" w:lineRule="auto"/>
        <w:jc w:val="both"/>
        <w:rPr>
          <w:rFonts w:ascii="Times New Roman" w:hAnsi="Times New Roman" w:cs="Times New Roman"/>
          <w:sz w:val="24"/>
          <w:szCs w:val="24"/>
        </w:rPr>
      </w:pPr>
      <w:r w:rsidRPr="005C0BD8">
        <w:rPr>
          <w:rFonts w:ascii="Times New Roman" w:hAnsi="Times New Roman" w:cs="Times New Roman"/>
          <w:b/>
          <w:sz w:val="24"/>
          <w:szCs w:val="24"/>
        </w:rPr>
        <w:t>Nota</w:t>
      </w:r>
      <w:r>
        <w:rPr>
          <w:rFonts w:ascii="Times New Roman" w:hAnsi="Times New Roman" w:cs="Times New Roman"/>
          <w:sz w:val="24"/>
          <w:szCs w:val="24"/>
        </w:rPr>
        <w:t>: una forma interesante de dar o quitar razón a mis “percepciones” (¿quiénes han sido los principales beneficiarios del tsunami de la deuda?), es comparar las previsiones de crecimiento del PIB entre 2008 y 2023 (datos de 2023 según previsiones de la OCDE), con el historial de rendimiento total anual del Euro Stoox 50 (%), en el tramo 2008-2022 (último dato disponible).</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La sumatoria (2008-2022) da 66,11 %, de mejora del rendimiento del Euro Stoox 50, que es casi tres veces más (exactamente 2,75 veces más), que el crecimiento del PIB proyectado para Eslovenia (2008-2023), que según la OCDE, sería el país con mejores resultados.</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Una alternativa para evaluar los ganadores (beneficiados), y los perdedores (beneficiarios), de la expansión monetaria, la reducción de las tasas de interés, el incremento del gasto público, el aumento de la deuda soberana, en los países avanzados, puede ser observar el comportamiento y la evolución del Índice Gini, en el período bajo análisis. </w:t>
      </w:r>
    </w:p>
    <w:p w:rsidR="007E3D39" w:rsidRPr="00871FCC"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p>
    <w:p w:rsidR="007E3D39" w:rsidRDefault="007E3D39" w:rsidP="007E3D39">
      <w:pPr>
        <w:rPr>
          <w:rFonts w:ascii="Times New Roman" w:hAnsi="Times New Roman" w:cs="Times New Roman"/>
          <w:b/>
          <w:sz w:val="24"/>
          <w:szCs w:val="24"/>
        </w:rPr>
      </w:pPr>
      <w:r w:rsidRPr="00B40F2A">
        <w:rPr>
          <w:rFonts w:ascii="Times New Roman" w:hAnsi="Times New Roman" w:cs="Times New Roman"/>
          <w:b/>
          <w:noProof/>
          <w:sz w:val="24"/>
          <w:szCs w:val="24"/>
          <w:lang w:eastAsia="es-ES"/>
        </w:rPr>
        <w:lastRenderedPageBreak/>
        <w:drawing>
          <wp:inline distT="0" distB="0" distL="0" distR="0" wp14:anchorId="47F5EA3B" wp14:editId="4027C4E2">
            <wp:extent cx="5727700" cy="3619500"/>
            <wp:effectExtent l="0" t="0" r="6350" b="0"/>
            <wp:docPr id="57" name="Imagen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5731510" cy="3621908"/>
                    </a:xfrm>
                    <a:prstGeom prst="rect">
                      <a:avLst/>
                    </a:prstGeom>
                  </pic:spPr>
                </pic:pic>
              </a:graphicData>
            </a:graphic>
          </wp:inline>
        </w:drawing>
      </w:r>
    </w:p>
    <w:p w:rsidR="007E3D39" w:rsidRPr="00F35F94" w:rsidRDefault="007E3D39" w:rsidP="007E3D39">
      <w:pPr>
        <w:jc w:val="both"/>
        <w:rPr>
          <w:rFonts w:ascii="Times New Roman" w:hAnsi="Times New Roman" w:cs="Times New Roman"/>
          <w:sz w:val="24"/>
          <w:szCs w:val="24"/>
        </w:rPr>
      </w:pPr>
      <w:r>
        <w:rPr>
          <w:rFonts w:ascii="Times New Roman" w:hAnsi="Times New Roman" w:cs="Times New Roman"/>
          <w:b/>
          <w:sz w:val="24"/>
          <w:szCs w:val="24"/>
        </w:rPr>
        <w:t xml:space="preserve">Nota: </w:t>
      </w:r>
      <w:r>
        <w:rPr>
          <w:rFonts w:ascii="Times New Roman" w:hAnsi="Times New Roman" w:cs="Times New Roman"/>
          <w:sz w:val="24"/>
          <w:szCs w:val="24"/>
        </w:rPr>
        <w:t>en el período observado (1989-2021) el Índice Gini muestra un aumento de la desigualdad en EEUU</w:t>
      </w:r>
    </w:p>
    <w:p w:rsidR="007E3D39" w:rsidRDefault="007E3D39" w:rsidP="007E3D39">
      <w:pPr>
        <w:rPr>
          <w:rFonts w:ascii="Times New Roman" w:hAnsi="Times New Roman" w:cs="Times New Roman"/>
          <w:b/>
          <w:sz w:val="24"/>
          <w:szCs w:val="24"/>
        </w:rPr>
      </w:pPr>
      <w:r w:rsidRPr="00A76457">
        <w:rPr>
          <w:rFonts w:ascii="Times New Roman" w:hAnsi="Times New Roman" w:cs="Times New Roman"/>
          <w:b/>
          <w:noProof/>
          <w:sz w:val="24"/>
          <w:szCs w:val="24"/>
          <w:lang w:eastAsia="es-ES"/>
        </w:rPr>
        <w:drawing>
          <wp:inline distT="0" distB="0" distL="0" distR="0" wp14:anchorId="2CC20B9E" wp14:editId="2B448890">
            <wp:extent cx="5727698" cy="3549650"/>
            <wp:effectExtent l="0" t="0" r="6985"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4"/>
                    <a:stretch>
                      <a:fillRect/>
                    </a:stretch>
                  </pic:blipFill>
                  <pic:spPr>
                    <a:xfrm>
                      <a:off x="0" y="0"/>
                      <a:ext cx="5731510" cy="3552013"/>
                    </a:xfrm>
                    <a:prstGeom prst="rect">
                      <a:avLst/>
                    </a:prstGeom>
                  </pic:spPr>
                </pic:pic>
              </a:graphicData>
            </a:graphic>
          </wp:inline>
        </w:drawing>
      </w:r>
    </w:p>
    <w:p w:rsidR="007E3D39" w:rsidRPr="00F35F94" w:rsidRDefault="007E3D39" w:rsidP="007E3D39">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Nota: </w:t>
      </w:r>
      <w:r w:rsidRPr="00C015D2">
        <w:rPr>
          <w:rFonts w:ascii="Times New Roman" w:hAnsi="Times New Roman" w:cs="Times New Roman"/>
          <w:sz w:val="24"/>
          <w:szCs w:val="24"/>
        </w:rPr>
        <w:t>como el BM no presenta datos consolidados de la UE</w:t>
      </w:r>
      <w:r>
        <w:rPr>
          <w:rFonts w:ascii="Times New Roman" w:hAnsi="Times New Roman" w:cs="Times New Roman"/>
          <w:sz w:val="24"/>
          <w:szCs w:val="24"/>
        </w:rPr>
        <w:t>, se adjuntan los índices de Alemania, Francia, Italia y España, en comparación con el índice de los EEUU,</w:t>
      </w:r>
      <w:r>
        <w:rPr>
          <w:rFonts w:ascii="Times New Roman" w:hAnsi="Times New Roman" w:cs="Times New Roman"/>
          <w:b/>
          <w:sz w:val="24"/>
          <w:szCs w:val="24"/>
        </w:rPr>
        <w:t xml:space="preserve"> </w:t>
      </w:r>
      <w:r>
        <w:rPr>
          <w:rFonts w:ascii="Times New Roman" w:hAnsi="Times New Roman" w:cs="Times New Roman"/>
          <w:sz w:val="24"/>
          <w:szCs w:val="24"/>
        </w:rPr>
        <w:t>durante el período observado (1989-2021). En todos los casos el Índice Gini muestra un aumento de la desigualdad.</w:t>
      </w:r>
    </w:p>
    <w:p w:rsidR="007E3D39" w:rsidRDefault="007E3D39" w:rsidP="007E3D39">
      <w:pPr>
        <w:spacing w:line="240" w:lineRule="auto"/>
        <w:jc w:val="both"/>
        <w:rPr>
          <w:rFonts w:ascii="Times New Roman" w:hAnsi="Times New Roman" w:cs="Times New Roman"/>
          <w:sz w:val="24"/>
          <w:szCs w:val="24"/>
        </w:rPr>
      </w:pPr>
      <w:r w:rsidRPr="0066696E">
        <w:rPr>
          <w:rFonts w:ascii="Times New Roman" w:hAnsi="Times New Roman" w:cs="Times New Roman"/>
          <w:sz w:val="24"/>
          <w:szCs w:val="24"/>
        </w:rPr>
        <w:lastRenderedPageBreak/>
        <w:t>El coeficiente de Gini se define como la relación entre las proporciones acumuladas de la población, ordenadas según el nivel de renta disponible equivalente, y la proporción acumulada de la renta disponible total equivalente que reciben.</w:t>
      </w:r>
    </w:p>
    <w:p w:rsidR="007E3D39" w:rsidRPr="0066696E" w:rsidRDefault="007E3D39" w:rsidP="007E3D39">
      <w:pPr>
        <w:spacing w:line="240" w:lineRule="auto"/>
        <w:jc w:val="both"/>
        <w:rPr>
          <w:rFonts w:ascii="Times New Roman" w:hAnsi="Times New Roman" w:cs="Times New Roman"/>
          <w:sz w:val="24"/>
          <w:szCs w:val="24"/>
        </w:rPr>
      </w:pPr>
      <w:r w:rsidRPr="0066696E">
        <w:rPr>
          <w:rFonts w:ascii="Times New Roman" w:hAnsi="Times New Roman" w:cs="Times New Roman"/>
          <w:sz w:val="24"/>
          <w:szCs w:val="24"/>
        </w:rPr>
        <w:t>El coeficiente de Gini es un número entre 0 y 1, donde 0 se corresponde con la perfecta igualdad (todos tienen los mismos ingresos) y 1 se corresponde con la perfecta desigualdad (una persona tiene todos los ingresos y los demás ninguno).</w:t>
      </w:r>
    </w:p>
    <w:p w:rsidR="007E3D39" w:rsidRDefault="007E3D39" w:rsidP="007E3D39">
      <w:pPr>
        <w:rPr>
          <w:rFonts w:ascii="Times New Roman" w:hAnsi="Times New Roman" w:cs="Times New Roman"/>
          <w:b/>
          <w:sz w:val="24"/>
          <w:szCs w:val="24"/>
        </w:rPr>
      </w:pPr>
      <w:r w:rsidRPr="00C83C9C">
        <w:rPr>
          <w:rFonts w:ascii="Times New Roman" w:hAnsi="Times New Roman" w:cs="Times New Roman"/>
          <w:b/>
          <w:noProof/>
          <w:sz w:val="24"/>
          <w:szCs w:val="24"/>
          <w:lang w:eastAsia="es-ES"/>
        </w:rPr>
        <w:drawing>
          <wp:inline distT="0" distB="0" distL="0" distR="0" wp14:anchorId="3D392194" wp14:editId="53C9F911">
            <wp:extent cx="5732146" cy="3321050"/>
            <wp:effectExtent l="0" t="0" r="1905" b="0"/>
            <wp:docPr id="59" name="Imagen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stretch>
                      <a:fillRect/>
                    </a:stretch>
                  </pic:blipFill>
                  <pic:spPr>
                    <a:xfrm>
                      <a:off x="0" y="0"/>
                      <a:ext cx="5731510" cy="3320681"/>
                    </a:xfrm>
                    <a:prstGeom prst="rect">
                      <a:avLst/>
                    </a:prstGeom>
                  </pic:spPr>
                </pic:pic>
              </a:graphicData>
            </a:graphic>
          </wp:inline>
        </w:drawing>
      </w:r>
    </w:p>
    <w:p w:rsidR="007E3D39" w:rsidRDefault="007E3D39" w:rsidP="007E3D39">
      <w:pPr>
        <w:rPr>
          <w:rFonts w:ascii="Times New Roman" w:hAnsi="Times New Roman" w:cs="Times New Roman"/>
          <w:b/>
          <w:sz w:val="24"/>
          <w:szCs w:val="24"/>
        </w:rPr>
      </w:pPr>
      <w:r w:rsidRPr="003308C9">
        <w:rPr>
          <w:rFonts w:ascii="Times New Roman" w:hAnsi="Times New Roman" w:cs="Times New Roman"/>
          <w:b/>
          <w:noProof/>
          <w:sz w:val="24"/>
          <w:szCs w:val="24"/>
          <w:lang w:eastAsia="es-ES"/>
        </w:rPr>
        <w:drawing>
          <wp:inline distT="0" distB="0" distL="0" distR="0" wp14:anchorId="6521E669" wp14:editId="60912B66">
            <wp:extent cx="5730827" cy="3276600"/>
            <wp:effectExtent l="0" t="0" r="3810" b="0"/>
            <wp:docPr id="60" name="Imagen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6"/>
                    <a:stretch>
                      <a:fillRect/>
                    </a:stretch>
                  </pic:blipFill>
                  <pic:spPr>
                    <a:xfrm>
                      <a:off x="0" y="0"/>
                      <a:ext cx="5731510" cy="3276990"/>
                    </a:xfrm>
                    <a:prstGeom prst="rect">
                      <a:avLst/>
                    </a:prstGeom>
                  </pic:spPr>
                </pic:pic>
              </a:graphicData>
            </a:graphic>
          </wp:inline>
        </w:drawing>
      </w:r>
    </w:p>
    <w:p w:rsidR="007E3D39" w:rsidRPr="00C015D2" w:rsidRDefault="007E3D39" w:rsidP="007E3D39">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Nota: </w:t>
      </w:r>
      <w:r>
        <w:rPr>
          <w:rFonts w:ascii="Times New Roman" w:hAnsi="Times New Roman" w:cs="Times New Roman"/>
          <w:sz w:val="24"/>
          <w:szCs w:val="24"/>
        </w:rPr>
        <w:t>Eurostat presenta el Índice Gini de la UE y EZ, del período 2011-2022, donde se constata una mínima variación, con tendencia negativa. En Alemania, Francia, Italia, y España se confirma el aumento de la desigualdad.</w:t>
      </w:r>
    </w:p>
    <w:p w:rsidR="007E3D39" w:rsidRDefault="007E3D39" w:rsidP="007E3D39">
      <w:pPr>
        <w:rPr>
          <w:rFonts w:ascii="Times New Roman" w:hAnsi="Times New Roman" w:cs="Times New Roman"/>
          <w:b/>
          <w:sz w:val="24"/>
          <w:szCs w:val="24"/>
        </w:rPr>
      </w:pPr>
      <w:r>
        <w:rPr>
          <w:noProof/>
          <w:lang w:eastAsia="es-ES"/>
        </w:rPr>
        <w:lastRenderedPageBreak/>
        <w:drawing>
          <wp:inline distT="0" distB="0" distL="0" distR="0" wp14:anchorId="5C56D398" wp14:editId="0A005CF7">
            <wp:extent cx="5732621" cy="4413250"/>
            <wp:effectExtent l="0" t="0" r="1905" b="6350"/>
            <wp:docPr id="124" name="Imagen 124" descr="cre1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re153.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5731510" cy="4412395"/>
                    </a:xfrm>
                    <a:prstGeom prst="rect">
                      <a:avLst/>
                    </a:prstGeom>
                    <a:noFill/>
                    <a:ln>
                      <a:noFill/>
                    </a:ln>
                  </pic:spPr>
                </pic:pic>
              </a:graphicData>
            </a:graphic>
          </wp:inline>
        </w:drawing>
      </w:r>
    </w:p>
    <w:p w:rsidR="007E3D39" w:rsidRDefault="007E3D39" w:rsidP="007E3D39">
      <w:pPr>
        <w:spacing w:line="240" w:lineRule="auto"/>
        <w:jc w:val="both"/>
        <w:rPr>
          <w:rFonts w:ascii="Times New Roman" w:hAnsi="Times New Roman" w:cs="Times New Roman"/>
          <w:b/>
          <w:sz w:val="24"/>
          <w:szCs w:val="24"/>
        </w:rPr>
      </w:pPr>
      <w:r>
        <w:rPr>
          <w:noProof/>
          <w:lang w:eastAsia="es-ES"/>
        </w:rPr>
        <w:drawing>
          <wp:inline distT="0" distB="0" distL="0" distR="0" wp14:anchorId="222E9B26" wp14:editId="7102C476">
            <wp:extent cx="5727700" cy="3378200"/>
            <wp:effectExtent l="0" t="0" r="6350" b="0"/>
            <wp:docPr id="126" name="Imagen 126" descr="cre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re154.jpg"/>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731510" cy="3380447"/>
                    </a:xfrm>
                    <a:prstGeom prst="rect">
                      <a:avLst/>
                    </a:prstGeom>
                    <a:noFill/>
                    <a:ln>
                      <a:noFill/>
                    </a:ln>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b/>
          <w:sz w:val="24"/>
          <w:szCs w:val="24"/>
        </w:rPr>
        <w:t xml:space="preserve">Nota: </w:t>
      </w:r>
      <w:r w:rsidRPr="00AE1EA8">
        <w:rPr>
          <w:rFonts w:ascii="Times New Roman" w:hAnsi="Times New Roman" w:cs="Times New Roman"/>
          <w:sz w:val="24"/>
          <w:szCs w:val="24"/>
        </w:rPr>
        <w:t>aunque</w:t>
      </w:r>
      <w:r>
        <w:rPr>
          <w:rFonts w:ascii="Times New Roman" w:hAnsi="Times New Roman" w:cs="Times New Roman"/>
          <w:sz w:val="24"/>
          <w:szCs w:val="24"/>
        </w:rPr>
        <w:t xml:space="preserve"> la variación de salarios, precios, y poder adquisitivo, durante el período 2001-2021 presente un resultado aparentemente positivo para los trabajadores, este beneficio se ve relativizado en cuanto se compara con la rentabilidad de las inversiones bursátiles. A título comparativo se presenta la evolución del Índice de los 7 magníficos de la tecnología. </w:t>
      </w:r>
    </w:p>
    <w:p w:rsidR="007E3D39" w:rsidRDefault="007E3D39" w:rsidP="007E3D39">
      <w:pPr>
        <w:spacing w:line="240" w:lineRule="auto"/>
        <w:jc w:val="both"/>
        <w:rPr>
          <w:rFonts w:ascii="Times New Roman" w:hAnsi="Times New Roman" w:cs="Times New Roman"/>
          <w:sz w:val="24"/>
          <w:szCs w:val="24"/>
        </w:rPr>
      </w:pPr>
      <w:r>
        <w:rPr>
          <w:noProof/>
          <w:lang w:eastAsia="es-ES"/>
        </w:rPr>
        <w:lastRenderedPageBreak/>
        <w:drawing>
          <wp:inline distT="0" distB="0" distL="0" distR="0" wp14:anchorId="67D46C8B" wp14:editId="5B5500F6">
            <wp:extent cx="5731510" cy="2697555"/>
            <wp:effectExtent l="0" t="0" r="2540" b="7620"/>
            <wp:docPr id="127" name="Imagen 127" descr="Los siete magníficos de la Bolsa de  EE UU quizá no tan magnífic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os siete magníficos de la Bolsa de  EE UU quizá no tan magníficos"/>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5731510" cy="2697555"/>
                    </a:xfrm>
                    <a:prstGeom prst="rect">
                      <a:avLst/>
                    </a:prstGeom>
                    <a:noFill/>
                    <a:ln>
                      <a:noFill/>
                    </a:ln>
                  </pic:spPr>
                </pic:pic>
              </a:graphicData>
            </a:graphic>
          </wp:inline>
        </w:drawing>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(Fuente: Cinco Días - </w:t>
      </w:r>
      <w:r w:rsidRPr="0062569D">
        <w:rPr>
          <w:rFonts w:ascii="Times New Roman" w:hAnsi="Times New Roman" w:cs="Times New Roman"/>
          <w:b/>
          <w:sz w:val="24"/>
          <w:szCs w:val="24"/>
        </w:rPr>
        <w:t>15/11/23</w:t>
      </w:r>
      <w:r w:rsidRPr="0062569D">
        <w:rPr>
          <w:rFonts w:ascii="Times New Roman" w:hAnsi="Times New Roman" w:cs="Times New Roman"/>
          <w:sz w:val="24"/>
          <w:szCs w:val="24"/>
        </w:rPr>
        <w:t>)</w:t>
      </w:r>
    </w:p>
    <w:p w:rsidR="007E3D39" w:rsidRPr="0062569D" w:rsidRDefault="007E3D39" w:rsidP="007E3D39">
      <w:pPr>
        <w:spacing w:line="240" w:lineRule="auto"/>
        <w:jc w:val="both"/>
        <w:rPr>
          <w:rFonts w:ascii="Times New Roman" w:hAnsi="Times New Roman" w:cs="Times New Roman"/>
          <w:b/>
          <w:sz w:val="24"/>
          <w:szCs w:val="24"/>
        </w:rPr>
      </w:pPr>
      <w:r w:rsidRPr="0062569D">
        <w:rPr>
          <w:rFonts w:ascii="Times New Roman" w:hAnsi="Times New Roman" w:cs="Times New Roman"/>
          <w:b/>
          <w:sz w:val="24"/>
          <w:szCs w:val="24"/>
        </w:rPr>
        <w:t>Mientras, Wall Street bate su récord histórico de dominación global…</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La capitalización de los parqués estadounidenses supone el 63% del valor de las cotizadas de todo el mundo. Ni la pandemia del Covid, ni las tensiones geopolíticas ni el nuevo entorno de subidas de tipos ha podido romper una tendencia inexorable de los últimos 14 años: el aumento de la dominación que los parqués estadounidenses ejercen sobre el mercado global…</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(Fuente: Expansión - </w:t>
      </w:r>
      <w:r w:rsidRPr="0062569D">
        <w:rPr>
          <w:rFonts w:ascii="Times New Roman" w:hAnsi="Times New Roman" w:cs="Times New Roman"/>
          <w:b/>
          <w:sz w:val="24"/>
          <w:szCs w:val="24"/>
        </w:rPr>
        <w:t>15/11/23</w:t>
      </w:r>
      <w:r w:rsidRPr="0062569D">
        <w:rPr>
          <w:rFonts w:ascii="Times New Roman" w:hAnsi="Times New Roman" w:cs="Times New Roman"/>
          <w:sz w:val="24"/>
          <w:szCs w:val="24"/>
        </w:rPr>
        <w:t>)</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b/>
          <w:sz w:val="24"/>
          <w:szCs w:val="24"/>
        </w:rPr>
        <w:t>… Las crisis encadenadas ahogan ya a varias generaciones de jóvenes (y no tan jóvenes)</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La precaria situación económica de los jóvenes (de 18 a 34 años) se nutre de varios factores que da un lugar a un bucle infinito auspiciado, sobre todo, por la precariedad del empleo. Las generaciones de las crisis encadenadas han crecido en un contexto enquistado de incertidumbre que complica el tránsito a la vida adulta. </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La compleja realidad socioeconómica de las generaciones más jóvenes que han transitado a la vida adulta acompañados de varias crisis consecutivas. Las generaciones nacidas entre 1980 y 2005 se han enfrentado a la Gran Recesión de 2008 con la crisis de deuda pública (2010-2014) desatada después, el palo para la economía que supuso la pandemia y la inflación al alza (con crisis energética de por medio) desde que Rusia iniciara la guerra en Ucrania.</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Esta situación tiene efecto directo en la integración de los jóvenes en la “rueda” social, con la emancipación como punto clave del paso a la vida adulta. Las investigaciones recientes realizadas en España por EsadeEcPol y Friedrich Naumann Foundation  señalan que la edad más común para independizarse asciende a los 28 años, aunque reconocen como “preocupante” que el progreso la emancipación se ralentiza en las edades más mayores de quienes no pudieron hacerlo antes: a los 30 años, más de un 30% aún no se ha independizado y a los 35, el 20% todavía vive con sus padres. </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La falta de ingresos propios suficientes es el motivo principal para seguir en el hogar familiar para el 66% de los jóvenes españoles, unida a la poca capacidad de ahorro. Entre quienes logran emanciparse, el 32% se va de alquiler, la forma más frecuente en España. Quienes </w:t>
      </w:r>
      <w:r w:rsidRPr="0062569D">
        <w:rPr>
          <w:rFonts w:ascii="Times New Roman" w:hAnsi="Times New Roman" w:cs="Times New Roman"/>
          <w:sz w:val="24"/>
          <w:szCs w:val="24"/>
        </w:rPr>
        <w:lastRenderedPageBreak/>
        <w:t>logran comprar una propiedad lo hacen gracias a la ayuda familiar, según reconoce un 65% de los jóvenes propietarios consultados. La edad media de compra de una vivienda es de 25,3 años.</w:t>
      </w:r>
    </w:p>
    <w:p w:rsidR="007E3D39" w:rsidRPr="0062569D" w:rsidRDefault="007E3D39" w:rsidP="007E3D39">
      <w:pPr>
        <w:spacing w:line="240" w:lineRule="auto"/>
        <w:jc w:val="both"/>
        <w:rPr>
          <w:rFonts w:ascii="Times New Roman" w:hAnsi="Times New Roman" w:cs="Times New Roman"/>
          <w:b/>
          <w:sz w:val="24"/>
          <w:szCs w:val="24"/>
        </w:rPr>
      </w:pPr>
      <w:r w:rsidRPr="0062569D">
        <w:rPr>
          <w:rFonts w:ascii="Times New Roman" w:hAnsi="Times New Roman" w:cs="Times New Roman"/>
          <w:b/>
          <w:sz w:val="24"/>
          <w:szCs w:val="24"/>
        </w:rPr>
        <w:t>… Y la “montaña” de la deuda soberana, no hace más que crecer, crecer y crecer</w:t>
      </w:r>
    </w:p>
    <w:p w:rsidR="007E3D39" w:rsidRPr="0062569D" w:rsidRDefault="007E3D39" w:rsidP="007E3D39">
      <w:pPr>
        <w:spacing w:line="240" w:lineRule="auto"/>
        <w:jc w:val="both"/>
        <w:rPr>
          <w:rFonts w:ascii="Times New Roman" w:hAnsi="Times New Roman" w:cs="Times New Roman"/>
          <w:b/>
          <w:sz w:val="24"/>
          <w:szCs w:val="24"/>
        </w:rPr>
      </w:pPr>
      <w:r w:rsidRPr="0062569D">
        <w:rPr>
          <w:rFonts w:ascii="Times New Roman" w:hAnsi="Times New Roman" w:cs="Times New Roman"/>
          <w:b/>
          <w:sz w:val="24"/>
          <w:szCs w:val="24"/>
        </w:rPr>
        <w:t>El mercado de deuda se prepara para un alza del 14% en las emisiones</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noProof/>
          <w:sz w:val="24"/>
          <w:szCs w:val="24"/>
          <w:lang w:eastAsia="es-ES"/>
        </w:rPr>
        <w:drawing>
          <wp:inline distT="0" distB="0" distL="0" distR="0" wp14:anchorId="0187B2BE" wp14:editId="4DE0CCD5">
            <wp:extent cx="5728366" cy="2660650"/>
            <wp:effectExtent l="0" t="0" r="5715" b="6350"/>
            <wp:docPr id="128" name="Imagen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0"/>
                    <a:stretch>
                      <a:fillRect/>
                    </a:stretch>
                  </pic:blipFill>
                  <pic:spPr>
                    <a:xfrm>
                      <a:off x="0" y="0"/>
                      <a:ext cx="5731510" cy="2662110"/>
                    </a:xfrm>
                    <a:prstGeom prst="rect">
                      <a:avLst/>
                    </a:prstGeom>
                  </pic:spPr>
                </pic:pic>
              </a:graphicData>
            </a:graphic>
          </wp:inline>
        </w:drawing>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(Fuente: Cinco Días - </w:t>
      </w:r>
      <w:r w:rsidRPr="0062569D">
        <w:rPr>
          <w:rFonts w:ascii="Times New Roman" w:hAnsi="Times New Roman" w:cs="Times New Roman"/>
          <w:b/>
          <w:sz w:val="24"/>
          <w:szCs w:val="24"/>
        </w:rPr>
        <w:t>14/11/23</w:t>
      </w:r>
      <w:r w:rsidRPr="0062569D">
        <w:rPr>
          <w:rFonts w:ascii="Times New Roman" w:hAnsi="Times New Roman" w:cs="Times New Roman"/>
          <w:sz w:val="24"/>
          <w:szCs w:val="24"/>
        </w:rPr>
        <w:t>)</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noProof/>
          <w:sz w:val="24"/>
          <w:szCs w:val="24"/>
          <w:lang w:eastAsia="es-ES"/>
        </w:rPr>
        <w:drawing>
          <wp:inline distT="0" distB="0" distL="0" distR="0" wp14:anchorId="563BDE47" wp14:editId="51CB1F83">
            <wp:extent cx="5727700" cy="2673350"/>
            <wp:effectExtent l="0" t="0" r="6350" b="0"/>
            <wp:docPr id="129" name="Imagen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1"/>
                    <a:stretch>
                      <a:fillRect/>
                    </a:stretch>
                  </pic:blipFill>
                  <pic:spPr>
                    <a:xfrm>
                      <a:off x="0" y="0"/>
                      <a:ext cx="5731510" cy="2675128"/>
                    </a:xfrm>
                    <a:prstGeom prst="rect">
                      <a:avLst/>
                    </a:prstGeom>
                  </pic:spPr>
                </pic:pic>
              </a:graphicData>
            </a:graphic>
          </wp:inline>
        </w:drawing>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El mundo pasó más de la última década aprovechando las bajísimas tasas de interés para endeudarse. Se avecina una factura sin precedentes.</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sz w:val="24"/>
          <w:szCs w:val="24"/>
        </w:rPr>
        <w:t xml:space="preserve">Se espera que los gobiernos gasten 2 billones de dólares netos en el pago de intereses de su deuda este año, ya que las tasas de interés más altas encarecen los préstamos, un aumento de más del 10% con respecto a 2022, según un análisis de datos del Fondo Monetario Internacional realizado por la consultora de investigación Teal Insights y un análisis separado realizado por Fitch Ratings. Para 2027, podría superar los 3 billones de dólares, según Teal Insights. (The Wall Street Journal - </w:t>
      </w:r>
      <w:r w:rsidRPr="0062569D">
        <w:rPr>
          <w:rFonts w:ascii="Times New Roman" w:hAnsi="Times New Roman" w:cs="Times New Roman"/>
          <w:b/>
          <w:sz w:val="24"/>
          <w:szCs w:val="24"/>
        </w:rPr>
        <w:t>15/11/23</w:t>
      </w:r>
      <w:r w:rsidRPr="0062569D">
        <w:rPr>
          <w:rFonts w:ascii="Times New Roman" w:hAnsi="Times New Roman" w:cs="Times New Roman"/>
          <w:sz w:val="24"/>
          <w:szCs w:val="24"/>
        </w:rPr>
        <w:t>)</w:t>
      </w:r>
    </w:p>
    <w:p w:rsidR="007E3D39" w:rsidRPr="0062569D" w:rsidRDefault="007E3D39" w:rsidP="007E3D39">
      <w:pPr>
        <w:spacing w:line="240" w:lineRule="auto"/>
        <w:jc w:val="both"/>
        <w:rPr>
          <w:rFonts w:ascii="Times New Roman" w:hAnsi="Times New Roman" w:cs="Times New Roman"/>
          <w:sz w:val="24"/>
          <w:szCs w:val="24"/>
        </w:rPr>
      </w:pPr>
      <w:r w:rsidRPr="0062569D">
        <w:rPr>
          <w:rFonts w:ascii="Times New Roman" w:hAnsi="Times New Roman" w:cs="Times New Roman"/>
          <w:b/>
          <w:sz w:val="24"/>
          <w:szCs w:val="24"/>
        </w:rPr>
        <w:lastRenderedPageBreak/>
        <w:t>La deuda mundial alcanza cifra récord de USD 226 billones</w:t>
      </w:r>
    </w:p>
    <w:p w:rsidR="007E3D39" w:rsidRDefault="007E3D39" w:rsidP="007E3D39">
      <w:pPr>
        <w:rPr>
          <w:rFonts w:ascii="Times New Roman" w:hAnsi="Times New Roman" w:cs="Times New Roman"/>
          <w:sz w:val="24"/>
          <w:szCs w:val="24"/>
        </w:rPr>
      </w:pPr>
      <w:r w:rsidRPr="004258B8">
        <w:rPr>
          <w:rFonts w:ascii="Times New Roman" w:hAnsi="Times New Roman" w:cs="Times New Roman"/>
          <w:sz w:val="24"/>
          <w:szCs w:val="24"/>
        </w:rPr>
        <w:t>(Fuente: IFM Blog -</w:t>
      </w:r>
      <w:r>
        <w:rPr>
          <w:rFonts w:ascii="Times New Roman" w:hAnsi="Times New Roman" w:cs="Times New Roman"/>
          <w:b/>
          <w:sz w:val="24"/>
          <w:szCs w:val="24"/>
        </w:rPr>
        <w:t xml:space="preserve"> 16/12/21</w:t>
      </w:r>
      <w:r>
        <w:rPr>
          <w:rFonts w:ascii="Times New Roman" w:hAnsi="Times New Roman" w:cs="Times New Roman"/>
          <w:sz w:val="24"/>
          <w:szCs w:val="24"/>
        </w:rPr>
        <w:t>)</w:t>
      </w:r>
    </w:p>
    <w:p w:rsidR="007E3D39" w:rsidRPr="00CE5311" w:rsidRDefault="007E3D39" w:rsidP="007E3D39">
      <w:pPr>
        <w:spacing w:line="240" w:lineRule="auto"/>
        <w:jc w:val="both"/>
        <w:rPr>
          <w:rFonts w:ascii="Times New Roman" w:hAnsi="Times New Roman" w:cs="Times New Roman"/>
          <w:sz w:val="24"/>
          <w:szCs w:val="24"/>
        </w:rPr>
      </w:pPr>
      <w:r w:rsidRPr="00CE5311">
        <w:rPr>
          <w:rFonts w:ascii="Times New Roman" w:hAnsi="Times New Roman" w:cs="Times New Roman"/>
          <w:sz w:val="24"/>
          <w:szCs w:val="24"/>
        </w:rPr>
        <w:t>En 2020 se produjo el mayor aumento de la deuda en un año desde la Segunda Guerra Mundial: la crisis financiera mundial y la profunda recesión hicieron que la deuda mundial aumente a USD 226 billones. Antes de la crisis el nivel de endeudamiento ya era elevado, pero ahora los gobiernos se enfrentan a un mundo con niveles inusitadamente altos de deuda pública y privada, nuevas mutaciones del virus y creciente inflación.</w:t>
      </w:r>
    </w:p>
    <w:p w:rsidR="007E3D39" w:rsidRPr="00CE5311" w:rsidRDefault="007E3D39" w:rsidP="007E3D39">
      <w:pPr>
        <w:spacing w:line="240" w:lineRule="auto"/>
        <w:jc w:val="both"/>
        <w:rPr>
          <w:rFonts w:ascii="Times New Roman" w:hAnsi="Times New Roman" w:cs="Times New Roman"/>
          <w:sz w:val="24"/>
          <w:szCs w:val="24"/>
        </w:rPr>
      </w:pPr>
      <w:r w:rsidRPr="00CE5311">
        <w:rPr>
          <w:rFonts w:ascii="Times New Roman" w:hAnsi="Times New Roman" w:cs="Times New Roman"/>
          <w:sz w:val="24"/>
          <w:szCs w:val="24"/>
        </w:rPr>
        <w:t>La deuda mundial aumentó 28 puntos porcentuales, a 256% del PIB, en 2020, según la última actualización de la base de datos del FMI sobre deuda mundial.</w:t>
      </w:r>
    </w:p>
    <w:p w:rsidR="007E3D39" w:rsidRPr="00CE5311" w:rsidRDefault="007E3D39" w:rsidP="007E3D39">
      <w:pPr>
        <w:spacing w:line="240" w:lineRule="auto"/>
        <w:jc w:val="both"/>
        <w:rPr>
          <w:rFonts w:ascii="Times New Roman" w:hAnsi="Times New Roman" w:cs="Times New Roman"/>
          <w:sz w:val="24"/>
          <w:szCs w:val="24"/>
        </w:rPr>
      </w:pPr>
      <w:r w:rsidRPr="00CE5311">
        <w:rPr>
          <w:rFonts w:ascii="Times New Roman" w:hAnsi="Times New Roman" w:cs="Times New Roman"/>
          <w:sz w:val="24"/>
          <w:szCs w:val="24"/>
        </w:rPr>
        <w:t>El endeudamiento púbico contribuyó un poco más de la mitad del aumento, y el coeficiente de deuda pública se disparó a un nivel sin precedentes de 99% del PIB. La deuda privada de empresas no financieras y hogares también alcanzó nuevos máximos.</w:t>
      </w:r>
    </w:p>
    <w:p w:rsidR="007E3D39" w:rsidRDefault="007E3D39" w:rsidP="007E3D39">
      <w:pPr>
        <w:spacing w:line="240" w:lineRule="auto"/>
        <w:jc w:val="both"/>
        <w:rPr>
          <w:rFonts w:ascii="Times New Roman" w:hAnsi="Times New Roman" w:cs="Times New Roman"/>
          <w:sz w:val="24"/>
          <w:szCs w:val="24"/>
        </w:rPr>
      </w:pPr>
      <w:r w:rsidRPr="00CE5311">
        <w:rPr>
          <w:rFonts w:ascii="Times New Roman" w:hAnsi="Times New Roman" w:cs="Times New Roman"/>
          <w:sz w:val="24"/>
          <w:szCs w:val="24"/>
        </w:rPr>
        <w:t>Los aumentos de la deuda fueron especialmente notables en las economías avanzadas, donde la deuda pública subió de alrededor de 70% del PIB, en 2007, a 124% del PIB en 2020. La deuda privada aumentó a un ritmo más moderado, de 164% a 178% del PIB, en el mismo período.</w:t>
      </w:r>
    </w:p>
    <w:p w:rsidR="007E3D39" w:rsidRDefault="007E3D39" w:rsidP="007E3D39">
      <w:pPr>
        <w:spacing w:line="240" w:lineRule="auto"/>
        <w:jc w:val="both"/>
        <w:rPr>
          <w:rFonts w:ascii="Times New Roman" w:hAnsi="Times New Roman" w:cs="Times New Roman"/>
          <w:sz w:val="24"/>
          <w:szCs w:val="24"/>
        </w:rPr>
      </w:pPr>
      <w:r w:rsidRPr="00CE5311">
        <w:rPr>
          <w:rFonts w:ascii="Times New Roman" w:hAnsi="Times New Roman" w:cs="Times New Roman"/>
          <w:noProof/>
          <w:sz w:val="24"/>
          <w:szCs w:val="24"/>
          <w:lang w:eastAsia="es-ES"/>
        </w:rPr>
        <w:drawing>
          <wp:inline distT="0" distB="0" distL="0" distR="0" wp14:anchorId="2671EE01" wp14:editId="7BC461D2">
            <wp:extent cx="5727700" cy="4584700"/>
            <wp:effectExtent l="0" t="0" r="6350" b="635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2"/>
                    <a:stretch>
                      <a:fillRect/>
                    </a:stretch>
                  </pic:blipFill>
                  <pic:spPr>
                    <a:xfrm>
                      <a:off x="0" y="0"/>
                      <a:ext cx="5731510" cy="4587750"/>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sidRPr="00CE5311">
        <w:rPr>
          <w:rFonts w:ascii="Times New Roman" w:hAnsi="Times New Roman" w:cs="Times New Roman"/>
          <w:sz w:val="24"/>
          <w:szCs w:val="24"/>
        </w:rPr>
        <w:t xml:space="preserve">La deuda pública ahora representa casi el 40% de la deuda mundial total, la mayor proporción desde mediados de los años sesenta. La acumulación de deuda pública desde 2007 obedece </w:t>
      </w:r>
      <w:r w:rsidRPr="00CE5311">
        <w:rPr>
          <w:rFonts w:ascii="Times New Roman" w:hAnsi="Times New Roman" w:cs="Times New Roman"/>
          <w:sz w:val="24"/>
          <w:szCs w:val="24"/>
        </w:rPr>
        <w:lastRenderedPageBreak/>
        <w:t>en gran medida a dos graves crisis económicas que los gobiernos han tenido que afrontar: primero la crisis financiera mundial y luego la pandemia de COVID-19</w:t>
      </w:r>
      <w:r>
        <w:rPr>
          <w:rFonts w:ascii="Times New Roman" w:hAnsi="Times New Roman" w:cs="Times New Roman"/>
          <w:sz w:val="24"/>
          <w:szCs w:val="24"/>
        </w:rPr>
        <w:t>…</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L</w:t>
      </w:r>
      <w:r w:rsidRPr="00CE5311">
        <w:rPr>
          <w:rFonts w:ascii="Times New Roman" w:hAnsi="Times New Roman" w:cs="Times New Roman"/>
          <w:sz w:val="24"/>
          <w:szCs w:val="24"/>
        </w:rPr>
        <w:t>a dinámica de la deuda varía marcadamente de un país a otro. Las economías avanzadas y China representaron más del 90% de los USD 28 billones en que aumentó la deuda en 2020. Estos países pudieron incrementar la deuda pública y privada durante la pandemia gracias a las bajas tasas de interés, las medidas de los bancos centrales (incluidas importantes compras de deuda pública) y los mercados financieros bien desarrollados</w:t>
      </w:r>
      <w:r>
        <w:rPr>
          <w:rFonts w:ascii="Times New Roman" w:hAnsi="Times New Roman" w:cs="Times New Roman"/>
          <w:sz w:val="24"/>
          <w:szCs w:val="24"/>
        </w:rPr>
        <w:t>…</w:t>
      </w:r>
    </w:p>
    <w:p w:rsidR="007E3D39" w:rsidRPr="00CE5311" w:rsidRDefault="007E3D39" w:rsidP="007E3D39">
      <w:pPr>
        <w:spacing w:line="240" w:lineRule="auto"/>
        <w:jc w:val="both"/>
        <w:rPr>
          <w:rFonts w:ascii="Times New Roman" w:hAnsi="Times New Roman" w:cs="Times New Roman"/>
          <w:sz w:val="24"/>
          <w:szCs w:val="24"/>
        </w:rPr>
      </w:pPr>
      <w:r w:rsidRPr="00CE5311">
        <w:rPr>
          <w:rFonts w:ascii="Times New Roman" w:hAnsi="Times New Roman" w:cs="Times New Roman"/>
          <w:sz w:val="24"/>
          <w:szCs w:val="24"/>
        </w:rPr>
        <w:t>Las tendencias generales dejan entrever dos fenómenos:</w:t>
      </w:r>
    </w:p>
    <w:p w:rsidR="007E3D39" w:rsidRDefault="007E3D39" w:rsidP="007E3D39">
      <w:pPr>
        <w:spacing w:line="240" w:lineRule="auto"/>
        <w:jc w:val="both"/>
        <w:rPr>
          <w:rFonts w:ascii="Times New Roman" w:hAnsi="Times New Roman" w:cs="Times New Roman"/>
          <w:sz w:val="24"/>
          <w:szCs w:val="24"/>
        </w:rPr>
      </w:pPr>
      <w:r w:rsidRPr="00CE5311">
        <w:rPr>
          <w:rFonts w:ascii="Times New Roman" w:hAnsi="Times New Roman" w:cs="Times New Roman"/>
          <w:sz w:val="24"/>
          <w:szCs w:val="24"/>
        </w:rPr>
        <w:t>En las economías avanzadas, los déficits fiscales se dispararon por el desplome de los ingresos a causa de la recesión y la adopción de amplias medidas fiscales ante la propagación de la COVID-19. La deuda pública creció 19 puntos porcentuales del PIB en 2020, un aumento semejante al registrado durante la crisis financiera mundial, en un período de dos años: 2008 y 2009. La deuda privada, sin embargo, aumentó 14 puntos porcentuales del PIB en 2020, casi el doble que durante la crisis financiera mundial, debido a la diferente naturaleza de las dos crisis. Durante la pandemia, los gobiernos y los bancos centrales facilitaron un mayor endeudamiento del sector privado para ayudar a proteger vidas y medios de vida. Durante la crisis financiera mundial el desafío consistía, en cambio, en contener los daños infligidos por un sector privado demasiado apalancado</w:t>
      </w:r>
      <w:r>
        <w:rPr>
          <w:rFonts w:ascii="Times New Roman" w:hAnsi="Times New Roman" w:cs="Times New Roman"/>
          <w:sz w:val="24"/>
          <w:szCs w:val="24"/>
        </w:rPr>
        <w:t>…</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CE5311">
        <w:rPr>
          <w:rFonts w:ascii="Times New Roman" w:hAnsi="Times New Roman" w:cs="Times New Roman"/>
          <w:noProof/>
          <w:sz w:val="24"/>
          <w:szCs w:val="24"/>
          <w:lang w:eastAsia="es-ES"/>
        </w:rPr>
        <w:drawing>
          <wp:inline distT="0" distB="0" distL="0" distR="0" wp14:anchorId="0246580E" wp14:editId="5FACB666">
            <wp:extent cx="4711700" cy="5143500"/>
            <wp:effectExtent l="0" t="0" r="0" b="0"/>
            <wp:docPr id="36" name="Imagen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3"/>
                    <a:stretch>
                      <a:fillRect/>
                    </a:stretch>
                  </pic:blipFill>
                  <pic:spPr>
                    <a:xfrm>
                      <a:off x="0" y="0"/>
                      <a:ext cx="4715533" cy="5147684"/>
                    </a:xfrm>
                    <a:prstGeom prst="rect">
                      <a:avLst/>
                    </a:prstGeom>
                  </pic:spPr>
                </pic:pic>
              </a:graphicData>
            </a:graphic>
          </wp:inline>
        </w:drawing>
      </w:r>
    </w:p>
    <w:p w:rsidR="007E3D39" w:rsidRPr="007E430C"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Un equilibrio difícil</w:t>
      </w:r>
    </w:p>
    <w:p w:rsidR="007E3D39" w:rsidRDefault="007E3D39" w:rsidP="007E3D39">
      <w:pPr>
        <w:spacing w:line="240" w:lineRule="auto"/>
        <w:jc w:val="both"/>
        <w:rPr>
          <w:rFonts w:ascii="Times New Roman" w:hAnsi="Times New Roman" w:cs="Times New Roman"/>
          <w:sz w:val="24"/>
          <w:szCs w:val="24"/>
        </w:rPr>
      </w:pPr>
      <w:r w:rsidRPr="007E430C">
        <w:rPr>
          <w:rFonts w:ascii="Times New Roman" w:hAnsi="Times New Roman" w:cs="Times New Roman"/>
          <w:sz w:val="24"/>
          <w:szCs w:val="24"/>
        </w:rPr>
        <w:t>El fuerte aumento de la deuda estuvo justificado por la necesidad de proteger la vida de las personas, preservar los empleos y evitar oleadas de quiebras. Si los gobiernos no hubieran tomado medidas, las consecuencias sociales y económicas habrían sido devastadoras.</w:t>
      </w:r>
    </w:p>
    <w:p w:rsidR="007E3D39" w:rsidRPr="007E430C" w:rsidRDefault="007E3D39" w:rsidP="007E3D39">
      <w:pPr>
        <w:spacing w:line="240" w:lineRule="auto"/>
        <w:jc w:val="both"/>
        <w:rPr>
          <w:rFonts w:ascii="Times New Roman" w:hAnsi="Times New Roman" w:cs="Times New Roman"/>
          <w:sz w:val="24"/>
          <w:szCs w:val="24"/>
        </w:rPr>
      </w:pPr>
      <w:r w:rsidRPr="007E430C">
        <w:rPr>
          <w:rFonts w:ascii="Times New Roman" w:hAnsi="Times New Roman" w:cs="Times New Roman"/>
          <w:sz w:val="24"/>
          <w:szCs w:val="24"/>
        </w:rPr>
        <w:t>Pero la escalada de la deuda amplifica las vulnerabilidades, sobre todo a medida que las condiciones de financiamiento se tornan restrictivas. Los mayores niveles de endeudamiento limitan en muchos casos la capacidad de los gobiernos para apoyar la recuperación y la capacidad del sector privado para invertir a mediano</w:t>
      </w:r>
      <w:r>
        <w:rPr>
          <w:rFonts w:ascii="Times New Roman" w:hAnsi="Times New Roman" w:cs="Times New Roman"/>
          <w:sz w:val="24"/>
          <w:szCs w:val="24"/>
        </w:rPr>
        <w:t xml:space="preserve"> plazo.</w:t>
      </w:r>
    </w:p>
    <w:p w:rsidR="007E3D39" w:rsidRDefault="007E3D39" w:rsidP="007E3D39">
      <w:pPr>
        <w:spacing w:line="240" w:lineRule="auto"/>
        <w:jc w:val="both"/>
        <w:rPr>
          <w:rFonts w:ascii="Times New Roman" w:hAnsi="Times New Roman" w:cs="Times New Roman"/>
          <w:sz w:val="24"/>
          <w:szCs w:val="24"/>
        </w:rPr>
      </w:pPr>
      <w:r w:rsidRPr="007E430C">
        <w:rPr>
          <w:rFonts w:ascii="Times New Roman" w:hAnsi="Times New Roman" w:cs="Times New Roman"/>
          <w:sz w:val="24"/>
          <w:szCs w:val="24"/>
        </w:rPr>
        <w:t>Un desafío crucial radica en encontrar la combinación justa de políticas fiscales y monetarias en un entorno de deuda elevada y creciente inflación. Las políticas fiscales y monetarias afortunadamente se complementaron durante los peores momentos de la pandemia. Las medidas de los bancos centrales, sobre todo en las economías avanzadas, hicieron que las tasas de interés descendieran al límite y que a los gobiernos les resultara más fácil endeudarse.</w:t>
      </w:r>
    </w:p>
    <w:p w:rsidR="007E3D39" w:rsidRPr="007E430C" w:rsidRDefault="007E3D39" w:rsidP="007E3D39">
      <w:pPr>
        <w:spacing w:line="240" w:lineRule="auto"/>
        <w:jc w:val="both"/>
        <w:rPr>
          <w:rFonts w:ascii="Times New Roman" w:hAnsi="Times New Roman" w:cs="Times New Roman"/>
          <w:sz w:val="24"/>
          <w:szCs w:val="24"/>
        </w:rPr>
      </w:pPr>
      <w:r w:rsidRPr="007E430C">
        <w:rPr>
          <w:rFonts w:ascii="Times New Roman" w:hAnsi="Times New Roman" w:cs="Times New Roman"/>
          <w:sz w:val="24"/>
          <w:szCs w:val="24"/>
        </w:rPr>
        <w:t>La política monetaria ahora está reorientándose, como es debido, hacia el aumento de la inflación y las expectativas inflacionarias. Aunque es cierto que un aumento de la inflación, y del PIB nominal, ayuda a reducir los coeficientes de deuda en algunos casos, es poco probable que sustente una disminución significativa de la deuda. A medida que los bancos centrales elevan las tasas de interés para evitar una inflación alta y persistente, los costos de endeudamiento aumentan</w:t>
      </w:r>
      <w:r>
        <w:rPr>
          <w:rFonts w:ascii="Times New Roman" w:hAnsi="Times New Roman" w:cs="Times New Roman"/>
          <w:sz w:val="24"/>
          <w:szCs w:val="24"/>
        </w:rPr>
        <w:t xml:space="preserve">… </w:t>
      </w:r>
      <w:r w:rsidRPr="007E430C">
        <w:rPr>
          <w:rFonts w:ascii="Times New Roman" w:hAnsi="Times New Roman" w:cs="Times New Roman"/>
          <w:sz w:val="24"/>
          <w:szCs w:val="24"/>
        </w:rPr>
        <w:t xml:space="preserve">Los bancos centrales también están previendo reducir sus cuantiosas compras de deuda pública y otros activos en las economías avanzadas, pero la forma en que procedan tendrá implicaciones para la recuperación </w:t>
      </w:r>
      <w:r>
        <w:rPr>
          <w:rFonts w:ascii="Times New Roman" w:hAnsi="Times New Roman" w:cs="Times New Roman"/>
          <w:sz w:val="24"/>
          <w:szCs w:val="24"/>
        </w:rPr>
        <w:t>económica y la política fiscal.</w:t>
      </w:r>
    </w:p>
    <w:p w:rsidR="007E3D39" w:rsidRDefault="007E3D39" w:rsidP="007E3D39">
      <w:pPr>
        <w:spacing w:line="240" w:lineRule="auto"/>
        <w:jc w:val="both"/>
        <w:rPr>
          <w:rFonts w:ascii="Times New Roman" w:hAnsi="Times New Roman" w:cs="Times New Roman"/>
          <w:sz w:val="24"/>
          <w:szCs w:val="24"/>
        </w:rPr>
      </w:pPr>
      <w:r w:rsidRPr="007E430C">
        <w:rPr>
          <w:rFonts w:ascii="Times New Roman" w:hAnsi="Times New Roman" w:cs="Times New Roman"/>
          <w:sz w:val="24"/>
          <w:szCs w:val="24"/>
        </w:rPr>
        <w:t>La política fiscal deberá modificarse conforme suban las tasas de interés, sobre todo en los países con mayores vulnerabilidades de deuda. Como muestra la historia, el apoyo fiscal perderá eficacia cuando las tasas de interés reaccionen; es decir el mayor gasto (o la reducción de los impuestos) incidirá menos en la actividad económica y el empleo, y podría generar presiones inflacionarias. También es posible que se agudicen las preocupaciones en torno a la sostenibilidad de la deuda</w:t>
      </w:r>
      <w:r>
        <w:rPr>
          <w:rFonts w:ascii="Times New Roman" w:hAnsi="Times New Roman" w:cs="Times New Roman"/>
          <w:sz w:val="24"/>
          <w:szCs w:val="24"/>
        </w:rPr>
        <w:t>…</w:t>
      </w:r>
    </w:p>
    <w:p w:rsidR="007E3D39" w:rsidRPr="007E430C" w:rsidRDefault="007E3D39" w:rsidP="007E3D39">
      <w:pPr>
        <w:spacing w:line="240" w:lineRule="auto"/>
        <w:jc w:val="both"/>
        <w:rPr>
          <w:rFonts w:ascii="Times New Roman" w:hAnsi="Times New Roman" w:cs="Times New Roman"/>
          <w:sz w:val="24"/>
          <w:szCs w:val="24"/>
        </w:rPr>
      </w:pPr>
      <w:r w:rsidRPr="007E430C">
        <w:rPr>
          <w:rFonts w:ascii="Times New Roman" w:hAnsi="Times New Roman" w:cs="Times New Roman"/>
          <w:sz w:val="24"/>
          <w:szCs w:val="24"/>
        </w:rPr>
        <w:t>Los riesgos se verán amplificados si las tasas de interés mundiales aumentan más rápido de lo previsto y si el crecimiento es vacilante. Un endurecimiento importante de las condiciones financieras agudizaría la presión sobre los gobiernos, los hogares y las empresas más endeudados. Si los sectores público y privado se ven obligados a desapalancarse simultáneamente, las perspectiv</w:t>
      </w:r>
      <w:r>
        <w:rPr>
          <w:rFonts w:ascii="Times New Roman" w:hAnsi="Times New Roman" w:cs="Times New Roman"/>
          <w:sz w:val="24"/>
          <w:szCs w:val="24"/>
        </w:rPr>
        <w:t>as de crecimiento se empañarán.</w:t>
      </w:r>
    </w:p>
    <w:p w:rsidR="007E3D39" w:rsidRDefault="007E3D39" w:rsidP="007E3D39">
      <w:pPr>
        <w:spacing w:line="240" w:lineRule="auto"/>
        <w:jc w:val="both"/>
        <w:rPr>
          <w:rFonts w:ascii="Times New Roman" w:hAnsi="Times New Roman" w:cs="Times New Roman"/>
          <w:sz w:val="24"/>
          <w:szCs w:val="24"/>
        </w:rPr>
      </w:pPr>
      <w:r w:rsidRPr="007E430C">
        <w:rPr>
          <w:rFonts w:ascii="Times New Roman" w:hAnsi="Times New Roman" w:cs="Times New Roman"/>
          <w:sz w:val="24"/>
          <w:szCs w:val="24"/>
        </w:rPr>
        <w:t>Ante las perspectivas inciertas y el agravamiento de las vulnerabilidades lo crucial será encontrar un equilibrio adecuado entre la flexibilidad de las políticas, la agilidad para adaptarse a las circunstancias cambiantes y el compromiso con planes fiscales a mediano plazo</w:t>
      </w:r>
      <w:r>
        <w:rPr>
          <w:rFonts w:ascii="Times New Roman" w:hAnsi="Times New Roman" w:cs="Times New Roman"/>
          <w:sz w:val="24"/>
          <w:szCs w:val="24"/>
        </w:rPr>
        <w:t>,</w:t>
      </w:r>
      <w:r w:rsidRPr="007E430C">
        <w:rPr>
          <w:rFonts w:ascii="Times New Roman" w:hAnsi="Times New Roman" w:cs="Times New Roman"/>
          <w:sz w:val="24"/>
          <w:szCs w:val="24"/>
        </w:rPr>
        <w:t xml:space="preserve"> creíbles y sostenibles. Esta estrategia reduciría las vulnerabilidades de la deuda y facilitaría la tarea de los bancos centrales de contener la inflación.</w:t>
      </w:r>
    </w:p>
    <w:p w:rsidR="007E3D39" w:rsidRDefault="007E3D39" w:rsidP="007E3D39">
      <w:pPr>
        <w:spacing w:line="240" w:lineRule="auto"/>
        <w:jc w:val="both"/>
        <w:rPr>
          <w:rFonts w:ascii="Times New Roman" w:hAnsi="Times New Roman" w:cs="Times New Roman"/>
          <w:sz w:val="24"/>
          <w:szCs w:val="24"/>
        </w:rPr>
      </w:pPr>
    </w:p>
    <w:p w:rsidR="007E3D39" w:rsidRDefault="007E3D39" w:rsidP="007E3D39">
      <w:pPr>
        <w:spacing w:line="240" w:lineRule="auto"/>
        <w:jc w:val="both"/>
        <w:rPr>
          <w:rFonts w:ascii="Times New Roman" w:hAnsi="Times New Roman" w:cs="Times New Roman"/>
          <w:sz w:val="24"/>
          <w:szCs w:val="24"/>
        </w:rPr>
      </w:pPr>
    </w:p>
    <w:p w:rsidR="007E3D39" w:rsidRDefault="007E3D39" w:rsidP="007E3D39">
      <w:pPr>
        <w:rPr>
          <w:rFonts w:ascii="Times New Roman" w:hAnsi="Times New Roman" w:cs="Times New Roman"/>
          <w:sz w:val="24"/>
          <w:szCs w:val="24"/>
        </w:rPr>
      </w:pPr>
    </w:p>
    <w:p w:rsidR="007E3D39" w:rsidRDefault="007E3D39" w:rsidP="007E3D39">
      <w:pPr>
        <w:rPr>
          <w:rFonts w:ascii="Times New Roman" w:hAnsi="Times New Roman" w:cs="Times New Roman"/>
          <w:b/>
          <w:sz w:val="24"/>
          <w:szCs w:val="24"/>
        </w:rPr>
      </w:pPr>
      <w:r w:rsidRPr="004258B8">
        <w:rPr>
          <w:rFonts w:ascii="Times New Roman" w:hAnsi="Times New Roman" w:cs="Times New Roman"/>
          <w:b/>
          <w:sz w:val="24"/>
          <w:szCs w:val="24"/>
        </w:rPr>
        <w:lastRenderedPageBreak/>
        <w:t xml:space="preserve">Los altibajos de la deuda en el mundo  </w:t>
      </w:r>
    </w:p>
    <w:p w:rsidR="007E3D39" w:rsidRPr="004258B8" w:rsidRDefault="007E3D39" w:rsidP="007E3D39">
      <w:pPr>
        <w:rPr>
          <w:rFonts w:ascii="Times New Roman" w:hAnsi="Times New Roman" w:cs="Times New Roman"/>
          <w:sz w:val="24"/>
          <w:szCs w:val="24"/>
        </w:rPr>
      </w:pPr>
      <w:r w:rsidRPr="004258B8">
        <w:rPr>
          <w:rFonts w:ascii="Times New Roman" w:hAnsi="Times New Roman" w:cs="Times New Roman"/>
          <w:sz w:val="24"/>
          <w:szCs w:val="24"/>
        </w:rPr>
        <w:t>(Fuente: IFM Blog -</w:t>
      </w:r>
      <w:r>
        <w:rPr>
          <w:rFonts w:ascii="Times New Roman" w:hAnsi="Times New Roman" w:cs="Times New Roman"/>
          <w:b/>
          <w:sz w:val="24"/>
          <w:szCs w:val="24"/>
        </w:rPr>
        <w:t xml:space="preserve"> 16/12/22</w:t>
      </w:r>
      <w:r>
        <w:rPr>
          <w:rFonts w:ascii="Times New Roman" w:hAnsi="Times New Roman" w:cs="Times New Roman"/>
          <w:sz w:val="24"/>
          <w:szCs w:val="24"/>
        </w:rPr>
        <w:t>)</w:t>
      </w:r>
    </w:p>
    <w:p w:rsidR="007E3D39" w:rsidRDefault="007E3D39" w:rsidP="007E3D39">
      <w:pPr>
        <w:spacing w:line="240" w:lineRule="auto"/>
        <w:jc w:val="both"/>
        <w:rPr>
          <w:rFonts w:ascii="Times New Roman" w:hAnsi="Times New Roman" w:cs="Times New Roman"/>
          <w:sz w:val="24"/>
          <w:szCs w:val="24"/>
        </w:rPr>
      </w:pPr>
      <w:r w:rsidRPr="004258B8">
        <w:rPr>
          <w:rFonts w:ascii="Times New Roman" w:hAnsi="Times New Roman" w:cs="Times New Roman"/>
          <w:sz w:val="24"/>
          <w:szCs w:val="24"/>
        </w:rPr>
        <w:t>El debilitamiento de las perspectivas de crecimiento y el endurecimiento de la política monetaria exigen prudencia a la hora de gestionar la deuda y ejecutar la política fiscal</w:t>
      </w:r>
      <w:r>
        <w:rPr>
          <w:rFonts w:ascii="Times New Roman" w:hAnsi="Times New Roman" w:cs="Times New Roman"/>
          <w:sz w:val="24"/>
          <w:szCs w:val="24"/>
        </w:rPr>
        <w:t>…</w:t>
      </w:r>
    </w:p>
    <w:p w:rsidR="007E3D39" w:rsidRPr="00955BC0" w:rsidRDefault="007E3D39" w:rsidP="007E3D39">
      <w:pPr>
        <w:spacing w:line="240" w:lineRule="auto"/>
        <w:jc w:val="both"/>
        <w:rPr>
          <w:rFonts w:ascii="Times New Roman" w:hAnsi="Times New Roman" w:cs="Times New Roman"/>
          <w:sz w:val="24"/>
          <w:szCs w:val="24"/>
        </w:rPr>
      </w:pPr>
      <w:r w:rsidRPr="00955BC0">
        <w:rPr>
          <w:rFonts w:ascii="Times New Roman" w:hAnsi="Times New Roman" w:cs="Times New Roman"/>
          <w:sz w:val="24"/>
          <w:szCs w:val="24"/>
        </w:rPr>
        <w:t>En 2021, la deuda mundial se mantuvo por encima de los niveles previos a la pandemia, incluso tras registrar la caída más pronunciada de los últimos 70 años, lo cual subraya las dificultades que enfrentan los respons</w:t>
      </w:r>
      <w:r>
        <w:rPr>
          <w:rFonts w:ascii="Times New Roman" w:hAnsi="Times New Roman" w:cs="Times New Roman"/>
          <w:sz w:val="24"/>
          <w:szCs w:val="24"/>
        </w:rPr>
        <w:t>ables de la política económica.</w:t>
      </w:r>
    </w:p>
    <w:p w:rsidR="007E3D39" w:rsidRPr="004258B8" w:rsidRDefault="007E3D39" w:rsidP="007E3D39">
      <w:pPr>
        <w:spacing w:line="240" w:lineRule="auto"/>
        <w:jc w:val="both"/>
        <w:rPr>
          <w:rFonts w:ascii="Times New Roman" w:hAnsi="Times New Roman" w:cs="Times New Roman"/>
          <w:sz w:val="24"/>
          <w:szCs w:val="24"/>
        </w:rPr>
      </w:pPr>
      <w:r w:rsidRPr="00955BC0">
        <w:rPr>
          <w:rFonts w:ascii="Times New Roman" w:hAnsi="Times New Roman" w:cs="Times New Roman"/>
          <w:sz w:val="24"/>
          <w:szCs w:val="24"/>
        </w:rPr>
        <w:t>La deuda pública y privada total disminuyó en 2021 el equivalente al 247% del producto interno bruto mundial, con una caída de 10 puntos porcentuales con respecto a su nivel máximo de 2020, según la última actualización de la Base de datos sobre la deuda mundial del FMI. No obstante, la deuda mundial expresada en dólares de Estados Unidos siguió aumentando, aunque a un ritmo muy inferior, y alcanzó los USD 235 billones el año pasado.</w:t>
      </w:r>
    </w:p>
    <w:p w:rsidR="007E3D39" w:rsidRDefault="007E3D39" w:rsidP="007E3D39">
      <w:pPr>
        <w:rPr>
          <w:rFonts w:ascii="Times New Roman" w:hAnsi="Times New Roman" w:cs="Times New Roman"/>
          <w:sz w:val="24"/>
          <w:szCs w:val="24"/>
        </w:rPr>
      </w:pPr>
      <w:r w:rsidRPr="00955BC0">
        <w:rPr>
          <w:rFonts w:ascii="Times New Roman" w:hAnsi="Times New Roman" w:cs="Times New Roman"/>
          <w:noProof/>
          <w:sz w:val="24"/>
          <w:szCs w:val="24"/>
          <w:lang w:eastAsia="es-ES"/>
        </w:rPr>
        <w:drawing>
          <wp:inline distT="0" distB="0" distL="0" distR="0" wp14:anchorId="617823E5" wp14:editId="5905FDE7">
            <wp:extent cx="5727937" cy="4965700"/>
            <wp:effectExtent l="0" t="0" r="6350" b="635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4"/>
                    <a:stretch>
                      <a:fillRect/>
                    </a:stretch>
                  </pic:blipFill>
                  <pic:spPr>
                    <a:xfrm>
                      <a:off x="0" y="0"/>
                      <a:ext cx="5731510" cy="4968797"/>
                    </a:xfrm>
                    <a:prstGeom prst="rect">
                      <a:avLst/>
                    </a:prstGeom>
                  </pic:spPr>
                </pic:pic>
              </a:graphicData>
            </a:graphic>
          </wp:inline>
        </w:drawing>
      </w:r>
    </w:p>
    <w:p w:rsidR="007E3D39" w:rsidRPr="004258B8" w:rsidRDefault="007E3D39" w:rsidP="007E3D39">
      <w:pPr>
        <w:spacing w:line="240" w:lineRule="auto"/>
        <w:jc w:val="both"/>
        <w:rPr>
          <w:rFonts w:ascii="Times New Roman" w:hAnsi="Times New Roman" w:cs="Times New Roman"/>
          <w:sz w:val="24"/>
          <w:szCs w:val="24"/>
        </w:rPr>
      </w:pPr>
      <w:r w:rsidRPr="00955BC0">
        <w:rPr>
          <w:rFonts w:ascii="Times New Roman" w:hAnsi="Times New Roman" w:cs="Times New Roman"/>
          <w:sz w:val="24"/>
          <w:szCs w:val="24"/>
        </w:rPr>
        <w:t>Las fluctuaciones de los coeficientes de endeudamiento, inusualmente grandes, están provocadas por el repunte económico tras la COVID-19 y el consiguiente rápido aumento de la inflación. De todos modos, al final de 2021 la deuda mundial seguía casi un 19% el PIB por encima de los niveles anteriores a la pandemia, lo que plantea dificultades a los responsables de la política económica en todo el mundo.</w:t>
      </w:r>
    </w:p>
    <w:p w:rsidR="007E3D39" w:rsidRDefault="007E3D39" w:rsidP="007E3D39">
      <w:pPr>
        <w:rPr>
          <w:rFonts w:ascii="Times New Roman" w:hAnsi="Times New Roman" w:cs="Times New Roman"/>
          <w:sz w:val="24"/>
          <w:szCs w:val="24"/>
        </w:rPr>
      </w:pPr>
      <w:r w:rsidRPr="00955BC0">
        <w:rPr>
          <w:rFonts w:ascii="Times New Roman" w:hAnsi="Times New Roman" w:cs="Times New Roman"/>
          <w:noProof/>
          <w:sz w:val="24"/>
          <w:szCs w:val="24"/>
          <w:lang w:eastAsia="es-ES"/>
        </w:rPr>
        <w:lastRenderedPageBreak/>
        <w:drawing>
          <wp:inline distT="0" distB="0" distL="0" distR="0" wp14:anchorId="235D7130" wp14:editId="52CC047F">
            <wp:extent cx="5731708" cy="5251450"/>
            <wp:effectExtent l="0" t="0" r="2540" b="635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5"/>
                    <a:stretch>
                      <a:fillRect/>
                    </a:stretch>
                  </pic:blipFill>
                  <pic:spPr>
                    <a:xfrm>
                      <a:off x="0" y="0"/>
                      <a:ext cx="5731510" cy="5251269"/>
                    </a:xfrm>
                    <a:prstGeom prst="rect">
                      <a:avLst/>
                    </a:prstGeom>
                  </pic:spPr>
                </pic:pic>
              </a:graphicData>
            </a:graphic>
          </wp:inline>
        </w:drawing>
      </w:r>
    </w:p>
    <w:p w:rsidR="007E3D39" w:rsidRPr="00955BC0" w:rsidRDefault="007E3D39" w:rsidP="007E3D39">
      <w:pPr>
        <w:shd w:val="clear" w:color="auto" w:fill="FFFFFF"/>
        <w:spacing w:after="0" w:line="240" w:lineRule="auto"/>
        <w:jc w:val="both"/>
        <w:outlineLvl w:val="1"/>
        <w:rPr>
          <w:rFonts w:ascii="Times New Roman" w:eastAsia="Times New Roman" w:hAnsi="Times New Roman" w:cs="Times New Roman"/>
          <w:bCs/>
          <w:color w:val="212529"/>
          <w:sz w:val="24"/>
          <w:szCs w:val="24"/>
          <w:lang w:eastAsia="es-ES"/>
        </w:rPr>
      </w:pPr>
      <w:r w:rsidRPr="00955BC0">
        <w:rPr>
          <w:rFonts w:ascii="Times New Roman" w:eastAsia="Times New Roman" w:hAnsi="Times New Roman" w:cs="Times New Roman"/>
          <w:bCs/>
          <w:color w:val="212529"/>
          <w:sz w:val="24"/>
          <w:szCs w:val="24"/>
          <w:lang w:eastAsia="es-ES"/>
        </w:rPr>
        <w:t>Factores relacionados con las fluctuaciones de la deuda</w:t>
      </w:r>
    </w:p>
    <w:p w:rsidR="007E3D39" w:rsidRPr="00955BC0" w:rsidRDefault="007E3D39" w:rsidP="007E3D39">
      <w:pPr>
        <w:shd w:val="clear" w:color="auto" w:fill="FFFFFF"/>
        <w:spacing w:after="0" w:line="240" w:lineRule="auto"/>
        <w:jc w:val="both"/>
        <w:outlineLvl w:val="1"/>
        <w:rPr>
          <w:rFonts w:ascii="Times New Roman" w:eastAsia="Times New Roman" w:hAnsi="Times New Roman" w:cs="Times New Roman"/>
          <w:color w:val="212529"/>
          <w:sz w:val="24"/>
          <w:szCs w:val="24"/>
          <w:lang w:eastAsia="es-ES"/>
        </w:rPr>
      </w:pPr>
    </w:p>
    <w:p w:rsidR="007E3D39" w:rsidRDefault="007E3D39" w:rsidP="007E3D39">
      <w:pPr>
        <w:shd w:val="clear" w:color="auto" w:fill="FFFFFF"/>
        <w:spacing w:after="0" w:line="240" w:lineRule="auto"/>
        <w:jc w:val="both"/>
        <w:rPr>
          <w:rFonts w:ascii="Times New Roman" w:eastAsia="Times New Roman" w:hAnsi="Times New Roman" w:cs="Times New Roman"/>
          <w:color w:val="212529"/>
          <w:sz w:val="24"/>
          <w:szCs w:val="24"/>
          <w:lang w:eastAsia="es-ES"/>
        </w:rPr>
      </w:pPr>
      <w:r w:rsidRPr="00955BC0">
        <w:rPr>
          <w:rFonts w:ascii="Times New Roman" w:eastAsia="Times New Roman" w:hAnsi="Times New Roman" w:cs="Times New Roman"/>
          <w:color w:val="212529"/>
          <w:sz w:val="24"/>
          <w:szCs w:val="24"/>
          <w:lang w:eastAsia="es-ES"/>
        </w:rPr>
        <w:t>Son tres los principales factores que explican la variación excepcionalmente amplia de la deuda tanto pública como privada en todo el mundo:</w:t>
      </w:r>
    </w:p>
    <w:p w:rsidR="007E3D39" w:rsidRPr="00955BC0" w:rsidRDefault="007E3D39" w:rsidP="007E3D39">
      <w:pPr>
        <w:shd w:val="clear" w:color="auto" w:fill="FFFFFF"/>
        <w:spacing w:after="0" w:line="240" w:lineRule="auto"/>
        <w:jc w:val="both"/>
        <w:rPr>
          <w:rFonts w:ascii="Times New Roman" w:eastAsia="Times New Roman" w:hAnsi="Times New Roman" w:cs="Times New Roman"/>
          <w:color w:val="212529"/>
          <w:sz w:val="24"/>
          <w:szCs w:val="24"/>
          <w:lang w:eastAsia="es-ES"/>
        </w:rPr>
      </w:pPr>
    </w:p>
    <w:p w:rsidR="007E3D39" w:rsidRPr="00955BC0" w:rsidRDefault="007E3D39" w:rsidP="007E3D39">
      <w:pPr>
        <w:numPr>
          <w:ilvl w:val="0"/>
          <w:numId w:val="2"/>
        </w:numPr>
        <w:shd w:val="clear" w:color="auto" w:fill="FFFFFF"/>
        <w:spacing w:after="0" w:line="240" w:lineRule="auto"/>
        <w:jc w:val="both"/>
        <w:rPr>
          <w:rFonts w:ascii="Times New Roman" w:eastAsia="Times New Roman" w:hAnsi="Times New Roman" w:cs="Times New Roman"/>
          <w:color w:val="212529"/>
          <w:sz w:val="24"/>
          <w:szCs w:val="24"/>
          <w:lang w:eastAsia="es-ES"/>
        </w:rPr>
      </w:pPr>
      <w:r w:rsidRPr="00955BC0">
        <w:rPr>
          <w:rFonts w:ascii="Times New Roman" w:eastAsia="Times New Roman" w:hAnsi="Times New Roman" w:cs="Times New Roman"/>
          <w:i/>
          <w:iCs/>
          <w:color w:val="212529"/>
          <w:sz w:val="24"/>
          <w:szCs w:val="24"/>
          <w:lang w:eastAsia="es-ES"/>
        </w:rPr>
        <w:t>Grandes fluctuaciones del crecimiento económico</w:t>
      </w:r>
      <w:r w:rsidRPr="00955BC0">
        <w:rPr>
          <w:rFonts w:ascii="Times New Roman" w:eastAsia="Times New Roman" w:hAnsi="Times New Roman" w:cs="Times New Roman"/>
          <w:color w:val="212529"/>
          <w:sz w:val="24"/>
          <w:szCs w:val="24"/>
          <w:lang w:eastAsia="es-ES"/>
        </w:rPr>
        <w:t>. La recesión económica al inicio de la pandemia contribuyó a reducir de forma pronunciada el PIB, lo cual se tradujo en un fuerte incremento de las relaciones deuda/PIB en 2020. A medida que las economías fueron dejando atrás lo peor de la pandemia, el fuerte repunte del PIB ayudó a reducir los coeficientes de endeudamiento en 2021.</w:t>
      </w:r>
    </w:p>
    <w:p w:rsidR="007E3D39" w:rsidRPr="00955BC0" w:rsidRDefault="007E3D39" w:rsidP="007E3D39">
      <w:pPr>
        <w:numPr>
          <w:ilvl w:val="0"/>
          <w:numId w:val="2"/>
        </w:numPr>
        <w:shd w:val="clear" w:color="auto" w:fill="FFFFFF"/>
        <w:spacing w:after="0" w:line="240" w:lineRule="auto"/>
        <w:jc w:val="both"/>
        <w:rPr>
          <w:rFonts w:ascii="Times New Roman" w:eastAsia="Times New Roman" w:hAnsi="Times New Roman" w:cs="Times New Roman"/>
          <w:color w:val="212529"/>
          <w:sz w:val="24"/>
          <w:szCs w:val="24"/>
          <w:lang w:eastAsia="es-ES"/>
        </w:rPr>
      </w:pPr>
      <w:r w:rsidRPr="00955BC0">
        <w:rPr>
          <w:rFonts w:ascii="Times New Roman" w:eastAsia="Times New Roman" w:hAnsi="Times New Roman" w:cs="Times New Roman"/>
          <w:i/>
          <w:iCs/>
          <w:color w:val="212529"/>
          <w:sz w:val="24"/>
          <w:szCs w:val="24"/>
          <w:lang w:eastAsia="es-ES"/>
        </w:rPr>
        <w:t>Una inflación elevada y más volátil.</w:t>
      </w:r>
      <w:r w:rsidRPr="00955BC0">
        <w:rPr>
          <w:rFonts w:ascii="Times New Roman" w:eastAsia="Times New Roman" w:hAnsi="Times New Roman" w:cs="Times New Roman"/>
          <w:color w:val="212529"/>
          <w:sz w:val="24"/>
          <w:szCs w:val="24"/>
          <w:lang w:eastAsia="es-ES"/>
        </w:rPr>
        <w:t> Del mismo modo, las tasas de inflación registraron un fuerte descenso durante el primer año de la pandemia. Esta tendencia se revirtió en 2021 por el fuerte aumento de los precios en muchos países. A lo largo de 2020 y 2021, la actividad económica y la inflación evolucionaron a la par: la inflación disminuyó y posteriormente aumentó junto con el producto. Estos factores provocaron grandes fluctuaciones del PIB nominal, que repercutieron en las variaciones de los coeficientes de endeudamiento.</w:t>
      </w:r>
    </w:p>
    <w:p w:rsidR="007E3D39" w:rsidRDefault="007E3D39" w:rsidP="007E3D39">
      <w:pPr>
        <w:numPr>
          <w:ilvl w:val="0"/>
          <w:numId w:val="2"/>
        </w:numPr>
        <w:shd w:val="clear" w:color="auto" w:fill="FFFFFF"/>
        <w:spacing w:after="0" w:line="240" w:lineRule="auto"/>
        <w:jc w:val="both"/>
        <w:rPr>
          <w:rFonts w:ascii="Times New Roman" w:eastAsia="Times New Roman" w:hAnsi="Times New Roman" w:cs="Times New Roman"/>
          <w:color w:val="212529"/>
          <w:sz w:val="24"/>
          <w:szCs w:val="24"/>
          <w:lang w:eastAsia="es-ES"/>
        </w:rPr>
      </w:pPr>
      <w:r w:rsidRPr="00955BC0">
        <w:rPr>
          <w:rFonts w:ascii="Times New Roman" w:eastAsia="Times New Roman" w:hAnsi="Times New Roman" w:cs="Times New Roman"/>
          <w:i/>
          <w:iCs/>
          <w:color w:val="212529"/>
          <w:sz w:val="24"/>
          <w:szCs w:val="24"/>
          <w:lang w:eastAsia="es-ES"/>
        </w:rPr>
        <w:t>Efectos de los shocks económicos sobre los presupuestos de gobiernos, empresas y hogares.</w:t>
      </w:r>
      <w:r w:rsidRPr="00955BC0">
        <w:rPr>
          <w:rFonts w:ascii="Times New Roman" w:eastAsia="Times New Roman" w:hAnsi="Times New Roman" w:cs="Times New Roman"/>
          <w:color w:val="212529"/>
          <w:sz w:val="24"/>
          <w:szCs w:val="24"/>
          <w:lang w:eastAsia="es-ES"/>
        </w:rPr>
        <w:t xml:space="preserve"> La volatilidad de las condiciones económicas también incidió </w:t>
      </w:r>
      <w:r w:rsidRPr="00955BC0">
        <w:rPr>
          <w:rFonts w:ascii="Times New Roman" w:eastAsia="Times New Roman" w:hAnsi="Times New Roman" w:cs="Times New Roman"/>
          <w:color w:val="212529"/>
          <w:sz w:val="24"/>
          <w:szCs w:val="24"/>
          <w:lang w:eastAsia="es-ES"/>
        </w:rPr>
        <w:lastRenderedPageBreak/>
        <w:t>considerablemente en la dinámica de la deuda a través de los presupuestos. En 2020, la deuda y los déficits se incrementaron significativamente debido a la recesión económica y las cuantiosas ayudas proporcionadas a ciudadanos y empresas. En 2021, los déficits fiscales disminuyeron, pero se mantuvieron por encima de los niveles de antes de la pandemia</w:t>
      </w:r>
      <w:r>
        <w:rPr>
          <w:rFonts w:ascii="Times New Roman" w:eastAsia="Times New Roman" w:hAnsi="Times New Roman" w:cs="Times New Roman"/>
          <w:color w:val="212529"/>
          <w:sz w:val="24"/>
          <w:szCs w:val="24"/>
          <w:lang w:eastAsia="es-ES"/>
        </w:rPr>
        <w:t>…</w:t>
      </w:r>
    </w:p>
    <w:p w:rsidR="007E3D39" w:rsidRDefault="007E3D39" w:rsidP="007E3D39">
      <w:pPr>
        <w:shd w:val="clear" w:color="auto" w:fill="FFFFFF"/>
        <w:spacing w:after="0" w:line="240" w:lineRule="auto"/>
        <w:ind w:left="360"/>
        <w:jc w:val="both"/>
        <w:rPr>
          <w:rFonts w:ascii="Times New Roman" w:eastAsia="Times New Roman" w:hAnsi="Times New Roman" w:cs="Times New Roman"/>
          <w:i/>
          <w:iCs/>
          <w:color w:val="212529"/>
          <w:sz w:val="24"/>
          <w:szCs w:val="24"/>
          <w:lang w:eastAsia="es-ES"/>
        </w:rPr>
      </w:pPr>
    </w:p>
    <w:p w:rsidR="007E3D39" w:rsidRPr="00BD05DF" w:rsidRDefault="007E3D39" w:rsidP="007E3D39">
      <w:pPr>
        <w:shd w:val="clear" w:color="auto" w:fill="FFFFFF"/>
        <w:spacing w:after="0" w:line="240" w:lineRule="auto"/>
        <w:ind w:left="360"/>
        <w:jc w:val="both"/>
        <w:rPr>
          <w:rFonts w:ascii="Times New Roman" w:eastAsia="Times New Roman" w:hAnsi="Times New Roman" w:cs="Times New Roman"/>
          <w:color w:val="212529"/>
          <w:sz w:val="24"/>
          <w:szCs w:val="24"/>
          <w:lang w:eastAsia="es-ES"/>
        </w:rPr>
      </w:pPr>
      <w:r w:rsidRPr="00BD05DF">
        <w:rPr>
          <w:rFonts w:ascii="Times New Roman" w:eastAsia="Times New Roman" w:hAnsi="Times New Roman" w:cs="Times New Roman"/>
          <w:color w:val="212529"/>
          <w:sz w:val="24"/>
          <w:szCs w:val="24"/>
          <w:lang w:eastAsia="es-ES"/>
        </w:rPr>
        <w:t>El repunte económico y el aumento de la inflación forzaron la bajada de la deuda en más de 10 puntos porcentuales del PIB en Brasil, Canadá, Estados Unidos e India, aunque la caída de la deuda efectiva fue menor a causa de las necesidades de financiamiento de los sectores gubernamental y privado</w:t>
      </w:r>
      <w:r>
        <w:rPr>
          <w:rFonts w:ascii="Times New Roman" w:eastAsia="Times New Roman" w:hAnsi="Times New Roman" w:cs="Times New Roman"/>
          <w:color w:val="212529"/>
          <w:sz w:val="24"/>
          <w:szCs w:val="24"/>
          <w:lang w:eastAsia="es-ES"/>
        </w:rPr>
        <w:t>…</w:t>
      </w:r>
    </w:p>
    <w:p w:rsidR="007E3D39" w:rsidRDefault="007E3D39" w:rsidP="007E3D39">
      <w:pPr>
        <w:rPr>
          <w:rFonts w:ascii="Times New Roman" w:hAnsi="Times New Roman" w:cs="Times New Roman"/>
          <w:sz w:val="24"/>
          <w:szCs w:val="24"/>
        </w:rPr>
      </w:pPr>
      <w:r w:rsidRPr="00955BC0">
        <w:rPr>
          <w:rFonts w:ascii="Times New Roman" w:hAnsi="Times New Roman" w:cs="Times New Roman"/>
          <w:noProof/>
          <w:sz w:val="24"/>
          <w:szCs w:val="24"/>
          <w:lang w:eastAsia="es-ES"/>
        </w:rPr>
        <w:drawing>
          <wp:inline distT="0" distB="0" distL="0" distR="0" wp14:anchorId="5A8034A6" wp14:editId="0370BAFF">
            <wp:extent cx="5731212" cy="4737100"/>
            <wp:effectExtent l="0" t="0" r="3175" b="635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6"/>
                    <a:stretch>
                      <a:fillRect/>
                    </a:stretch>
                  </pic:blipFill>
                  <pic:spPr>
                    <a:xfrm>
                      <a:off x="0" y="0"/>
                      <a:ext cx="5731510" cy="4737347"/>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sidRPr="00BD05DF">
        <w:rPr>
          <w:rFonts w:ascii="Times New Roman" w:hAnsi="Times New Roman" w:cs="Times New Roman"/>
          <w:sz w:val="24"/>
          <w:szCs w:val="24"/>
        </w:rPr>
        <w:t>Cómo deben responder los gobiernos</w:t>
      </w:r>
    </w:p>
    <w:p w:rsidR="007E3D39" w:rsidRDefault="007E3D39" w:rsidP="007E3D39">
      <w:pPr>
        <w:spacing w:line="240" w:lineRule="auto"/>
        <w:jc w:val="both"/>
        <w:rPr>
          <w:rFonts w:ascii="Times New Roman" w:hAnsi="Times New Roman" w:cs="Times New Roman"/>
          <w:sz w:val="24"/>
          <w:szCs w:val="24"/>
        </w:rPr>
      </w:pPr>
      <w:r w:rsidRPr="00955BC0">
        <w:rPr>
          <w:rFonts w:ascii="Times New Roman" w:hAnsi="Times New Roman" w:cs="Times New Roman"/>
          <w:sz w:val="24"/>
          <w:szCs w:val="24"/>
        </w:rPr>
        <w:t>Los gobiernos deben adoptar estrategias fiscales que ayuden a reducir las presiones inflacionarias ahora y las vulnerabilidades de la deuda en el medio plazo; por ejemplo, mediante la contención del crecimiento del gasto, protegiendo a la vez ámbitos prioritarios, como las ayudas a las personas más afectadas por la crisis del costo de vida. De este modo, se facilitaría también la labor de los bancos centrales y se conseguiría que los incrementos de las tasas de interés fuesen menores de los que se producirían en caso contrario. En tiempos de turbulencias y perturbaciones, la confianza en la estabilidad a largo plazo es un activo valioso.</w:t>
      </w:r>
    </w:p>
    <w:p w:rsidR="007E3D39" w:rsidRDefault="007E3D39" w:rsidP="007E3D39">
      <w:pPr>
        <w:spacing w:line="240" w:lineRule="auto"/>
        <w:jc w:val="both"/>
        <w:rPr>
          <w:rFonts w:ascii="Times New Roman" w:hAnsi="Times New Roman" w:cs="Times New Roman"/>
          <w:sz w:val="24"/>
          <w:szCs w:val="24"/>
        </w:rPr>
      </w:pPr>
    </w:p>
    <w:p w:rsidR="007E3D39" w:rsidRPr="00BD0AA0" w:rsidRDefault="007E3D39" w:rsidP="007E3D39">
      <w:pPr>
        <w:spacing w:line="240" w:lineRule="auto"/>
        <w:jc w:val="both"/>
        <w:rPr>
          <w:rFonts w:ascii="Times New Roman" w:hAnsi="Times New Roman" w:cs="Times New Roman"/>
          <w:b/>
          <w:sz w:val="24"/>
          <w:szCs w:val="24"/>
          <w:lang w:val="en-US"/>
        </w:rPr>
      </w:pPr>
      <w:r>
        <w:rPr>
          <w:rFonts w:ascii="Times New Roman" w:hAnsi="Times New Roman" w:cs="Times New Roman"/>
          <w:b/>
          <w:sz w:val="24"/>
          <w:szCs w:val="24"/>
          <w:lang w:val="en-US"/>
        </w:rPr>
        <w:lastRenderedPageBreak/>
        <w:t>Global F</w:t>
      </w:r>
      <w:r w:rsidRPr="00BD0AA0">
        <w:rPr>
          <w:rFonts w:ascii="Times New Roman" w:hAnsi="Times New Roman" w:cs="Times New Roman"/>
          <w:b/>
          <w:sz w:val="24"/>
          <w:szCs w:val="24"/>
          <w:lang w:val="en-US"/>
        </w:rPr>
        <w:t>in</w:t>
      </w:r>
      <w:r>
        <w:rPr>
          <w:rFonts w:ascii="Times New Roman" w:hAnsi="Times New Roman" w:cs="Times New Roman"/>
          <w:b/>
          <w:sz w:val="24"/>
          <w:szCs w:val="24"/>
          <w:lang w:val="en-US"/>
        </w:rPr>
        <w:t>ancial Stability R</w:t>
      </w:r>
      <w:r w:rsidRPr="00BD0AA0">
        <w:rPr>
          <w:rFonts w:ascii="Times New Roman" w:hAnsi="Times New Roman" w:cs="Times New Roman"/>
          <w:b/>
          <w:sz w:val="24"/>
          <w:szCs w:val="24"/>
          <w:lang w:val="en-US"/>
        </w:rPr>
        <w:t>eport - FMI - Octubre 2023</w:t>
      </w:r>
    </w:p>
    <w:p w:rsidR="007E3D39" w:rsidRDefault="007E3D39" w:rsidP="007E3D39">
      <w:pPr>
        <w:spacing w:line="240" w:lineRule="auto"/>
        <w:jc w:val="both"/>
        <w:rPr>
          <w:rFonts w:ascii="Times New Roman" w:hAnsi="Times New Roman" w:cs="Times New Roman"/>
          <w:sz w:val="24"/>
          <w:szCs w:val="24"/>
        </w:rPr>
      </w:pPr>
      <w:r w:rsidRPr="003A7BD5">
        <w:rPr>
          <w:rFonts w:ascii="Times New Roman" w:hAnsi="Times New Roman" w:cs="Times New Roman"/>
          <w:noProof/>
          <w:sz w:val="24"/>
          <w:szCs w:val="24"/>
          <w:lang w:eastAsia="es-ES"/>
        </w:rPr>
        <w:drawing>
          <wp:inline distT="0" distB="0" distL="0" distR="0" wp14:anchorId="41BE8553" wp14:editId="450DA0D6">
            <wp:extent cx="5733621" cy="3155950"/>
            <wp:effectExtent l="0" t="0" r="635" b="6350"/>
            <wp:docPr id="37" name="Imagen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7"/>
                    <a:stretch>
                      <a:fillRect/>
                    </a:stretch>
                  </pic:blipFill>
                  <pic:spPr>
                    <a:xfrm>
                      <a:off x="0" y="0"/>
                      <a:ext cx="5731510" cy="3154788"/>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sidRPr="00C16978">
        <w:rPr>
          <w:rFonts w:ascii="Times New Roman" w:hAnsi="Times New Roman" w:cs="Times New Roman"/>
          <w:noProof/>
          <w:sz w:val="24"/>
          <w:szCs w:val="24"/>
          <w:lang w:eastAsia="es-ES"/>
        </w:rPr>
        <w:drawing>
          <wp:inline distT="0" distB="0" distL="0" distR="0" wp14:anchorId="4BE707C6" wp14:editId="79222260">
            <wp:extent cx="5729761" cy="2438400"/>
            <wp:effectExtent l="0" t="0" r="4445"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8"/>
                    <a:stretch>
                      <a:fillRect/>
                    </a:stretch>
                  </pic:blipFill>
                  <pic:spPr>
                    <a:xfrm>
                      <a:off x="0" y="0"/>
                      <a:ext cx="5731510" cy="2439144"/>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sidRPr="00C16978">
        <w:rPr>
          <w:rFonts w:ascii="Times New Roman" w:hAnsi="Times New Roman" w:cs="Times New Roman"/>
          <w:noProof/>
          <w:sz w:val="24"/>
          <w:szCs w:val="24"/>
          <w:lang w:eastAsia="es-ES"/>
        </w:rPr>
        <w:drawing>
          <wp:inline distT="0" distB="0" distL="0" distR="0" wp14:anchorId="2E935CEF" wp14:editId="6660F6F7">
            <wp:extent cx="5731510" cy="2620819"/>
            <wp:effectExtent l="0" t="0" r="2540" b="8255"/>
            <wp:docPr id="39" name="Imagen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9"/>
                    <a:stretch>
                      <a:fillRect/>
                    </a:stretch>
                  </pic:blipFill>
                  <pic:spPr>
                    <a:xfrm>
                      <a:off x="0" y="0"/>
                      <a:ext cx="5731510" cy="2620819"/>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sidRPr="00C16978">
        <w:rPr>
          <w:rFonts w:ascii="Times New Roman" w:hAnsi="Times New Roman" w:cs="Times New Roman"/>
          <w:noProof/>
          <w:sz w:val="24"/>
          <w:szCs w:val="24"/>
          <w:lang w:eastAsia="es-ES"/>
        </w:rPr>
        <w:lastRenderedPageBreak/>
        <w:drawing>
          <wp:inline distT="0" distB="0" distL="0" distR="0" wp14:anchorId="6A47E299" wp14:editId="62CCF726">
            <wp:extent cx="5731510" cy="5909139"/>
            <wp:effectExtent l="0" t="0" r="254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0"/>
                    <a:stretch>
                      <a:fillRect/>
                    </a:stretch>
                  </pic:blipFill>
                  <pic:spPr>
                    <a:xfrm>
                      <a:off x="0" y="0"/>
                      <a:ext cx="5731510" cy="5909139"/>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b/>
          <w:sz w:val="24"/>
          <w:szCs w:val="24"/>
        </w:rPr>
      </w:pPr>
    </w:p>
    <w:p w:rsidR="007E3D39" w:rsidRPr="00BD0AA0" w:rsidRDefault="007E3D39" w:rsidP="007E3D39">
      <w:pPr>
        <w:spacing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Fiscal Monitor </w:t>
      </w:r>
      <w:r w:rsidRPr="00BD0AA0">
        <w:rPr>
          <w:rFonts w:ascii="Times New Roman" w:hAnsi="Times New Roman" w:cs="Times New Roman"/>
          <w:b/>
          <w:sz w:val="24"/>
          <w:szCs w:val="24"/>
        </w:rPr>
        <w:t>- FMI - Octubre 2023</w:t>
      </w:r>
    </w:p>
    <w:p w:rsidR="007E3D39" w:rsidRPr="00BD0AA0" w:rsidRDefault="007E3D39" w:rsidP="007E3D39">
      <w:pPr>
        <w:spacing w:line="240" w:lineRule="auto"/>
        <w:jc w:val="both"/>
        <w:rPr>
          <w:rFonts w:ascii="Times New Roman" w:hAnsi="Times New Roman" w:cs="Times New Roman"/>
          <w:sz w:val="24"/>
          <w:szCs w:val="24"/>
        </w:rPr>
      </w:pPr>
      <w:r w:rsidRPr="00BD0AA0">
        <w:rPr>
          <w:rFonts w:ascii="Times New Roman" w:hAnsi="Times New Roman" w:cs="Times New Roman"/>
          <w:sz w:val="24"/>
          <w:szCs w:val="24"/>
        </w:rPr>
        <w:t>Depender de las medidas de gasto acarreará grandes costos</w:t>
      </w:r>
    </w:p>
    <w:p w:rsidR="007E3D39" w:rsidRDefault="007E3D39" w:rsidP="007E3D39">
      <w:pPr>
        <w:spacing w:line="240" w:lineRule="auto"/>
        <w:jc w:val="both"/>
        <w:rPr>
          <w:rFonts w:ascii="Times New Roman" w:hAnsi="Times New Roman" w:cs="Times New Roman"/>
          <w:sz w:val="24"/>
          <w:szCs w:val="24"/>
        </w:rPr>
      </w:pPr>
      <w:r w:rsidRPr="00BD0AA0">
        <w:rPr>
          <w:rFonts w:ascii="Times New Roman" w:hAnsi="Times New Roman" w:cs="Times New Roman"/>
          <w:sz w:val="24"/>
          <w:szCs w:val="24"/>
        </w:rPr>
        <w:t xml:space="preserve">Muchos países afrontan altos niveles de deuda, tasas de interés en aumento y </w:t>
      </w:r>
      <w:r>
        <w:rPr>
          <w:rFonts w:ascii="Times New Roman" w:hAnsi="Times New Roman" w:cs="Times New Roman"/>
          <w:sz w:val="24"/>
          <w:szCs w:val="24"/>
        </w:rPr>
        <w:t xml:space="preserve">perspectivas de crecimiento más </w:t>
      </w:r>
      <w:r w:rsidRPr="00BD0AA0">
        <w:rPr>
          <w:rFonts w:ascii="Times New Roman" w:hAnsi="Times New Roman" w:cs="Times New Roman"/>
          <w:sz w:val="24"/>
          <w:szCs w:val="24"/>
        </w:rPr>
        <w:t>débiles. Se proyecta que la relación deuda/PIB aumente anualmente en 1 p</w:t>
      </w:r>
      <w:r>
        <w:rPr>
          <w:rFonts w:ascii="Times New Roman" w:hAnsi="Times New Roman" w:cs="Times New Roman"/>
          <w:sz w:val="24"/>
          <w:szCs w:val="24"/>
        </w:rPr>
        <w:t xml:space="preserve">unto porcentual a nivel mundial </w:t>
      </w:r>
      <w:r w:rsidRPr="00BD0AA0">
        <w:rPr>
          <w:rFonts w:ascii="Times New Roman" w:hAnsi="Times New Roman" w:cs="Times New Roman"/>
          <w:sz w:val="24"/>
          <w:szCs w:val="24"/>
        </w:rPr>
        <w:t>entre 2023 y 2028, con mayor rapidez de lo previsto antes de la pandemia. E</w:t>
      </w:r>
      <w:r>
        <w:rPr>
          <w:rFonts w:ascii="Times New Roman" w:hAnsi="Times New Roman" w:cs="Times New Roman"/>
          <w:sz w:val="24"/>
          <w:szCs w:val="24"/>
        </w:rPr>
        <w:t xml:space="preserve">ste factor adverso complica los </w:t>
      </w:r>
      <w:r w:rsidRPr="00BD0AA0">
        <w:rPr>
          <w:rFonts w:ascii="Times New Roman" w:hAnsi="Times New Roman" w:cs="Times New Roman"/>
          <w:sz w:val="24"/>
          <w:szCs w:val="24"/>
        </w:rPr>
        <w:t>esfuerzos para hacer frente al cambio climático</w:t>
      </w:r>
      <w:r>
        <w:rPr>
          <w:rFonts w:ascii="Times New Roman" w:hAnsi="Times New Roman" w:cs="Times New Roman"/>
          <w:sz w:val="24"/>
          <w:szCs w:val="24"/>
        </w:rPr>
        <w:t>…</w:t>
      </w:r>
    </w:p>
    <w:p w:rsidR="007E3D39" w:rsidRDefault="007E3D39" w:rsidP="007E3D39">
      <w:pPr>
        <w:spacing w:line="240" w:lineRule="auto"/>
        <w:jc w:val="both"/>
        <w:rPr>
          <w:rFonts w:ascii="Times New Roman" w:hAnsi="Times New Roman" w:cs="Times New Roman"/>
          <w:sz w:val="24"/>
          <w:szCs w:val="24"/>
        </w:rPr>
      </w:pPr>
      <w:r w:rsidRPr="00BD0AA0">
        <w:rPr>
          <w:rFonts w:ascii="Times New Roman" w:hAnsi="Times New Roman" w:cs="Times New Roman"/>
          <w:noProof/>
          <w:sz w:val="24"/>
          <w:szCs w:val="24"/>
          <w:lang w:eastAsia="es-ES"/>
        </w:rPr>
        <w:lastRenderedPageBreak/>
        <w:drawing>
          <wp:inline distT="0" distB="0" distL="0" distR="0" wp14:anchorId="66EC8887" wp14:editId="1B3E8E1E">
            <wp:extent cx="5731510" cy="2596325"/>
            <wp:effectExtent l="0" t="0" r="254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1"/>
                    <a:stretch>
                      <a:fillRect/>
                    </a:stretch>
                  </pic:blipFill>
                  <pic:spPr>
                    <a:xfrm>
                      <a:off x="0" y="0"/>
                      <a:ext cx="5731510" cy="2596325"/>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sidRPr="00BD0AA0">
        <w:rPr>
          <w:rFonts w:ascii="Times New Roman" w:hAnsi="Times New Roman" w:cs="Times New Roman"/>
          <w:noProof/>
          <w:sz w:val="24"/>
          <w:szCs w:val="24"/>
          <w:lang w:eastAsia="es-ES"/>
        </w:rPr>
        <w:drawing>
          <wp:inline distT="0" distB="0" distL="0" distR="0" wp14:anchorId="05F8972D" wp14:editId="2CCC4AA7">
            <wp:extent cx="5734050" cy="2965450"/>
            <wp:effectExtent l="0" t="0" r="0" b="635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2"/>
                    <a:stretch>
                      <a:fillRect/>
                    </a:stretch>
                  </pic:blipFill>
                  <pic:spPr>
                    <a:xfrm>
                      <a:off x="0" y="0"/>
                      <a:ext cx="5731510" cy="2964136"/>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sidRPr="00E96B51">
        <w:rPr>
          <w:rFonts w:ascii="Times New Roman" w:hAnsi="Times New Roman" w:cs="Times New Roman"/>
          <w:noProof/>
          <w:sz w:val="24"/>
          <w:szCs w:val="24"/>
          <w:lang w:eastAsia="es-ES"/>
        </w:rPr>
        <w:drawing>
          <wp:inline distT="0" distB="0" distL="0" distR="0" wp14:anchorId="4967A6B6" wp14:editId="28737DD8">
            <wp:extent cx="5727700" cy="2901950"/>
            <wp:effectExtent l="0" t="0" r="635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3"/>
                    <a:stretch>
                      <a:fillRect/>
                    </a:stretch>
                  </pic:blipFill>
                  <pic:spPr>
                    <a:xfrm>
                      <a:off x="0" y="0"/>
                      <a:ext cx="5731510" cy="2903880"/>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sidRPr="00E96B51">
        <w:rPr>
          <w:rFonts w:ascii="Times New Roman" w:hAnsi="Times New Roman" w:cs="Times New Roman"/>
          <w:noProof/>
          <w:sz w:val="24"/>
          <w:szCs w:val="24"/>
          <w:lang w:eastAsia="es-ES"/>
        </w:rPr>
        <w:lastRenderedPageBreak/>
        <w:drawing>
          <wp:inline distT="0" distB="0" distL="0" distR="0" wp14:anchorId="75BE740E" wp14:editId="26773473">
            <wp:extent cx="5731510" cy="5235514"/>
            <wp:effectExtent l="0" t="0" r="2540" b="381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4"/>
                    <a:stretch>
                      <a:fillRect/>
                    </a:stretch>
                  </pic:blipFill>
                  <pic:spPr>
                    <a:xfrm>
                      <a:off x="0" y="0"/>
                      <a:ext cx="5731510" cy="5235514"/>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sidRPr="00E96B51">
        <w:rPr>
          <w:rFonts w:ascii="Times New Roman" w:hAnsi="Times New Roman" w:cs="Times New Roman"/>
          <w:noProof/>
          <w:sz w:val="24"/>
          <w:szCs w:val="24"/>
          <w:lang w:eastAsia="es-ES"/>
        </w:rPr>
        <w:drawing>
          <wp:inline distT="0" distB="0" distL="0" distR="0" wp14:anchorId="69775EBF" wp14:editId="237AB003">
            <wp:extent cx="5731510" cy="1673527"/>
            <wp:effectExtent l="0" t="0" r="2540" b="3175"/>
            <wp:docPr id="45" name="Imagen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5"/>
                    <a:stretch>
                      <a:fillRect/>
                    </a:stretch>
                  </pic:blipFill>
                  <pic:spPr>
                    <a:xfrm>
                      <a:off x="0" y="0"/>
                      <a:ext cx="5731510" cy="1673527"/>
                    </a:xfrm>
                    <a:prstGeom prst="rect">
                      <a:avLst/>
                    </a:prstGeom>
                  </pic:spPr>
                </pic:pic>
              </a:graphicData>
            </a:graphic>
          </wp:inline>
        </w:drawing>
      </w:r>
      <w:r w:rsidRPr="00E96B51">
        <w:rPr>
          <w:rFonts w:ascii="Times New Roman" w:hAnsi="Times New Roman" w:cs="Times New Roman"/>
          <w:noProof/>
          <w:sz w:val="24"/>
          <w:szCs w:val="24"/>
          <w:lang w:eastAsia="es-ES"/>
        </w:rPr>
        <w:drawing>
          <wp:inline distT="0" distB="0" distL="0" distR="0" wp14:anchorId="34BF28C6" wp14:editId="248C0AEC">
            <wp:extent cx="5734050" cy="203200"/>
            <wp:effectExtent l="0" t="0" r="0" b="635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71355" cy="204522"/>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sidRPr="00E96B51">
        <w:rPr>
          <w:rFonts w:ascii="Times New Roman" w:hAnsi="Times New Roman" w:cs="Times New Roman"/>
          <w:noProof/>
          <w:sz w:val="24"/>
          <w:szCs w:val="24"/>
          <w:lang w:eastAsia="es-ES"/>
        </w:rPr>
        <w:drawing>
          <wp:inline distT="0" distB="0" distL="0" distR="0" wp14:anchorId="2E7D15B5" wp14:editId="0FB680BF">
            <wp:extent cx="5731510" cy="1122421"/>
            <wp:effectExtent l="0" t="0" r="2540" b="1905"/>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31510" cy="1122421"/>
                    </a:xfrm>
                    <a:prstGeom prst="rect">
                      <a:avLst/>
                    </a:prstGeom>
                  </pic:spPr>
                </pic:pic>
              </a:graphicData>
            </a:graphic>
          </wp:inline>
        </w:drawing>
      </w:r>
      <w:r w:rsidRPr="00D771B0">
        <w:rPr>
          <w:rFonts w:ascii="Times New Roman" w:hAnsi="Times New Roman" w:cs="Times New Roman"/>
          <w:noProof/>
          <w:sz w:val="24"/>
          <w:szCs w:val="24"/>
          <w:lang w:eastAsia="es-ES"/>
        </w:rPr>
        <w:drawing>
          <wp:inline distT="0" distB="0" distL="0" distR="0" wp14:anchorId="6775D782" wp14:editId="2ED971F1">
            <wp:extent cx="5772150" cy="189910"/>
            <wp:effectExtent l="0" t="0" r="0" b="635"/>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69593" cy="189826"/>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sidRPr="00D771B0">
        <w:rPr>
          <w:rFonts w:ascii="Times New Roman" w:hAnsi="Times New Roman" w:cs="Times New Roman"/>
          <w:noProof/>
          <w:sz w:val="24"/>
          <w:szCs w:val="24"/>
          <w:lang w:eastAsia="es-ES"/>
        </w:rPr>
        <w:lastRenderedPageBreak/>
        <w:drawing>
          <wp:inline distT="0" distB="0" distL="0" distR="0" wp14:anchorId="5CD96E7D" wp14:editId="1C708901">
            <wp:extent cx="5731510" cy="1157936"/>
            <wp:effectExtent l="0" t="0" r="2540" b="4445"/>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31510" cy="1157936"/>
                    </a:xfrm>
                    <a:prstGeom prst="rect">
                      <a:avLst/>
                    </a:prstGeom>
                  </pic:spPr>
                </pic:pic>
              </a:graphicData>
            </a:graphic>
          </wp:inline>
        </w:drawing>
      </w:r>
      <w:r w:rsidRPr="00D771B0">
        <w:rPr>
          <w:rFonts w:ascii="Times New Roman" w:hAnsi="Times New Roman" w:cs="Times New Roman"/>
          <w:noProof/>
          <w:sz w:val="24"/>
          <w:szCs w:val="24"/>
          <w:lang w:eastAsia="es-ES"/>
        </w:rPr>
        <w:drawing>
          <wp:inline distT="0" distB="0" distL="0" distR="0" wp14:anchorId="2444ABCE" wp14:editId="797FB967">
            <wp:extent cx="5778500" cy="19050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95183" cy="191050"/>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sidRPr="00D771B0">
        <w:rPr>
          <w:rFonts w:ascii="Times New Roman" w:hAnsi="Times New Roman" w:cs="Times New Roman"/>
          <w:noProof/>
          <w:sz w:val="24"/>
          <w:szCs w:val="24"/>
          <w:lang w:eastAsia="es-ES"/>
        </w:rPr>
        <w:drawing>
          <wp:inline distT="0" distB="0" distL="0" distR="0" wp14:anchorId="61638107" wp14:editId="4159C7CE">
            <wp:extent cx="5731510" cy="1110786"/>
            <wp:effectExtent l="0" t="0" r="2540" b="0"/>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31510" cy="1110786"/>
                    </a:xfrm>
                    <a:prstGeom prst="rect">
                      <a:avLst/>
                    </a:prstGeom>
                  </pic:spPr>
                </pic:pic>
              </a:graphicData>
            </a:graphic>
          </wp:inline>
        </w:drawing>
      </w:r>
      <w:r w:rsidRPr="00D771B0">
        <w:rPr>
          <w:rFonts w:ascii="Times New Roman" w:hAnsi="Times New Roman" w:cs="Times New Roman"/>
          <w:noProof/>
          <w:sz w:val="24"/>
          <w:szCs w:val="24"/>
          <w:lang w:eastAsia="es-ES"/>
        </w:rPr>
        <w:drawing>
          <wp:inline distT="0" distB="0" distL="0" distR="0" wp14:anchorId="2C52F0A5" wp14:editId="04E6B65F">
            <wp:extent cx="5778500" cy="165100"/>
            <wp:effectExtent l="0" t="0" r="0" b="6350"/>
            <wp:docPr id="52" name="Imagen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2"/>
                    <a:stretch>
                      <a:fillRect/>
                    </a:stretch>
                  </pic:blipFill>
                  <pic:spPr>
                    <a:xfrm>
                      <a:off x="0" y="0"/>
                      <a:ext cx="5872335" cy="167781"/>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sidRPr="00D771B0">
        <w:rPr>
          <w:rFonts w:ascii="Times New Roman" w:hAnsi="Times New Roman" w:cs="Times New Roman"/>
          <w:noProof/>
          <w:sz w:val="24"/>
          <w:szCs w:val="24"/>
          <w:lang w:eastAsia="es-ES"/>
        </w:rPr>
        <w:drawing>
          <wp:inline distT="0" distB="0" distL="0" distR="0" wp14:anchorId="6C8AE279" wp14:editId="271F3A37">
            <wp:extent cx="5731510" cy="1138954"/>
            <wp:effectExtent l="0" t="0" r="2540" b="4445"/>
            <wp:docPr id="53" name="Imagen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3"/>
                    <a:stretch>
                      <a:fillRect/>
                    </a:stretch>
                  </pic:blipFill>
                  <pic:spPr>
                    <a:xfrm>
                      <a:off x="0" y="0"/>
                      <a:ext cx="5731510" cy="1138954"/>
                    </a:xfrm>
                    <a:prstGeom prst="rect">
                      <a:avLst/>
                    </a:prstGeom>
                  </pic:spPr>
                </pic:pic>
              </a:graphicData>
            </a:graphic>
          </wp:inline>
        </w:drawing>
      </w:r>
      <w:r w:rsidRPr="00D771B0">
        <w:rPr>
          <w:rFonts w:ascii="Times New Roman" w:hAnsi="Times New Roman" w:cs="Times New Roman"/>
          <w:noProof/>
          <w:sz w:val="24"/>
          <w:szCs w:val="24"/>
          <w:lang w:eastAsia="es-ES"/>
        </w:rPr>
        <w:drawing>
          <wp:inline distT="0" distB="0" distL="0" distR="0" wp14:anchorId="74090600" wp14:editId="19382CC8">
            <wp:extent cx="5810250" cy="183783"/>
            <wp:effectExtent l="0" t="0" r="0" b="6985"/>
            <wp:docPr id="54" name="Imagen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4"/>
                    <a:stretch>
                      <a:fillRect/>
                    </a:stretch>
                  </pic:blipFill>
                  <pic:spPr>
                    <a:xfrm>
                      <a:off x="0" y="0"/>
                      <a:ext cx="5807676" cy="183702"/>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sidRPr="00D771B0">
        <w:rPr>
          <w:rFonts w:ascii="Times New Roman" w:hAnsi="Times New Roman" w:cs="Times New Roman"/>
          <w:noProof/>
          <w:sz w:val="24"/>
          <w:szCs w:val="24"/>
          <w:lang w:eastAsia="es-ES"/>
        </w:rPr>
        <w:drawing>
          <wp:inline distT="0" distB="0" distL="0" distR="0" wp14:anchorId="6A9F5BC7" wp14:editId="7E90CEC2">
            <wp:extent cx="5731510" cy="1043429"/>
            <wp:effectExtent l="0" t="0" r="2540" b="4445"/>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5"/>
                    <a:stretch>
                      <a:fillRect/>
                    </a:stretch>
                  </pic:blipFill>
                  <pic:spPr>
                    <a:xfrm>
                      <a:off x="0" y="0"/>
                      <a:ext cx="5731510" cy="1043429"/>
                    </a:xfrm>
                    <a:prstGeom prst="rect">
                      <a:avLst/>
                    </a:prstGeom>
                  </pic:spPr>
                </pic:pic>
              </a:graphicData>
            </a:graphic>
          </wp:inline>
        </w:drawing>
      </w:r>
      <w:r w:rsidRPr="00D771B0">
        <w:rPr>
          <w:rFonts w:ascii="Times New Roman" w:hAnsi="Times New Roman" w:cs="Times New Roman"/>
          <w:noProof/>
          <w:sz w:val="24"/>
          <w:szCs w:val="24"/>
          <w:lang w:eastAsia="es-ES"/>
        </w:rPr>
        <w:drawing>
          <wp:inline distT="0" distB="0" distL="0" distR="0" wp14:anchorId="1458F725" wp14:editId="340DF3ED">
            <wp:extent cx="5778500" cy="165100"/>
            <wp:effectExtent l="0" t="0" r="0" b="635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6"/>
                    <a:stretch>
                      <a:fillRect/>
                    </a:stretch>
                  </pic:blipFill>
                  <pic:spPr>
                    <a:xfrm>
                      <a:off x="0" y="0"/>
                      <a:ext cx="5893790" cy="168394"/>
                    </a:xfrm>
                    <a:prstGeom prst="rect">
                      <a:avLst/>
                    </a:prstGeom>
                  </pic:spPr>
                </pic:pic>
              </a:graphicData>
            </a:graphic>
          </wp:inline>
        </w:drawing>
      </w:r>
    </w:p>
    <w:p w:rsidR="007E3D39" w:rsidRDefault="007E3D39" w:rsidP="007E3D39">
      <w:pPr>
        <w:spacing w:line="240" w:lineRule="auto"/>
        <w:jc w:val="both"/>
        <w:rPr>
          <w:rFonts w:ascii="Times New Roman" w:hAnsi="Times New Roman" w:cs="Times New Roman"/>
          <w:sz w:val="24"/>
          <w:szCs w:val="24"/>
        </w:rPr>
      </w:pPr>
      <w:r w:rsidRPr="00435BD3">
        <w:rPr>
          <w:rFonts w:ascii="Times New Roman" w:hAnsi="Times New Roman" w:cs="Times New Roman"/>
          <w:sz w:val="24"/>
          <w:szCs w:val="24"/>
        </w:rPr>
        <w:t>En el informe se hace un balance de las políticas de mitigación de los distintos países y se presenta el trilema al que se enfrentan las autoridades económicas a la hora de encontrar un equilibrio entre el logro de objetivos climáticos, la sostenibilidad de la deuda y la viabilidad política. La nueva información que se presenta en el informe muestra que la única forma de lograr estos objetivos conjuntos es mediante una combinación de políticas de ingreso y de gasto, calibrada de forma minuciosa. La tarificación del carbono es un instrumento necesario que debe formar parte de esta combinación de políticas. Sin embargo, no es suficiente y debe complementarse con políticas que aborden las fallas del mercado y catalicen el financiamiento privado y la inversión en tecnología de baja emisión de carbono. Se necesitan importantes transferencias fiscales que protejan a los hogares, los trabajadores y las comunidades vulnerables durante la transición verde.</w:t>
      </w:r>
    </w:p>
    <w:p w:rsidR="007E3D39" w:rsidRDefault="007E3D39" w:rsidP="007E3D39">
      <w:pPr>
        <w:spacing w:line="240" w:lineRule="auto"/>
        <w:jc w:val="both"/>
        <w:rPr>
          <w:rFonts w:ascii="Times New Roman" w:hAnsi="Times New Roman" w:cs="Times New Roman"/>
          <w:sz w:val="24"/>
          <w:szCs w:val="24"/>
        </w:rPr>
      </w:pPr>
      <w:r w:rsidRPr="00435BD3">
        <w:rPr>
          <w:rFonts w:ascii="Times New Roman" w:hAnsi="Times New Roman" w:cs="Times New Roman"/>
          <w:sz w:val="24"/>
          <w:szCs w:val="24"/>
        </w:rPr>
        <w:t>En última instancia, contener el calentamiento global benefic</w:t>
      </w:r>
      <w:r>
        <w:rPr>
          <w:rFonts w:ascii="Times New Roman" w:hAnsi="Times New Roman" w:cs="Times New Roman"/>
          <w:sz w:val="24"/>
          <w:szCs w:val="24"/>
        </w:rPr>
        <w:t xml:space="preserve">iará a todo el mundo, ya que se </w:t>
      </w:r>
      <w:r w:rsidRPr="00435BD3">
        <w:rPr>
          <w:rFonts w:ascii="Times New Roman" w:hAnsi="Times New Roman" w:cs="Times New Roman"/>
          <w:sz w:val="24"/>
          <w:szCs w:val="24"/>
        </w:rPr>
        <w:t>mitigarán las potenciales consecuencias catastróficas del cambio climático. Sin emba</w:t>
      </w:r>
      <w:r>
        <w:rPr>
          <w:rFonts w:ascii="Times New Roman" w:hAnsi="Times New Roman" w:cs="Times New Roman"/>
          <w:sz w:val="24"/>
          <w:szCs w:val="24"/>
        </w:rPr>
        <w:t xml:space="preserve">rgo, es necesaria una </w:t>
      </w:r>
      <w:r w:rsidRPr="00435BD3">
        <w:rPr>
          <w:rFonts w:ascii="Times New Roman" w:hAnsi="Times New Roman" w:cs="Times New Roman"/>
          <w:sz w:val="24"/>
          <w:szCs w:val="24"/>
        </w:rPr>
        <w:t>transformación económica radical que podría suponer una distribución desigual de los costos y los beneficios</w:t>
      </w:r>
      <w:r>
        <w:rPr>
          <w:rFonts w:ascii="Times New Roman" w:hAnsi="Times New Roman" w:cs="Times New Roman"/>
          <w:sz w:val="24"/>
          <w:szCs w:val="24"/>
        </w:rPr>
        <w:t xml:space="preserve"> </w:t>
      </w:r>
      <w:r w:rsidRPr="00435BD3">
        <w:rPr>
          <w:rFonts w:ascii="Times New Roman" w:hAnsi="Times New Roman" w:cs="Times New Roman"/>
          <w:sz w:val="24"/>
          <w:szCs w:val="24"/>
        </w:rPr>
        <w:t>entre las personas, las empresas, las regiones y l</w:t>
      </w:r>
      <w:r>
        <w:rPr>
          <w:rFonts w:ascii="Times New Roman" w:hAnsi="Times New Roman" w:cs="Times New Roman"/>
          <w:sz w:val="24"/>
          <w:szCs w:val="24"/>
        </w:rPr>
        <w:t>os países…. L</w:t>
      </w:r>
      <w:r w:rsidRPr="00435BD3">
        <w:rPr>
          <w:rFonts w:ascii="Times New Roman" w:hAnsi="Times New Roman" w:cs="Times New Roman"/>
          <w:sz w:val="24"/>
          <w:szCs w:val="24"/>
        </w:rPr>
        <w:t>a transición hacia fuentes de energía de bajas emisiones de carbono requerirá que los actores públicos y</w:t>
      </w:r>
      <w:r>
        <w:rPr>
          <w:rFonts w:ascii="Times New Roman" w:hAnsi="Times New Roman" w:cs="Times New Roman"/>
          <w:sz w:val="24"/>
          <w:szCs w:val="24"/>
        </w:rPr>
        <w:t xml:space="preserve"> </w:t>
      </w:r>
      <w:r w:rsidRPr="00435BD3">
        <w:rPr>
          <w:rFonts w:ascii="Times New Roman" w:hAnsi="Times New Roman" w:cs="Times New Roman"/>
          <w:sz w:val="24"/>
          <w:szCs w:val="24"/>
        </w:rPr>
        <w:t>privados se complementen fuertemente.</w:t>
      </w:r>
    </w:p>
    <w:p w:rsidR="007E3D39" w:rsidRDefault="007E3D39" w:rsidP="007E3D39">
      <w:pPr>
        <w:spacing w:line="240" w:lineRule="auto"/>
        <w:jc w:val="both"/>
        <w:rPr>
          <w:rFonts w:ascii="Times New Roman" w:hAnsi="Times New Roman" w:cs="Times New Roman"/>
          <w:sz w:val="24"/>
          <w:szCs w:val="24"/>
        </w:rPr>
      </w:pPr>
      <w:r w:rsidRPr="00B53DF0">
        <w:rPr>
          <w:rFonts w:ascii="Times New Roman" w:hAnsi="Times New Roman" w:cs="Times New Roman"/>
          <w:b/>
          <w:sz w:val="24"/>
          <w:szCs w:val="24"/>
        </w:rPr>
        <w:lastRenderedPageBreak/>
        <w:t>Nota</w:t>
      </w:r>
      <w:r>
        <w:rPr>
          <w:rFonts w:ascii="Times New Roman" w:hAnsi="Times New Roman" w:cs="Times New Roman"/>
          <w:sz w:val="24"/>
          <w:szCs w:val="24"/>
        </w:rPr>
        <w:t>: por la importancia del tema, y la calidad del trabajo realizado por Alberto Recarte, he optado por incluir los siguientes artículos en el Anexo: “</w:t>
      </w:r>
      <w:r w:rsidRPr="00B53DF0">
        <w:rPr>
          <w:rFonts w:ascii="Times New Roman" w:hAnsi="Times New Roman" w:cs="Times New Roman"/>
          <w:sz w:val="24"/>
          <w:szCs w:val="24"/>
        </w:rPr>
        <w:t>Evolución de las Cuentas Nacionales</w:t>
      </w:r>
      <w:r>
        <w:rPr>
          <w:rFonts w:ascii="Times New Roman" w:hAnsi="Times New Roman" w:cs="Times New Roman"/>
          <w:sz w:val="24"/>
          <w:szCs w:val="24"/>
        </w:rPr>
        <w:t>…” y no en el Apartado “Maldita hemeroteca”, como estaba previsto inicialmente.</w:t>
      </w:r>
    </w:p>
    <w:p w:rsidR="007E3D39" w:rsidRPr="00A4774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19018A">
        <w:rPr>
          <w:rFonts w:ascii="Times New Roman" w:hAnsi="Times New Roman" w:cs="Times New Roman"/>
          <w:sz w:val="24"/>
          <w:szCs w:val="24"/>
          <w:u w:val="single"/>
        </w:rPr>
        <w:t>La inflación de los Banqueros Centrales (I)</w:t>
      </w:r>
      <w:r>
        <w:rPr>
          <w:rFonts w:ascii="Times New Roman" w:hAnsi="Times New Roman" w:cs="Times New Roman"/>
          <w:sz w:val="24"/>
          <w:szCs w:val="24"/>
        </w:rPr>
        <w:t xml:space="preserve"> (Vozpópuli - </w:t>
      </w:r>
      <w:r w:rsidRPr="0019018A">
        <w:rPr>
          <w:rFonts w:ascii="Times New Roman" w:hAnsi="Times New Roman" w:cs="Times New Roman"/>
          <w:b/>
          <w:sz w:val="24"/>
          <w:szCs w:val="24"/>
        </w:rPr>
        <w:t>18/3/23</w:t>
      </w:r>
      <w:r>
        <w:rPr>
          <w:rFonts w:ascii="Times New Roman" w:hAnsi="Times New Roman" w:cs="Times New Roman"/>
          <w:sz w:val="24"/>
          <w:szCs w:val="24"/>
        </w:rPr>
        <w:t>)        Lectura recomendada</w:t>
      </w:r>
    </w:p>
    <w:p w:rsidR="007E3D39" w:rsidRPr="00B43FEE" w:rsidRDefault="007E3D39" w:rsidP="007E3D39">
      <w:pPr>
        <w:spacing w:line="240" w:lineRule="auto"/>
        <w:jc w:val="both"/>
        <w:rPr>
          <w:rFonts w:ascii="Times New Roman" w:hAnsi="Times New Roman" w:cs="Times New Roman"/>
          <w:color w:val="FF0000"/>
          <w:sz w:val="24"/>
          <w:szCs w:val="24"/>
        </w:rPr>
      </w:pPr>
      <w:r w:rsidRPr="00B43FEE">
        <w:rPr>
          <w:rFonts w:ascii="Times New Roman" w:hAnsi="Times New Roman" w:cs="Times New Roman"/>
          <w:color w:val="FF0000"/>
          <w:sz w:val="24"/>
          <w:szCs w:val="24"/>
        </w:rPr>
        <w:t>Que nadie tenga duda alguna: la inflación que padece el mundo ha sido provocada por las políticas monetarias, fiscales y de orden financiero de los Bancos Centrales</w:t>
      </w:r>
    </w:p>
    <w:p w:rsidR="007E3D39" w:rsidRPr="00A4774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(Por Alberto Recarte)</w:t>
      </w:r>
    </w:p>
    <w:p w:rsidR="007E3D39" w:rsidRPr="00B43FEE" w:rsidRDefault="007E3D39" w:rsidP="007E3D39">
      <w:pPr>
        <w:spacing w:line="240" w:lineRule="auto"/>
        <w:jc w:val="both"/>
        <w:rPr>
          <w:rFonts w:ascii="Times New Roman" w:hAnsi="Times New Roman" w:cs="Times New Roman"/>
          <w:color w:val="FF0000"/>
          <w:sz w:val="24"/>
          <w:szCs w:val="24"/>
          <w:u w:val="single"/>
        </w:rPr>
      </w:pPr>
      <w:r w:rsidRPr="00A47749">
        <w:rPr>
          <w:rFonts w:ascii="Times New Roman" w:hAnsi="Times New Roman" w:cs="Times New Roman"/>
          <w:sz w:val="24"/>
          <w:szCs w:val="24"/>
        </w:rPr>
        <w:t xml:space="preserve">Que nadie tenga duda alguna: la inflación que padece el mundo ha sido provocada por las políticas monetarias, fiscales y de orden financiero de la Reserva Federal, el BCE, el Banco de Inglaterra, y, por supuesto, el Banco de Japón. </w:t>
      </w:r>
      <w:r w:rsidRPr="00B43FEE">
        <w:rPr>
          <w:rFonts w:ascii="Times New Roman" w:hAnsi="Times New Roman" w:cs="Times New Roman"/>
          <w:color w:val="FF0000"/>
          <w:sz w:val="24"/>
          <w:szCs w:val="24"/>
          <w:u w:val="single"/>
        </w:rPr>
        <w:t>La política monetaria, en principio la única responsabilidad de los Bancos Centrales, cambió radicalmente respecto a la de los últimos cincuenta años como resultado de la experiencia tras la Gran Crisis Financiera del 2008 y la consiguiente Gran Crisis Económica que nos afectó, globalmente, hasta 2012.</w:t>
      </w:r>
    </w:p>
    <w:p w:rsidR="007E3D39" w:rsidRPr="00B43FEE" w:rsidRDefault="007E3D39" w:rsidP="007E3D39">
      <w:pPr>
        <w:spacing w:line="240" w:lineRule="auto"/>
        <w:jc w:val="both"/>
        <w:rPr>
          <w:rFonts w:ascii="Times New Roman" w:hAnsi="Times New Roman" w:cs="Times New Roman"/>
          <w:color w:val="FF0000"/>
          <w:sz w:val="24"/>
          <w:szCs w:val="24"/>
          <w:u w:val="single"/>
        </w:rPr>
      </w:pPr>
      <w:r w:rsidRPr="00B43FEE">
        <w:rPr>
          <w:rFonts w:ascii="Times New Roman" w:hAnsi="Times New Roman" w:cs="Times New Roman"/>
          <w:color w:val="FF0000"/>
          <w:sz w:val="24"/>
          <w:szCs w:val="24"/>
          <w:u w:val="single"/>
        </w:rPr>
        <w:t xml:space="preserve">La inflación, desencadenada a partir de </w:t>
      </w:r>
      <w:r>
        <w:rPr>
          <w:rFonts w:ascii="Times New Roman" w:hAnsi="Times New Roman" w:cs="Times New Roman"/>
          <w:color w:val="FF0000"/>
          <w:sz w:val="24"/>
          <w:szCs w:val="24"/>
          <w:u w:val="single"/>
        </w:rPr>
        <w:t>2021 ha sido provocada por los “quantitative easing”, las “</w:t>
      </w:r>
      <w:r w:rsidRPr="00B43FEE">
        <w:rPr>
          <w:rFonts w:ascii="Times New Roman" w:hAnsi="Times New Roman" w:cs="Times New Roman"/>
          <w:color w:val="FF0000"/>
          <w:sz w:val="24"/>
          <w:szCs w:val="24"/>
          <w:u w:val="single"/>
        </w:rPr>
        <w:t>expansion</w:t>
      </w:r>
      <w:r>
        <w:rPr>
          <w:rFonts w:ascii="Times New Roman" w:hAnsi="Times New Roman" w:cs="Times New Roman"/>
          <w:color w:val="FF0000"/>
          <w:sz w:val="24"/>
          <w:szCs w:val="24"/>
          <w:u w:val="single"/>
        </w:rPr>
        <w:t>es cuantitativas”</w:t>
      </w:r>
      <w:r w:rsidRPr="00B43FEE">
        <w:rPr>
          <w:rFonts w:ascii="Times New Roman" w:hAnsi="Times New Roman" w:cs="Times New Roman"/>
          <w:color w:val="FF0000"/>
          <w:sz w:val="24"/>
          <w:szCs w:val="24"/>
          <w:u w:val="single"/>
        </w:rPr>
        <w:t xml:space="preserve"> del Balance de los Bancos Centrales. Estos son, asimismo, responsables de los efectos de la subida de tipos de interés, imprescindible para controlarla.</w:t>
      </w:r>
    </w:p>
    <w:p w:rsidR="007E3D39" w:rsidRPr="00A47749" w:rsidRDefault="007E3D39" w:rsidP="007E3D39">
      <w:pPr>
        <w:spacing w:line="240" w:lineRule="auto"/>
        <w:jc w:val="both"/>
        <w:rPr>
          <w:rFonts w:ascii="Times New Roman" w:hAnsi="Times New Roman" w:cs="Times New Roman"/>
          <w:sz w:val="24"/>
          <w:szCs w:val="24"/>
        </w:rPr>
      </w:pPr>
      <w:r w:rsidRPr="00A47749">
        <w:rPr>
          <w:rFonts w:ascii="Times New Roman" w:hAnsi="Times New Roman" w:cs="Times New Roman"/>
          <w:sz w:val="24"/>
          <w:szCs w:val="24"/>
        </w:rPr>
        <w:t>La política de tipos de interés negativos, cero o cercanos a cero, mantenidas durante diez años ha producido grandes distorsiones en las inversiones de los propios Bancos Centrales, de los bancos, de las empresas y de las familias. La subida de los tipos de interés afectará a todos ellos. Producirá pérdidas en el BCE, en los bancos que hayan invertido sin cubrir el riesgo de intereses, a las empresas que no tuvieron en cuenta los posibles gastos financieros y a las familias que creyeron, de buena fe, que los tipos de interés se mantendrían</w:t>
      </w:r>
      <w:r>
        <w:rPr>
          <w:rFonts w:ascii="Times New Roman" w:hAnsi="Times New Roman" w:cs="Times New Roman"/>
          <w:sz w:val="24"/>
          <w:szCs w:val="24"/>
        </w:rPr>
        <w:t xml:space="preserve"> muy bajos durante muchos años.</w:t>
      </w:r>
    </w:p>
    <w:p w:rsidR="007E3D39" w:rsidRPr="00B43FEE" w:rsidRDefault="007E3D39" w:rsidP="007E3D39">
      <w:pPr>
        <w:spacing w:line="240" w:lineRule="auto"/>
        <w:jc w:val="both"/>
        <w:rPr>
          <w:rFonts w:ascii="Times New Roman" w:hAnsi="Times New Roman" w:cs="Times New Roman"/>
          <w:sz w:val="24"/>
          <w:szCs w:val="24"/>
          <w:u w:val="single"/>
        </w:rPr>
      </w:pPr>
      <w:r w:rsidRPr="00B43FEE">
        <w:rPr>
          <w:rFonts w:ascii="Times New Roman" w:hAnsi="Times New Roman" w:cs="Times New Roman"/>
          <w:sz w:val="24"/>
          <w:szCs w:val="24"/>
          <w:u w:val="single"/>
        </w:rPr>
        <w:t>Las políticas de los Banqueros Centrales durante el periodo 2012-2022 tienen su origen en las teorías de Ben Bernanke, que se analizarán a continuación.</w:t>
      </w:r>
    </w:p>
    <w:p w:rsidR="007E3D39" w:rsidRPr="00A4774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I) </w:t>
      </w:r>
      <w:r w:rsidRPr="00B43FEE">
        <w:rPr>
          <w:rFonts w:ascii="Times New Roman" w:hAnsi="Times New Roman" w:cs="Times New Roman"/>
          <w:color w:val="FF0000"/>
          <w:sz w:val="24"/>
          <w:szCs w:val="24"/>
        </w:rPr>
        <w:t>La Nueva Teoría Económica (datos y principios ideológicos)</w:t>
      </w:r>
    </w:p>
    <w:p w:rsidR="007E3D39" w:rsidRPr="00A47749" w:rsidRDefault="007E3D39" w:rsidP="007E3D39">
      <w:pPr>
        <w:spacing w:line="240" w:lineRule="auto"/>
        <w:jc w:val="both"/>
        <w:rPr>
          <w:rFonts w:ascii="Times New Roman" w:hAnsi="Times New Roman" w:cs="Times New Roman"/>
          <w:sz w:val="24"/>
          <w:szCs w:val="24"/>
        </w:rPr>
      </w:pPr>
      <w:r w:rsidRPr="00A47749">
        <w:rPr>
          <w:rFonts w:ascii="Times New Roman" w:hAnsi="Times New Roman" w:cs="Times New Roman"/>
          <w:sz w:val="24"/>
          <w:szCs w:val="24"/>
        </w:rPr>
        <w:t>En líneas generales, que después desarrollaré con mayor extensión, los principios de esa Nu</w:t>
      </w:r>
      <w:r>
        <w:rPr>
          <w:rFonts w:ascii="Times New Roman" w:hAnsi="Times New Roman" w:cs="Times New Roman"/>
          <w:sz w:val="24"/>
          <w:szCs w:val="24"/>
        </w:rPr>
        <w:t>eva Teoría eran los siguientes:</w:t>
      </w:r>
    </w:p>
    <w:p w:rsidR="007E3D39" w:rsidRPr="00A47749" w:rsidRDefault="007E3D39" w:rsidP="007E3D39">
      <w:pPr>
        <w:spacing w:line="240" w:lineRule="auto"/>
        <w:jc w:val="both"/>
        <w:rPr>
          <w:rFonts w:ascii="Times New Roman" w:hAnsi="Times New Roman" w:cs="Times New Roman"/>
          <w:sz w:val="24"/>
          <w:szCs w:val="24"/>
        </w:rPr>
      </w:pPr>
      <w:r w:rsidRPr="00A47749">
        <w:rPr>
          <w:rFonts w:ascii="Times New Roman" w:hAnsi="Times New Roman" w:cs="Times New Roman"/>
          <w:sz w:val="24"/>
          <w:szCs w:val="24"/>
        </w:rPr>
        <w:t>Los tipos de interés naturales (“neutral” en la terminología americana) son cada vez más bajos y ello provoca que los tipos de interés que dependen de los Bancos Centrales tengan que ser mucho más bajos para evitar el estancamiento. Todos los responsables de los Bancos Centrales creían que los tipos que dependían de ellos t</w:t>
      </w:r>
      <w:r>
        <w:rPr>
          <w:rFonts w:ascii="Times New Roman" w:hAnsi="Times New Roman" w:cs="Times New Roman"/>
          <w:sz w:val="24"/>
          <w:szCs w:val="24"/>
        </w:rPr>
        <w:t>enían que ser cero o negativos.</w:t>
      </w:r>
    </w:p>
    <w:p w:rsidR="007E3D39" w:rsidRPr="00A47749" w:rsidRDefault="007E3D39" w:rsidP="007E3D39">
      <w:pPr>
        <w:spacing w:line="240" w:lineRule="auto"/>
        <w:jc w:val="both"/>
        <w:rPr>
          <w:rFonts w:ascii="Times New Roman" w:hAnsi="Times New Roman" w:cs="Times New Roman"/>
          <w:sz w:val="24"/>
          <w:szCs w:val="24"/>
        </w:rPr>
      </w:pPr>
      <w:r w:rsidRPr="00A47749">
        <w:rPr>
          <w:rFonts w:ascii="Times New Roman" w:hAnsi="Times New Roman" w:cs="Times New Roman"/>
          <w:sz w:val="24"/>
          <w:szCs w:val="24"/>
        </w:rPr>
        <w:t>La política monetaria, que históricamente tenía dos instrumentos para intervenir en la economía -la Oferta Monetaria (la cantidad de dinero en manos del público) y los tipos de interés-, sólo operaban con estos últimos. El manejo de la Oferta Monetaria ya no era efectivo, y recalc</w:t>
      </w:r>
      <w:r>
        <w:rPr>
          <w:rFonts w:ascii="Times New Roman" w:hAnsi="Times New Roman" w:cs="Times New Roman"/>
          <w:sz w:val="24"/>
          <w:szCs w:val="24"/>
        </w:rPr>
        <w:t>aban que se había demostrado, -y lo subrayo</w:t>
      </w:r>
      <w:r w:rsidRPr="00A47749">
        <w:rPr>
          <w:rFonts w:ascii="Times New Roman" w:hAnsi="Times New Roman" w:cs="Times New Roman"/>
          <w:sz w:val="24"/>
          <w:szCs w:val="24"/>
        </w:rPr>
        <w:t>- que la cantidad de dinero en circulación, derivada de las “expansiones cuantitativas” de los Balances de los Bancos Central</w:t>
      </w:r>
      <w:r>
        <w:rPr>
          <w:rFonts w:ascii="Times New Roman" w:hAnsi="Times New Roman" w:cs="Times New Roman"/>
          <w:sz w:val="24"/>
          <w:szCs w:val="24"/>
        </w:rPr>
        <w:t>es, no afectaba a la inflación.</w:t>
      </w:r>
    </w:p>
    <w:p w:rsidR="007E3D39" w:rsidRPr="00A47749" w:rsidRDefault="007E3D39" w:rsidP="007E3D39">
      <w:pPr>
        <w:spacing w:line="240" w:lineRule="auto"/>
        <w:jc w:val="both"/>
        <w:rPr>
          <w:rFonts w:ascii="Times New Roman" w:hAnsi="Times New Roman" w:cs="Times New Roman"/>
          <w:sz w:val="24"/>
          <w:szCs w:val="24"/>
        </w:rPr>
      </w:pPr>
      <w:r w:rsidRPr="00A47749">
        <w:rPr>
          <w:rFonts w:ascii="Times New Roman" w:hAnsi="Times New Roman" w:cs="Times New Roman"/>
          <w:sz w:val="24"/>
          <w:szCs w:val="24"/>
        </w:rPr>
        <w:t xml:space="preserve">Los Bancos Centrales constataban que, tras haber bajado los tipos de interés hasta cero o haberlos situado en negativo, en el caso de que se produjeran fluctuaciones económicas que provocaran un estancamiento económico, o una depresión o tasas de crecimiento real muy </w:t>
      </w:r>
      <w:r w:rsidRPr="00A47749">
        <w:rPr>
          <w:rFonts w:ascii="Times New Roman" w:hAnsi="Times New Roman" w:cs="Times New Roman"/>
          <w:sz w:val="24"/>
          <w:szCs w:val="24"/>
        </w:rPr>
        <w:lastRenderedPageBreak/>
        <w:t>reducidos -por las causas que fueran- no podrían utilizar los tipos de interés para inducir el crecimiento. De ahí que algunos economistas, como Rogoff, propusieran eliminar el dinero físico. Si todo fuera digital, bastaría con eliminar un porcentaje de ese dinero digital para mejorar las perspectivas de crec</w:t>
      </w:r>
      <w:r>
        <w:rPr>
          <w:rFonts w:ascii="Times New Roman" w:hAnsi="Times New Roman" w:cs="Times New Roman"/>
          <w:sz w:val="24"/>
          <w:szCs w:val="24"/>
        </w:rPr>
        <w:t>imiento.</w:t>
      </w:r>
    </w:p>
    <w:p w:rsidR="007E3D39" w:rsidRPr="00CD0FC9" w:rsidRDefault="007E3D39" w:rsidP="007E3D39">
      <w:pPr>
        <w:spacing w:line="240" w:lineRule="auto"/>
        <w:jc w:val="both"/>
        <w:rPr>
          <w:rFonts w:ascii="Times New Roman" w:hAnsi="Times New Roman" w:cs="Times New Roman"/>
          <w:sz w:val="24"/>
          <w:szCs w:val="24"/>
          <w:u w:val="single"/>
        </w:rPr>
      </w:pPr>
      <w:r w:rsidRPr="00CD0FC9">
        <w:rPr>
          <w:rFonts w:ascii="Times New Roman" w:hAnsi="Times New Roman" w:cs="Times New Roman"/>
          <w:sz w:val="24"/>
          <w:szCs w:val="24"/>
          <w:u w:val="single"/>
        </w:rPr>
        <w:t>En esa situación de tipos de interés cercanos a cero los Bancos Centrales, siguiendo el guion de los economistas norteamericanos más prestigiosos, desarrollaron una serie de políticas monetarias “no convencionales”.</w:t>
      </w:r>
    </w:p>
    <w:p w:rsidR="007E3D39" w:rsidRPr="00A47749" w:rsidRDefault="007E3D39" w:rsidP="007E3D39">
      <w:pPr>
        <w:spacing w:line="240" w:lineRule="auto"/>
        <w:jc w:val="both"/>
        <w:rPr>
          <w:rFonts w:ascii="Times New Roman" w:hAnsi="Times New Roman" w:cs="Times New Roman"/>
          <w:sz w:val="24"/>
          <w:szCs w:val="24"/>
        </w:rPr>
      </w:pPr>
      <w:r w:rsidRPr="00CD0FC9">
        <w:rPr>
          <w:rFonts w:ascii="Times New Roman" w:hAnsi="Times New Roman" w:cs="Times New Roman"/>
          <w:sz w:val="24"/>
          <w:szCs w:val="24"/>
          <w:u w:val="single"/>
        </w:rPr>
        <w:t>La primera es la “forward guidance” que consistía -y sigue consistiendo- en anunciar y explicar cuál será la política monetaria en un futuro próximo</w:t>
      </w:r>
      <w:r w:rsidRPr="00A47749">
        <w:rPr>
          <w:rFonts w:ascii="Times New Roman" w:hAnsi="Times New Roman" w:cs="Times New Roman"/>
          <w:sz w:val="24"/>
          <w:szCs w:val="24"/>
        </w:rPr>
        <w:t>. De ahí las apariciones de los gobernadores de los Bancos Centrales después de las reuniones de los respectivos consejos de cada banco. Se consideraba que lo fundamental era inspirar confianza en todos los agentes económicos para que sus actuaciones tuvieran en cuenta la política de tipos de i</w:t>
      </w:r>
      <w:r>
        <w:rPr>
          <w:rFonts w:ascii="Times New Roman" w:hAnsi="Times New Roman" w:cs="Times New Roman"/>
          <w:sz w:val="24"/>
          <w:szCs w:val="24"/>
        </w:rPr>
        <w:t>nterés de los Bancos Centrales.</w:t>
      </w:r>
    </w:p>
    <w:p w:rsidR="007E3D39" w:rsidRPr="00A47749" w:rsidRDefault="007E3D39" w:rsidP="007E3D39">
      <w:pPr>
        <w:spacing w:line="240" w:lineRule="auto"/>
        <w:jc w:val="both"/>
        <w:rPr>
          <w:rFonts w:ascii="Times New Roman" w:hAnsi="Times New Roman" w:cs="Times New Roman"/>
          <w:sz w:val="24"/>
          <w:szCs w:val="24"/>
        </w:rPr>
      </w:pPr>
      <w:r w:rsidRPr="00CD0FC9">
        <w:rPr>
          <w:rFonts w:ascii="Times New Roman" w:hAnsi="Times New Roman" w:cs="Times New Roman"/>
          <w:sz w:val="24"/>
          <w:szCs w:val="24"/>
          <w:u w:val="single"/>
        </w:rPr>
        <w:t>La segunda política monetaria no convencional era, y es, la denominada “quantitative easing” (en español, la “expansión cuantitativa”) del Balance del Banco Central, que consiste en la compra de activos, básicamente deuda pública a tipo de interés reducido; y en el caso del BCE, también de compra de emisiones de deuda de empresas privadas</w:t>
      </w:r>
      <w:r w:rsidRPr="00A47749">
        <w:rPr>
          <w:rFonts w:ascii="Times New Roman" w:hAnsi="Times New Roman" w:cs="Times New Roman"/>
          <w:sz w:val="24"/>
          <w:szCs w:val="24"/>
        </w:rPr>
        <w:t>. En contrapartida, en el pasivo del Balance del Banco Central aparecerá la creación de dinero, en forma de circulante y de “facilidades de depósito” de los bancos miembros en el caso del BCE.</w:t>
      </w:r>
    </w:p>
    <w:p w:rsidR="007E3D39" w:rsidRPr="00CD0FC9" w:rsidRDefault="007E3D39" w:rsidP="007E3D39">
      <w:pPr>
        <w:spacing w:line="240" w:lineRule="auto"/>
        <w:jc w:val="both"/>
        <w:rPr>
          <w:rFonts w:ascii="Times New Roman" w:hAnsi="Times New Roman" w:cs="Times New Roman"/>
          <w:sz w:val="24"/>
          <w:szCs w:val="24"/>
          <w:u w:val="single"/>
        </w:rPr>
      </w:pPr>
      <w:r w:rsidRPr="00CD0FC9">
        <w:rPr>
          <w:rFonts w:ascii="Times New Roman" w:hAnsi="Times New Roman" w:cs="Times New Roman"/>
          <w:sz w:val="24"/>
          <w:szCs w:val="24"/>
          <w:u w:val="single"/>
        </w:rPr>
        <w:t>Los Banqueros Centrales estaban convencidos de que ese aumento de la cantidad de dinero en circulación era positivo para la economía por dos razones. La primera, porque permitía financiar la deuda pública y la privada a tipos cercanos a cero. La segunda, porque consideraban probado que ese aumento del dinero en circulación creaba la liquidez necesaria para asegurar la recuperación, pero no inflación.</w:t>
      </w:r>
    </w:p>
    <w:p w:rsidR="007E3D39" w:rsidRPr="00CD0FC9" w:rsidRDefault="007E3D39" w:rsidP="007E3D39">
      <w:pPr>
        <w:spacing w:line="240" w:lineRule="auto"/>
        <w:jc w:val="both"/>
        <w:rPr>
          <w:rFonts w:ascii="Times New Roman" w:hAnsi="Times New Roman" w:cs="Times New Roman"/>
          <w:sz w:val="24"/>
          <w:szCs w:val="24"/>
          <w:u w:val="single"/>
        </w:rPr>
      </w:pPr>
      <w:r w:rsidRPr="00CD0FC9">
        <w:rPr>
          <w:rFonts w:ascii="Times New Roman" w:hAnsi="Times New Roman" w:cs="Times New Roman"/>
          <w:color w:val="FF0000"/>
          <w:sz w:val="24"/>
          <w:szCs w:val="24"/>
          <w:u w:val="single"/>
        </w:rPr>
        <w:t>Bernanke, en un artículo que examinaremos posteriormente con algún detalle, se jacta de que el Balance de la FED, desde 2008 hasta 2018 (el artículo es de 2019) había pasado de menos de un trillón (americano) de dólares a 4,5 trillones, sin atisbo de inflación</w:t>
      </w:r>
      <w:r w:rsidRPr="00A47749">
        <w:rPr>
          <w:rFonts w:ascii="Times New Roman" w:hAnsi="Times New Roman" w:cs="Times New Roman"/>
          <w:sz w:val="24"/>
          <w:szCs w:val="24"/>
        </w:rPr>
        <w:t xml:space="preserve">. Su convencimiento del maná que representa la “cuantitative easing” es tal que titula dicho artículo </w:t>
      </w:r>
      <w:r w:rsidRPr="00CD0FC9">
        <w:rPr>
          <w:rFonts w:ascii="Times New Roman" w:hAnsi="Times New Roman" w:cs="Times New Roman"/>
          <w:color w:val="FF0000"/>
          <w:sz w:val="24"/>
          <w:szCs w:val="24"/>
          <w:u w:val="single"/>
        </w:rPr>
        <w:t>Monetary Policy in a New Era.</w:t>
      </w:r>
      <w:r w:rsidRPr="00A47749">
        <w:rPr>
          <w:rFonts w:ascii="Times New Roman" w:hAnsi="Times New Roman" w:cs="Times New Roman"/>
          <w:sz w:val="24"/>
          <w:szCs w:val="24"/>
        </w:rPr>
        <w:t xml:space="preserve"> </w:t>
      </w:r>
      <w:r w:rsidRPr="00CD0FC9">
        <w:rPr>
          <w:rFonts w:ascii="Times New Roman" w:hAnsi="Times New Roman" w:cs="Times New Roman"/>
          <w:color w:val="FF0000"/>
          <w:sz w:val="24"/>
          <w:szCs w:val="24"/>
          <w:u w:val="single"/>
        </w:rPr>
        <w:t>Lo grave no es la mezcla de estupidez y soberbia del último Nobel de Economía, sino que los Bancos Centrales han aceptado ese planteamiento sin fisuras</w:t>
      </w:r>
      <w:r w:rsidRPr="00A47749">
        <w:rPr>
          <w:rFonts w:ascii="Times New Roman" w:hAnsi="Times New Roman" w:cs="Times New Roman"/>
          <w:sz w:val="24"/>
          <w:szCs w:val="24"/>
        </w:rPr>
        <w:t xml:space="preserve">. </w:t>
      </w:r>
      <w:r w:rsidRPr="00CD0FC9">
        <w:rPr>
          <w:rFonts w:ascii="Times New Roman" w:hAnsi="Times New Roman" w:cs="Times New Roman"/>
          <w:sz w:val="24"/>
          <w:szCs w:val="24"/>
          <w:u w:val="single"/>
        </w:rPr>
        <w:t>Aunque Mario Draghi, con dejes de cinismo, dice aceptar esa doctrina para el BCE, dejando claro que a él le viene bien la nueva teoría económica, porque le ha permitido evitar la fragmentación de la Unión Monetaria en momentos de tensiones nacionales exacerbadas.</w:t>
      </w:r>
    </w:p>
    <w:p w:rsidR="007E3D39" w:rsidRPr="00CD0FC9" w:rsidRDefault="007E3D39" w:rsidP="007E3D39">
      <w:pPr>
        <w:spacing w:line="240" w:lineRule="auto"/>
        <w:jc w:val="both"/>
        <w:rPr>
          <w:rFonts w:ascii="Times New Roman" w:hAnsi="Times New Roman" w:cs="Times New Roman"/>
          <w:color w:val="FF0000"/>
          <w:sz w:val="24"/>
          <w:szCs w:val="24"/>
          <w:u w:val="single"/>
        </w:rPr>
      </w:pPr>
      <w:r w:rsidRPr="00A47749">
        <w:rPr>
          <w:rFonts w:ascii="Times New Roman" w:hAnsi="Times New Roman" w:cs="Times New Roman"/>
          <w:sz w:val="24"/>
          <w:szCs w:val="24"/>
        </w:rPr>
        <w:t xml:space="preserve">Otras medidas no convencionales son las que defienden políticas financieras aún más restrictivas para la banca privada y la que propone fijar objetivos de inflación más elevados del 2%. </w:t>
      </w:r>
      <w:r w:rsidRPr="00CD0FC9">
        <w:rPr>
          <w:rFonts w:ascii="Times New Roman" w:hAnsi="Times New Roman" w:cs="Times New Roman"/>
          <w:sz w:val="24"/>
          <w:szCs w:val="24"/>
          <w:u w:val="single"/>
        </w:rPr>
        <w:t>Si la política de tipos de interés no fuera operativa, porque ya se hubieran reducido a cero y las otras políticas monetarias no convencionales (básicamente la “quantitative easing”) tampoco fuera efectiva -lo que no descartan-, proponen una política fiscal más agresiva.</w:t>
      </w:r>
      <w:r w:rsidRPr="00A47749">
        <w:rPr>
          <w:rFonts w:ascii="Times New Roman" w:hAnsi="Times New Roman" w:cs="Times New Roman"/>
          <w:sz w:val="24"/>
          <w:szCs w:val="24"/>
        </w:rPr>
        <w:t xml:space="preserve"> </w:t>
      </w:r>
      <w:r w:rsidRPr="00CD0FC9">
        <w:rPr>
          <w:rFonts w:ascii="Times New Roman" w:hAnsi="Times New Roman" w:cs="Times New Roman"/>
          <w:color w:val="FF0000"/>
          <w:sz w:val="24"/>
          <w:szCs w:val="24"/>
          <w:u w:val="single"/>
        </w:rPr>
        <w:t>Para lo cual desarrollan una nueva política fiscal con otros planteamientos: a) No habría que tener temor a mayores déficits públicos. b) Se podría reducir impuestos y aumentar el gasto público, sobre todo el que se derivara de inversiones públicas. c) Habría que exponer claramente que la deuda pública nunca iba a repagarse, por lo cual no importaría que aumentara la relación entre deuda pública y PIB. d) Incluso si aumentaran en un futuro los tipos de interés no importaría para esta política fiscal expansiva porque podría emitirse deuda pública indexada a la inflación.</w:t>
      </w:r>
    </w:p>
    <w:p w:rsidR="007E3D39" w:rsidRPr="00A47749" w:rsidRDefault="007E3D39" w:rsidP="007E3D39">
      <w:pPr>
        <w:spacing w:line="240" w:lineRule="auto"/>
        <w:jc w:val="both"/>
        <w:rPr>
          <w:rFonts w:ascii="Times New Roman" w:hAnsi="Times New Roman" w:cs="Times New Roman"/>
          <w:sz w:val="24"/>
          <w:szCs w:val="24"/>
        </w:rPr>
      </w:pPr>
      <w:r w:rsidRPr="00A47749">
        <w:rPr>
          <w:rFonts w:ascii="Times New Roman" w:hAnsi="Times New Roman" w:cs="Times New Roman"/>
          <w:sz w:val="24"/>
          <w:szCs w:val="24"/>
        </w:rPr>
        <w:lastRenderedPageBreak/>
        <w:t>Unos principios que se pueden resumir en una frase: “There would be no tax burden associated with debt”. Esas políticas son las que se exponen en un libro que analizaremos a continuación, publicado en 2019, justo antes de la pandemia.</w:t>
      </w:r>
    </w:p>
    <w:p w:rsidR="007E3D39" w:rsidRPr="00CD0FC9" w:rsidRDefault="007E3D39" w:rsidP="007E3D39">
      <w:pPr>
        <w:spacing w:line="240" w:lineRule="auto"/>
        <w:jc w:val="both"/>
        <w:rPr>
          <w:rFonts w:ascii="Times New Roman" w:hAnsi="Times New Roman" w:cs="Times New Roman"/>
          <w:color w:val="FF0000"/>
          <w:sz w:val="24"/>
          <w:szCs w:val="24"/>
        </w:rPr>
      </w:pPr>
      <w:r w:rsidRPr="00A47749">
        <w:rPr>
          <w:rFonts w:ascii="Times New Roman" w:hAnsi="Times New Roman" w:cs="Times New Roman"/>
          <w:sz w:val="24"/>
          <w:szCs w:val="24"/>
        </w:rPr>
        <w:t xml:space="preserve">II) </w:t>
      </w:r>
      <w:r>
        <w:rPr>
          <w:rFonts w:ascii="Times New Roman" w:hAnsi="Times New Roman" w:cs="Times New Roman"/>
          <w:color w:val="FF0000"/>
          <w:sz w:val="24"/>
          <w:szCs w:val="24"/>
        </w:rPr>
        <w:t>La “</w:t>
      </w:r>
      <w:r w:rsidRPr="00CD0FC9">
        <w:rPr>
          <w:rFonts w:ascii="Times New Roman" w:hAnsi="Times New Roman" w:cs="Times New Roman"/>
          <w:color w:val="FF0000"/>
          <w:sz w:val="24"/>
          <w:szCs w:val="24"/>
        </w:rPr>
        <w:t>New Era” de la política monetaria, fiscal y financiera (2012-2020)</w:t>
      </w:r>
    </w:p>
    <w:p w:rsidR="007E3D39" w:rsidRPr="00CD0FC9" w:rsidRDefault="007E3D39" w:rsidP="007E3D39">
      <w:pPr>
        <w:spacing w:line="240" w:lineRule="auto"/>
        <w:jc w:val="both"/>
        <w:rPr>
          <w:rFonts w:ascii="Times New Roman" w:hAnsi="Times New Roman" w:cs="Times New Roman"/>
          <w:sz w:val="24"/>
          <w:szCs w:val="24"/>
          <w:u w:val="single"/>
        </w:rPr>
      </w:pPr>
      <w:r w:rsidRPr="00CD0FC9">
        <w:rPr>
          <w:rFonts w:ascii="Times New Roman" w:hAnsi="Times New Roman" w:cs="Times New Roman"/>
          <w:sz w:val="24"/>
          <w:szCs w:val="24"/>
          <w:u w:val="single"/>
        </w:rPr>
        <w:t>En dicho libro, titulado Evolution or Revolution (1), del que no me consta que exista traducción al español, editado por dos de los más influyentes economistas norteamericanos, Olivier Blanchard -economista jefe del FMI durante muchos años- y Lawrence H. Summers -exsecretario del Tesoro de Estados Unidos- se planteaba que había llegado el momento de cambiar, más o menos radicalmente, la política macroeconómica para asegurar el crecimiento futuro.</w:t>
      </w:r>
    </w:p>
    <w:p w:rsidR="007E3D39" w:rsidRPr="00A47749" w:rsidRDefault="007E3D39" w:rsidP="007E3D39">
      <w:pPr>
        <w:spacing w:line="240" w:lineRule="auto"/>
        <w:jc w:val="both"/>
        <w:rPr>
          <w:rFonts w:ascii="Times New Roman" w:hAnsi="Times New Roman" w:cs="Times New Roman"/>
          <w:sz w:val="24"/>
          <w:szCs w:val="24"/>
        </w:rPr>
      </w:pPr>
      <w:r w:rsidRPr="00A47749">
        <w:rPr>
          <w:rFonts w:ascii="Times New Roman" w:hAnsi="Times New Roman" w:cs="Times New Roman"/>
          <w:sz w:val="24"/>
          <w:szCs w:val="24"/>
        </w:rPr>
        <w:t xml:space="preserve">La radicalidad parte de los propios editores y de su contribución en dicho libro. El libro cuenta con la colaboración, en forma de artículos o comentarios, de otros 26 economistas, entre los que se encuentran Ben Bernanke, Lael Brainard -que en estos días deja su cargo de vicepresidente de la FED para ser nombrada Jefe del Consejo de Economistas de la Presidencia de Estados Unidos- ; de autoridades teóricas como Alan J. Averbach, Robert E. Rubin, Markus K. Brunnermeier y Gita Gopinath, entre otros; y colaboraciones como la de </w:t>
      </w:r>
      <w:r>
        <w:rPr>
          <w:rFonts w:ascii="Times New Roman" w:hAnsi="Times New Roman" w:cs="Times New Roman"/>
          <w:sz w:val="24"/>
          <w:szCs w:val="24"/>
        </w:rPr>
        <w:t>Mario Draghi y Carmen Reinhart.</w:t>
      </w:r>
    </w:p>
    <w:p w:rsidR="007E3D39" w:rsidRPr="00A47749" w:rsidRDefault="007E3D39" w:rsidP="007E3D39">
      <w:pPr>
        <w:spacing w:line="240" w:lineRule="auto"/>
        <w:jc w:val="both"/>
        <w:rPr>
          <w:rFonts w:ascii="Times New Roman" w:hAnsi="Times New Roman" w:cs="Times New Roman"/>
          <w:sz w:val="24"/>
          <w:szCs w:val="24"/>
        </w:rPr>
      </w:pPr>
      <w:r w:rsidRPr="00A47749">
        <w:rPr>
          <w:rFonts w:ascii="Times New Roman" w:hAnsi="Times New Roman" w:cs="Times New Roman"/>
          <w:sz w:val="24"/>
          <w:szCs w:val="24"/>
        </w:rPr>
        <w:t>El libro tiene ese título porque, como figura en el subtítulo, creían los editores, y la mayor parte de los participantes, que había llegado un momento crucial: “Rethinking Macroeconomic Policy after the Great Recesion”. La Nueva Política Económica, por llamarla de alguna manera, que allí aparece, se ha desarrollado según los editores gracias a lo que los economistas han aprendido luchando contra las consecuencias de la Gran Crisis Financiera de 2008 y la cons</w:t>
      </w:r>
      <w:r>
        <w:rPr>
          <w:rFonts w:ascii="Times New Roman" w:hAnsi="Times New Roman" w:cs="Times New Roman"/>
          <w:sz w:val="24"/>
          <w:szCs w:val="24"/>
        </w:rPr>
        <w:t>iguiente Gran Crisis Económica.</w:t>
      </w:r>
    </w:p>
    <w:p w:rsidR="007E3D39" w:rsidRPr="00A47749" w:rsidRDefault="007E3D39" w:rsidP="007E3D39">
      <w:pPr>
        <w:spacing w:line="240" w:lineRule="auto"/>
        <w:jc w:val="both"/>
        <w:rPr>
          <w:rFonts w:ascii="Times New Roman" w:hAnsi="Times New Roman" w:cs="Times New Roman"/>
          <w:sz w:val="24"/>
          <w:szCs w:val="24"/>
        </w:rPr>
      </w:pPr>
      <w:r w:rsidRPr="00A47749">
        <w:rPr>
          <w:rFonts w:ascii="Times New Roman" w:hAnsi="Times New Roman" w:cs="Times New Roman"/>
          <w:sz w:val="24"/>
          <w:szCs w:val="24"/>
        </w:rPr>
        <w:t>Afirman que se había dado un paso fundamental en Teoría Económica. Tan importante como para provocar, al menos, una Evolución, pero que podría convertirse en una Revolución teórica si se llegara, tras otras crisis, a una situación de estancamiento económico global de la que f</w:t>
      </w:r>
      <w:r>
        <w:rPr>
          <w:rFonts w:ascii="Times New Roman" w:hAnsi="Times New Roman" w:cs="Times New Roman"/>
          <w:sz w:val="24"/>
          <w:szCs w:val="24"/>
        </w:rPr>
        <w:t>uera imposible salir.</w:t>
      </w:r>
    </w:p>
    <w:p w:rsidR="007E3D39" w:rsidRPr="00CD0FC9" w:rsidRDefault="007E3D39" w:rsidP="007E3D39">
      <w:pPr>
        <w:spacing w:line="240" w:lineRule="auto"/>
        <w:jc w:val="both"/>
        <w:rPr>
          <w:rFonts w:ascii="Times New Roman" w:hAnsi="Times New Roman" w:cs="Times New Roman"/>
          <w:color w:val="FF0000"/>
          <w:sz w:val="24"/>
          <w:szCs w:val="24"/>
        </w:rPr>
      </w:pPr>
      <w:r w:rsidRPr="00A47749">
        <w:rPr>
          <w:rFonts w:ascii="Times New Roman" w:hAnsi="Times New Roman" w:cs="Times New Roman"/>
          <w:sz w:val="24"/>
          <w:szCs w:val="24"/>
        </w:rPr>
        <w:t xml:space="preserve">1) </w:t>
      </w:r>
      <w:r w:rsidRPr="00CD0FC9">
        <w:rPr>
          <w:rFonts w:ascii="Times New Roman" w:hAnsi="Times New Roman" w:cs="Times New Roman"/>
          <w:color w:val="FF0000"/>
          <w:sz w:val="24"/>
          <w:szCs w:val="24"/>
        </w:rPr>
        <w:t>El peligro del Sector Financiero</w:t>
      </w:r>
    </w:p>
    <w:p w:rsidR="007E3D39" w:rsidRPr="00A47749" w:rsidRDefault="007E3D39" w:rsidP="007E3D39">
      <w:pPr>
        <w:spacing w:line="240" w:lineRule="auto"/>
        <w:jc w:val="both"/>
        <w:rPr>
          <w:rFonts w:ascii="Times New Roman" w:hAnsi="Times New Roman" w:cs="Times New Roman"/>
          <w:sz w:val="24"/>
          <w:szCs w:val="24"/>
        </w:rPr>
      </w:pPr>
      <w:r w:rsidRPr="00CD0FC9">
        <w:rPr>
          <w:rFonts w:ascii="Times New Roman" w:hAnsi="Times New Roman" w:cs="Times New Roman"/>
          <w:sz w:val="24"/>
          <w:szCs w:val="24"/>
          <w:u w:val="single"/>
        </w:rPr>
        <w:t>Olivier Blanchard y Lawrence H. Summers insisten en que la crisis de 2008 fue provocada por la actuación de la banca privada en el mundo desarrollado y que las reformas a las que se ha forzado al Sector Financiero deben ser aún más contundentes</w:t>
      </w:r>
      <w:r w:rsidRPr="00A47749">
        <w:rPr>
          <w:rFonts w:ascii="Times New Roman" w:hAnsi="Times New Roman" w:cs="Times New Roman"/>
          <w:sz w:val="24"/>
          <w:szCs w:val="24"/>
        </w:rPr>
        <w:t>. No consideran suficiente aplicar las normas de Basilea III a las entidades financieras. Además de aumentar el capital, las provisiones y los tests de estrés continuos, es preciso acentuar todas las regulaciones y mantener la política de tipos de interés negativos o próximos a cero. Bernanke lo tiene claro. “los tipos de interés cero no han influido en la rentabilidad del sector financiero”. Haciendo caso omiso de que han desaparecido las ampliaciones de capital y de que son los Bancos Centrales los que -al menos en el caso del BCE- han financiado la ac</w:t>
      </w:r>
      <w:r>
        <w:rPr>
          <w:rFonts w:ascii="Times New Roman" w:hAnsi="Times New Roman" w:cs="Times New Roman"/>
          <w:sz w:val="24"/>
          <w:szCs w:val="24"/>
        </w:rPr>
        <w:t>tividad crediticia de la Banca.</w:t>
      </w:r>
    </w:p>
    <w:p w:rsidR="007E3D39" w:rsidRDefault="007E3D39" w:rsidP="007E3D39">
      <w:pPr>
        <w:spacing w:line="240" w:lineRule="auto"/>
        <w:jc w:val="both"/>
        <w:rPr>
          <w:rFonts w:ascii="Times New Roman" w:hAnsi="Times New Roman" w:cs="Times New Roman"/>
          <w:color w:val="FF0000"/>
          <w:sz w:val="24"/>
          <w:szCs w:val="24"/>
          <w:u w:val="single"/>
        </w:rPr>
      </w:pPr>
      <w:r w:rsidRPr="00CD0FC9">
        <w:rPr>
          <w:rFonts w:ascii="Times New Roman" w:hAnsi="Times New Roman" w:cs="Times New Roman"/>
          <w:color w:val="FF0000"/>
          <w:sz w:val="24"/>
          <w:szCs w:val="24"/>
          <w:u w:val="single"/>
        </w:rPr>
        <w:t>Siendo cierto que la Gran Crisis Financiera fue provocada por las entidades financieras y la falta de regulación, la segunda gran responsabilidad fue la de los dirigentes de los Bancos Centrales que creían, con un nivel de ingenuidad o de incompetencia difícil de superar, que un sistema de banca de reserva fraccionaria, con capitales del 2% sobre el pasivo, no podrían provocar crisis como la que se sufrió en 2008.</w:t>
      </w:r>
    </w:p>
    <w:p w:rsidR="007E3D39" w:rsidRPr="00CD0FC9" w:rsidRDefault="007E3D39" w:rsidP="007E3D39">
      <w:pPr>
        <w:spacing w:line="240" w:lineRule="auto"/>
        <w:jc w:val="both"/>
        <w:rPr>
          <w:rFonts w:ascii="Times New Roman" w:hAnsi="Times New Roman" w:cs="Times New Roman"/>
          <w:color w:val="FF0000"/>
          <w:sz w:val="24"/>
          <w:szCs w:val="24"/>
          <w:u w:val="single"/>
        </w:rPr>
      </w:pPr>
    </w:p>
    <w:p w:rsidR="007E3D39" w:rsidRPr="00CD0FC9" w:rsidRDefault="007E3D39" w:rsidP="007E3D39">
      <w:pPr>
        <w:spacing w:line="240" w:lineRule="auto"/>
        <w:jc w:val="both"/>
        <w:rPr>
          <w:rFonts w:ascii="Times New Roman" w:hAnsi="Times New Roman" w:cs="Times New Roman"/>
          <w:color w:val="FF0000"/>
          <w:sz w:val="24"/>
          <w:szCs w:val="24"/>
        </w:rPr>
      </w:pPr>
      <w:r w:rsidRPr="00A47749">
        <w:rPr>
          <w:rFonts w:ascii="Times New Roman" w:hAnsi="Times New Roman" w:cs="Times New Roman"/>
          <w:sz w:val="24"/>
          <w:szCs w:val="24"/>
        </w:rPr>
        <w:lastRenderedPageBreak/>
        <w:t xml:space="preserve">2) </w:t>
      </w:r>
      <w:r w:rsidRPr="00CD0FC9">
        <w:rPr>
          <w:rFonts w:ascii="Times New Roman" w:hAnsi="Times New Roman" w:cs="Times New Roman"/>
          <w:color w:val="FF0000"/>
          <w:sz w:val="24"/>
          <w:szCs w:val="24"/>
        </w:rPr>
        <w:t>El descenso de los tipos de interés naturales y la estabilidad de los precios</w:t>
      </w:r>
    </w:p>
    <w:p w:rsidR="007E3D39" w:rsidRPr="00CD0FC9" w:rsidRDefault="007E3D39" w:rsidP="007E3D39">
      <w:pPr>
        <w:spacing w:line="240" w:lineRule="auto"/>
        <w:jc w:val="both"/>
        <w:rPr>
          <w:rFonts w:ascii="Times New Roman" w:hAnsi="Times New Roman" w:cs="Times New Roman"/>
          <w:sz w:val="24"/>
          <w:szCs w:val="24"/>
          <w:u w:val="single"/>
        </w:rPr>
      </w:pPr>
      <w:r w:rsidRPr="00CD0FC9">
        <w:rPr>
          <w:rFonts w:ascii="Times New Roman" w:hAnsi="Times New Roman" w:cs="Times New Roman"/>
          <w:sz w:val="24"/>
          <w:szCs w:val="24"/>
          <w:u w:val="single"/>
        </w:rPr>
        <w:t>La gran enseñanza que aceptan los autores con fe de carretero es que los tipos de interés de equilibrio, natural, o “neutral”, se han reducido históricamente por causas complejas e indeterminadas, lo que ha obligado a reducir los tipos de interés de los que son competentes los Bancos Centrales.</w:t>
      </w:r>
    </w:p>
    <w:p w:rsidR="007E3D39" w:rsidRPr="00CD0FC9" w:rsidRDefault="007E3D39" w:rsidP="007E3D39">
      <w:pPr>
        <w:spacing w:line="240" w:lineRule="auto"/>
        <w:jc w:val="both"/>
        <w:rPr>
          <w:rFonts w:ascii="Times New Roman" w:hAnsi="Times New Roman" w:cs="Times New Roman"/>
          <w:sz w:val="24"/>
          <w:szCs w:val="24"/>
          <w:u w:val="single"/>
        </w:rPr>
      </w:pPr>
      <w:r w:rsidRPr="00CD0FC9">
        <w:rPr>
          <w:rFonts w:ascii="Times New Roman" w:hAnsi="Times New Roman" w:cs="Times New Roman"/>
          <w:sz w:val="24"/>
          <w:szCs w:val="24"/>
          <w:u w:val="single"/>
        </w:rPr>
        <w:t>Un planteamiento irracional, pues se acepta, de entrada, que no se sabe cuál es ese tipo de equilibrio.</w:t>
      </w:r>
    </w:p>
    <w:p w:rsidR="007E3D39" w:rsidRPr="00CD0FC9" w:rsidRDefault="007E3D39" w:rsidP="007E3D39">
      <w:pPr>
        <w:spacing w:line="240" w:lineRule="auto"/>
        <w:jc w:val="both"/>
        <w:rPr>
          <w:rFonts w:ascii="Times New Roman" w:hAnsi="Times New Roman" w:cs="Times New Roman"/>
          <w:color w:val="FF0000"/>
          <w:sz w:val="24"/>
          <w:szCs w:val="24"/>
          <w:u w:val="single"/>
        </w:rPr>
      </w:pPr>
      <w:r w:rsidRPr="00CD0FC9">
        <w:rPr>
          <w:rFonts w:ascii="Times New Roman" w:hAnsi="Times New Roman" w:cs="Times New Roman"/>
          <w:color w:val="FF0000"/>
          <w:sz w:val="24"/>
          <w:szCs w:val="24"/>
          <w:u w:val="single"/>
        </w:rPr>
        <w:t>Bernanke dice que “la reducción de tipos de interés nominales” está producida por múltiples causas. Cita, entre otras, las bajas tasas de inflación, el envejecimiento de la población en las economías avanzadas, el menor crecimiento observado de la productividad, y lo que él denomina el “estancamiento secular”, por exceso de ahorro y/o por falta de inversión.</w:t>
      </w:r>
    </w:p>
    <w:p w:rsidR="007E3D39" w:rsidRPr="003301D2" w:rsidRDefault="007E3D39" w:rsidP="007E3D39">
      <w:pPr>
        <w:spacing w:line="240" w:lineRule="auto"/>
        <w:jc w:val="both"/>
        <w:rPr>
          <w:rFonts w:ascii="Times New Roman" w:hAnsi="Times New Roman" w:cs="Times New Roman"/>
          <w:sz w:val="24"/>
          <w:szCs w:val="24"/>
          <w:u w:val="single"/>
        </w:rPr>
      </w:pPr>
      <w:r w:rsidRPr="003301D2">
        <w:rPr>
          <w:rFonts w:ascii="Times New Roman" w:hAnsi="Times New Roman" w:cs="Times New Roman"/>
          <w:sz w:val="24"/>
          <w:szCs w:val="24"/>
          <w:u w:val="single"/>
        </w:rPr>
        <w:t>No hay referencias en ninguno de los artículos, al enorme cambio producido en el mundo desde 1980 -cuando Deng Siao Ping cambió la política económica de China y fue imitado por la mayoría de países asiáticos, latinoamericanos y algunos africanos-; y, sobre todo, desde el año 2000, cuando se permite a China entrar en la Organización Mundial de Comercio y se acelera la globalización. Una omisión incomprensible, porque sin ese cambio es imposible interpretar los cambios en los precios de los bienes y servicios en todo el mundo y en los propios tipos de interés.</w:t>
      </w:r>
    </w:p>
    <w:p w:rsidR="007E3D39" w:rsidRPr="003301D2" w:rsidRDefault="007E3D39" w:rsidP="007E3D39">
      <w:pPr>
        <w:spacing w:line="240" w:lineRule="auto"/>
        <w:jc w:val="both"/>
        <w:rPr>
          <w:rFonts w:ascii="Times New Roman" w:hAnsi="Times New Roman" w:cs="Times New Roman"/>
          <w:color w:val="FF0000"/>
          <w:sz w:val="24"/>
          <w:szCs w:val="24"/>
          <w:u w:val="single"/>
        </w:rPr>
      </w:pPr>
      <w:r w:rsidRPr="003301D2">
        <w:rPr>
          <w:rFonts w:ascii="Times New Roman" w:hAnsi="Times New Roman" w:cs="Times New Roman"/>
          <w:color w:val="FF0000"/>
          <w:sz w:val="24"/>
          <w:szCs w:val="24"/>
          <w:u w:val="single"/>
        </w:rPr>
        <w:t>Los economistas que nos ocupan llegaron a la conclusión de que si se produjera una nueva depresión la política económica no podía contar con la política monetaria para salir de la crisis.</w:t>
      </w:r>
    </w:p>
    <w:p w:rsidR="007E3D39" w:rsidRPr="003301D2" w:rsidRDefault="007E3D39" w:rsidP="007E3D39">
      <w:pPr>
        <w:spacing w:line="240" w:lineRule="auto"/>
        <w:jc w:val="both"/>
        <w:rPr>
          <w:rFonts w:ascii="Times New Roman" w:hAnsi="Times New Roman" w:cs="Times New Roman"/>
          <w:color w:val="FF0000"/>
          <w:sz w:val="24"/>
          <w:szCs w:val="24"/>
          <w:u w:val="single"/>
          <w:lang w:val="en-US"/>
        </w:rPr>
      </w:pPr>
      <w:r w:rsidRPr="003301D2">
        <w:rPr>
          <w:rFonts w:ascii="Times New Roman" w:hAnsi="Times New Roman" w:cs="Times New Roman"/>
          <w:color w:val="FF0000"/>
          <w:sz w:val="24"/>
          <w:szCs w:val="24"/>
          <w:u w:val="single"/>
          <w:lang w:val="en-US"/>
        </w:rPr>
        <w:t>En palabras de Blanchard y Summers “we are now and maybe in the foreseeable future in an environment of low no</w:t>
      </w:r>
      <w:r>
        <w:rPr>
          <w:rFonts w:ascii="Times New Roman" w:hAnsi="Times New Roman" w:cs="Times New Roman"/>
          <w:color w:val="FF0000"/>
          <w:sz w:val="24"/>
          <w:szCs w:val="24"/>
          <w:u w:val="single"/>
          <w:lang w:val="en-US"/>
        </w:rPr>
        <w:t>minal and real interest rates” (2019)</w:t>
      </w:r>
      <w:r w:rsidRPr="003301D2">
        <w:rPr>
          <w:rFonts w:ascii="Times New Roman" w:hAnsi="Times New Roman" w:cs="Times New Roman"/>
          <w:color w:val="FF0000"/>
          <w:sz w:val="24"/>
          <w:szCs w:val="24"/>
          <w:u w:val="single"/>
          <w:lang w:val="en-US"/>
        </w:rPr>
        <w:t>.</w:t>
      </w:r>
    </w:p>
    <w:p w:rsidR="007E3D39" w:rsidRPr="00A47749" w:rsidRDefault="007E3D39" w:rsidP="007E3D39">
      <w:pPr>
        <w:spacing w:line="240" w:lineRule="auto"/>
        <w:jc w:val="both"/>
        <w:rPr>
          <w:rFonts w:ascii="Times New Roman" w:hAnsi="Times New Roman" w:cs="Times New Roman"/>
          <w:sz w:val="24"/>
          <w:szCs w:val="24"/>
        </w:rPr>
      </w:pPr>
      <w:r w:rsidRPr="00A47749">
        <w:rPr>
          <w:rFonts w:ascii="Times New Roman" w:hAnsi="Times New Roman" w:cs="Times New Roman"/>
          <w:sz w:val="24"/>
          <w:szCs w:val="24"/>
        </w:rPr>
        <w:t xml:space="preserve">3) </w:t>
      </w:r>
      <w:r w:rsidRPr="003301D2">
        <w:rPr>
          <w:rFonts w:ascii="Times New Roman" w:hAnsi="Times New Roman" w:cs="Times New Roman"/>
          <w:color w:val="FF0000"/>
          <w:sz w:val="24"/>
          <w:szCs w:val="24"/>
        </w:rPr>
        <w:t>La importancia de la globalización en los precios y los tipos de interés</w:t>
      </w:r>
    </w:p>
    <w:p w:rsidR="007E3D39" w:rsidRPr="003301D2" w:rsidRDefault="007E3D39" w:rsidP="007E3D39">
      <w:pPr>
        <w:spacing w:line="240" w:lineRule="auto"/>
        <w:jc w:val="both"/>
        <w:rPr>
          <w:rFonts w:ascii="Times New Roman" w:hAnsi="Times New Roman" w:cs="Times New Roman"/>
          <w:sz w:val="24"/>
          <w:szCs w:val="24"/>
          <w:u w:val="single"/>
        </w:rPr>
      </w:pPr>
      <w:r w:rsidRPr="003301D2">
        <w:rPr>
          <w:rFonts w:ascii="Times New Roman" w:hAnsi="Times New Roman" w:cs="Times New Roman"/>
          <w:sz w:val="24"/>
          <w:szCs w:val="24"/>
          <w:u w:val="single"/>
        </w:rPr>
        <w:t>Es muy llamativo que estos economistas y sus seguidores, los Banqueros Centrales, no vieran nada positivo en la reducción de la inflación y que no la relacionaran con la evolución de la economía del mundo desde principios de 1980. En mi opinión, la demografía mundial, el abandono del campo, la extensión de la educación, y las inversiones con tecnologías modernas en industrias y servicios en los países menos desarrollados (impulsadas por la globalización) se han reflejado en una mayor competencia y menores precios de una parte básica de los bienes y servicios comercializables.</w:t>
      </w:r>
    </w:p>
    <w:p w:rsidR="007E3D39" w:rsidRPr="003301D2" w:rsidRDefault="007E3D39" w:rsidP="007E3D39">
      <w:pPr>
        <w:spacing w:line="240" w:lineRule="auto"/>
        <w:jc w:val="both"/>
        <w:rPr>
          <w:rFonts w:ascii="Times New Roman" w:hAnsi="Times New Roman" w:cs="Times New Roman"/>
          <w:color w:val="FF0000"/>
          <w:sz w:val="24"/>
          <w:szCs w:val="24"/>
          <w:u w:val="single"/>
        </w:rPr>
      </w:pPr>
      <w:r w:rsidRPr="003301D2">
        <w:rPr>
          <w:rFonts w:ascii="Times New Roman" w:hAnsi="Times New Roman" w:cs="Times New Roman"/>
          <w:color w:val="FF0000"/>
          <w:sz w:val="24"/>
          <w:szCs w:val="24"/>
          <w:u w:val="single"/>
        </w:rPr>
        <w:t>Una deflación de precios en el mundo desarrollado parecía lógica e inevitable. Y no tenía por qué ser negativa. Simplemente, una vez más en la historia, como había puesto de manifiesto Adam Smith en La Riqueza de las Naciones, el libre comercio había provocado un desplazamiento de la producción de bienes y servicios hacia los países que tenían menores precios absolutos o relativos. Era evidente que la defensa del nivel de vida de los trabajadores de los países desarrollados que seguían produciendo bienes y servicios tradicionales sólo se lograría si la tecnología mejorara la productividad.</w:t>
      </w:r>
    </w:p>
    <w:p w:rsidR="007E3D39" w:rsidRPr="00A47749" w:rsidRDefault="007E3D39" w:rsidP="007E3D39">
      <w:pPr>
        <w:spacing w:line="240" w:lineRule="auto"/>
        <w:jc w:val="both"/>
        <w:rPr>
          <w:rFonts w:ascii="Times New Roman" w:hAnsi="Times New Roman" w:cs="Times New Roman"/>
          <w:sz w:val="24"/>
          <w:szCs w:val="24"/>
        </w:rPr>
      </w:pPr>
      <w:r w:rsidRPr="00A47749">
        <w:rPr>
          <w:rFonts w:ascii="Times New Roman" w:hAnsi="Times New Roman" w:cs="Times New Roman"/>
          <w:sz w:val="24"/>
          <w:szCs w:val="24"/>
        </w:rPr>
        <w:t>Unos pocos datos</w:t>
      </w:r>
      <w:r>
        <w:rPr>
          <w:rFonts w:ascii="Times New Roman" w:hAnsi="Times New Roman" w:cs="Times New Roman"/>
          <w:sz w:val="24"/>
          <w:szCs w:val="24"/>
        </w:rPr>
        <w:t>,</w:t>
      </w:r>
      <w:r w:rsidRPr="00A47749">
        <w:rPr>
          <w:rFonts w:ascii="Times New Roman" w:hAnsi="Times New Roman" w:cs="Times New Roman"/>
          <w:sz w:val="24"/>
          <w:szCs w:val="24"/>
        </w:rPr>
        <w:t xml:space="preserve"> creo que servirían para situarnos. En 1980, la población mundial era de 4.300 millones de personas. El año 2000, de 6.000 millones. En 2020, éramos 7.200 millones. Ese año, la población mundial que vivía en ciudades alcanzaba los 1.600 millones aproximadamente. En 2000, esa cifra era de 2.760 millones; en 2020 había crecido hasta 4.400 millones.</w:t>
      </w:r>
    </w:p>
    <w:p w:rsidR="007E3D39" w:rsidRPr="00A47749" w:rsidRDefault="007E3D39" w:rsidP="007E3D39">
      <w:pPr>
        <w:spacing w:line="240" w:lineRule="auto"/>
        <w:jc w:val="both"/>
        <w:rPr>
          <w:rFonts w:ascii="Times New Roman" w:hAnsi="Times New Roman" w:cs="Times New Roman"/>
          <w:sz w:val="24"/>
          <w:szCs w:val="24"/>
        </w:rPr>
      </w:pPr>
      <w:r w:rsidRPr="00A47749">
        <w:rPr>
          <w:rFonts w:ascii="Times New Roman" w:hAnsi="Times New Roman" w:cs="Times New Roman"/>
          <w:sz w:val="24"/>
          <w:szCs w:val="24"/>
        </w:rPr>
        <w:lastRenderedPageBreak/>
        <w:t>El incremento de la población de países no desarrollados que vivían en ciudades pasó de 1.500 millones en 1990, a 2.600 millones en 2000 y a 4.000 millones, aproximadamente, en 2020. Un aumento de 2.500 millones de las personas que podrían trabajar en industrias, comercios y servicios públicos potencialmente modernos, frente a los 350 millones que lo hacían desde mucho ant</w:t>
      </w:r>
      <w:r>
        <w:rPr>
          <w:rFonts w:ascii="Times New Roman" w:hAnsi="Times New Roman" w:cs="Times New Roman"/>
          <w:sz w:val="24"/>
          <w:szCs w:val="24"/>
        </w:rPr>
        <w:t>es en los países desarrollados.</w:t>
      </w:r>
    </w:p>
    <w:p w:rsidR="007E3D39" w:rsidRPr="00A47749" w:rsidRDefault="007E3D39" w:rsidP="007E3D39">
      <w:pPr>
        <w:spacing w:line="240" w:lineRule="auto"/>
        <w:jc w:val="both"/>
        <w:rPr>
          <w:rFonts w:ascii="Times New Roman" w:hAnsi="Times New Roman" w:cs="Times New Roman"/>
          <w:sz w:val="24"/>
          <w:szCs w:val="24"/>
        </w:rPr>
      </w:pPr>
      <w:r w:rsidRPr="00A47749">
        <w:rPr>
          <w:rFonts w:ascii="Times New Roman" w:hAnsi="Times New Roman" w:cs="Times New Roman"/>
          <w:sz w:val="24"/>
          <w:szCs w:val="24"/>
        </w:rPr>
        <w:t>Una revolución que debería hacer revolverse en su tumba a Malthus -y a los actuales Malthusianos- que creía, en el siglo XVIII, que la tierra ya era incapaz de alimentar a la población, que estaba comenzando a crecer aceleradamente en ese siglo. Una revolución que ha sacado de la pobreza a más de 600 millones de personas en 40 años. Pero, por alguna razón, la globalización y sus efectos, nunca entra en los cálculos, modelos y perspectivas de estos economistas que creen, aparentemente, que se puede tener una nueva teoría económica para de los países desarrollados y otra, tradic</w:t>
      </w:r>
      <w:r>
        <w:rPr>
          <w:rFonts w:ascii="Times New Roman" w:hAnsi="Times New Roman" w:cs="Times New Roman"/>
          <w:sz w:val="24"/>
          <w:szCs w:val="24"/>
        </w:rPr>
        <w:t>ional, para el resto del mundo.</w:t>
      </w:r>
    </w:p>
    <w:p w:rsidR="007E3D39" w:rsidRPr="003301D2" w:rsidRDefault="007E3D39" w:rsidP="007E3D39">
      <w:pPr>
        <w:spacing w:line="240" w:lineRule="auto"/>
        <w:jc w:val="both"/>
        <w:rPr>
          <w:rFonts w:ascii="Times New Roman" w:hAnsi="Times New Roman" w:cs="Times New Roman"/>
          <w:sz w:val="24"/>
          <w:szCs w:val="24"/>
          <w:u w:val="single"/>
        </w:rPr>
      </w:pPr>
      <w:r w:rsidRPr="003301D2">
        <w:rPr>
          <w:rFonts w:ascii="Times New Roman" w:hAnsi="Times New Roman" w:cs="Times New Roman"/>
          <w:sz w:val="24"/>
          <w:szCs w:val="24"/>
          <w:u w:val="single"/>
        </w:rPr>
        <w:t>Las consecuencias de esos cambios, junto con las inversiones de multinacionales pequeñas y grandes, de la transferencia de tecnologías y de la financiación de ese desarrollo, es el crecimiento de la economía mundial durante más de 40 años por encima del 3,5% anual acumulativo. Ese crecimiento derriba cualquier teoría sobre el “estancamiento secular”, sea por exceso de ahorro o por falta de oportunidades de inversión.</w:t>
      </w:r>
    </w:p>
    <w:p w:rsidR="007E3D39" w:rsidRPr="00A47749" w:rsidRDefault="007E3D39" w:rsidP="007E3D39">
      <w:pPr>
        <w:spacing w:line="240" w:lineRule="auto"/>
        <w:jc w:val="both"/>
        <w:rPr>
          <w:rFonts w:ascii="Times New Roman" w:hAnsi="Times New Roman" w:cs="Times New Roman"/>
          <w:sz w:val="24"/>
          <w:szCs w:val="24"/>
        </w:rPr>
      </w:pPr>
      <w:r w:rsidRPr="003301D2">
        <w:rPr>
          <w:rFonts w:ascii="Times New Roman" w:hAnsi="Times New Roman" w:cs="Times New Roman"/>
          <w:sz w:val="24"/>
          <w:szCs w:val="24"/>
          <w:u w:val="single"/>
        </w:rPr>
        <w:t>Era lógico que la competencia internacional provocara tensiones deflacionistas en los países desarrollados. Y también era evidente que la única manera de defender el nivel de vida de la población de los países más desarrollados tenía que ser por la vía de mejoras tecnológicas aceleradas</w:t>
      </w:r>
      <w:r>
        <w:rPr>
          <w:rFonts w:ascii="Times New Roman" w:hAnsi="Times New Roman" w:cs="Times New Roman"/>
          <w:sz w:val="24"/>
          <w:szCs w:val="24"/>
        </w:rPr>
        <w:t>.</w:t>
      </w:r>
    </w:p>
    <w:p w:rsidR="007E3D39" w:rsidRPr="00A47749" w:rsidRDefault="007E3D39" w:rsidP="007E3D39">
      <w:pPr>
        <w:spacing w:line="240" w:lineRule="auto"/>
        <w:jc w:val="both"/>
        <w:rPr>
          <w:rFonts w:ascii="Times New Roman" w:hAnsi="Times New Roman" w:cs="Times New Roman"/>
          <w:sz w:val="24"/>
          <w:szCs w:val="24"/>
        </w:rPr>
      </w:pPr>
      <w:r w:rsidRPr="00A47749">
        <w:rPr>
          <w:rFonts w:ascii="Times New Roman" w:hAnsi="Times New Roman" w:cs="Times New Roman"/>
          <w:sz w:val="24"/>
          <w:szCs w:val="24"/>
        </w:rPr>
        <w:t xml:space="preserve">Algo que sí ha ocurrido en Estados Unidos y mucho menos en Europa. La defensa de la industria y los servicios de países como España, que no se han modernizado, ha sido el aumento de costes y precios en los países en desarrollo, que han dejado de tener ventaja absoluta competitiva en muchos casos. España ha podido mejorar su posición internacional cuando no todas las mercancías procedentes de China, por ejemplo, han mantenido precios más bajos que los españoles. Lo dicho es ampliable a muchos servicios y a otros países </w:t>
      </w:r>
      <w:r>
        <w:rPr>
          <w:rFonts w:ascii="Times New Roman" w:hAnsi="Times New Roman" w:cs="Times New Roman"/>
          <w:sz w:val="24"/>
          <w:szCs w:val="24"/>
        </w:rPr>
        <w:t>europeos, del Este y del Oeste.</w:t>
      </w:r>
    </w:p>
    <w:p w:rsidR="007E3D39" w:rsidRPr="003301D2" w:rsidRDefault="007E3D39" w:rsidP="007E3D39">
      <w:pPr>
        <w:spacing w:line="240" w:lineRule="auto"/>
        <w:jc w:val="both"/>
        <w:rPr>
          <w:rFonts w:ascii="Times New Roman" w:hAnsi="Times New Roman" w:cs="Times New Roman"/>
          <w:color w:val="FF0000"/>
          <w:sz w:val="24"/>
          <w:szCs w:val="24"/>
        </w:rPr>
      </w:pPr>
      <w:r w:rsidRPr="00A47749">
        <w:rPr>
          <w:rFonts w:ascii="Times New Roman" w:hAnsi="Times New Roman" w:cs="Times New Roman"/>
          <w:sz w:val="24"/>
          <w:szCs w:val="24"/>
        </w:rPr>
        <w:t xml:space="preserve">III) </w:t>
      </w:r>
      <w:r w:rsidRPr="003301D2">
        <w:rPr>
          <w:rFonts w:ascii="Times New Roman" w:hAnsi="Times New Roman" w:cs="Times New Roman"/>
          <w:color w:val="FF0000"/>
          <w:sz w:val="24"/>
          <w:szCs w:val="24"/>
        </w:rPr>
        <w:t>La política económica de los Gobiernos y los Bancos Centrales de los países desarrollados entre 2012 y 2022</w:t>
      </w:r>
    </w:p>
    <w:p w:rsidR="007E3D39" w:rsidRPr="003301D2" w:rsidRDefault="007E3D39" w:rsidP="007E3D39">
      <w:pPr>
        <w:spacing w:line="240" w:lineRule="auto"/>
        <w:jc w:val="both"/>
        <w:rPr>
          <w:rFonts w:ascii="Times New Roman" w:hAnsi="Times New Roman" w:cs="Times New Roman"/>
          <w:sz w:val="24"/>
          <w:szCs w:val="24"/>
          <w:u w:val="single"/>
        </w:rPr>
      </w:pPr>
      <w:r w:rsidRPr="003301D2">
        <w:rPr>
          <w:rFonts w:ascii="Times New Roman" w:hAnsi="Times New Roman" w:cs="Times New Roman"/>
          <w:sz w:val="24"/>
          <w:szCs w:val="24"/>
          <w:u w:val="single"/>
        </w:rPr>
        <w:t>Sobre los principios expuestos se pusieron en vigor políticas monetarias, fiscales y financieras, con las que estaban de acuerdo los Bancos Centrales y los gobiernos de los países desarrollados desde 2012 hasta principios de 2022.</w:t>
      </w:r>
    </w:p>
    <w:p w:rsidR="007E3D39" w:rsidRPr="003301D2" w:rsidRDefault="007E3D39" w:rsidP="007E3D39">
      <w:pPr>
        <w:spacing w:line="240" w:lineRule="auto"/>
        <w:jc w:val="both"/>
        <w:rPr>
          <w:rFonts w:ascii="Times New Roman" w:hAnsi="Times New Roman" w:cs="Times New Roman"/>
          <w:color w:val="FF0000"/>
          <w:sz w:val="24"/>
          <w:szCs w:val="24"/>
          <w:u w:val="single"/>
        </w:rPr>
      </w:pPr>
      <w:r w:rsidRPr="003301D2">
        <w:rPr>
          <w:rFonts w:ascii="Times New Roman" w:hAnsi="Times New Roman" w:cs="Times New Roman"/>
          <w:color w:val="FF0000"/>
          <w:sz w:val="24"/>
          <w:szCs w:val="24"/>
          <w:u w:val="single"/>
        </w:rPr>
        <w:t>Los tipos de interés fueron cero o negativos, se aumentó, desmesuradamente, el tamaño de los Balances de los Bancos Centrales, se intensificaron las restricciones a la actividad de las entidades financieras, sobre todo en la Unión Monetaria, se sustituyó la actividad crediticia de éstas por la de los Bancos Centrales, se emitió deuda pública a coste cero, se permitieron los déficit públicos considerados imprescindibles para superar la crisis del 2008 y de cualquiera que apareciese en el futuro y se financiaron dichos déficits por los respectivos Bancos Centrales.</w:t>
      </w:r>
    </w:p>
    <w:p w:rsidR="007E3D39" w:rsidRPr="00A47749" w:rsidRDefault="007E3D39" w:rsidP="007E3D39">
      <w:pPr>
        <w:spacing w:line="240" w:lineRule="auto"/>
        <w:jc w:val="both"/>
        <w:rPr>
          <w:rFonts w:ascii="Times New Roman" w:hAnsi="Times New Roman" w:cs="Times New Roman"/>
          <w:sz w:val="24"/>
          <w:szCs w:val="24"/>
        </w:rPr>
      </w:pPr>
      <w:r w:rsidRPr="003301D2">
        <w:rPr>
          <w:rFonts w:ascii="Times New Roman" w:hAnsi="Times New Roman" w:cs="Times New Roman"/>
          <w:sz w:val="24"/>
          <w:szCs w:val="24"/>
          <w:u w:val="single"/>
        </w:rPr>
        <w:t>Y, sin embargo, todo ello no se tradujo en inflación. Es más, ningún Banco Central de los citados consiguió alcanzar el 2% de objetivo de inflación hasta 2021. Las tesis de Bernanke parecían ratificadas por la realidad</w:t>
      </w:r>
      <w:r w:rsidRPr="00A47749">
        <w:rPr>
          <w:rFonts w:ascii="Times New Roman" w:hAnsi="Times New Roman" w:cs="Times New Roman"/>
          <w:sz w:val="24"/>
          <w:szCs w:val="24"/>
        </w:rPr>
        <w:t xml:space="preserve">. Una situación que hacía felices a todos. A los Bancos </w:t>
      </w:r>
      <w:r w:rsidRPr="00A47749">
        <w:rPr>
          <w:rFonts w:ascii="Times New Roman" w:hAnsi="Times New Roman" w:cs="Times New Roman"/>
          <w:sz w:val="24"/>
          <w:szCs w:val="24"/>
        </w:rPr>
        <w:lastRenderedPageBreak/>
        <w:t>Centrales, porque dejarían de criticarles por haber puesto en vigor políticas contractivas -imprescindibles en mi opinión- para superar la crisis finan</w:t>
      </w:r>
      <w:r>
        <w:rPr>
          <w:rFonts w:ascii="Times New Roman" w:hAnsi="Times New Roman" w:cs="Times New Roman"/>
          <w:sz w:val="24"/>
          <w:szCs w:val="24"/>
        </w:rPr>
        <w:t>ciera y económica de 2008-2012.</w:t>
      </w:r>
    </w:p>
    <w:p w:rsidR="007E3D39" w:rsidRPr="003301D2" w:rsidRDefault="007E3D39" w:rsidP="007E3D39">
      <w:pPr>
        <w:spacing w:line="240" w:lineRule="auto"/>
        <w:jc w:val="both"/>
        <w:rPr>
          <w:rFonts w:ascii="Times New Roman" w:hAnsi="Times New Roman" w:cs="Times New Roman"/>
          <w:sz w:val="24"/>
          <w:szCs w:val="24"/>
          <w:u w:val="single"/>
        </w:rPr>
      </w:pPr>
      <w:r w:rsidRPr="003301D2">
        <w:rPr>
          <w:rFonts w:ascii="Times New Roman" w:hAnsi="Times New Roman" w:cs="Times New Roman"/>
          <w:sz w:val="24"/>
          <w:szCs w:val="24"/>
          <w:u w:val="single"/>
        </w:rPr>
        <w:t>A los gobiernos, porque ahora se aceptaban como positivos, conceptualmente, el gasto público, sobre todo el de inversión, los déficits públicos e incluso se les decía que no deberían preocuparse porque aumentará la relación entre déficit público y PIB.</w:t>
      </w:r>
    </w:p>
    <w:p w:rsidR="007E3D39" w:rsidRPr="003301D2" w:rsidRDefault="007E3D39" w:rsidP="007E3D39">
      <w:pPr>
        <w:spacing w:line="240" w:lineRule="auto"/>
        <w:jc w:val="both"/>
        <w:rPr>
          <w:rFonts w:ascii="Times New Roman" w:hAnsi="Times New Roman" w:cs="Times New Roman"/>
          <w:sz w:val="24"/>
          <w:szCs w:val="24"/>
          <w:u w:val="single"/>
        </w:rPr>
      </w:pPr>
      <w:r w:rsidRPr="003301D2">
        <w:rPr>
          <w:rFonts w:ascii="Times New Roman" w:hAnsi="Times New Roman" w:cs="Times New Roman"/>
          <w:sz w:val="24"/>
          <w:szCs w:val="24"/>
          <w:u w:val="single"/>
        </w:rPr>
        <w:t>A las propias entidades financieras, que ya no tenían necesidad de buscar financiación con préstamos a corto y largo plazo y, aunque sufrían en sus cuentas de resultados la ausencia de ingresos por la vía de tipos de interés pudieron poner en vigor todo tipo de tasas que compensaban, en parte, esa falta de ingresos. A las empresas, porque podían crecer y acometer nuevas inversiones sin costes financieros, y no tenían que preocuparse por el coste del capital y por la búsqueda de financiación.</w:t>
      </w:r>
    </w:p>
    <w:p w:rsidR="007E3D39" w:rsidRPr="003301D2" w:rsidRDefault="007E3D39" w:rsidP="007E3D39">
      <w:pPr>
        <w:spacing w:line="240" w:lineRule="auto"/>
        <w:jc w:val="both"/>
        <w:rPr>
          <w:rFonts w:ascii="Times New Roman" w:hAnsi="Times New Roman" w:cs="Times New Roman"/>
          <w:color w:val="FF0000"/>
          <w:sz w:val="24"/>
          <w:szCs w:val="24"/>
          <w:u w:val="single"/>
        </w:rPr>
      </w:pPr>
      <w:r w:rsidRPr="003301D2">
        <w:rPr>
          <w:rFonts w:ascii="Times New Roman" w:hAnsi="Times New Roman" w:cs="Times New Roman"/>
          <w:sz w:val="24"/>
          <w:szCs w:val="24"/>
          <w:u w:val="single"/>
        </w:rPr>
        <w:t xml:space="preserve">A los particulares, porque podían financiar sus hipotecas a tipos fijos muy bajos a largo plazo o a tipos variables que no deberían preocuparles, porque los bancos, las autoridades financieras y los grandes teóricos de la economía los decían que en el futuro no eran previsibles ni una subida de tipos de interés ni una subida de precios, porque - y eso servía para todos - </w:t>
      </w:r>
      <w:r w:rsidRPr="003301D2">
        <w:rPr>
          <w:rFonts w:ascii="Times New Roman" w:hAnsi="Times New Roman" w:cs="Times New Roman"/>
          <w:color w:val="FF0000"/>
          <w:sz w:val="24"/>
          <w:szCs w:val="24"/>
          <w:u w:val="single"/>
        </w:rPr>
        <w:t>la inflación era cosa del pasado y se había abierto “A New Era”.</w:t>
      </w:r>
    </w:p>
    <w:p w:rsidR="007E3D39" w:rsidRPr="00A47749" w:rsidRDefault="007E3D39" w:rsidP="007E3D39">
      <w:pPr>
        <w:spacing w:line="240" w:lineRule="auto"/>
        <w:jc w:val="both"/>
        <w:rPr>
          <w:rFonts w:ascii="Times New Roman" w:hAnsi="Times New Roman" w:cs="Times New Roman"/>
          <w:sz w:val="24"/>
          <w:szCs w:val="24"/>
        </w:rPr>
      </w:pPr>
      <w:r w:rsidRPr="00A47749">
        <w:rPr>
          <w:rFonts w:ascii="Times New Roman" w:hAnsi="Times New Roman" w:cs="Times New Roman"/>
          <w:sz w:val="24"/>
          <w:szCs w:val="24"/>
        </w:rPr>
        <w:t>Me parece relevante, para que no se olvide la soberbia de los autores intelectuales de esa política económica aberrante citar, a continuación, algunas de sus consideraciones, tal y como figuran en el libro citado. Me van a perdonar el que haga la mayor parte de esas citas en inglés, para evitar atenuar o agravar, con la traducc</w:t>
      </w:r>
      <w:r>
        <w:rPr>
          <w:rFonts w:ascii="Times New Roman" w:hAnsi="Times New Roman" w:cs="Times New Roman"/>
          <w:sz w:val="24"/>
          <w:szCs w:val="24"/>
        </w:rPr>
        <w:t>ión, sus auténticas posiciones.</w:t>
      </w:r>
    </w:p>
    <w:p w:rsidR="007E3D39" w:rsidRPr="003301D2" w:rsidRDefault="007E3D39" w:rsidP="007E3D39">
      <w:pPr>
        <w:spacing w:line="240" w:lineRule="auto"/>
        <w:jc w:val="both"/>
        <w:rPr>
          <w:rFonts w:ascii="Times New Roman" w:hAnsi="Times New Roman" w:cs="Times New Roman"/>
          <w:color w:val="FF0000"/>
          <w:sz w:val="24"/>
          <w:szCs w:val="24"/>
          <w:u w:val="single"/>
          <w:lang w:val="en-US"/>
        </w:rPr>
      </w:pPr>
      <w:r w:rsidRPr="003301D2">
        <w:rPr>
          <w:rFonts w:ascii="Times New Roman" w:hAnsi="Times New Roman" w:cs="Times New Roman"/>
          <w:color w:val="FF0000"/>
          <w:sz w:val="24"/>
          <w:szCs w:val="24"/>
          <w:u w:val="single"/>
          <w:lang w:val="en-US"/>
        </w:rPr>
        <w:t>En palabras de Oliver Blanchard y Lawrence H. Summers: “We are now and may be for the foreseeable future in an environment of low nominal and real interest rate” y en relación con los límites de la política monetaria decían “In an environment of limits to monetary policy and neutral interest rates below growth rates, we argue, fiscal policy should play a much more active role in stabilization”.</w:t>
      </w:r>
    </w:p>
    <w:p w:rsidR="007E3D39" w:rsidRPr="003301D2" w:rsidRDefault="007E3D39" w:rsidP="007E3D39">
      <w:pPr>
        <w:spacing w:line="240" w:lineRule="auto"/>
        <w:jc w:val="both"/>
        <w:rPr>
          <w:rFonts w:ascii="Times New Roman" w:hAnsi="Times New Roman" w:cs="Times New Roman"/>
          <w:color w:val="FF0000"/>
          <w:sz w:val="24"/>
          <w:szCs w:val="24"/>
          <w:u w:val="single"/>
          <w:lang w:val="en-US"/>
        </w:rPr>
      </w:pPr>
      <w:r w:rsidRPr="003301D2">
        <w:rPr>
          <w:rFonts w:ascii="Times New Roman" w:hAnsi="Times New Roman" w:cs="Times New Roman"/>
          <w:color w:val="FF0000"/>
          <w:sz w:val="24"/>
          <w:szCs w:val="24"/>
          <w:u w:val="single"/>
        </w:rPr>
        <w:t xml:space="preserve">Están o -estaban- convencidos, de que la experiencia de Japón era un adelanto de lo que nos esperaba a todos los países desarrollados. </w:t>
      </w:r>
      <w:r w:rsidRPr="003301D2">
        <w:rPr>
          <w:rFonts w:ascii="Times New Roman" w:hAnsi="Times New Roman" w:cs="Times New Roman"/>
          <w:color w:val="FF0000"/>
          <w:sz w:val="24"/>
          <w:szCs w:val="24"/>
          <w:u w:val="single"/>
          <w:lang w:val="en-US"/>
        </w:rPr>
        <w:t>Dicen: “The case for revolution may seem far fetched, but the experience of Japan over the last twenty years must serve as a warning…. Think of what Japanese macroeconomic policy has had to resort to in order to sustain demand and maintain 1% annual growth over the last twenty years: interest rates, both short and long, close to zero, large fiscal deficits leading to a very large increase in public debt, massive central bank purchases, and recourse to external demand in the form of a current account surplus”.</w:t>
      </w:r>
    </w:p>
    <w:p w:rsidR="007E3D39" w:rsidRPr="003301D2" w:rsidRDefault="007E3D39" w:rsidP="007E3D39">
      <w:pPr>
        <w:spacing w:line="240" w:lineRule="auto"/>
        <w:jc w:val="both"/>
        <w:rPr>
          <w:rFonts w:ascii="Times New Roman" w:hAnsi="Times New Roman" w:cs="Times New Roman"/>
          <w:color w:val="FF0000"/>
          <w:sz w:val="24"/>
          <w:szCs w:val="24"/>
          <w:u w:val="single"/>
        </w:rPr>
      </w:pPr>
      <w:r w:rsidRPr="003301D2">
        <w:rPr>
          <w:rFonts w:ascii="Times New Roman" w:hAnsi="Times New Roman" w:cs="Times New Roman"/>
          <w:color w:val="FF0000"/>
          <w:sz w:val="24"/>
          <w:szCs w:val="24"/>
          <w:u w:val="single"/>
          <w:lang w:val="en-US"/>
        </w:rPr>
        <w:t xml:space="preserve">Finalizan sus conclusions con estas palabras “If the United States or Europe were to go into recession in the next couple of years, in all likelihood their situation would look much more like that of Japan, with zero rates, large fiscal deficits, below- target inflation, and inadequate growth. We may be one cyclical downturn away from a need for revolution. </w:t>
      </w:r>
      <w:r w:rsidRPr="003301D2">
        <w:rPr>
          <w:rFonts w:ascii="Times New Roman" w:hAnsi="Times New Roman" w:cs="Times New Roman"/>
          <w:color w:val="FF0000"/>
          <w:sz w:val="24"/>
          <w:szCs w:val="24"/>
          <w:u w:val="single"/>
        </w:rPr>
        <w:t>Time will tell wether it comes”.</w:t>
      </w:r>
    </w:p>
    <w:p w:rsidR="007E3D39" w:rsidRPr="001E728A" w:rsidRDefault="007E3D39" w:rsidP="007E3D39">
      <w:pPr>
        <w:spacing w:line="240" w:lineRule="auto"/>
        <w:jc w:val="both"/>
        <w:rPr>
          <w:rFonts w:ascii="Times New Roman" w:hAnsi="Times New Roman" w:cs="Times New Roman"/>
          <w:color w:val="FF0000"/>
          <w:sz w:val="24"/>
          <w:szCs w:val="24"/>
          <w:u w:val="single"/>
          <w:lang w:val="en-US"/>
        </w:rPr>
      </w:pPr>
      <w:r w:rsidRPr="001E728A">
        <w:rPr>
          <w:rFonts w:ascii="Times New Roman" w:hAnsi="Times New Roman" w:cs="Times New Roman"/>
          <w:color w:val="FF0000"/>
          <w:sz w:val="24"/>
          <w:szCs w:val="24"/>
          <w:u w:val="single"/>
        </w:rPr>
        <w:t xml:space="preserve">Carmen Reinhart, en su colaboración, advierte sobre el masivo endeudamiento público y privado en los países desarrollados. </w:t>
      </w:r>
      <w:r w:rsidRPr="001E728A">
        <w:rPr>
          <w:rFonts w:ascii="Times New Roman" w:hAnsi="Times New Roman" w:cs="Times New Roman"/>
          <w:color w:val="FF0000"/>
          <w:sz w:val="24"/>
          <w:szCs w:val="24"/>
          <w:u w:val="single"/>
          <w:lang w:val="en-US"/>
        </w:rPr>
        <w:t xml:space="preserve">Hace igualmente un comentario al tema que más enjundia tiene hoy, el de los tipos de interés: “On the low-rate environment, since 2011 I have been publishing papers saying that low rates are likely to remain low for an extended period of time… Apart from secular stagnation and saving glut, we have low rates because </w:t>
      </w:r>
      <w:r w:rsidRPr="001E728A">
        <w:rPr>
          <w:rFonts w:ascii="Times New Roman" w:hAnsi="Times New Roman" w:cs="Times New Roman"/>
          <w:color w:val="FF0000"/>
          <w:sz w:val="24"/>
          <w:szCs w:val="24"/>
          <w:u w:val="single"/>
          <w:lang w:val="en-US"/>
        </w:rPr>
        <w:lastRenderedPageBreak/>
        <w:t>policymakers in the major central banks, and regulators in the world’s largest economies have decided we need low rates”.</w:t>
      </w:r>
    </w:p>
    <w:p w:rsidR="007E3D39" w:rsidRPr="001E728A" w:rsidRDefault="007E3D39" w:rsidP="007E3D39">
      <w:pPr>
        <w:spacing w:line="240" w:lineRule="auto"/>
        <w:jc w:val="both"/>
        <w:rPr>
          <w:rFonts w:ascii="Times New Roman" w:hAnsi="Times New Roman" w:cs="Times New Roman"/>
          <w:color w:val="FF0000"/>
          <w:sz w:val="24"/>
          <w:szCs w:val="24"/>
          <w:u w:val="single"/>
          <w:lang w:val="en-US"/>
        </w:rPr>
      </w:pPr>
      <w:r w:rsidRPr="001E728A">
        <w:rPr>
          <w:rFonts w:ascii="Times New Roman" w:hAnsi="Times New Roman" w:cs="Times New Roman"/>
          <w:color w:val="FF0000"/>
          <w:sz w:val="24"/>
          <w:szCs w:val="24"/>
          <w:u w:val="single"/>
        </w:rPr>
        <w:t xml:space="preserve">En relación con el abandono del control de la Oferta Monetaria como una de las herramientas fundamentales de la política monetaria critican la posición de Patinkin, que en 1948 defendía la efectividad del control de la Oferta Monetaria para recuperar el crecimiento. </w:t>
      </w:r>
      <w:r w:rsidRPr="001E728A">
        <w:rPr>
          <w:rFonts w:ascii="Times New Roman" w:hAnsi="Times New Roman" w:cs="Times New Roman"/>
          <w:color w:val="FF0000"/>
          <w:sz w:val="24"/>
          <w:szCs w:val="24"/>
          <w:u w:val="single"/>
          <w:lang w:val="en-US"/>
        </w:rPr>
        <w:t>Fulminan esta herramienta con estas palabras: “This never felt like a very convicing stabilizing mechanism, especially in a world where Central Banks increasingly ignored the money supply and focussed instead on the interest rates”.</w:t>
      </w:r>
    </w:p>
    <w:p w:rsidR="007E3D39" w:rsidRPr="00A47749" w:rsidRDefault="007E3D39" w:rsidP="007E3D39">
      <w:pPr>
        <w:spacing w:line="240" w:lineRule="auto"/>
        <w:jc w:val="both"/>
        <w:rPr>
          <w:rFonts w:ascii="Times New Roman" w:hAnsi="Times New Roman" w:cs="Times New Roman"/>
          <w:sz w:val="24"/>
          <w:szCs w:val="24"/>
        </w:rPr>
      </w:pPr>
      <w:r w:rsidRPr="00A47749">
        <w:rPr>
          <w:rFonts w:ascii="Times New Roman" w:hAnsi="Times New Roman" w:cs="Times New Roman"/>
          <w:sz w:val="24"/>
          <w:szCs w:val="24"/>
        </w:rPr>
        <w:t>El abandono del control de la Oferta Monetaria es tal que hoy en día es difícil encontrar datos con su evolución. Ni siquiera aparecen en las cuentas de los Bancos Centrales. Hay que obtenerlas partiendo de la evolución de los Balances para diferenciar entre la Base Monetaria, que si es explícita y la Ofert</w:t>
      </w:r>
      <w:r>
        <w:rPr>
          <w:rFonts w:ascii="Times New Roman" w:hAnsi="Times New Roman" w:cs="Times New Roman"/>
          <w:sz w:val="24"/>
          <w:szCs w:val="24"/>
        </w:rPr>
        <w:t>a Monetaria, que no se calcula.</w:t>
      </w:r>
    </w:p>
    <w:p w:rsidR="007E3D39" w:rsidRPr="001E728A" w:rsidRDefault="007E3D39" w:rsidP="007E3D39">
      <w:pPr>
        <w:spacing w:line="240" w:lineRule="auto"/>
        <w:jc w:val="both"/>
        <w:rPr>
          <w:rFonts w:ascii="Times New Roman" w:hAnsi="Times New Roman" w:cs="Times New Roman"/>
          <w:color w:val="FF0000"/>
          <w:sz w:val="24"/>
          <w:szCs w:val="24"/>
          <w:u w:val="single"/>
          <w:lang w:val="en-US"/>
        </w:rPr>
      </w:pPr>
      <w:r w:rsidRPr="001E728A">
        <w:rPr>
          <w:rFonts w:ascii="Times New Roman" w:hAnsi="Times New Roman" w:cs="Times New Roman"/>
          <w:color w:val="FF0000"/>
          <w:sz w:val="24"/>
          <w:szCs w:val="24"/>
          <w:u w:val="single"/>
        </w:rPr>
        <w:t xml:space="preserve">El artículo de Ben Bernanke, premio Nobel de Economía de 2022, no tiene desperdicio, por su altanería y desprecio a los que no piensan como él. </w:t>
      </w:r>
      <w:r w:rsidRPr="001E728A">
        <w:rPr>
          <w:rFonts w:ascii="Times New Roman" w:hAnsi="Times New Roman" w:cs="Times New Roman"/>
          <w:color w:val="FF0000"/>
          <w:sz w:val="24"/>
          <w:szCs w:val="24"/>
          <w:u w:val="single"/>
          <w:lang w:val="en-US"/>
        </w:rPr>
        <w:t>En relación con las políticas monetarias “no convencionales” dice: “I argue that both forward guidance and quantitative easing are potentially effective supplements to conventional rate cuts, and that concerns about adverse side effects (particularly in the case of quantitative easing) are overstated”.</w:t>
      </w:r>
    </w:p>
    <w:p w:rsidR="007E3D39" w:rsidRPr="001E728A" w:rsidRDefault="007E3D39" w:rsidP="007E3D39">
      <w:pPr>
        <w:spacing w:line="240" w:lineRule="auto"/>
        <w:jc w:val="both"/>
        <w:rPr>
          <w:rFonts w:ascii="Times New Roman" w:hAnsi="Times New Roman" w:cs="Times New Roman"/>
          <w:color w:val="FF0000"/>
          <w:sz w:val="24"/>
          <w:szCs w:val="24"/>
          <w:u w:val="single"/>
        </w:rPr>
      </w:pPr>
      <w:r w:rsidRPr="001E728A">
        <w:rPr>
          <w:rFonts w:ascii="Times New Roman" w:hAnsi="Times New Roman" w:cs="Times New Roman"/>
          <w:color w:val="FF0000"/>
          <w:sz w:val="24"/>
          <w:szCs w:val="24"/>
          <w:u w:val="single"/>
          <w:lang w:val="en-US"/>
        </w:rPr>
        <w:t xml:space="preserve">Deja claro que lo que se denomina “quantitative easing” “involves central bank purchases of securities in the open market, financed by the creation of bank reserves hold at the central bank”. </w:t>
      </w:r>
      <w:r w:rsidRPr="001E728A">
        <w:rPr>
          <w:rFonts w:ascii="Times New Roman" w:hAnsi="Times New Roman" w:cs="Times New Roman"/>
          <w:color w:val="FF0000"/>
          <w:sz w:val="24"/>
          <w:szCs w:val="24"/>
          <w:u w:val="single"/>
        </w:rPr>
        <w:t>Es decir, creando dinero de la nada. O del supuesto crédito infinito de los estados.</w:t>
      </w:r>
    </w:p>
    <w:p w:rsidR="007E3D39" w:rsidRPr="00A47749" w:rsidRDefault="007E3D39" w:rsidP="007E3D39">
      <w:pPr>
        <w:spacing w:line="240" w:lineRule="auto"/>
        <w:jc w:val="both"/>
        <w:rPr>
          <w:rFonts w:ascii="Times New Roman" w:hAnsi="Times New Roman" w:cs="Times New Roman"/>
          <w:sz w:val="24"/>
          <w:szCs w:val="24"/>
          <w:lang w:val="en-US"/>
        </w:rPr>
      </w:pPr>
      <w:r w:rsidRPr="00A47749">
        <w:rPr>
          <w:rFonts w:ascii="Times New Roman" w:hAnsi="Times New Roman" w:cs="Times New Roman"/>
          <w:sz w:val="24"/>
          <w:szCs w:val="24"/>
        </w:rPr>
        <w:t xml:space="preserve">No deja de recordar un acontecimiento de 2010, cuando era presidente de la FED, que debió incomodarle en sumo grado, en relación con los efectos colaterales de la expansión cuantitativa: “…memorable example, the Republican leadership of the U.S. Congress wrote to the FED in November 2010 to express concern about further asset purchases. </w:t>
      </w:r>
      <w:r w:rsidRPr="00A47749">
        <w:rPr>
          <w:rFonts w:ascii="Times New Roman" w:hAnsi="Times New Roman" w:cs="Times New Roman"/>
          <w:sz w:val="24"/>
          <w:szCs w:val="24"/>
          <w:lang w:val="en-US"/>
        </w:rPr>
        <w:t>The letter argued…. Such a measure could re</w:t>
      </w:r>
      <w:r>
        <w:rPr>
          <w:rFonts w:ascii="Times New Roman" w:hAnsi="Times New Roman" w:cs="Times New Roman"/>
          <w:sz w:val="24"/>
          <w:szCs w:val="24"/>
          <w:lang w:val="en-US"/>
        </w:rPr>
        <w:t>sult…. In hard to control long -</w:t>
      </w:r>
      <w:r w:rsidRPr="00A47749">
        <w:rPr>
          <w:rFonts w:ascii="Times New Roman" w:hAnsi="Times New Roman" w:cs="Times New Roman"/>
          <w:sz w:val="24"/>
          <w:szCs w:val="24"/>
          <w:lang w:val="en-US"/>
        </w:rPr>
        <w:t xml:space="preserve"> term inflation and potentially generate artificial (sic) asset bubbles that could cause furthe</w:t>
      </w:r>
      <w:r>
        <w:rPr>
          <w:rFonts w:ascii="Times New Roman" w:hAnsi="Times New Roman" w:cs="Times New Roman"/>
          <w:sz w:val="24"/>
          <w:szCs w:val="24"/>
          <w:lang w:val="en-US"/>
        </w:rPr>
        <w:t>r economic disruptions”.</w:t>
      </w:r>
    </w:p>
    <w:p w:rsidR="007E3D39" w:rsidRPr="00A47749" w:rsidRDefault="007E3D39" w:rsidP="007E3D39">
      <w:pPr>
        <w:spacing w:line="240" w:lineRule="auto"/>
        <w:jc w:val="both"/>
        <w:rPr>
          <w:rFonts w:ascii="Times New Roman" w:hAnsi="Times New Roman" w:cs="Times New Roman"/>
          <w:sz w:val="24"/>
          <w:szCs w:val="24"/>
        </w:rPr>
      </w:pPr>
      <w:r w:rsidRPr="00A47749">
        <w:rPr>
          <w:rFonts w:ascii="Times New Roman" w:hAnsi="Times New Roman" w:cs="Times New Roman"/>
          <w:sz w:val="24"/>
          <w:szCs w:val="24"/>
          <w:lang w:val="en-US"/>
        </w:rPr>
        <w:t xml:space="preserve">(1) “Evolution or Revolution”. Rethinking Macroeconomic Policy after the Great Recession edited by Olivier Blanchard and Lawrance H. Summer. </w:t>
      </w:r>
      <w:r w:rsidRPr="00A47749">
        <w:rPr>
          <w:rFonts w:ascii="Times New Roman" w:hAnsi="Times New Roman" w:cs="Times New Roman"/>
          <w:sz w:val="24"/>
          <w:szCs w:val="24"/>
        </w:rPr>
        <w:t>The MIT Press. Cambridge, Massachusetts. London, England.</w:t>
      </w:r>
    </w:p>
    <w:p w:rsidR="007E3D39" w:rsidRDefault="007E3D39" w:rsidP="007E3D39">
      <w:pPr>
        <w:spacing w:line="24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3468A9">
        <w:rPr>
          <w:rFonts w:ascii="Times New Roman" w:hAnsi="Times New Roman" w:cs="Times New Roman"/>
          <w:sz w:val="24"/>
          <w:szCs w:val="24"/>
          <w:u w:val="single"/>
        </w:rPr>
        <w:t>La inflación de los Banqueros Centrales (II)</w:t>
      </w:r>
      <w:r>
        <w:rPr>
          <w:rFonts w:ascii="Times New Roman" w:hAnsi="Times New Roman" w:cs="Times New Roman"/>
          <w:sz w:val="24"/>
          <w:szCs w:val="24"/>
        </w:rPr>
        <w:t xml:space="preserve"> (Vozpópuli - </w:t>
      </w:r>
      <w:r w:rsidRPr="003468A9">
        <w:rPr>
          <w:rFonts w:ascii="Times New Roman" w:hAnsi="Times New Roman" w:cs="Times New Roman"/>
          <w:b/>
          <w:sz w:val="24"/>
          <w:szCs w:val="24"/>
        </w:rPr>
        <w:t>19/3/23</w:t>
      </w:r>
      <w:r>
        <w:rPr>
          <w:rFonts w:ascii="Times New Roman" w:hAnsi="Times New Roman" w:cs="Times New Roman"/>
          <w:sz w:val="24"/>
          <w:szCs w:val="24"/>
        </w:rPr>
        <w:t>)      Lectura recomendada</w:t>
      </w:r>
    </w:p>
    <w:p w:rsidR="007E3D39" w:rsidRPr="001E728A" w:rsidRDefault="007E3D39" w:rsidP="007E3D39">
      <w:pPr>
        <w:spacing w:line="240" w:lineRule="auto"/>
        <w:jc w:val="both"/>
        <w:rPr>
          <w:rFonts w:ascii="Times New Roman" w:hAnsi="Times New Roman" w:cs="Times New Roman"/>
          <w:color w:val="FF0000"/>
          <w:sz w:val="24"/>
          <w:szCs w:val="24"/>
        </w:rPr>
      </w:pPr>
      <w:r w:rsidRPr="001E728A">
        <w:rPr>
          <w:rFonts w:ascii="Times New Roman" w:hAnsi="Times New Roman" w:cs="Times New Roman"/>
          <w:color w:val="FF0000"/>
          <w:sz w:val="24"/>
          <w:szCs w:val="24"/>
        </w:rPr>
        <w:t>Ninguno de los responsables de</w:t>
      </w:r>
      <w:r>
        <w:rPr>
          <w:rFonts w:ascii="Times New Roman" w:hAnsi="Times New Roman" w:cs="Times New Roman"/>
          <w:color w:val="FF0000"/>
          <w:sz w:val="24"/>
          <w:szCs w:val="24"/>
        </w:rPr>
        <w:t xml:space="preserve"> la Reserva Federal o el BCE ha</w:t>
      </w:r>
      <w:r w:rsidRPr="001E728A">
        <w:rPr>
          <w:rFonts w:ascii="Times New Roman" w:hAnsi="Times New Roman" w:cs="Times New Roman"/>
          <w:color w:val="FF0000"/>
          <w:sz w:val="24"/>
          <w:szCs w:val="24"/>
        </w:rPr>
        <w:t xml:space="preserve"> querido explicar por qué lo transitorio se ha convertido en permanente y qué van a hacer con sus </w:t>
      </w:r>
      <w:r>
        <w:rPr>
          <w:rFonts w:ascii="Times New Roman" w:hAnsi="Times New Roman" w:cs="Times New Roman"/>
          <w:color w:val="FF0000"/>
          <w:sz w:val="24"/>
          <w:szCs w:val="24"/>
        </w:rPr>
        <w:t>modelos macroeconómicos de una “New Era”</w:t>
      </w:r>
    </w:p>
    <w:p w:rsidR="007E3D39" w:rsidRPr="003468A9" w:rsidRDefault="007E3D39" w:rsidP="007E3D39">
      <w:pPr>
        <w:spacing w:line="240" w:lineRule="auto"/>
        <w:jc w:val="both"/>
        <w:rPr>
          <w:rFonts w:ascii="Times New Roman" w:hAnsi="Times New Roman" w:cs="Times New Roman"/>
          <w:sz w:val="24"/>
          <w:szCs w:val="24"/>
        </w:rPr>
      </w:pPr>
      <w:r w:rsidRPr="003468A9">
        <w:rPr>
          <w:rFonts w:ascii="Times New Roman" w:hAnsi="Times New Roman" w:cs="Times New Roman"/>
          <w:sz w:val="24"/>
          <w:szCs w:val="24"/>
        </w:rPr>
        <w:t>(Por Alberto Recarte)</w:t>
      </w:r>
    </w:p>
    <w:p w:rsidR="007E3D39" w:rsidRPr="001E728A" w:rsidRDefault="007E3D39" w:rsidP="007E3D39">
      <w:pPr>
        <w:spacing w:line="240" w:lineRule="auto"/>
        <w:jc w:val="both"/>
        <w:rPr>
          <w:rFonts w:ascii="Times New Roman" w:hAnsi="Times New Roman" w:cs="Times New Roman"/>
          <w:sz w:val="24"/>
          <w:szCs w:val="24"/>
          <w:u w:val="single"/>
        </w:rPr>
      </w:pPr>
      <w:r w:rsidRPr="001E728A">
        <w:rPr>
          <w:rFonts w:ascii="Times New Roman" w:hAnsi="Times New Roman" w:cs="Times New Roman"/>
          <w:sz w:val="24"/>
          <w:szCs w:val="24"/>
          <w:u w:val="single"/>
        </w:rPr>
        <w:t>En el caso del BCE, la expansión cuantitativa se materializó en sus Balances. En 2008 era de 2.075.107 millones de euros. En 2012 había subido hasta los 2.982.767 millones. En 2019, tras la decisión de Mario Draghi de hacer una expansión cuantitativa, alcanzó los 4.671.425 millones.</w:t>
      </w:r>
    </w:p>
    <w:p w:rsidR="007E3D39" w:rsidRPr="001E728A" w:rsidRDefault="007E3D39" w:rsidP="007E3D39">
      <w:pPr>
        <w:spacing w:line="240" w:lineRule="auto"/>
        <w:jc w:val="both"/>
        <w:rPr>
          <w:rFonts w:ascii="Times New Roman" w:hAnsi="Times New Roman" w:cs="Times New Roman"/>
          <w:color w:val="FF0000"/>
          <w:sz w:val="24"/>
          <w:szCs w:val="24"/>
          <w:u w:val="single"/>
        </w:rPr>
      </w:pPr>
      <w:r w:rsidRPr="001E728A">
        <w:rPr>
          <w:rFonts w:ascii="Times New Roman" w:hAnsi="Times New Roman" w:cs="Times New Roman"/>
          <w:color w:val="FF0000"/>
          <w:sz w:val="24"/>
          <w:szCs w:val="24"/>
          <w:u w:val="single"/>
        </w:rPr>
        <w:t xml:space="preserve">La contribución de Mario Draghi es de un interés excepcional para los que vivimos en la zona euro. Deja claro que apoya los planteamientos de Bernanke, los tipos de interés cero o negativos y las medidas no convencionales de política monetaria. Pero también que, a él, la </w:t>
      </w:r>
      <w:r w:rsidRPr="001E728A">
        <w:rPr>
          <w:rFonts w:ascii="Times New Roman" w:hAnsi="Times New Roman" w:cs="Times New Roman"/>
          <w:color w:val="FF0000"/>
          <w:sz w:val="24"/>
          <w:szCs w:val="24"/>
          <w:u w:val="single"/>
        </w:rPr>
        <w:lastRenderedPageBreak/>
        <w:t>teoría monetaria subyacente le da igual; aunque el BCE haya reducido sustancialmente los tipos de interés e inyectado estímulos adicionales con compras de activos y con otras políticas. Pero quiere separarse de planteamientos doctrinales.</w:t>
      </w:r>
    </w:p>
    <w:p w:rsidR="007E3D39" w:rsidRPr="003468A9" w:rsidRDefault="007E3D39" w:rsidP="007E3D39">
      <w:pPr>
        <w:spacing w:line="240" w:lineRule="auto"/>
        <w:jc w:val="both"/>
        <w:rPr>
          <w:rFonts w:ascii="Times New Roman" w:hAnsi="Times New Roman" w:cs="Times New Roman"/>
          <w:sz w:val="24"/>
          <w:szCs w:val="24"/>
        </w:rPr>
      </w:pPr>
      <w:r w:rsidRPr="003468A9">
        <w:rPr>
          <w:rFonts w:ascii="Times New Roman" w:hAnsi="Times New Roman" w:cs="Times New Roman"/>
          <w:sz w:val="24"/>
          <w:szCs w:val="24"/>
        </w:rPr>
        <w:t>En primer lugar, porque las medidas tomadas p</w:t>
      </w:r>
      <w:r>
        <w:rPr>
          <w:rFonts w:ascii="Times New Roman" w:hAnsi="Times New Roman" w:cs="Times New Roman"/>
          <w:sz w:val="24"/>
          <w:szCs w:val="24"/>
        </w:rPr>
        <w:t>or el BCE tenían como objetivo “</w:t>
      </w:r>
      <w:r w:rsidRPr="003468A9">
        <w:rPr>
          <w:rFonts w:ascii="Times New Roman" w:hAnsi="Times New Roman" w:cs="Times New Roman"/>
          <w:sz w:val="24"/>
          <w:szCs w:val="24"/>
        </w:rPr>
        <w:t>comba</w:t>
      </w:r>
      <w:r>
        <w:rPr>
          <w:rFonts w:ascii="Times New Roman" w:hAnsi="Times New Roman" w:cs="Times New Roman"/>
          <w:sz w:val="24"/>
          <w:szCs w:val="24"/>
        </w:rPr>
        <w:t>tir la fragmentación financiera”</w:t>
      </w:r>
      <w:r w:rsidRPr="003468A9">
        <w:rPr>
          <w:rFonts w:ascii="Times New Roman" w:hAnsi="Times New Roman" w:cs="Times New Roman"/>
          <w:sz w:val="24"/>
          <w:szCs w:val="24"/>
        </w:rPr>
        <w:t xml:space="preserve"> de la Unión Monetaria. Y clarifica también que las medidas fueron diferentes porque tuvieron que adaptarse a unas instituciones y unas estructuras diferent</w:t>
      </w:r>
      <w:r>
        <w:rPr>
          <w:rFonts w:ascii="Times New Roman" w:hAnsi="Times New Roman" w:cs="Times New Roman"/>
          <w:sz w:val="24"/>
          <w:szCs w:val="24"/>
        </w:rPr>
        <w:t>es a las de los Estados Unidos.</w:t>
      </w:r>
    </w:p>
    <w:p w:rsidR="007E3D39" w:rsidRPr="003468A9" w:rsidRDefault="007E3D39" w:rsidP="007E3D39">
      <w:pPr>
        <w:spacing w:line="240" w:lineRule="auto"/>
        <w:jc w:val="both"/>
        <w:rPr>
          <w:rFonts w:ascii="Times New Roman" w:hAnsi="Times New Roman" w:cs="Times New Roman"/>
          <w:sz w:val="24"/>
          <w:szCs w:val="24"/>
        </w:rPr>
      </w:pPr>
      <w:r w:rsidRPr="003468A9">
        <w:rPr>
          <w:rFonts w:ascii="Times New Roman" w:hAnsi="Times New Roman" w:cs="Times New Roman"/>
          <w:sz w:val="24"/>
          <w:szCs w:val="24"/>
        </w:rPr>
        <w:t>Explica la crisis del euro entre 2010 y 2012 y como las decisiones se tomaron para recobrar la credibilidad de la moneda única, dado el riesgo permanente de fragmentación financiera entre los diferentes estados miembros.</w:t>
      </w:r>
    </w:p>
    <w:p w:rsidR="007E3D39" w:rsidRPr="001E728A" w:rsidRDefault="007E3D39" w:rsidP="007E3D39">
      <w:pPr>
        <w:spacing w:line="240" w:lineRule="auto"/>
        <w:jc w:val="both"/>
        <w:rPr>
          <w:rFonts w:ascii="Times New Roman" w:hAnsi="Times New Roman" w:cs="Times New Roman"/>
          <w:color w:val="FF0000"/>
          <w:sz w:val="24"/>
          <w:szCs w:val="24"/>
          <w:u w:val="single"/>
          <w:lang w:val="en-US"/>
        </w:rPr>
      </w:pPr>
      <w:r w:rsidRPr="001E728A">
        <w:rPr>
          <w:rFonts w:ascii="Times New Roman" w:hAnsi="Times New Roman" w:cs="Times New Roman"/>
          <w:color w:val="FF0000"/>
          <w:sz w:val="24"/>
          <w:szCs w:val="24"/>
          <w:u w:val="single"/>
        </w:rPr>
        <w:t xml:space="preserve">Y cómo también fueron diferentes las decisiones de cómo aumentar la Oferta Monetaria y el Balance del BCE, aunque tienen cuidado de no usar ninguno de esos términos. </w:t>
      </w:r>
      <w:r w:rsidRPr="001E728A">
        <w:rPr>
          <w:rFonts w:ascii="Times New Roman" w:hAnsi="Times New Roman" w:cs="Times New Roman"/>
          <w:color w:val="FF0000"/>
          <w:sz w:val="24"/>
          <w:szCs w:val="24"/>
          <w:u w:val="single"/>
          <w:lang w:val="en-US"/>
        </w:rPr>
        <w:t xml:space="preserve">En relación </w:t>
      </w:r>
      <w:r>
        <w:rPr>
          <w:rFonts w:ascii="Times New Roman" w:hAnsi="Times New Roman" w:cs="Times New Roman"/>
          <w:color w:val="FF0000"/>
          <w:sz w:val="24"/>
          <w:szCs w:val="24"/>
          <w:u w:val="single"/>
          <w:lang w:val="en-US"/>
        </w:rPr>
        <w:t>con la compra de activos dice: “</w:t>
      </w:r>
      <w:r w:rsidRPr="001E728A">
        <w:rPr>
          <w:rFonts w:ascii="Times New Roman" w:hAnsi="Times New Roman" w:cs="Times New Roman"/>
          <w:color w:val="FF0000"/>
          <w:sz w:val="24"/>
          <w:szCs w:val="24"/>
          <w:u w:val="single"/>
          <w:lang w:val="en-US"/>
        </w:rPr>
        <w:t>In a weakened banking sector, such purchases allowed us to inject liquidity into the system outside the banks, especially as the share of nonbank financing in the euro area was</w:t>
      </w:r>
      <w:r>
        <w:rPr>
          <w:rFonts w:ascii="Times New Roman" w:hAnsi="Times New Roman" w:cs="Times New Roman"/>
          <w:color w:val="FF0000"/>
          <w:sz w:val="24"/>
          <w:szCs w:val="24"/>
          <w:u w:val="single"/>
          <w:lang w:val="en-US"/>
        </w:rPr>
        <w:t xml:space="preserve"> rising during the crisis”</w:t>
      </w:r>
      <w:r w:rsidRPr="001E728A">
        <w:rPr>
          <w:rFonts w:ascii="Times New Roman" w:hAnsi="Times New Roman" w:cs="Times New Roman"/>
          <w:color w:val="FF0000"/>
          <w:sz w:val="24"/>
          <w:szCs w:val="24"/>
          <w:u w:val="single"/>
          <w:lang w:val="en-US"/>
        </w:rPr>
        <w:t>.</w:t>
      </w:r>
    </w:p>
    <w:p w:rsidR="007E3D39" w:rsidRPr="001E728A" w:rsidRDefault="007E3D39" w:rsidP="007E3D39">
      <w:pPr>
        <w:spacing w:line="240" w:lineRule="auto"/>
        <w:jc w:val="both"/>
        <w:rPr>
          <w:rFonts w:ascii="Times New Roman" w:hAnsi="Times New Roman" w:cs="Times New Roman"/>
          <w:color w:val="FF0000"/>
          <w:sz w:val="24"/>
          <w:szCs w:val="24"/>
          <w:u w:val="single"/>
          <w:lang w:val="en-US"/>
        </w:rPr>
      </w:pPr>
      <w:r w:rsidRPr="001E728A">
        <w:rPr>
          <w:rFonts w:ascii="Times New Roman" w:hAnsi="Times New Roman" w:cs="Times New Roman"/>
          <w:color w:val="FF0000"/>
          <w:sz w:val="24"/>
          <w:szCs w:val="24"/>
          <w:u w:val="single"/>
        </w:rPr>
        <w:t>Al margen de otros comentarios significativos sobre cómo la política del BCE fue diferente, s</w:t>
      </w:r>
      <w:r>
        <w:rPr>
          <w:rFonts w:ascii="Times New Roman" w:hAnsi="Times New Roman" w:cs="Times New Roman"/>
          <w:color w:val="FF0000"/>
          <w:sz w:val="24"/>
          <w:szCs w:val="24"/>
          <w:u w:val="single"/>
        </w:rPr>
        <w:t>e despacha con estas palabras: “</w:t>
      </w:r>
      <w:r w:rsidRPr="001E728A">
        <w:rPr>
          <w:rFonts w:ascii="Times New Roman" w:hAnsi="Times New Roman" w:cs="Times New Roman"/>
          <w:color w:val="FF0000"/>
          <w:sz w:val="24"/>
          <w:szCs w:val="24"/>
          <w:u w:val="single"/>
        </w:rPr>
        <w:t xml:space="preserve">While several central bank faced transmisión problems, the euro área was confronted with financial fragmentation along national lines that did not have a parallel elsewhere. </w:t>
      </w:r>
      <w:r w:rsidRPr="001E728A">
        <w:rPr>
          <w:rFonts w:ascii="Times New Roman" w:hAnsi="Times New Roman" w:cs="Times New Roman"/>
          <w:color w:val="FF0000"/>
          <w:sz w:val="24"/>
          <w:szCs w:val="24"/>
          <w:u w:val="single"/>
          <w:lang w:val="en-US"/>
        </w:rPr>
        <w:t>This reflected our incomplete institutional framework that become vi</w:t>
      </w:r>
      <w:r>
        <w:rPr>
          <w:rFonts w:ascii="Times New Roman" w:hAnsi="Times New Roman" w:cs="Times New Roman"/>
          <w:color w:val="FF0000"/>
          <w:sz w:val="24"/>
          <w:szCs w:val="24"/>
          <w:u w:val="single"/>
          <w:lang w:val="en-US"/>
        </w:rPr>
        <w:t>sible as a result of the crisis”</w:t>
      </w:r>
      <w:r w:rsidRPr="001E728A">
        <w:rPr>
          <w:rFonts w:ascii="Times New Roman" w:hAnsi="Times New Roman" w:cs="Times New Roman"/>
          <w:color w:val="FF0000"/>
          <w:sz w:val="24"/>
          <w:szCs w:val="24"/>
          <w:u w:val="single"/>
          <w:lang w:val="en-US"/>
        </w:rPr>
        <w:t>.</w:t>
      </w:r>
    </w:p>
    <w:p w:rsidR="007E3D39" w:rsidRPr="007844B5" w:rsidRDefault="007E3D39" w:rsidP="007E3D39">
      <w:pPr>
        <w:spacing w:line="240" w:lineRule="auto"/>
        <w:jc w:val="both"/>
        <w:rPr>
          <w:rFonts w:ascii="Times New Roman" w:hAnsi="Times New Roman" w:cs="Times New Roman"/>
          <w:color w:val="FF0000"/>
          <w:sz w:val="24"/>
          <w:szCs w:val="24"/>
          <w:u w:val="single"/>
        </w:rPr>
      </w:pPr>
      <w:r w:rsidRPr="007844B5">
        <w:rPr>
          <w:rFonts w:ascii="Times New Roman" w:hAnsi="Times New Roman" w:cs="Times New Roman"/>
          <w:color w:val="FF0000"/>
          <w:sz w:val="24"/>
          <w:szCs w:val="24"/>
          <w:u w:val="single"/>
        </w:rPr>
        <w:t>Y desde un punto de vista teórico se separa de la</w:t>
      </w:r>
      <w:r>
        <w:rPr>
          <w:rFonts w:ascii="Times New Roman" w:hAnsi="Times New Roman" w:cs="Times New Roman"/>
          <w:color w:val="FF0000"/>
          <w:sz w:val="24"/>
          <w:szCs w:val="24"/>
          <w:u w:val="single"/>
        </w:rPr>
        <w:t xml:space="preserve"> ideología con origen Bernanke “</w:t>
      </w:r>
      <w:r w:rsidRPr="007844B5">
        <w:rPr>
          <w:rFonts w:ascii="Times New Roman" w:hAnsi="Times New Roman" w:cs="Times New Roman"/>
          <w:color w:val="FF0000"/>
          <w:sz w:val="24"/>
          <w:szCs w:val="24"/>
          <w:u w:val="single"/>
        </w:rPr>
        <w:t xml:space="preserve">…. </w:t>
      </w:r>
      <w:r w:rsidRPr="007844B5">
        <w:rPr>
          <w:rFonts w:ascii="Times New Roman" w:hAnsi="Times New Roman" w:cs="Times New Roman"/>
          <w:color w:val="FF0000"/>
          <w:sz w:val="24"/>
          <w:szCs w:val="24"/>
          <w:u w:val="single"/>
          <w:lang w:val="en-US"/>
        </w:rPr>
        <w:t>Rather t</w:t>
      </w:r>
      <w:r w:rsidR="00E92717">
        <w:rPr>
          <w:rFonts w:ascii="Times New Roman" w:hAnsi="Times New Roman" w:cs="Times New Roman"/>
          <w:color w:val="FF0000"/>
          <w:sz w:val="24"/>
          <w:szCs w:val="24"/>
          <w:u w:val="single"/>
          <w:lang w:val="en-US"/>
        </w:rPr>
        <w:t>h</w:t>
      </w:r>
      <w:r w:rsidRPr="007844B5">
        <w:rPr>
          <w:rFonts w:ascii="Times New Roman" w:hAnsi="Times New Roman" w:cs="Times New Roman"/>
          <w:color w:val="FF0000"/>
          <w:sz w:val="24"/>
          <w:szCs w:val="24"/>
          <w:u w:val="single"/>
          <w:lang w:val="en-US"/>
        </w:rPr>
        <w:t xml:space="preserve">an highlighting the limits of central bank, our experience with unconventional policy has, if anything, strengthened our confidence in the effectiveness of monetary policy”. </w:t>
      </w:r>
      <w:r w:rsidRPr="007844B5">
        <w:rPr>
          <w:rFonts w:ascii="Times New Roman" w:hAnsi="Times New Roman" w:cs="Times New Roman"/>
          <w:color w:val="FF0000"/>
          <w:sz w:val="24"/>
          <w:szCs w:val="24"/>
          <w:u w:val="single"/>
        </w:rPr>
        <w:t>Es difícil pensar en una forma más cínica de poner de manifiesto tanto el poder del BCE, pasado y presente, como las dificultades de mantener la moneda única.</w:t>
      </w:r>
    </w:p>
    <w:p w:rsidR="007E3D39" w:rsidRPr="007844B5" w:rsidRDefault="007E3D39" w:rsidP="007E3D39">
      <w:pPr>
        <w:spacing w:line="240" w:lineRule="auto"/>
        <w:jc w:val="both"/>
        <w:rPr>
          <w:rFonts w:ascii="Times New Roman" w:hAnsi="Times New Roman" w:cs="Times New Roman"/>
          <w:sz w:val="24"/>
          <w:szCs w:val="24"/>
          <w:u w:val="single"/>
        </w:rPr>
      </w:pPr>
      <w:r w:rsidRPr="007844B5">
        <w:rPr>
          <w:rFonts w:ascii="Times New Roman" w:hAnsi="Times New Roman" w:cs="Times New Roman"/>
          <w:sz w:val="24"/>
          <w:szCs w:val="24"/>
          <w:u w:val="single"/>
        </w:rPr>
        <w:t>Ha sido evidente el temor de Draghi y de los equipos del BCE y de Bruselas a las actividades financieras de las entidades monetarias en el área euro. Su política ha sido forzar la disminución del número de bancos, obligándolos a fusionarse, intentar la formación de bancos plurinacionales -lo que no han conseguido- y controlar su actividad crediticia.</w:t>
      </w:r>
    </w:p>
    <w:p w:rsidR="007E3D39" w:rsidRPr="007844B5" w:rsidRDefault="007E3D39" w:rsidP="007E3D39">
      <w:pPr>
        <w:spacing w:line="240" w:lineRule="auto"/>
        <w:jc w:val="both"/>
        <w:rPr>
          <w:rFonts w:ascii="Times New Roman" w:hAnsi="Times New Roman" w:cs="Times New Roman"/>
          <w:sz w:val="24"/>
          <w:szCs w:val="24"/>
          <w:u w:val="single"/>
        </w:rPr>
      </w:pPr>
      <w:r w:rsidRPr="007844B5">
        <w:rPr>
          <w:rFonts w:ascii="Times New Roman" w:hAnsi="Times New Roman" w:cs="Times New Roman"/>
          <w:sz w:val="24"/>
          <w:szCs w:val="24"/>
          <w:u w:val="single"/>
        </w:rPr>
        <w:t>En la Unión Monetaria se sacrificó la competencia bancaria a la integración en la burocracia del BCE, completado con la desaparición de los Bancos Nacionales, como el Banco de España, que sólo operan como filiales del BCE. Control absoluto de banqueros burocratizados. Compatible con estructuras económicas esclerotizadas, una gran presión fiscal y el desarrollo de políticas intervencionistas en todas las áreas de actividad económica.</w:t>
      </w:r>
    </w:p>
    <w:p w:rsidR="007E3D39" w:rsidRDefault="007E3D39" w:rsidP="007E3D39">
      <w:pPr>
        <w:spacing w:line="240" w:lineRule="auto"/>
        <w:jc w:val="both"/>
        <w:rPr>
          <w:rFonts w:ascii="Times New Roman" w:hAnsi="Times New Roman" w:cs="Times New Roman"/>
          <w:sz w:val="24"/>
          <w:szCs w:val="24"/>
          <w:u w:val="single"/>
        </w:rPr>
      </w:pPr>
      <w:r w:rsidRPr="007844B5">
        <w:rPr>
          <w:rFonts w:ascii="Times New Roman" w:hAnsi="Times New Roman" w:cs="Times New Roman"/>
          <w:sz w:val="24"/>
          <w:szCs w:val="24"/>
          <w:u w:val="single"/>
        </w:rPr>
        <w:t>El modelo bancario norteamericano, mucho menos importante financieramente que el europeo, y en particular el español, ha seguido otros derroteros</w:t>
      </w:r>
      <w:r w:rsidRPr="003468A9">
        <w:rPr>
          <w:rFonts w:ascii="Times New Roman" w:hAnsi="Times New Roman" w:cs="Times New Roman"/>
          <w:sz w:val="24"/>
          <w:szCs w:val="24"/>
        </w:rPr>
        <w:t xml:space="preserve">. Hay más de 5.000 bancos operativos en Estados Unidos, que compiten entre sí, controlados por la Reserva Federal, con un sistema no tan burocratizado como el de la Unión Monetaria, aunque, también como consecuencia de la crisis de 2008, han sido sometidos a reglas mucho más exigentes de solvencia, liquidez y transparencia. </w:t>
      </w:r>
      <w:r w:rsidRPr="007844B5">
        <w:rPr>
          <w:rFonts w:ascii="Times New Roman" w:hAnsi="Times New Roman" w:cs="Times New Roman"/>
          <w:sz w:val="24"/>
          <w:szCs w:val="24"/>
          <w:u w:val="single"/>
        </w:rPr>
        <w:t>El actual debate en Estados Unidos es si el control burocrático de las actividades crediticias es suficiente. Un problema menor, dado el peso de las otras formas de financiar el tejido productivo al margen del sector bancario.</w:t>
      </w:r>
    </w:p>
    <w:p w:rsidR="007E3D39" w:rsidRPr="007844B5" w:rsidRDefault="007E3D39" w:rsidP="007E3D39">
      <w:pPr>
        <w:spacing w:line="240" w:lineRule="auto"/>
        <w:jc w:val="both"/>
        <w:rPr>
          <w:rFonts w:ascii="Times New Roman" w:hAnsi="Times New Roman" w:cs="Times New Roman"/>
          <w:sz w:val="24"/>
          <w:szCs w:val="24"/>
          <w:u w:val="single"/>
        </w:rPr>
      </w:pPr>
    </w:p>
    <w:p w:rsidR="007E3D39" w:rsidRPr="007844B5" w:rsidRDefault="007E3D39" w:rsidP="007E3D39">
      <w:pPr>
        <w:spacing w:line="240" w:lineRule="auto"/>
        <w:jc w:val="both"/>
        <w:rPr>
          <w:rFonts w:ascii="Times New Roman" w:hAnsi="Times New Roman" w:cs="Times New Roman"/>
          <w:color w:val="FF0000"/>
          <w:sz w:val="24"/>
          <w:szCs w:val="24"/>
        </w:rPr>
      </w:pPr>
      <w:r w:rsidRPr="003468A9">
        <w:rPr>
          <w:rFonts w:ascii="Times New Roman" w:hAnsi="Times New Roman" w:cs="Times New Roman"/>
          <w:sz w:val="24"/>
          <w:szCs w:val="24"/>
        </w:rPr>
        <w:lastRenderedPageBreak/>
        <w:t xml:space="preserve">IV) </w:t>
      </w:r>
      <w:r w:rsidRPr="007844B5">
        <w:rPr>
          <w:rFonts w:ascii="Times New Roman" w:hAnsi="Times New Roman" w:cs="Times New Roman"/>
          <w:color w:val="FF0000"/>
          <w:sz w:val="24"/>
          <w:szCs w:val="24"/>
        </w:rPr>
        <w:t>La estabilidad de precios a pesar de la expansión cuantitativa hasta 2021</w:t>
      </w:r>
    </w:p>
    <w:p w:rsidR="007E3D39" w:rsidRPr="007844B5" w:rsidRDefault="007E3D39" w:rsidP="007E3D39">
      <w:pPr>
        <w:spacing w:line="240" w:lineRule="auto"/>
        <w:jc w:val="both"/>
        <w:rPr>
          <w:rFonts w:ascii="Times New Roman" w:hAnsi="Times New Roman" w:cs="Times New Roman"/>
          <w:color w:val="FF0000"/>
          <w:sz w:val="24"/>
          <w:szCs w:val="24"/>
          <w:u w:val="single"/>
        </w:rPr>
      </w:pPr>
      <w:r w:rsidRPr="007844B5">
        <w:rPr>
          <w:rFonts w:ascii="Times New Roman" w:hAnsi="Times New Roman" w:cs="Times New Roman"/>
          <w:color w:val="FF0000"/>
          <w:sz w:val="24"/>
          <w:szCs w:val="24"/>
          <w:u w:val="single"/>
        </w:rPr>
        <w:t>No es fácil de explicar por qué la enorme cantidad de dinero que se creó con las expansiones cuantitativas de la mayoría de los Bancos Centrales de países desarrollados no se tradujeron en inflación entre 2012 y 2021.</w:t>
      </w:r>
    </w:p>
    <w:p w:rsidR="007E3D39" w:rsidRPr="007844B5" w:rsidRDefault="007E3D39" w:rsidP="007E3D39">
      <w:pPr>
        <w:spacing w:line="240" w:lineRule="auto"/>
        <w:jc w:val="both"/>
        <w:rPr>
          <w:rFonts w:ascii="Times New Roman" w:hAnsi="Times New Roman" w:cs="Times New Roman"/>
          <w:color w:val="FF0000"/>
          <w:sz w:val="24"/>
          <w:szCs w:val="24"/>
          <w:u w:val="single"/>
        </w:rPr>
      </w:pPr>
      <w:r w:rsidRPr="007844B5">
        <w:rPr>
          <w:rFonts w:ascii="Times New Roman" w:hAnsi="Times New Roman" w:cs="Times New Roman"/>
          <w:color w:val="FF0000"/>
          <w:sz w:val="24"/>
          <w:szCs w:val="24"/>
          <w:u w:val="single"/>
        </w:rPr>
        <w:t>La primera explicación es que tras la Gran Crisis Financiera de 2008, tanto las empresas como las familias tuvieron que reconstruir sus finanzas; empezando por la liquidez.</w:t>
      </w:r>
    </w:p>
    <w:p w:rsidR="007E3D39" w:rsidRPr="007844B5" w:rsidRDefault="007E3D39" w:rsidP="007E3D39">
      <w:pPr>
        <w:spacing w:line="240" w:lineRule="auto"/>
        <w:jc w:val="both"/>
        <w:rPr>
          <w:rFonts w:ascii="Times New Roman" w:hAnsi="Times New Roman" w:cs="Times New Roman"/>
          <w:color w:val="FF0000"/>
          <w:sz w:val="24"/>
          <w:szCs w:val="24"/>
          <w:u w:val="single"/>
        </w:rPr>
      </w:pPr>
      <w:r w:rsidRPr="003468A9">
        <w:rPr>
          <w:rFonts w:ascii="Times New Roman" w:hAnsi="Times New Roman" w:cs="Times New Roman"/>
          <w:sz w:val="24"/>
          <w:szCs w:val="24"/>
        </w:rPr>
        <w:t xml:space="preserve">En la Unión Europea, la crisis del euro y el temor del BCE a las entidades financieras se tradujeron en ausencia de actividad crediticia bancaria. </w:t>
      </w:r>
      <w:r w:rsidRPr="007844B5">
        <w:rPr>
          <w:rFonts w:ascii="Times New Roman" w:hAnsi="Times New Roman" w:cs="Times New Roman"/>
          <w:color w:val="FF0000"/>
          <w:sz w:val="24"/>
          <w:szCs w:val="24"/>
          <w:u w:val="single"/>
        </w:rPr>
        <w:t>La expansión cuantitativa, el dinero que crea el BCE, se esteriliza en gran parte. Crece la Base Monetaria, pero no lo hace tanto la Oferta Monetaria.</w:t>
      </w:r>
    </w:p>
    <w:p w:rsidR="007E3D39" w:rsidRPr="003468A9" w:rsidRDefault="007E3D39" w:rsidP="007E3D39">
      <w:pPr>
        <w:spacing w:line="240" w:lineRule="auto"/>
        <w:jc w:val="both"/>
        <w:rPr>
          <w:rFonts w:ascii="Times New Roman" w:hAnsi="Times New Roman" w:cs="Times New Roman"/>
          <w:sz w:val="24"/>
          <w:szCs w:val="24"/>
        </w:rPr>
      </w:pPr>
      <w:r w:rsidRPr="007844B5">
        <w:rPr>
          <w:rFonts w:ascii="Times New Roman" w:hAnsi="Times New Roman" w:cs="Times New Roman"/>
          <w:color w:val="FF0000"/>
          <w:sz w:val="24"/>
          <w:szCs w:val="24"/>
          <w:u w:val="single"/>
        </w:rPr>
        <w:t>En el caso de Estados Unidos, además de la reconstitución de balances familiares y empresariales, la liquidez se utilizó para crear empresas tecnológicas de todo tipo a un ritmo frenético. No importaba si eran o no rentables, a corto o medio plazo. El dinero financió una auténtica revolución tecnológica</w:t>
      </w:r>
      <w:r w:rsidRPr="003468A9">
        <w:rPr>
          <w:rFonts w:ascii="Times New Roman" w:hAnsi="Times New Roman" w:cs="Times New Roman"/>
          <w:sz w:val="24"/>
          <w:szCs w:val="24"/>
        </w:rPr>
        <w:t>. La transformación económica se puede observar en la composición del S&amp;P 500. A principios de 1980, por poner un ejemplo, el sector energía suponía el 20% del total del valor de ese índice; en 2022 había descendido hasta el 3%. Un 20% del valor de las 500 empresas se concentra en Tecnología de Información; y un 10% en Servicios de Información. El sector Financiero apenas supone un 11%, las constructoras un 3%; y las utilities un 2%. Una auténtica revolución empresarial y económica que les ha permitido enfrentarse a la competencia de los países no desarrollados en bienes y servicios tradicionales.</w:t>
      </w:r>
    </w:p>
    <w:p w:rsidR="007E3D39" w:rsidRPr="003468A9" w:rsidRDefault="007E3D39" w:rsidP="007E3D39">
      <w:pPr>
        <w:spacing w:line="240" w:lineRule="auto"/>
        <w:jc w:val="both"/>
        <w:rPr>
          <w:rFonts w:ascii="Times New Roman" w:hAnsi="Times New Roman" w:cs="Times New Roman"/>
          <w:sz w:val="24"/>
          <w:szCs w:val="24"/>
        </w:rPr>
      </w:pPr>
      <w:r w:rsidRPr="003468A9">
        <w:rPr>
          <w:rFonts w:ascii="Times New Roman" w:hAnsi="Times New Roman" w:cs="Times New Roman"/>
          <w:sz w:val="24"/>
          <w:szCs w:val="24"/>
        </w:rPr>
        <w:t>Otra parte de la explicación es que no está nada claro -en un mundo globalizado y con empresas multinacionales grandes y pequeñas, invirtiendo en tecnología y desarrollo de bienes y servicios en países en vías de desarrollo- qué porcentaje del dinero creado por los países desarrollados ha terminado por filtrarse al exterior. No sólo se trata de dólares físicos, sino de todo t</w:t>
      </w:r>
      <w:r>
        <w:rPr>
          <w:rFonts w:ascii="Times New Roman" w:hAnsi="Times New Roman" w:cs="Times New Roman"/>
          <w:sz w:val="24"/>
          <w:szCs w:val="24"/>
        </w:rPr>
        <w:t>ipo de inyecciones de liquidez.</w:t>
      </w:r>
    </w:p>
    <w:p w:rsidR="007E3D39" w:rsidRPr="007844B5" w:rsidRDefault="007E3D39" w:rsidP="007E3D39">
      <w:pPr>
        <w:spacing w:line="240" w:lineRule="auto"/>
        <w:jc w:val="both"/>
        <w:rPr>
          <w:rFonts w:ascii="Times New Roman" w:hAnsi="Times New Roman" w:cs="Times New Roman"/>
          <w:color w:val="FF0000"/>
          <w:sz w:val="24"/>
          <w:szCs w:val="24"/>
          <w:u w:val="single"/>
        </w:rPr>
      </w:pPr>
      <w:r w:rsidRPr="007844B5">
        <w:rPr>
          <w:rFonts w:ascii="Times New Roman" w:hAnsi="Times New Roman" w:cs="Times New Roman"/>
          <w:color w:val="FF0000"/>
          <w:sz w:val="24"/>
          <w:szCs w:val="24"/>
          <w:u w:val="single"/>
        </w:rPr>
        <w:t>No se entiende el desarrollo de todo el mundo cripto sin la liquidez de la expansión cuantitativa. Ni el incremento del valor de las distintas Bolsas, S&amp;P, Down, Nasdaq, durante todo ese periodo. El exceso de liquidez se refleja, incluso, en el dinero dedicado a las apuestas deportivas a partir de 2020.</w:t>
      </w:r>
    </w:p>
    <w:p w:rsidR="007E3D39" w:rsidRPr="007844B5" w:rsidRDefault="007E3D39" w:rsidP="007E3D39">
      <w:pPr>
        <w:spacing w:line="240" w:lineRule="auto"/>
        <w:jc w:val="both"/>
        <w:rPr>
          <w:rFonts w:ascii="Times New Roman" w:hAnsi="Times New Roman" w:cs="Times New Roman"/>
          <w:color w:val="FF0000"/>
          <w:sz w:val="24"/>
          <w:szCs w:val="24"/>
          <w:u w:val="single"/>
        </w:rPr>
      </w:pPr>
      <w:r w:rsidRPr="007844B5">
        <w:rPr>
          <w:rFonts w:ascii="Times New Roman" w:hAnsi="Times New Roman" w:cs="Times New Roman"/>
          <w:color w:val="FF0000"/>
          <w:sz w:val="24"/>
          <w:szCs w:val="24"/>
          <w:u w:val="single"/>
        </w:rPr>
        <w:t>En lo que respecta al índice de precios, tanto en Estados Unidos como en Europa, la competencia brutal de un mundo globalizado hasta 2020 se refleja en precios cada vez más bajos de la mayoría de bienes y servicios comercializables.</w:t>
      </w:r>
    </w:p>
    <w:p w:rsidR="007E3D39" w:rsidRPr="007844B5" w:rsidRDefault="007E3D39" w:rsidP="007E3D39">
      <w:pPr>
        <w:spacing w:line="240" w:lineRule="auto"/>
        <w:jc w:val="both"/>
        <w:rPr>
          <w:rFonts w:ascii="Times New Roman" w:hAnsi="Times New Roman" w:cs="Times New Roman"/>
          <w:color w:val="FF0000"/>
          <w:sz w:val="24"/>
          <w:szCs w:val="24"/>
          <w:u w:val="single"/>
        </w:rPr>
      </w:pPr>
      <w:r w:rsidRPr="007844B5">
        <w:rPr>
          <w:rFonts w:ascii="Times New Roman" w:hAnsi="Times New Roman" w:cs="Times New Roman"/>
          <w:color w:val="FF0000"/>
          <w:sz w:val="24"/>
          <w:szCs w:val="24"/>
          <w:u w:val="single"/>
        </w:rPr>
        <w:t>En mi opinión, éste puede ser el factor clave para explicar la estabilidad de los índices de precios hasta comienzos de 2021.</w:t>
      </w:r>
    </w:p>
    <w:p w:rsidR="007E3D39" w:rsidRPr="007844B5" w:rsidRDefault="007E3D39" w:rsidP="007E3D39">
      <w:pPr>
        <w:spacing w:line="240" w:lineRule="auto"/>
        <w:jc w:val="both"/>
        <w:rPr>
          <w:rFonts w:ascii="Times New Roman" w:hAnsi="Times New Roman" w:cs="Times New Roman"/>
          <w:b/>
          <w:color w:val="FF0000"/>
          <w:sz w:val="24"/>
          <w:szCs w:val="24"/>
          <w:u w:val="single"/>
        </w:rPr>
      </w:pPr>
      <w:r w:rsidRPr="007844B5">
        <w:rPr>
          <w:rFonts w:ascii="Times New Roman" w:hAnsi="Times New Roman" w:cs="Times New Roman"/>
          <w:b/>
          <w:color w:val="FF0000"/>
          <w:sz w:val="24"/>
          <w:szCs w:val="24"/>
          <w:u w:val="single"/>
        </w:rPr>
        <w:t>Tampoco se entiende que economistas tan bien formados como los que escriben en el libro Evolution or Revolution decidieron ignorar las consecuencias monetarias de la globalización. Porque ¿cómo es posible creer en el estancamiento, el exceso de ahorro y la falta de oportunidades de inversión en una economía mundial que crece desde hace más de 40 años al 3,5% real, anual y acumulativo? ¿Cómo ha sido posible que, precisamente, Japón haya sido el país que todos esos economistas creían era nuestro sino? Un país en decrecimiento poblacional, sin inmigración, envejecido. Un país que sigue controlado por un pequeño grupo de empresas monopolistas que planifican su actividad de acuerdo con el Gobierno y el Banco de Japón.</w:t>
      </w:r>
    </w:p>
    <w:p w:rsidR="007E3D39" w:rsidRPr="007844B5" w:rsidRDefault="007E3D39" w:rsidP="007E3D39">
      <w:pPr>
        <w:spacing w:line="240" w:lineRule="auto"/>
        <w:jc w:val="both"/>
        <w:rPr>
          <w:rFonts w:ascii="Times New Roman" w:hAnsi="Times New Roman" w:cs="Times New Roman"/>
          <w:color w:val="FF0000"/>
          <w:sz w:val="24"/>
          <w:szCs w:val="24"/>
        </w:rPr>
      </w:pPr>
      <w:r w:rsidRPr="003468A9">
        <w:rPr>
          <w:rFonts w:ascii="Times New Roman" w:hAnsi="Times New Roman" w:cs="Times New Roman"/>
          <w:sz w:val="24"/>
          <w:szCs w:val="24"/>
        </w:rPr>
        <w:lastRenderedPageBreak/>
        <w:t xml:space="preserve">V) </w:t>
      </w:r>
      <w:r w:rsidRPr="007844B5">
        <w:rPr>
          <w:rFonts w:ascii="Times New Roman" w:hAnsi="Times New Roman" w:cs="Times New Roman"/>
          <w:color w:val="FF0000"/>
          <w:sz w:val="24"/>
          <w:szCs w:val="24"/>
        </w:rPr>
        <w:t>La financiación de la pandemia y la reaparición de la inflación</w:t>
      </w:r>
    </w:p>
    <w:p w:rsidR="007E3D39" w:rsidRPr="007844B5" w:rsidRDefault="007E3D39" w:rsidP="007E3D39">
      <w:pPr>
        <w:spacing w:line="240" w:lineRule="auto"/>
        <w:jc w:val="both"/>
        <w:rPr>
          <w:rFonts w:ascii="Times New Roman" w:hAnsi="Times New Roman" w:cs="Times New Roman"/>
          <w:color w:val="FF0000"/>
          <w:sz w:val="24"/>
          <w:szCs w:val="24"/>
          <w:u w:val="single"/>
        </w:rPr>
      </w:pPr>
      <w:r w:rsidRPr="007844B5">
        <w:rPr>
          <w:rFonts w:ascii="Times New Roman" w:hAnsi="Times New Roman" w:cs="Times New Roman"/>
          <w:color w:val="FF0000"/>
          <w:sz w:val="24"/>
          <w:szCs w:val="24"/>
          <w:u w:val="single"/>
        </w:rPr>
        <w:t>La pandemia provocó la falta de actividad económica en gran parte del tejido productivo mundial. Empresas, sectores y países se cerraron. Para impedir una recesión que podría acarrear la destrucción de muchas empresas, los gobiernos decidieron apoyar, sin muchos miramientos, la política monetaria y fiscal vigente en los principales países desarrollados que se extendió de inmediato al resto del mundo.</w:t>
      </w:r>
    </w:p>
    <w:p w:rsidR="007E3D39" w:rsidRPr="007844B5" w:rsidRDefault="007E3D39" w:rsidP="007E3D39">
      <w:pPr>
        <w:spacing w:line="240" w:lineRule="auto"/>
        <w:jc w:val="both"/>
        <w:rPr>
          <w:rFonts w:ascii="Times New Roman" w:hAnsi="Times New Roman" w:cs="Times New Roman"/>
          <w:color w:val="FF0000"/>
          <w:sz w:val="24"/>
          <w:szCs w:val="24"/>
          <w:u w:val="single"/>
        </w:rPr>
      </w:pPr>
      <w:r w:rsidRPr="007844B5">
        <w:rPr>
          <w:rFonts w:ascii="Times New Roman" w:hAnsi="Times New Roman" w:cs="Times New Roman"/>
          <w:color w:val="FF0000"/>
          <w:sz w:val="24"/>
          <w:szCs w:val="24"/>
          <w:u w:val="single"/>
        </w:rPr>
        <w:t>Los Bancos Centrales, en concreto el BCE, la FED, el Banco de Inglaterra, el de Canadá y, por supuesto, el de Japón, compraron emisiones masivas de deuda pública y en algunos casos, como en el del área euro, emisiones privadas a coste cero. El dinero ingresado por los estados se dedicó a subvencionar créditos a las empresas y a hacer transmisiones de efectivo a los trabajadores afectados, tanto en Estados Unidos como en Europa.</w:t>
      </w:r>
    </w:p>
    <w:p w:rsidR="007E3D39" w:rsidRPr="007844B5" w:rsidRDefault="007E3D39" w:rsidP="007E3D39">
      <w:pPr>
        <w:spacing w:line="240" w:lineRule="auto"/>
        <w:jc w:val="both"/>
        <w:rPr>
          <w:rFonts w:ascii="Times New Roman" w:hAnsi="Times New Roman" w:cs="Times New Roman"/>
          <w:color w:val="FF0000"/>
          <w:sz w:val="24"/>
          <w:szCs w:val="24"/>
          <w:u w:val="single"/>
        </w:rPr>
      </w:pPr>
      <w:r w:rsidRPr="007844B5">
        <w:rPr>
          <w:rFonts w:ascii="Times New Roman" w:hAnsi="Times New Roman" w:cs="Times New Roman"/>
          <w:color w:val="FF0000"/>
          <w:sz w:val="24"/>
          <w:szCs w:val="24"/>
          <w:u w:val="single"/>
        </w:rPr>
        <w:t>Todo fue excesivo, sin control, sin plantearse siquiera que un impulso monetario del calibre del que tuvo lugar podría tener consecuencias en los precios de los bienes y servicios.</w:t>
      </w:r>
    </w:p>
    <w:p w:rsidR="007E3D39" w:rsidRPr="007844B5" w:rsidRDefault="007E3D39" w:rsidP="007E3D39">
      <w:pPr>
        <w:spacing w:line="240" w:lineRule="auto"/>
        <w:jc w:val="both"/>
        <w:rPr>
          <w:rFonts w:ascii="Times New Roman" w:hAnsi="Times New Roman" w:cs="Times New Roman"/>
          <w:color w:val="FF0000"/>
          <w:sz w:val="24"/>
          <w:szCs w:val="24"/>
          <w:u w:val="single"/>
        </w:rPr>
      </w:pPr>
      <w:r w:rsidRPr="007844B5">
        <w:rPr>
          <w:rFonts w:ascii="Times New Roman" w:hAnsi="Times New Roman" w:cs="Times New Roman"/>
          <w:color w:val="FF0000"/>
          <w:sz w:val="24"/>
          <w:szCs w:val="24"/>
          <w:u w:val="single"/>
        </w:rPr>
        <w:t>En cifras, el BCE incrementó su Balance desde los 4.671.425 millones de finales de 2019 hasta los 8.759.120 millones de euros en septiembre de 2022. Un aumento de 4.135.685 millones de euros. Un incremento brutal de creación de dinero que era inevitable que disparara la inflación.</w:t>
      </w:r>
    </w:p>
    <w:p w:rsidR="007E3D39" w:rsidRPr="004E58E7" w:rsidRDefault="007E3D39" w:rsidP="007E3D39">
      <w:pPr>
        <w:spacing w:line="240" w:lineRule="auto"/>
        <w:jc w:val="both"/>
        <w:rPr>
          <w:rFonts w:ascii="Times New Roman" w:hAnsi="Times New Roman" w:cs="Times New Roman"/>
          <w:sz w:val="24"/>
          <w:szCs w:val="24"/>
          <w:u w:val="single"/>
        </w:rPr>
      </w:pPr>
      <w:r w:rsidRPr="003468A9">
        <w:rPr>
          <w:rFonts w:ascii="Times New Roman" w:hAnsi="Times New Roman" w:cs="Times New Roman"/>
          <w:sz w:val="24"/>
          <w:szCs w:val="24"/>
        </w:rPr>
        <w:t xml:space="preserve">En un primer momento, a lo largo de 2020, no ocurrió nada relevante en relación con los precios. En 2020 la inflación estuvo controlada en todo el mundo por la falta de actividad. Al tiempo que los PIB de la mayoría de precios se reducían entre un 10% y un 20%. </w:t>
      </w:r>
      <w:r w:rsidRPr="004E58E7">
        <w:rPr>
          <w:rFonts w:ascii="Times New Roman" w:hAnsi="Times New Roman" w:cs="Times New Roman"/>
          <w:color w:val="FF0000"/>
          <w:sz w:val="24"/>
          <w:szCs w:val="24"/>
          <w:u w:val="single"/>
        </w:rPr>
        <w:t>Pero la prueba de que los traspasos de dinero gratis para empresas y trabajadores fueron excesivos se pusieron de manifiesto en 2021</w:t>
      </w:r>
      <w:r w:rsidRPr="003468A9">
        <w:rPr>
          <w:rFonts w:ascii="Times New Roman" w:hAnsi="Times New Roman" w:cs="Times New Roman"/>
          <w:sz w:val="24"/>
          <w:szCs w:val="24"/>
        </w:rPr>
        <w:t xml:space="preserve">. </w:t>
      </w:r>
      <w:r w:rsidRPr="004E58E7">
        <w:rPr>
          <w:rFonts w:ascii="Times New Roman" w:hAnsi="Times New Roman" w:cs="Times New Roman"/>
          <w:sz w:val="24"/>
          <w:szCs w:val="24"/>
          <w:u w:val="single"/>
        </w:rPr>
        <w:t>El aumento de liquidez que supuso la expansión cuantitativa por la vía del incremento en los Balances de los Bancos Centrales se utilizó sólo en cada país.</w:t>
      </w:r>
    </w:p>
    <w:p w:rsidR="007E3D39" w:rsidRPr="004E58E7" w:rsidRDefault="007E3D39" w:rsidP="007E3D39">
      <w:pPr>
        <w:spacing w:line="240" w:lineRule="auto"/>
        <w:jc w:val="both"/>
        <w:rPr>
          <w:rFonts w:ascii="Times New Roman" w:hAnsi="Times New Roman" w:cs="Times New Roman"/>
          <w:sz w:val="24"/>
          <w:szCs w:val="24"/>
          <w:u w:val="single"/>
        </w:rPr>
      </w:pPr>
      <w:r w:rsidRPr="003468A9">
        <w:rPr>
          <w:rFonts w:ascii="Times New Roman" w:hAnsi="Times New Roman" w:cs="Times New Roman"/>
          <w:sz w:val="24"/>
          <w:szCs w:val="24"/>
        </w:rPr>
        <w:t xml:space="preserve">Autónomamente. </w:t>
      </w:r>
      <w:r w:rsidRPr="004E58E7">
        <w:rPr>
          <w:rFonts w:ascii="Times New Roman" w:hAnsi="Times New Roman" w:cs="Times New Roman"/>
          <w:sz w:val="24"/>
          <w:szCs w:val="24"/>
          <w:u w:val="single"/>
        </w:rPr>
        <w:t>La recuperación de la actividad económica fue, primero, nacional. Incluso en los países miembros del área euro se produjo una gran disparidad en los ritmos de recuperación de la actividad perdida en 2020. El comercio internacional redujo su tasa de crecimiento por primera vez desde los años setenta. No sólo por los estrangulamientos en las cadenas de suministro. Si no porque el dinero se había acumulado en bancos nacionales, en la tesorería de empresas nacionales y en forma de ahorro de las familias. Y, en consecuencia, el gasto de ese dinero fue, básicamente, nacional. La globalización había desaparecido a efectos monetarios inmediatos.</w:t>
      </w:r>
    </w:p>
    <w:p w:rsidR="007E3D39" w:rsidRPr="004E58E7" w:rsidRDefault="007E3D39" w:rsidP="007E3D39">
      <w:pPr>
        <w:spacing w:line="240" w:lineRule="auto"/>
        <w:jc w:val="both"/>
        <w:rPr>
          <w:rFonts w:ascii="Times New Roman" w:hAnsi="Times New Roman" w:cs="Times New Roman"/>
          <w:color w:val="FF0000"/>
          <w:sz w:val="24"/>
          <w:szCs w:val="24"/>
          <w:u w:val="single"/>
        </w:rPr>
      </w:pPr>
      <w:r w:rsidRPr="004E58E7">
        <w:rPr>
          <w:rFonts w:ascii="Times New Roman" w:hAnsi="Times New Roman" w:cs="Times New Roman"/>
          <w:color w:val="FF0000"/>
          <w:sz w:val="24"/>
          <w:szCs w:val="24"/>
          <w:u w:val="single"/>
        </w:rPr>
        <w:t>Ningún Banco Central de los países desarrollados previó que la demanda acumulada, que iba a desatarse cuando los ahorros de empresas y trabajadores (unos mucho más que otros, como es obvio cuando todo se hace a brochazos) comenzarán a utilizarse, podría producir un aumento generalizado de los precios. Los responsables de los Bancos Centrales no modificaron sus modelos macroeconómicos como consecuencia de la forma ni por el volumen de financiación de la pandemia. Todo se mantuvo igual. Como si la adición de una enorme cantidad de dinero, alrededor de cuatro trillones (americanos) de euros y una cantidad similar en Estados Unidos no pudieran desatar un fenómeno inflacionista.</w:t>
      </w:r>
    </w:p>
    <w:p w:rsidR="007E3D39" w:rsidRPr="004E58E7" w:rsidRDefault="007E3D39" w:rsidP="007E3D39">
      <w:pPr>
        <w:spacing w:line="240" w:lineRule="auto"/>
        <w:jc w:val="both"/>
        <w:rPr>
          <w:rFonts w:ascii="Times New Roman" w:hAnsi="Times New Roman" w:cs="Times New Roman"/>
          <w:b/>
          <w:color w:val="FF0000"/>
          <w:sz w:val="24"/>
          <w:szCs w:val="24"/>
          <w:u w:val="single"/>
        </w:rPr>
      </w:pPr>
      <w:r w:rsidRPr="004E58E7">
        <w:rPr>
          <w:rFonts w:ascii="Times New Roman" w:hAnsi="Times New Roman" w:cs="Times New Roman"/>
          <w:b/>
          <w:color w:val="FF0000"/>
          <w:sz w:val="24"/>
          <w:szCs w:val="24"/>
          <w:u w:val="single"/>
        </w:rPr>
        <w:t>En los modelos de los Bancos Centrales, las expansiones cuantitativas sólo crean liquidez, no inflación. Un error inconcebible. Pero una vez desatada la inflación, sólo puede controlarse por la vía de subidas de intereses; porque así como la expansión cuantitativa es muy fácil de operar, la contracción cuantitativa, por reducción del Balance de los Bancos Centrales, es muy larga y complicada.</w:t>
      </w:r>
    </w:p>
    <w:p w:rsidR="007E3D39" w:rsidRPr="004E58E7" w:rsidRDefault="007E3D39" w:rsidP="007E3D39">
      <w:pPr>
        <w:spacing w:line="240" w:lineRule="auto"/>
        <w:jc w:val="both"/>
        <w:rPr>
          <w:rFonts w:ascii="Times New Roman" w:hAnsi="Times New Roman" w:cs="Times New Roman"/>
          <w:color w:val="FF0000"/>
          <w:sz w:val="24"/>
          <w:szCs w:val="24"/>
          <w:u w:val="single"/>
        </w:rPr>
      </w:pPr>
      <w:r w:rsidRPr="004E58E7">
        <w:rPr>
          <w:rFonts w:ascii="Times New Roman" w:hAnsi="Times New Roman" w:cs="Times New Roman"/>
          <w:color w:val="FF0000"/>
          <w:sz w:val="24"/>
          <w:szCs w:val="24"/>
          <w:u w:val="single"/>
        </w:rPr>
        <w:lastRenderedPageBreak/>
        <w:t>Cuando comenzaron a producirse estrangulamientos en la producción de chips, y en otros productos básicos, como los derivados del petróleo -antes, incluso, de la invasión de Ucrania-, los Bancos Centrales dictaminaron que la inflación era transitoria. Hasta que fue evidente que el aumento de la cantidad de dinero</w:t>
      </w:r>
      <w:r>
        <w:rPr>
          <w:rFonts w:ascii="Times New Roman" w:hAnsi="Times New Roman" w:cs="Times New Roman"/>
          <w:color w:val="FF0000"/>
          <w:sz w:val="24"/>
          <w:szCs w:val="24"/>
          <w:u w:val="single"/>
        </w:rPr>
        <w:t xml:space="preserve"> puesto en circulación con los “quantitative easing”</w:t>
      </w:r>
      <w:r w:rsidRPr="004E58E7">
        <w:rPr>
          <w:rFonts w:ascii="Times New Roman" w:hAnsi="Times New Roman" w:cs="Times New Roman"/>
          <w:color w:val="FF0000"/>
          <w:sz w:val="24"/>
          <w:szCs w:val="24"/>
          <w:u w:val="single"/>
        </w:rPr>
        <w:t xml:space="preserve"> había desatado no sólo estrangulamientos, sino también inflación. No habrán oído ni leído una sola explicación por parte de ninguna autoridad económica, financiera, ni gubernamental, ni la de ningún Banco Central, de cómo lo transitorio se ha convertido en algo permanente.</w:t>
      </w:r>
    </w:p>
    <w:p w:rsidR="007E3D39" w:rsidRPr="003468A9" w:rsidRDefault="007E3D39" w:rsidP="007E3D39">
      <w:pPr>
        <w:spacing w:line="240" w:lineRule="auto"/>
        <w:jc w:val="both"/>
        <w:rPr>
          <w:rFonts w:ascii="Times New Roman" w:hAnsi="Times New Roman" w:cs="Times New Roman"/>
          <w:sz w:val="24"/>
          <w:szCs w:val="24"/>
        </w:rPr>
      </w:pPr>
      <w:r w:rsidRPr="003468A9">
        <w:rPr>
          <w:rFonts w:ascii="Times New Roman" w:hAnsi="Times New Roman" w:cs="Times New Roman"/>
          <w:sz w:val="24"/>
          <w:szCs w:val="24"/>
        </w:rPr>
        <w:t>El desarrollo de las presiones en los precios ha sido diferente en Estados Unidos y en Europa. En Estados Unidos, en 2021 se produjo una gran burbuja en el precio de los activos financieros. Todos los índices bursátiles aumentaron entre el 25% y el 30%. La relación entre el precio de los activos y su rendimiento subió del 16% hasta casi el 22%. En Europa, fueron los bancos receptores de los ahorros de empresas y consumidores los que, en lugar de conceder nuevos créditos con los depósitos que les habían sido aportados, dedicaron buena pa</w:t>
      </w:r>
      <w:r>
        <w:rPr>
          <w:rFonts w:ascii="Times New Roman" w:hAnsi="Times New Roman" w:cs="Times New Roman"/>
          <w:sz w:val="24"/>
          <w:szCs w:val="24"/>
        </w:rPr>
        <w:t>rte de ellos a incrementar sus “</w:t>
      </w:r>
      <w:r w:rsidRPr="003468A9">
        <w:rPr>
          <w:rFonts w:ascii="Times New Roman" w:hAnsi="Times New Roman" w:cs="Times New Roman"/>
          <w:sz w:val="24"/>
          <w:szCs w:val="24"/>
        </w:rPr>
        <w:t>faci</w:t>
      </w:r>
      <w:r>
        <w:rPr>
          <w:rFonts w:ascii="Times New Roman" w:hAnsi="Times New Roman" w:cs="Times New Roman"/>
          <w:sz w:val="24"/>
          <w:szCs w:val="24"/>
        </w:rPr>
        <w:t>lidades de depósito” en el BCE.</w:t>
      </w:r>
    </w:p>
    <w:p w:rsidR="007E3D39" w:rsidRPr="004E58E7" w:rsidRDefault="007E3D39" w:rsidP="007E3D39">
      <w:pPr>
        <w:spacing w:line="240" w:lineRule="auto"/>
        <w:jc w:val="both"/>
        <w:rPr>
          <w:rFonts w:ascii="Times New Roman" w:hAnsi="Times New Roman" w:cs="Times New Roman"/>
          <w:sz w:val="24"/>
          <w:szCs w:val="24"/>
          <w:u w:val="single"/>
        </w:rPr>
      </w:pPr>
      <w:r w:rsidRPr="003468A9">
        <w:rPr>
          <w:rFonts w:ascii="Times New Roman" w:hAnsi="Times New Roman" w:cs="Times New Roman"/>
          <w:sz w:val="24"/>
          <w:szCs w:val="24"/>
        </w:rPr>
        <w:t xml:space="preserve">Para la Banca europea, casi ahogada por regulaciones y exigencias de provisión, capital y tipos de interés que seguían siendo casi negativos, no estaba claro a quién podían prestar. </w:t>
      </w:r>
      <w:r w:rsidRPr="004E58E7">
        <w:rPr>
          <w:rFonts w:ascii="Times New Roman" w:hAnsi="Times New Roman" w:cs="Times New Roman"/>
          <w:sz w:val="24"/>
          <w:szCs w:val="24"/>
          <w:u w:val="single"/>
        </w:rPr>
        <w:t>En todas partes, el estímulo monetario se empezó a gastar atropelladamente en lo más necesario. Subieron, primero, los productos derivados del petróleo, carburantes y fertilizantes; después, los precios de los alimentos y después, el resto de los bienes y posteriormente de los servicios.</w:t>
      </w:r>
    </w:p>
    <w:p w:rsidR="007E3D39" w:rsidRPr="003468A9" w:rsidRDefault="007E3D39" w:rsidP="007E3D39">
      <w:pPr>
        <w:spacing w:line="240" w:lineRule="auto"/>
        <w:jc w:val="both"/>
        <w:rPr>
          <w:rFonts w:ascii="Times New Roman" w:hAnsi="Times New Roman" w:cs="Times New Roman"/>
          <w:sz w:val="24"/>
          <w:szCs w:val="24"/>
        </w:rPr>
      </w:pPr>
      <w:r w:rsidRPr="003468A9">
        <w:rPr>
          <w:rFonts w:ascii="Times New Roman" w:hAnsi="Times New Roman" w:cs="Times New Roman"/>
          <w:sz w:val="24"/>
          <w:szCs w:val="24"/>
        </w:rPr>
        <w:t>En países como España, con la desgracia de tener un conjunto de incompetentes y demagogos en el gobierno, fue el propio gobierno el que atizó las presiones inflacionistas. Se subieron todas las pensiones un 8,5% para 2023. Una alegría temporal, acompañada de la preocupación de muchos pensionistas por la perspectiva de que esa política pudiera ser revisable, como ya sufrieron en la crisis de 2010 a 2012, las pensiones de Portugal, Grecia e Irlanda, que se redujero</w:t>
      </w:r>
      <w:r>
        <w:rPr>
          <w:rFonts w:ascii="Times New Roman" w:hAnsi="Times New Roman" w:cs="Times New Roman"/>
          <w:sz w:val="24"/>
          <w:szCs w:val="24"/>
        </w:rPr>
        <w:t>n forzosamente hasta en un 40%.</w:t>
      </w:r>
    </w:p>
    <w:p w:rsidR="007E3D39" w:rsidRPr="003468A9" w:rsidRDefault="007E3D39" w:rsidP="007E3D39">
      <w:pPr>
        <w:spacing w:line="240" w:lineRule="auto"/>
        <w:jc w:val="both"/>
        <w:rPr>
          <w:rFonts w:ascii="Times New Roman" w:hAnsi="Times New Roman" w:cs="Times New Roman"/>
          <w:sz w:val="24"/>
          <w:szCs w:val="24"/>
        </w:rPr>
      </w:pPr>
      <w:r w:rsidRPr="003468A9">
        <w:rPr>
          <w:rFonts w:ascii="Times New Roman" w:hAnsi="Times New Roman" w:cs="Times New Roman"/>
          <w:sz w:val="24"/>
          <w:szCs w:val="24"/>
        </w:rPr>
        <w:t>El gobierno español, que ha visto como los ingresos tributarios crecieron en 35.000 millones de euros más de lo presupuestado en 2022, se ha propuesto gastar todos esos ingresos en lo que fuera. Lo que permite la Unión Europea que, un año más, ha suspendido las reglas de control</w:t>
      </w:r>
      <w:r>
        <w:rPr>
          <w:rFonts w:ascii="Times New Roman" w:hAnsi="Times New Roman" w:cs="Times New Roman"/>
          <w:sz w:val="24"/>
          <w:szCs w:val="24"/>
        </w:rPr>
        <w:t xml:space="preserve"> del déficit y deuda para 2023.</w:t>
      </w:r>
    </w:p>
    <w:p w:rsidR="007E3D39" w:rsidRPr="003468A9" w:rsidRDefault="007E3D39" w:rsidP="007E3D39">
      <w:pPr>
        <w:spacing w:line="240" w:lineRule="auto"/>
        <w:jc w:val="both"/>
        <w:rPr>
          <w:rFonts w:ascii="Times New Roman" w:hAnsi="Times New Roman" w:cs="Times New Roman"/>
          <w:sz w:val="24"/>
          <w:szCs w:val="24"/>
        </w:rPr>
      </w:pPr>
      <w:r w:rsidRPr="003468A9">
        <w:rPr>
          <w:rFonts w:ascii="Times New Roman" w:hAnsi="Times New Roman" w:cs="Times New Roman"/>
          <w:sz w:val="24"/>
          <w:szCs w:val="24"/>
        </w:rPr>
        <w:t>En Estados Unidos, la subida de los tipos de interés ha purgado la burbuja de activos financieros, que han visto reducidos sus principales índices entre el 20% y el 30% en 2022. Pero la reducción cuantitativa, también anunciada para 2023, se ha paralizado por las dificultades para acordar un nuevo techo de deuda pública entre el parti</w:t>
      </w:r>
      <w:r>
        <w:rPr>
          <w:rFonts w:ascii="Times New Roman" w:hAnsi="Times New Roman" w:cs="Times New Roman"/>
          <w:sz w:val="24"/>
          <w:szCs w:val="24"/>
        </w:rPr>
        <w:t>do gobernante y el conservador.</w:t>
      </w:r>
    </w:p>
    <w:p w:rsidR="007E3D39" w:rsidRPr="004E58E7" w:rsidRDefault="007E3D39" w:rsidP="007E3D39">
      <w:pPr>
        <w:spacing w:line="240" w:lineRule="auto"/>
        <w:jc w:val="both"/>
        <w:rPr>
          <w:rFonts w:ascii="Times New Roman" w:hAnsi="Times New Roman" w:cs="Times New Roman"/>
          <w:color w:val="FF0000"/>
          <w:sz w:val="24"/>
          <w:szCs w:val="24"/>
        </w:rPr>
      </w:pPr>
      <w:r w:rsidRPr="003468A9">
        <w:rPr>
          <w:rFonts w:ascii="Times New Roman" w:hAnsi="Times New Roman" w:cs="Times New Roman"/>
          <w:sz w:val="24"/>
          <w:szCs w:val="24"/>
        </w:rPr>
        <w:t xml:space="preserve">VI) </w:t>
      </w:r>
      <w:r w:rsidRPr="004E58E7">
        <w:rPr>
          <w:rFonts w:ascii="Times New Roman" w:hAnsi="Times New Roman" w:cs="Times New Roman"/>
          <w:color w:val="FF0000"/>
          <w:sz w:val="24"/>
          <w:szCs w:val="24"/>
        </w:rPr>
        <w:t>Otras consecuencias de la inflación y la subida de tipos de interés</w:t>
      </w:r>
    </w:p>
    <w:p w:rsidR="007E3D39" w:rsidRPr="004E58E7" w:rsidRDefault="007E3D39" w:rsidP="007E3D39">
      <w:pPr>
        <w:spacing w:line="240" w:lineRule="auto"/>
        <w:jc w:val="both"/>
        <w:rPr>
          <w:rFonts w:ascii="Times New Roman" w:hAnsi="Times New Roman" w:cs="Times New Roman"/>
          <w:color w:val="FF0000"/>
          <w:sz w:val="24"/>
          <w:szCs w:val="24"/>
          <w:u w:val="single"/>
        </w:rPr>
      </w:pPr>
      <w:r w:rsidRPr="004E58E7">
        <w:rPr>
          <w:rFonts w:ascii="Times New Roman" w:hAnsi="Times New Roman" w:cs="Times New Roman"/>
          <w:color w:val="FF0000"/>
          <w:sz w:val="24"/>
          <w:szCs w:val="24"/>
          <w:u w:val="single"/>
        </w:rPr>
        <w:t>Además de otras consecuencias no buscadas, como la pérdida de autoridad de los Bancos Centrales, la extensión del populismo político en los países con economías de mercado, la inflación y la subida de tipos de interés tienen y tendrán graves repercusiones, en función de la reacción de los agentes económicos y grupos sociales.</w:t>
      </w:r>
    </w:p>
    <w:p w:rsidR="007E3D39" w:rsidRPr="003468A9" w:rsidRDefault="007E3D39" w:rsidP="007E3D39">
      <w:pPr>
        <w:spacing w:line="240" w:lineRule="auto"/>
        <w:jc w:val="both"/>
        <w:rPr>
          <w:rFonts w:ascii="Times New Roman" w:hAnsi="Times New Roman" w:cs="Times New Roman"/>
          <w:sz w:val="24"/>
          <w:szCs w:val="24"/>
        </w:rPr>
      </w:pPr>
      <w:r w:rsidRPr="004E58E7">
        <w:rPr>
          <w:rFonts w:ascii="Times New Roman" w:hAnsi="Times New Roman" w:cs="Times New Roman"/>
          <w:sz w:val="24"/>
          <w:szCs w:val="24"/>
          <w:u w:val="single"/>
        </w:rPr>
        <w:t>La fortísima inflación desatada en 2021 ha vuelto a alterar los equilibrios sociales. Los salarios y los precios de los bienes y servicios han subido desordenadamente en función de la capacidad de presión de empresas y grupos sociales.</w:t>
      </w:r>
      <w:r w:rsidRPr="003468A9">
        <w:rPr>
          <w:rFonts w:ascii="Times New Roman" w:hAnsi="Times New Roman" w:cs="Times New Roman"/>
          <w:sz w:val="24"/>
          <w:szCs w:val="24"/>
        </w:rPr>
        <w:t xml:space="preserve"> Lo más peligroso de esta escalada es la participación de los gobiernos, como ha hecho el español con las pensiones. Otra serie de </w:t>
      </w:r>
      <w:r w:rsidRPr="003468A9">
        <w:rPr>
          <w:rFonts w:ascii="Times New Roman" w:hAnsi="Times New Roman" w:cs="Times New Roman"/>
          <w:sz w:val="24"/>
          <w:szCs w:val="24"/>
        </w:rPr>
        <w:lastRenderedPageBreak/>
        <w:t>consecuencias tiene que ver con la forma en que se han financiado gobiernos, bancos, empresas y familias durante los diez años de ti</w:t>
      </w:r>
      <w:r>
        <w:rPr>
          <w:rFonts w:ascii="Times New Roman" w:hAnsi="Times New Roman" w:cs="Times New Roman"/>
          <w:sz w:val="24"/>
          <w:szCs w:val="24"/>
        </w:rPr>
        <w:t>pos de interés cercanos a cero.</w:t>
      </w:r>
    </w:p>
    <w:p w:rsidR="007E3D39" w:rsidRPr="004E58E7" w:rsidRDefault="007E3D39" w:rsidP="007E3D39">
      <w:pPr>
        <w:spacing w:line="240" w:lineRule="auto"/>
        <w:jc w:val="both"/>
        <w:rPr>
          <w:rFonts w:ascii="Times New Roman" w:hAnsi="Times New Roman" w:cs="Times New Roman"/>
          <w:sz w:val="24"/>
          <w:szCs w:val="24"/>
          <w:u w:val="single"/>
        </w:rPr>
      </w:pPr>
      <w:r w:rsidRPr="004E58E7">
        <w:rPr>
          <w:rFonts w:ascii="Times New Roman" w:hAnsi="Times New Roman" w:cs="Times New Roman"/>
          <w:sz w:val="24"/>
          <w:szCs w:val="24"/>
          <w:u w:val="single"/>
        </w:rPr>
        <w:t>Los gobiernos se van a encontrar con déficits derivados del coste de una deuda pública cada vez mayor. Los bancos van a tener que financiarse remunerando depósitos y emisiones de obligaciones. Las empresas que contaban con reducidísimos costes financieros van a verlos disparados. Muchas serán incapaces de sobrevivir. Las familias que se han endeudado con hipotecas y otros préstamos a bajos tipos de interés van a tener dificultades para atender sus obligaciones.</w:t>
      </w:r>
    </w:p>
    <w:p w:rsidR="007E3D39" w:rsidRPr="003468A9" w:rsidRDefault="007E3D39" w:rsidP="007E3D39">
      <w:pPr>
        <w:spacing w:line="240" w:lineRule="auto"/>
        <w:jc w:val="both"/>
        <w:rPr>
          <w:rFonts w:ascii="Times New Roman" w:hAnsi="Times New Roman" w:cs="Times New Roman"/>
          <w:sz w:val="24"/>
          <w:szCs w:val="24"/>
        </w:rPr>
      </w:pPr>
      <w:r w:rsidRPr="003468A9">
        <w:rPr>
          <w:rFonts w:ascii="Times New Roman" w:hAnsi="Times New Roman" w:cs="Times New Roman"/>
          <w:sz w:val="24"/>
          <w:szCs w:val="24"/>
        </w:rPr>
        <w:t>Los bancos pueden tener problemas si sus políticas de inversión y crédito no están estrechamente relacionadas con la forma y los tiempos de sus fuentes de financiación. Lo que ha ocurrido con el SVB es el mejor ejemplo de lo que puede ocurrir con una mala gestió</w:t>
      </w:r>
      <w:r>
        <w:rPr>
          <w:rFonts w:ascii="Times New Roman" w:hAnsi="Times New Roman" w:cs="Times New Roman"/>
          <w:sz w:val="24"/>
          <w:szCs w:val="24"/>
        </w:rPr>
        <w:t>n de los activos y los pasivos.</w:t>
      </w:r>
    </w:p>
    <w:p w:rsidR="007E3D39" w:rsidRPr="003468A9" w:rsidRDefault="007E3D39" w:rsidP="007E3D39">
      <w:pPr>
        <w:spacing w:line="240" w:lineRule="auto"/>
        <w:jc w:val="both"/>
        <w:rPr>
          <w:rFonts w:ascii="Times New Roman" w:hAnsi="Times New Roman" w:cs="Times New Roman"/>
          <w:sz w:val="24"/>
          <w:szCs w:val="24"/>
        </w:rPr>
      </w:pPr>
      <w:r w:rsidRPr="003468A9">
        <w:rPr>
          <w:rFonts w:ascii="Times New Roman" w:hAnsi="Times New Roman" w:cs="Times New Roman"/>
          <w:sz w:val="24"/>
          <w:szCs w:val="24"/>
        </w:rPr>
        <w:t>Los propios Bancos Centrales van a entrar en pérdidas en sus cuentas de explotación. En el área euro, las cuentas de explotación de los respectivos bancos nacionales y del BCE han sido positivos desde su creación. Y han aportado ingresos fiscales. Pero esta situación s</w:t>
      </w:r>
      <w:r>
        <w:rPr>
          <w:rFonts w:ascii="Times New Roman" w:hAnsi="Times New Roman" w:cs="Times New Roman"/>
          <w:sz w:val="24"/>
          <w:szCs w:val="24"/>
        </w:rPr>
        <w:t>e ha terminado.</w:t>
      </w:r>
    </w:p>
    <w:p w:rsidR="007E3D39" w:rsidRPr="003468A9" w:rsidRDefault="007E3D39" w:rsidP="007E3D39">
      <w:pPr>
        <w:spacing w:line="240" w:lineRule="auto"/>
        <w:jc w:val="both"/>
        <w:rPr>
          <w:rFonts w:ascii="Times New Roman" w:hAnsi="Times New Roman" w:cs="Times New Roman"/>
          <w:sz w:val="24"/>
          <w:szCs w:val="24"/>
        </w:rPr>
      </w:pPr>
      <w:r w:rsidRPr="003468A9">
        <w:rPr>
          <w:rFonts w:ascii="Times New Roman" w:hAnsi="Times New Roman" w:cs="Times New Roman"/>
          <w:sz w:val="24"/>
          <w:szCs w:val="24"/>
        </w:rPr>
        <w:t>Mario Draghi decidió, en su mome</w:t>
      </w:r>
      <w:r>
        <w:rPr>
          <w:rFonts w:ascii="Times New Roman" w:hAnsi="Times New Roman" w:cs="Times New Roman"/>
          <w:sz w:val="24"/>
          <w:szCs w:val="24"/>
        </w:rPr>
        <w:t>nto, hacer un tipo de especial “quantitative easing”</w:t>
      </w:r>
      <w:r w:rsidRPr="003468A9">
        <w:rPr>
          <w:rFonts w:ascii="Times New Roman" w:hAnsi="Times New Roman" w:cs="Times New Roman"/>
          <w:sz w:val="24"/>
          <w:szCs w:val="24"/>
        </w:rPr>
        <w:t>. El BCE prestó dinero a los bancos para que éstos, a su vez, dieran créditos a los particulares. En total, los créditos del BCE a la banca alcanzaban los 2.192.326 millones de euros, en septiembre de 2022, sin ningún corte significativo. Los bancos, a su vez, tenían depositados en el BCE, en el mes de septiembre de 2022, 4.945.694 millones de euros, a los que no se pagaba ningún interés. Cuando el BCE se vio forzado, a empujones, a subir los tipos de interés a partir de abril de 2022, también tuvieron que remunerar los depósitos de la banca en sus bancos nacionales y el propio BCE. Había que impedir que esa enorme masa de Base Monetaria (que suma 5.837.800 millones de euros en febrero de 2023) se convirtiera en Oferta Monetaria, generadora de mucha mayor inflación.</w:t>
      </w:r>
    </w:p>
    <w:p w:rsidR="007E3D39" w:rsidRPr="003468A9" w:rsidRDefault="007E3D39" w:rsidP="007E3D39">
      <w:pPr>
        <w:spacing w:line="240" w:lineRule="auto"/>
        <w:jc w:val="both"/>
        <w:rPr>
          <w:rFonts w:ascii="Times New Roman" w:hAnsi="Times New Roman" w:cs="Times New Roman"/>
          <w:sz w:val="24"/>
          <w:szCs w:val="24"/>
        </w:rPr>
      </w:pPr>
      <w:r w:rsidRPr="003468A9">
        <w:rPr>
          <w:rFonts w:ascii="Times New Roman" w:hAnsi="Times New Roman" w:cs="Times New Roman"/>
          <w:sz w:val="24"/>
          <w:szCs w:val="24"/>
        </w:rPr>
        <w:t>Hasta el 16 de marzo se remuneraban al 2,5%. A partir de esa fecha al 3%. La remuneración tendrá que seguir aumentando. Los préstamos del BCE a la banca, en septiembre de 2022, alcanzaban los 2.192.326 millones, mientras las facilidades de depósito de los bancos (una vez restadas las reservas obligatorias) eran de 4.378.209 millones. Los préstamos a la banca se han reducido a 24 de febrero de 2023 hasta 1.222.192 millones y las facilidades de depósito también se han reducido, pero sólo hasta l</w:t>
      </w:r>
      <w:r>
        <w:rPr>
          <w:rFonts w:ascii="Times New Roman" w:hAnsi="Times New Roman" w:cs="Times New Roman"/>
          <w:sz w:val="24"/>
          <w:szCs w:val="24"/>
        </w:rPr>
        <w:t>os 4.112.013 millones de euros.</w:t>
      </w:r>
    </w:p>
    <w:p w:rsidR="007E3D39" w:rsidRPr="003468A9" w:rsidRDefault="007E3D39" w:rsidP="007E3D39">
      <w:pPr>
        <w:spacing w:line="240" w:lineRule="auto"/>
        <w:jc w:val="both"/>
        <w:rPr>
          <w:rFonts w:ascii="Times New Roman" w:hAnsi="Times New Roman" w:cs="Times New Roman"/>
          <w:sz w:val="24"/>
          <w:szCs w:val="24"/>
        </w:rPr>
      </w:pPr>
      <w:r w:rsidRPr="003468A9">
        <w:rPr>
          <w:rFonts w:ascii="Times New Roman" w:hAnsi="Times New Roman" w:cs="Times New Roman"/>
          <w:sz w:val="24"/>
          <w:szCs w:val="24"/>
        </w:rPr>
        <w:t>Esas “facilidades de depósito” en el Balance del BCE le van a costar, si no se reducen, más de 100.000 millones de euros anuales. Unas pérdidas de las que a España le corresponderían, aproximadamente, 15.000 millones de euros, que aumentarán el déficit presupuestario que este gobierno está decidido a dejarnos. Y no creo que se</w:t>
      </w:r>
      <w:r>
        <w:rPr>
          <w:rFonts w:ascii="Times New Roman" w:hAnsi="Times New Roman" w:cs="Times New Roman"/>
          <w:sz w:val="24"/>
          <w:szCs w:val="24"/>
        </w:rPr>
        <w:t xml:space="preserve"> hayan previsto.</w:t>
      </w:r>
    </w:p>
    <w:p w:rsidR="007E3D39" w:rsidRPr="003468A9" w:rsidRDefault="007E3D39" w:rsidP="007E3D39">
      <w:pPr>
        <w:spacing w:line="240" w:lineRule="auto"/>
        <w:jc w:val="both"/>
        <w:rPr>
          <w:rFonts w:ascii="Times New Roman" w:hAnsi="Times New Roman" w:cs="Times New Roman"/>
          <w:sz w:val="24"/>
          <w:szCs w:val="24"/>
        </w:rPr>
      </w:pPr>
      <w:r w:rsidRPr="003468A9">
        <w:rPr>
          <w:rFonts w:ascii="Times New Roman" w:hAnsi="Times New Roman" w:cs="Times New Roman"/>
          <w:sz w:val="24"/>
          <w:szCs w:val="24"/>
        </w:rPr>
        <w:t>Las posibilidades de accidentes derivados de la fortísima subida de tipos de interés son significativas. No es fácil para nadie asimilar unos costes financieros elevados en todas las cuentas de resultados de gobiernos, Bancos Centrales, bancos, empresas y familias. Como siempre, las consecuencias de una crisis bancaria son las más relevantes, porque podrían afectar a todo el sistema fina</w:t>
      </w:r>
      <w:r>
        <w:rPr>
          <w:rFonts w:ascii="Times New Roman" w:hAnsi="Times New Roman" w:cs="Times New Roman"/>
          <w:sz w:val="24"/>
          <w:szCs w:val="24"/>
        </w:rPr>
        <w:t>nciero y al tejido empresarial.</w:t>
      </w:r>
    </w:p>
    <w:p w:rsidR="007E3D39" w:rsidRPr="003468A9" w:rsidRDefault="007E3D39" w:rsidP="007E3D39">
      <w:pPr>
        <w:spacing w:line="240" w:lineRule="auto"/>
        <w:jc w:val="both"/>
        <w:rPr>
          <w:rFonts w:ascii="Times New Roman" w:hAnsi="Times New Roman" w:cs="Times New Roman"/>
          <w:sz w:val="24"/>
          <w:szCs w:val="24"/>
        </w:rPr>
      </w:pPr>
      <w:r w:rsidRPr="003468A9">
        <w:rPr>
          <w:rFonts w:ascii="Times New Roman" w:hAnsi="Times New Roman" w:cs="Times New Roman"/>
          <w:sz w:val="24"/>
          <w:szCs w:val="24"/>
        </w:rPr>
        <w:t xml:space="preserve">Las cuentas de resultados de los Bancos Centrales, sobre todo las del BCE, registrarán pérdidas ya en 2022 -quizá entre 15.000 y 25.000 millones de euros-. El BCE tiene, a 24 de febrero de 2023, 116.389 millones de capitales y reservas y cuenta con 589.140 millones en </w:t>
      </w:r>
      <w:r w:rsidRPr="003468A9">
        <w:rPr>
          <w:rFonts w:ascii="Times New Roman" w:hAnsi="Times New Roman" w:cs="Times New Roman"/>
          <w:sz w:val="24"/>
          <w:szCs w:val="24"/>
        </w:rPr>
        <w:lastRenderedPageBreak/>
        <w:t xml:space="preserve">cuentas de revalorización. Pero incluso aunque perdiera todo su capital y reservas, ello no afectaría a su actividad. Pero </w:t>
      </w:r>
      <w:r>
        <w:rPr>
          <w:rFonts w:ascii="Times New Roman" w:hAnsi="Times New Roman" w:cs="Times New Roman"/>
          <w:sz w:val="24"/>
          <w:szCs w:val="24"/>
        </w:rPr>
        <w:t>habría consecuencias políticas.</w:t>
      </w:r>
    </w:p>
    <w:p w:rsidR="007E3D39" w:rsidRPr="004E58E7" w:rsidRDefault="007E3D39" w:rsidP="007E3D39">
      <w:pPr>
        <w:spacing w:line="240" w:lineRule="auto"/>
        <w:jc w:val="both"/>
        <w:rPr>
          <w:rFonts w:ascii="Times New Roman" w:hAnsi="Times New Roman" w:cs="Times New Roman"/>
          <w:color w:val="FF0000"/>
          <w:sz w:val="24"/>
          <w:szCs w:val="24"/>
        </w:rPr>
      </w:pPr>
      <w:r>
        <w:rPr>
          <w:rFonts w:ascii="Times New Roman" w:hAnsi="Times New Roman" w:cs="Times New Roman"/>
          <w:sz w:val="24"/>
          <w:szCs w:val="24"/>
        </w:rPr>
        <w:t xml:space="preserve">VII) </w:t>
      </w:r>
      <w:r w:rsidRPr="004E58E7">
        <w:rPr>
          <w:rFonts w:ascii="Times New Roman" w:hAnsi="Times New Roman" w:cs="Times New Roman"/>
          <w:color w:val="FF0000"/>
          <w:sz w:val="24"/>
          <w:szCs w:val="24"/>
        </w:rPr>
        <w:t>Reconsideraciones teóricas</w:t>
      </w:r>
    </w:p>
    <w:p w:rsidR="007E3D39" w:rsidRPr="004E58E7" w:rsidRDefault="007E3D39" w:rsidP="007E3D39">
      <w:pPr>
        <w:spacing w:line="240" w:lineRule="auto"/>
        <w:jc w:val="both"/>
        <w:rPr>
          <w:rFonts w:ascii="Times New Roman" w:hAnsi="Times New Roman" w:cs="Times New Roman"/>
          <w:sz w:val="24"/>
          <w:szCs w:val="24"/>
          <w:u w:val="single"/>
        </w:rPr>
      </w:pPr>
      <w:r w:rsidRPr="004E58E7">
        <w:rPr>
          <w:rFonts w:ascii="Times New Roman" w:hAnsi="Times New Roman" w:cs="Times New Roman"/>
          <w:sz w:val="24"/>
          <w:szCs w:val="24"/>
          <w:u w:val="single"/>
        </w:rPr>
        <w:t>Incluso Goldman Sachs, siempre obediente, como todos los bancos de inversión, a los dictados de la Reserva Federal, ha comenzado a dar protagonismo a economistas que ponen de relieve la locura de la política monetaria y fiscal que han seguido los principales Bancos Centrales desd</w:t>
      </w:r>
      <w:r>
        <w:rPr>
          <w:rFonts w:ascii="Times New Roman" w:hAnsi="Times New Roman" w:cs="Times New Roman"/>
          <w:sz w:val="24"/>
          <w:szCs w:val="24"/>
          <w:u w:val="single"/>
        </w:rPr>
        <w:t>e 2012. En el número 155 de su “Top of Mind”</w:t>
      </w:r>
      <w:r w:rsidRPr="004E58E7">
        <w:rPr>
          <w:rFonts w:ascii="Times New Roman" w:hAnsi="Times New Roman" w:cs="Times New Roman"/>
          <w:sz w:val="24"/>
          <w:szCs w:val="24"/>
          <w:u w:val="single"/>
        </w:rPr>
        <w:t>, Goldman Sachs ha publicado una entrevista con John Cochrane, Senior Fellow of Stanford´s Hoover Institutions. Un reputado fiscalista con una magnífica producción teórica. En dicha entrevista se le hacen una serie de preguntas de las que quiero resaltar alguna.</w:t>
      </w:r>
    </w:p>
    <w:p w:rsidR="007E3D39" w:rsidRPr="004E58E7" w:rsidRDefault="007E3D39" w:rsidP="007E3D39">
      <w:pPr>
        <w:spacing w:line="240" w:lineRule="auto"/>
        <w:jc w:val="both"/>
        <w:rPr>
          <w:rFonts w:ascii="Times New Roman" w:hAnsi="Times New Roman" w:cs="Times New Roman"/>
          <w:color w:val="FF0000"/>
          <w:sz w:val="24"/>
          <w:szCs w:val="24"/>
          <w:u w:val="single"/>
        </w:rPr>
      </w:pPr>
      <w:r w:rsidRPr="004E58E7">
        <w:rPr>
          <w:rFonts w:ascii="Times New Roman" w:hAnsi="Times New Roman" w:cs="Times New Roman"/>
          <w:color w:val="FF0000"/>
          <w:sz w:val="24"/>
          <w:szCs w:val="24"/>
          <w:u w:val="single"/>
        </w:rPr>
        <w:t>La primera, preguntado sobre si Milton Friedman tenía razón cuando afirmaba que la inflación era un fenómeno puramen</w:t>
      </w:r>
      <w:r>
        <w:rPr>
          <w:rFonts w:ascii="Times New Roman" w:hAnsi="Times New Roman" w:cs="Times New Roman"/>
          <w:color w:val="FF0000"/>
          <w:sz w:val="24"/>
          <w:szCs w:val="24"/>
          <w:u w:val="single"/>
        </w:rPr>
        <w:t>te monetario, responde que “</w:t>
      </w:r>
      <w:r w:rsidRPr="004E58E7">
        <w:rPr>
          <w:rFonts w:ascii="Times New Roman" w:hAnsi="Times New Roman" w:cs="Times New Roman"/>
          <w:color w:val="FF0000"/>
          <w:sz w:val="24"/>
          <w:szCs w:val="24"/>
          <w:u w:val="single"/>
        </w:rPr>
        <w:t xml:space="preserve">no totalmente, porque la política fiscal </w:t>
      </w:r>
      <w:r>
        <w:rPr>
          <w:rFonts w:ascii="Times New Roman" w:hAnsi="Times New Roman" w:cs="Times New Roman"/>
          <w:color w:val="FF0000"/>
          <w:sz w:val="24"/>
          <w:szCs w:val="24"/>
          <w:u w:val="single"/>
        </w:rPr>
        <w:t>explica tanto como la monetaria”</w:t>
      </w:r>
      <w:r w:rsidRPr="004E58E7">
        <w:rPr>
          <w:rFonts w:ascii="Times New Roman" w:hAnsi="Times New Roman" w:cs="Times New Roman"/>
          <w:color w:val="FF0000"/>
          <w:sz w:val="24"/>
          <w:szCs w:val="24"/>
          <w:u w:val="single"/>
        </w:rPr>
        <w:t xml:space="preserve">. </w:t>
      </w:r>
      <w:r>
        <w:rPr>
          <w:rFonts w:ascii="Times New Roman" w:hAnsi="Times New Roman" w:cs="Times New Roman"/>
          <w:color w:val="FF0000"/>
          <w:sz w:val="24"/>
          <w:szCs w:val="24"/>
          <w:u w:val="single"/>
          <w:lang w:val="en-US"/>
        </w:rPr>
        <w:t>Dice: “</w:t>
      </w:r>
      <w:r w:rsidRPr="004E58E7">
        <w:rPr>
          <w:rFonts w:ascii="Times New Roman" w:hAnsi="Times New Roman" w:cs="Times New Roman"/>
          <w:color w:val="FF0000"/>
          <w:sz w:val="24"/>
          <w:szCs w:val="24"/>
          <w:u w:val="single"/>
          <w:lang w:val="en-US"/>
        </w:rPr>
        <w:t>too much debt chasing too few goods drives up inflation, just as too much money chasing to</w:t>
      </w:r>
      <w:r>
        <w:rPr>
          <w:rFonts w:ascii="Times New Roman" w:hAnsi="Times New Roman" w:cs="Times New Roman"/>
          <w:color w:val="FF0000"/>
          <w:sz w:val="24"/>
          <w:szCs w:val="24"/>
          <w:u w:val="single"/>
          <w:lang w:val="en-US"/>
        </w:rPr>
        <w:t>o few goods drives up inflation”</w:t>
      </w:r>
      <w:r w:rsidRPr="004E58E7">
        <w:rPr>
          <w:rFonts w:ascii="Times New Roman" w:hAnsi="Times New Roman" w:cs="Times New Roman"/>
          <w:color w:val="FF0000"/>
          <w:sz w:val="24"/>
          <w:szCs w:val="24"/>
          <w:u w:val="single"/>
          <w:lang w:val="en-US"/>
        </w:rPr>
        <w:t xml:space="preserve">. </w:t>
      </w:r>
      <w:r w:rsidRPr="004E58E7">
        <w:rPr>
          <w:rFonts w:ascii="Times New Roman" w:hAnsi="Times New Roman" w:cs="Times New Roman"/>
          <w:color w:val="FF0000"/>
          <w:sz w:val="24"/>
          <w:szCs w:val="24"/>
          <w:u w:val="single"/>
        </w:rPr>
        <w:t>Una herejía en el mundo de los Bancos Centrales.</w:t>
      </w:r>
    </w:p>
    <w:p w:rsidR="007E3D39" w:rsidRPr="004E58E7" w:rsidRDefault="007E3D39" w:rsidP="007E3D39">
      <w:pPr>
        <w:spacing w:line="240" w:lineRule="auto"/>
        <w:jc w:val="both"/>
        <w:rPr>
          <w:rFonts w:ascii="Times New Roman" w:hAnsi="Times New Roman" w:cs="Times New Roman"/>
          <w:color w:val="FF0000"/>
          <w:sz w:val="24"/>
          <w:szCs w:val="24"/>
          <w:u w:val="single"/>
        </w:rPr>
      </w:pPr>
      <w:r w:rsidRPr="004E58E7">
        <w:rPr>
          <w:rFonts w:ascii="Times New Roman" w:hAnsi="Times New Roman" w:cs="Times New Roman"/>
          <w:color w:val="FF0000"/>
          <w:sz w:val="24"/>
          <w:szCs w:val="24"/>
          <w:u w:val="single"/>
        </w:rPr>
        <w:t>Otra pregunta se refiere a porque la inyección monetaria después de la Gran Crisis Financiera no provocó inflación mientras con el dinero gastado en la pandemia ha oc</w:t>
      </w:r>
      <w:r>
        <w:rPr>
          <w:rFonts w:ascii="Times New Roman" w:hAnsi="Times New Roman" w:cs="Times New Roman"/>
          <w:color w:val="FF0000"/>
          <w:sz w:val="24"/>
          <w:szCs w:val="24"/>
          <w:u w:val="single"/>
        </w:rPr>
        <w:t>urrido lo contrario. Contesta: “</w:t>
      </w:r>
      <w:r w:rsidRPr="004E58E7">
        <w:rPr>
          <w:rFonts w:ascii="Times New Roman" w:hAnsi="Times New Roman" w:cs="Times New Roman"/>
          <w:color w:val="FF0000"/>
          <w:sz w:val="24"/>
          <w:szCs w:val="24"/>
          <w:u w:val="single"/>
        </w:rPr>
        <w:t>El estímulo de 2008 fue pequeño en comparación con el de la pandemia. Un trillón frente a cinco trillones. Además, en esta ocasión el gobierno creó dinero en lugar de endeudarse. Tres trillones de la pandem</w:t>
      </w:r>
      <w:r>
        <w:rPr>
          <w:rFonts w:ascii="Times New Roman" w:hAnsi="Times New Roman" w:cs="Times New Roman"/>
          <w:color w:val="FF0000"/>
          <w:sz w:val="24"/>
          <w:szCs w:val="24"/>
          <w:u w:val="single"/>
        </w:rPr>
        <w:t>ia fueron dinero creado ex novo”</w:t>
      </w:r>
      <w:r w:rsidRPr="004E58E7">
        <w:rPr>
          <w:rFonts w:ascii="Times New Roman" w:hAnsi="Times New Roman" w:cs="Times New Roman"/>
          <w:color w:val="FF0000"/>
          <w:sz w:val="24"/>
          <w:szCs w:val="24"/>
          <w:u w:val="single"/>
        </w:rPr>
        <w:t>.</w:t>
      </w:r>
    </w:p>
    <w:p w:rsidR="007E3D39" w:rsidRPr="004825BD" w:rsidRDefault="007E3D39" w:rsidP="007E3D39">
      <w:pPr>
        <w:spacing w:line="240" w:lineRule="auto"/>
        <w:jc w:val="both"/>
        <w:rPr>
          <w:rFonts w:ascii="Times New Roman" w:hAnsi="Times New Roman" w:cs="Times New Roman"/>
          <w:color w:val="FF0000"/>
          <w:sz w:val="24"/>
          <w:szCs w:val="24"/>
          <w:u w:val="single"/>
          <w:lang w:val="en-US"/>
        </w:rPr>
      </w:pPr>
      <w:r w:rsidRPr="004825BD">
        <w:rPr>
          <w:rFonts w:ascii="Times New Roman" w:hAnsi="Times New Roman" w:cs="Times New Roman"/>
          <w:color w:val="FF0000"/>
          <w:sz w:val="24"/>
          <w:szCs w:val="24"/>
          <w:u w:val="single"/>
        </w:rPr>
        <w:t>Una tercera pregunta se refiere a si el dinero de la pandemia, lo que creó fueron estrangulamientos en la cadena de suministro, como aseguraban los respons</w:t>
      </w:r>
      <w:r>
        <w:rPr>
          <w:rFonts w:ascii="Times New Roman" w:hAnsi="Times New Roman" w:cs="Times New Roman"/>
          <w:color w:val="FF0000"/>
          <w:sz w:val="24"/>
          <w:szCs w:val="24"/>
          <w:u w:val="single"/>
        </w:rPr>
        <w:t>ables monetarios. Contesta que “</w:t>
      </w:r>
      <w:r w:rsidRPr="004825BD">
        <w:rPr>
          <w:rFonts w:ascii="Times New Roman" w:hAnsi="Times New Roman" w:cs="Times New Roman"/>
          <w:color w:val="FF0000"/>
          <w:sz w:val="24"/>
          <w:szCs w:val="24"/>
          <w:u w:val="single"/>
        </w:rPr>
        <w:t>un estrangulamiento tan sólo causa un ajuste de precios en la economía, pero que tras resolverse no tiene por qué ex</w:t>
      </w:r>
      <w:r>
        <w:rPr>
          <w:rFonts w:ascii="Times New Roman" w:hAnsi="Times New Roman" w:cs="Times New Roman"/>
          <w:color w:val="FF0000"/>
          <w:sz w:val="24"/>
          <w:szCs w:val="24"/>
          <w:u w:val="single"/>
        </w:rPr>
        <w:t>istir inflación”</w:t>
      </w:r>
      <w:r w:rsidRPr="004825BD">
        <w:rPr>
          <w:rFonts w:ascii="Times New Roman" w:hAnsi="Times New Roman" w:cs="Times New Roman"/>
          <w:color w:val="FF0000"/>
          <w:sz w:val="24"/>
          <w:szCs w:val="24"/>
          <w:u w:val="single"/>
        </w:rPr>
        <w:t xml:space="preserve">. </w:t>
      </w:r>
      <w:r>
        <w:rPr>
          <w:rFonts w:ascii="Times New Roman" w:hAnsi="Times New Roman" w:cs="Times New Roman"/>
          <w:color w:val="FF0000"/>
          <w:sz w:val="24"/>
          <w:szCs w:val="24"/>
          <w:u w:val="single"/>
          <w:lang w:val="en-US"/>
        </w:rPr>
        <w:t>Continúa: “</w:t>
      </w:r>
      <w:r w:rsidRPr="004825BD">
        <w:rPr>
          <w:rFonts w:ascii="Times New Roman" w:hAnsi="Times New Roman" w:cs="Times New Roman"/>
          <w:color w:val="FF0000"/>
          <w:sz w:val="24"/>
          <w:szCs w:val="24"/>
          <w:u w:val="single"/>
          <w:lang w:val="en-US"/>
        </w:rPr>
        <w:t>Inflation is the phenomenon of all prices and wages rising together. Which comes from the government inducing more deman</w:t>
      </w:r>
      <w:r>
        <w:rPr>
          <w:rFonts w:ascii="Times New Roman" w:hAnsi="Times New Roman" w:cs="Times New Roman"/>
          <w:color w:val="FF0000"/>
          <w:sz w:val="24"/>
          <w:szCs w:val="24"/>
          <w:u w:val="single"/>
          <w:lang w:val="en-US"/>
        </w:rPr>
        <w:t>d in the face of a supply shock”</w:t>
      </w:r>
      <w:r w:rsidRPr="004825BD">
        <w:rPr>
          <w:rFonts w:ascii="Times New Roman" w:hAnsi="Times New Roman" w:cs="Times New Roman"/>
          <w:color w:val="FF0000"/>
          <w:sz w:val="24"/>
          <w:szCs w:val="24"/>
          <w:u w:val="single"/>
          <w:lang w:val="en-US"/>
        </w:rPr>
        <w:t xml:space="preserve">. </w:t>
      </w:r>
      <w:r w:rsidRPr="00517842">
        <w:rPr>
          <w:rFonts w:ascii="Times New Roman" w:hAnsi="Times New Roman" w:cs="Times New Roman"/>
          <w:color w:val="FF0000"/>
          <w:sz w:val="24"/>
          <w:szCs w:val="24"/>
          <w:u w:val="single"/>
        </w:rPr>
        <w:t>“</w:t>
      </w:r>
      <w:r w:rsidRPr="004825BD">
        <w:rPr>
          <w:rFonts w:ascii="Times New Roman" w:hAnsi="Times New Roman" w:cs="Times New Roman"/>
          <w:color w:val="FF0000"/>
          <w:sz w:val="24"/>
          <w:szCs w:val="24"/>
          <w:u w:val="single"/>
        </w:rPr>
        <w:t>It</w:t>
      </w:r>
      <w:r>
        <w:rPr>
          <w:rFonts w:ascii="Times New Roman" w:hAnsi="Times New Roman" w:cs="Times New Roman"/>
          <w:color w:val="FF0000"/>
          <w:sz w:val="24"/>
          <w:szCs w:val="24"/>
          <w:u w:val="single"/>
        </w:rPr>
        <w:t xml:space="preserve"> does so by giving people money”</w:t>
      </w:r>
      <w:r w:rsidRPr="004825BD">
        <w:rPr>
          <w:rFonts w:ascii="Times New Roman" w:hAnsi="Times New Roman" w:cs="Times New Roman"/>
          <w:color w:val="FF0000"/>
          <w:sz w:val="24"/>
          <w:szCs w:val="24"/>
          <w:u w:val="single"/>
        </w:rPr>
        <w:t xml:space="preserve">. Se declara muy preocupado por la inflación en el medio y largo plazo. </w:t>
      </w:r>
      <w:r w:rsidRPr="00517842">
        <w:rPr>
          <w:rFonts w:ascii="Times New Roman" w:hAnsi="Times New Roman" w:cs="Times New Roman"/>
          <w:color w:val="FF0000"/>
          <w:sz w:val="24"/>
          <w:szCs w:val="24"/>
          <w:u w:val="single"/>
          <w:lang w:val="en-US"/>
        </w:rPr>
        <w:t>“</w:t>
      </w:r>
      <w:r w:rsidRPr="004825BD">
        <w:rPr>
          <w:rFonts w:ascii="Times New Roman" w:hAnsi="Times New Roman" w:cs="Times New Roman"/>
          <w:color w:val="FF0000"/>
          <w:sz w:val="24"/>
          <w:szCs w:val="24"/>
          <w:u w:val="single"/>
          <w:lang w:val="en-US"/>
        </w:rPr>
        <w:t>The US is stuck in an unsustainable fiscal policy with promises….th</w:t>
      </w:r>
      <w:r>
        <w:rPr>
          <w:rFonts w:ascii="Times New Roman" w:hAnsi="Times New Roman" w:cs="Times New Roman"/>
          <w:color w:val="FF0000"/>
          <w:sz w:val="24"/>
          <w:szCs w:val="24"/>
          <w:u w:val="single"/>
          <w:lang w:val="en-US"/>
        </w:rPr>
        <w:t>at the government cannot afford”</w:t>
      </w:r>
      <w:r w:rsidRPr="004825BD">
        <w:rPr>
          <w:rFonts w:ascii="Times New Roman" w:hAnsi="Times New Roman" w:cs="Times New Roman"/>
          <w:color w:val="FF0000"/>
          <w:sz w:val="24"/>
          <w:szCs w:val="24"/>
          <w:u w:val="single"/>
          <w:lang w:val="en-US"/>
        </w:rPr>
        <w:t>.</w:t>
      </w:r>
    </w:p>
    <w:p w:rsidR="007E3D39" w:rsidRPr="004825BD" w:rsidRDefault="007E3D39" w:rsidP="007E3D39">
      <w:pPr>
        <w:spacing w:line="240" w:lineRule="auto"/>
        <w:jc w:val="both"/>
        <w:rPr>
          <w:rFonts w:ascii="Times New Roman" w:hAnsi="Times New Roman" w:cs="Times New Roman"/>
          <w:color w:val="FF0000"/>
          <w:sz w:val="24"/>
          <w:szCs w:val="24"/>
          <w:u w:val="single"/>
        </w:rPr>
      </w:pPr>
      <w:r>
        <w:rPr>
          <w:rFonts w:ascii="Times New Roman" w:hAnsi="Times New Roman" w:cs="Times New Roman"/>
          <w:color w:val="FF0000"/>
          <w:sz w:val="24"/>
          <w:szCs w:val="24"/>
          <w:u w:val="single"/>
          <w:lang w:val="en-US"/>
        </w:rPr>
        <w:t>Una última cita: “</w:t>
      </w:r>
      <w:r w:rsidRPr="004825BD">
        <w:rPr>
          <w:rFonts w:ascii="Times New Roman" w:hAnsi="Times New Roman" w:cs="Times New Roman"/>
          <w:color w:val="FF0000"/>
          <w:sz w:val="24"/>
          <w:szCs w:val="24"/>
          <w:u w:val="single"/>
          <w:lang w:val="en-US"/>
        </w:rPr>
        <w:t xml:space="preserve">This bout of inflation settle a long running debate. The present low growth (2% now versus 4% until 2000) was not the result of demand-side secular stagnation, fixable only with massive stimulus, but of supply; the economy´s capacity to produce goods and services turned out to be lower than expected, due to, among other things, to burdensome regulations and disincentives to work…. </w:t>
      </w:r>
      <w:r w:rsidRPr="004825BD">
        <w:rPr>
          <w:rFonts w:ascii="Times New Roman" w:hAnsi="Times New Roman" w:cs="Times New Roman"/>
          <w:color w:val="FF0000"/>
          <w:sz w:val="24"/>
          <w:szCs w:val="24"/>
          <w:u w:val="single"/>
        </w:rPr>
        <w:t>Unleashing supply is crucial</w:t>
      </w:r>
      <w:r>
        <w:rPr>
          <w:rFonts w:ascii="Times New Roman" w:hAnsi="Times New Roman" w:cs="Times New Roman"/>
          <w:color w:val="FF0000"/>
          <w:sz w:val="24"/>
          <w:szCs w:val="24"/>
          <w:u w:val="single"/>
        </w:rPr>
        <w:t xml:space="preserve"> in the fight against inflation”</w:t>
      </w:r>
      <w:r w:rsidRPr="004825BD">
        <w:rPr>
          <w:rFonts w:ascii="Times New Roman" w:hAnsi="Times New Roman" w:cs="Times New Roman"/>
          <w:color w:val="FF0000"/>
          <w:sz w:val="24"/>
          <w:szCs w:val="24"/>
          <w:u w:val="single"/>
        </w:rPr>
        <w:t>.</w:t>
      </w:r>
    </w:p>
    <w:p w:rsidR="007E3D39" w:rsidRPr="004825BD" w:rsidRDefault="007E3D39" w:rsidP="007E3D39">
      <w:pPr>
        <w:spacing w:line="240" w:lineRule="auto"/>
        <w:jc w:val="both"/>
        <w:rPr>
          <w:rFonts w:ascii="Times New Roman" w:hAnsi="Times New Roman" w:cs="Times New Roman"/>
          <w:color w:val="FF0000"/>
          <w:sz w:val="24"/>
          <w:szCs w:val="24"/>
          <w:u w:val="single"/>
        </w:rPr>
      </w:pPr>
      <w:r w:rsidRPr="004825BD">
        <w:rPr>
          <w:rFonts w:ascii="Times New Roman" w:hAnsi="Times New Roman" w:cs="Times New Roman"/>
          <w:color w:val="FF0000"/>
          <w:sz w:val="24"/>
          <w:szCs w:val="24"/>
          <w:u w:val="single"/>
        </w:rPr>
        <w:t xml:space="preserve">Termino recordando que ninguno de los responsables de la Reserva Federal o el BCE han querido explicar por qué lo transitorio se ha convertido en permanente y qué van a hacer en el futuro con sus </w:t>
      </w:r>
      <w:r>
        <w:rPr>
          <w:rFonts w:ascii="Times New Roman" w:hAnsi="Times New Roman" w:cs="Times New Roman"/>
          <w:color w:val="FF0000"/>
          <w:sz w:val="24"/>
          <w:szCs w:val="24"/>
          <w:u w:val="single"/>
        </w:rPr>
        <w:t>modelos macroeconómicos de una “New Era”</w:t>
      </w:r>
      <w:r w:rsidRPr="004825BD">
        <w:rPr>
          <w:rFonts w:ascii="Times New Roman" w:hAnsi="Times New Roman" w:cs="Times New Roman"/>
          <w:color w:val="FF0000"/>
          <w:sz w:val="24"/>
          <w:szCs w:val="24"/>
          <w:u w:val="single"/>
        </w:rPr>
        <w:t>.</w:t>
      </w:r>
    </w:p>
    <w:p w:rsidR="007E3D39" w:rsidRDefault="007E3D39" w:rsidP="007E3D39">
      <w:pPr>
        <w:rPr>
          <w:rFonts w:ascii="Times New Roman" w:hAnsi="Times New Roman" w:cs="Times New Roman"/>
          <w:sz w:val="24"/>
          <w:szCs w:val="24"/>
        </w:rPr>
      </w:pPr>
    </w:p>
    <w:sectPr w:rsidR="007E3D39">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5B40768"/>
    <w:multiLevelType w:val="multilevel"/>
    <w:tmpl w:val="8B747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46085F95"/>
    <w:multiLevelType w:val="multilevel"/>
    <w:tmpl w:val="3D00AF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E3D39"/>
    <w:rsid w:val="000C0338"/>
    <w:rsid w:val="00113758"/>
    <w:rsid w:val="0018437B"/>
    <w:rsid w:val="00243996"/>
    <w:rsid w:val="0062569D"/>
    <w:rsid w:val="007E3D39"/>
    <w:rsid w:val="00B72BEC"/>
    <w:rsid w:val="00D26F2D"/>
    <w:rsid w:val="00E92717"/>
    <w:rsid w:val="00FA132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E3D39"/>
  </w:style>
  <w:style w:type="paragraph" w:styleId="Ttulo1">
    <w:name w:val="heading 1"/>
    <w:basedOn w:val="Normal"/>
    <w:next w:val="Normal"/>
    <w:link w:val="Ttulo1Car"/>
    <w:uiPriority w:val="9"/>
    <w:qFormat/>
    <w:rsid w:val="007E3D3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7E3D39"/>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7E3D39"/>
    <w:rPr>
      <w:rFonts w:ascii="Times New Roman" w:eastAsia="Times New Roman" w:hAnsi="Times New Roman" w:cs="Times New Roman"/>
      <w:b/>
      <w:bCs/>
      <w:sz w:val="36"/>
      <w:szCs w:val="36"/>
      <w:lang w:eastAsia="es-ES"/>
    </w:rPr>
  </w:style>
  <w:style w:type="paragraph" w:styleId="NormalWeb">
    <w:name w:val="Normal (Web)"/>
    <w:basedOn w:val="Normal"/>
    <w:uiPriority w:val="99"/>
    <w:unhideWhenUsed/>
    <w:rsid w:val="007E3D3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semiHidden/>
    <w:unhideWhenUsed/>
    <w:rsid w:val="007E3D39"/>
    <w:rPr>
      <w:color w:val="0000FF"/>
      <w:u w:val="single"/>
    </w:rPr>
  </w:style>
  <w:style w:type="paragraph" w:customStyle="1" w:styleId="selectionshareable">
    <w:name w:val="selectionshareable"/>
    <w:basedOn w:val="Normal"/>
    <w:uiPriority w:val="99"/>
    <w:rsid w:val="007E3D39"/>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yiv5244443261msonormal">
    <w:name w:val="yiv5244443261msonormal"/>
    <w:basedOn w:val="Normal"/>
    <w:rsid w:val="007E3D39"/>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7E3D3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E3D39"/>
    <w:rPr>
      <w:rFonts w:ascii="Tahoma" w:hAnsi="Tahoma" w:cs="Tahoma"/>
      <w:sz w:val="16"/>
      <w:szCs w:val="16"/>
    </w:rPr>
  </w:style>
  <w:style w:type="character" w:styleId="Textoennegrita">
    <w:name w:val="Strong"/>
    <w:basedOn w:val="Fuentedeprrafopredeter"/>
    <w:uiPriority w:val="22"/>
    <w:qFormat/>
    <w:rsid w:val="007E3D39"/>
    <w:rPr>
      <w:b/>
      <w:bCs/>
    </w:rPr>
  </w:style>
  <w:style w:type="character" w:customStyle="1" w:styleId="Ttulo1Car">
    <w:name w:val="Título 1 Car"/>
    <w:basedOn w:val="Fuentedeprrafopredeter"/>
    <w:link w:val="Ttulo1"/>
    <w:uiPriority w:val="9"/>
    <w:rsid w:val="007E3D39"/>
    <w:rPr>
      <w:rFonts w:asciiTheme="majorHAnsi" w:eastAsiaTheme="majorEastAsia" w:hAnsiTheme="majorHAnsi" w:cstheme="majorBidi"/>
      <w:b/>
      <w:bCs/>
      <w:color w:val="365F91" w:themeColor="accent1" w:themeShade="BF"/>
      <w:sz w:val="28"/>
      <w:szCs w:val="28"/>
    </w:rPr>
  </w:style>
  <w:style w:type="paragraph" w:styleId="Prrafodelista">
    <w:name w:val="List Paragraph"/>
    <w:basedOn w:val="Normal"/>
    <w:uiPriority w:val="34"/>
    <w:qFormat/>
    <w:rsid w:val="007E3D39"/>
    <w:pPr>
      <w:ind w:left="720"/>
      <w:contextualSpacing/>
    </w:pPr>
  </w:style>
  <w:style w:type="character" w:styleId="nfasis">
    <w:name w:val="Emphasis"/>
    <w:basedOn w:val="Fuentedeprrafopredeter"/>
    <w:uiPriority w:val="20"/>
    <w:qFormat/>
    <w:rsid w:val="007E3D39"/>
    <w:rPr>
      <w:i/>
      <w:iCs/>
    </w:rPr>
  </w:style>
  <w:style w:type="paragraph" w:customStyle="1" w:styleId="bbc-hhl7in">
    <w:name w:val="bbc-hhl7in"/>
    <w:basedOn w:val="Normal"/>
    <w:rsid w:val="007E3D39"/>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E3D39"/>
  </w:style>
  <w:style w:type="paragraph" w:styleId="Ttulo1">
    <w:name w:val="heading 1"/>
    <w:basedOn w:val="Normal"/>
    <w:next w:val="Normal"/>
    <w:link w:val="Ttulo1Car"/>
    <w:uiPriority w:val="9"/>
    <w:qFormat/>
    <w:rsid w:val="007E3D39"/>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link w:val="Ttulo2Car"/>
    <w:uiPriority w:val="9"/>
    <w:qFormat/>
    <w:rsid w:val="007E3D39"/>
    <w:pPr>
      <w:spacing w:before="100" w:beforeAutospacing="1" w:after="100" w:afterAutospacing="1" w:line="240" w:lineRule="auto"/>
      <w:outlineLvl w:val="1"/>
    </w:pPr>
    <w:rPr>
      <w:rFonts w:ascii="Times New Roman" w:eastAsia="Times New Roman" w:hAnsi="Times New Roman" w:cs="Times New Roman"/>
      <w:b/>
      <w:bCs/>
      <w:sz w:val="36"/>
      <w:szCs w:val="36"/>
      <w:lang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9"/>
    <w:rsid w:val="007E3D39"/>
    <w:rPr>
      <w:rFonts w:ascii="Times New Roman" w:eastAsia="Times New Roman" w:hAnsi="Times New Roman" w:cs="Times New Roman"/>
      <w:b/>
      <w:bCs/>
      <w:sz w:val="36"/>
      <w:szCs w:val="36"/>
      <w:lang w:eastAsia="es-ES"/>
    </w:rPr>
  </w:style>
  <w:style w:type="paragraph" w:styleId="NormalWeb">
    <w:name w:val="Normal (Web)"/>
    <w:basedOn w:val="Normal"/>
    <w:uiPriority w:val="99"/>
    <w:unhideWhenUsed/>
    <w:rsid w:val="007E3D39"/>
    <w:pPr>
      <w:spacing w:before="100" w:beforeAutospacing="1" w:after="100" w:afterAutospacing="1" w:line="240" w:lineRule="auto"/>
    </w:pPr>
    <w:rPr>
      <w:rFonts w:ascii="Times New Roman" w:eastAsia="Times New Roman" w:hAnsi="Times New Roman" w:cs="Times New Roman"/>
      <w:sz w:val="24"/>
      <w:szCs w:val="24"/>
      <w:lang w:eastAsia="es-ES"/>
    </w:rPr>
  </w:style>
  <w:style w:type="character" w:styleId="Hipervnculo">
    <w:name w:val="Hyperlink"/>
    <w:basedOn w:val="Fuentedeprrafopredeter"/>
    <w:uiPriority w:val="99"/>
    <w:semiHidden/>
    <w:unhideWhenUsed/>
    <w:rsid w:val="007E3D39"/>
    <w:rPr>
      <w:color w:val="0000FF"/>
      <w:u w:val="single"/>
    </w:rPr>
  </w:style>
  <w:style w:type="paragraph" w:customStyle="1" w:styleId="selectionshareable">
    <w:name w:val="selectionshareable"/>
    <w:basedOn w:val="Normal"/>
    <w:uiPriority w:val="99"/>
    <w:rsid w:val="007E3D39"/>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customStyle="1" w:styleId="yiv5244443261msonormal">
    <w:name w:val="yiv5244443261msonormal"/>
    <w:basedOn w:val="Normal"/>
    <w:rsid w:val="007E3D39"/>
    <w:pPr>
      <w:spacing w:before="100" w:beforeAutospacing="1" w:after="100" w:afterAutospacing="1" w:line="240" w:lineRule="auto"/>
    </w:pPr>
    <w:rPr>
      <w:rFonts w:ascii="Times New Roman" w:eastAsia="Times New Roman" w:hAnsi="Times New Roman" w:cs="Times New Roman"/>
      <w:sz w:val="24"/>
      <w:szCs w:val="24"/>
      <w:lang w:eastAsia="es-ES"/>
    </w:rPr>
  </w:style>
  <w:style w:type="paragraph" w:styleId="Textodeglobo">
    <w:name w:val="Balloon Text"/>
    <w:basedOn w:val="Normal"/>
    <w:link w:val="TextodegloboCar"/>
    <w:uiPriority w:val="99"/>
    <w:semiHidden/>
    <w:unhideWhenUsed/>
    <w:rsid w:val="007E3D39"/>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7E3D39"/>
    <w:rPr>
      <w:rFonts w:ascii="Tahoma" w:hAnsi="Tahoma" w:cs="Tahoma"/>
      <w:sz w:val="16"/>
      <w:szCs w:val="16"/>
    </w:rPr>
  </w:style>
  <w:style w:type="character" w:styleId="Textoennegrita">
    <w:name w:val="Strong"/>
    <w:basedOn w:val="Fuentedeprrafopredeter"/>
    <w:uiPriority w:val="22"/>
    <w:qFormat/>
    <w:rsid w:val="007E3D39"/>
    <w:rPr>
      <w:b/>
      <w:bCs/>
    </w:rPr>
  </w:style>
  <w:style w:type="character" w:customStyle="1" w:styleId="Ttulo1Car">
    <w:name w:val="Título 1 Car"/>
    <w:basedOn w:val="Fuentedeprrafopredeter"/>
    <w:link w:val="Ttulo1"/>
    <w:uiPriority w:val="9"/>
    <w:rsid w:val="007E3D39"/>
    <w:rPr>
      <w:rFonts w:asciiTheme="majorHAnsi" w:eastAsiaTheme="majorEastAsia" w:hAnsiTheme="majorHAnsi" w:cstheme="majorBidi"/>
      <w:b/>
      <w:bCs/>
      <w:color w:val="365F91" w:themeColor="accent1" w:themeShade="BF"/>
      <w:sz w:val="28"/>
      <w:szCs w:val="28"/>
    </w:rPr>
  </w:style>
  <w:style w:type="paragraph" w:styleId="Prrafodelista">
    <w:name w:val="List Paragraph"/>
    <w:basedOn w:val="Normal"/>
    <w:uiPriority w:val="34"/>
    <w:qFormat/>
    <w:rsid w:val="007E3D39"/>
    <w:pPr>
      <w:ind w:left="720"/>
      <w:contextualSpacing/>
    </w:pPr>
  </w:style>
  <w:style w:type="character" w:styleId="nfasis">
    <w:name w:val="Emphasis"/>
    <w:basedOn w:val="Fuentedeprrafopredeter"/>
    <w:uiPriority w:val="20"/>
    <w:qFormat/>
    <w:rsid w:val="007E3D39"/>
    <w:rPr>
      <w:i/>
      <w:iCs/>
    </w:rPr>
  </w:style>
  <w:style w:type="paragraph" w:customStyle="1" w:styleId="bbc-hhl7in">
    <w:name w:val="bbc-hhl7in"/>
    <w:basedOn w:val="Normal"/>
    <w:rsid w:val="007E3D39"/>
    <w:pPr>
      <w:spacing w:before="100" w:beforeAutospacing="1" w:after="100" w:afterAutospacing="1" w:line="240" w:lineRule="auto"/>
    </w:pPr>
    <w:rPr>
      <w:rFonts w:ascii="Times New Roman" w:eastAsia="Times New Roman" w:hAnsi="Times New Roman" w:cs="Times New Roman"/>
      <w:sz w:val="24"/>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5.png"/><Relationship Id="rId21" Type="http://schemas.openxmlformats.org/officeDocument/2006/relationships/hyperlink" Target="https://www.imf.org/en/News/Articles/2022/08/26/sp-gita-gopinath-remarks-at-the-jackson-hole-symposium" TargetMode="External"/><Relationship Id="rId42" Type="http://schemas.openxmlformats.org/officeDocument/2006/relationships/image" Target="media/image30.png"/><Relationship Id="rId63" Type="http://schemas.openxmlformats.org/officeDocument/2006/relationships/image" Target="media/image51.png"/><Relationship Id="rId84" Type="http://schemas.openxmlformats.org/officeDocument/2006/relationships/image" Target="media/image72.png"/><Relationship Id="rId138" Type="http://schemas.openxmlformats.org/officeDocument/2006/relationships/image" Target="media/image126.png"/><Relationship Id="rId107" Type="http://schemas.openxmlformats.org/officeDocument/2006/relationships/image" Target="media/image95.jpeg"/><Relationship Id="rId11" Type="http://schemas.openxmlformats.org/officeDocument/2006/relationships/hyperlink" Target="https://www.blogger.com/blog/post/edit/8918872498108334143/2237032378531195230?hl=es-419" TargetMode="External"/><Relationship Id="rId32" Type="http://schemas.openxmlformats.org/officeDocument/2006/relationships/image" Target="media/image20.gif"/><Relationship Id="rId53" Type="http://schemas.openxmlformats.org/officeDocument/2006/relationships/image" Target="media/image41.png"/><Relationship Id="rId74" Type="http://schemas.openxmlformats.org/officeDocument/2006/relationships/image" Target="media/image62.png"/><Relationship Id="rId128" Type="http://schemas.openxmlformats.org/officeDocument/2006/relationships/image" Target="media/image116.jpeg"/><Relationship Id="rId149" Type="http://schemas.openxmlformats.org/officeDocument/2006/relationships/image" Target="media/image137.png"/><Relationship Id="rId5" Type="http://schemas.openxmlformats.org/officeDocument/2006/relationships/webSettings" Target="webSettings.xml"/><Relationship Id="rId95" Type="http://schemas.openxmlformats.org/officeDocument/2006/relationships/image" Target="media/image83.png"/><Relationship Id="rId22" Type="http://schemas.openxmlformats.org/officeDocument/2006/relationships/image" Target="media/image10.png"/><Relationship Id="rId43" Type="http://schemas.openxmlformats.org/officeDocument/2006/relationships/image" Target="media/image31.gif"/><Relationship Id="rId64" Type="http://schemas.openxmlformats.org/officeDocument/2006/relationships/image" Target="media/image52.png"/><Relationship Id="rId118" Type="http://schemas.openxmlformats.org/officeDocument/2006/relationships/image" Target="media/image106.png"/><Relationship Id="rId139" Type="http://schemas.openxmlformats.org/officeDocument/2006/relationships/image" Target="media/image127.png"/><Relationship Id="rId80" Type="http://schemas.openxmlformats.org/officeDocument/2006/relationships/image" Target="media/image68.png"/><Relationship Id="rId85" Type="http://schemas.openxmlformats.org/officeDocument/2006/relationships/image" Target="media/image73.png"/><Relationship Id="rId150" Type="http://schemas.openxmlformats.org/officeDocument/2006/relationships/image" Target="media/image138.png"/><Relationship Id="rId155" Type="http://schemas.openxmlformats.org/officeDocument/2006/relationships/image" Target="media/image143.png"/><Relationship Id="rId12" Type="http://schemas.openxmlformats.org/officeDocument/2006/relationships/image" Target="media/image5.png"/><Relationship Id="rId17" Type="http://schemas.openxmlformats.org/officeDocument/2006/relationships/hyperlink" Target="https://www.imf.org/en/Blogs/authors?author=Tobias%20Adrian" TargetMode="External"/><Relationship Id="rId33" Type="http://schemas.openxmlformats.org/officeDocument/2006/relationships/image" Target="media/image21.png"/><Relationship Id="rId38" Type="http://schemas.openxmlformats.org/officeDocument/2006/relationships/image" Target="media/image26.jpeg"/><Relationship Id="rId59" Type="http://schemas.openxmlformats.org/officeDocument/2006/relationships/image" Target="media/image47.png"/><Relationship Id="rId103" Type="http://schemas.openxmlformats.org/officeDocument/2006/relationships/image" Target="media/image91.png"/><Relationship Id="rId108" Type="http://schemas.openxmlformats.org/officeDocument/2006/relationships/image" Target="media/image96.png"/><Relationship Id="rId124" Type="http://schemas.openxmlformats.org/officeDocument/2006/relationships/image" Target="media/image112.png"/><Relationship Id="rId129" Type="http://schemas.openxmlformats.org/officeDocument/2006/relationships/image" Target="media/image117.jpeg"/><Relationship Id="rId54" Type="http://schemas.openxmlformats.org/officeDocument/2006/relationships/image" Target="media/image42.jpeg"/><Relationship Id="rId70" Type="http://schemas.openxmlformats.org/officeDocument/2006/relationships/image" Target="media/image58.png"/><Relationship Id="rId75" Type="http://schemas.openxmlformats.org/officeDocument/2006/relationships/image" Target="media/image63.png"/><Relationship Id="rId91" Type="http://schemas.openxmlformats.org/officeDocument/2006/relationships/image" Target="media/image79.png"/><Relationship Id="rId96" Type="http://schemas.openxmlformats.org/officeDocument/2006/relationships/image" Target="media/image84.png"/><Relationship Id="rId140" Type="http://schemas.openxmlformats.org/officeDocument/2006/relationships/image" Target="media/image128.png"/><Relationship Id="rId145" Type="http://schemas.openxmlformats.org/officeDocument/2006/relationships/image" Target="media/image133.png"/><Relationship Id="rId1" Type="http://schemas.openxmlformats.org/officeDocument/2006/relationships/numbering" Target="numbering.xml"/><Relationship Id="rId6" Type="http://schemas.openxmlformats.org/officeDocument/2006/relationships/image" Target="media/image1.jpeg"/><Relationship Id="rId23" Type="http://schemas.openxmlformats.org/officeDocument/2006/relationships/image" Target="media/image11.png"/><Relationship Id="rId28" Type="http://schemas.openxmlformats.org/officeDocument/2006/relationships/image" Target="media/image16.png"/><Relationship Id="rId49" Type="http://schemas.openxmlformats.org/officeDocument/2006/relationships/image" Target="media/image37.jpeg"/><Relationship Id="rId114" Type="http://schemas.openxmlformats.org/officeDocument/2006/relationships/image" Target="media/image102.jpeg"/><Relationship Id="rId119" Type="http://schemas.openxmlformats.org/officeDocument/2006/relationships/image" Target="media/image107.png"/><Relationship Id="rId44" Type="http://schemas.openxmlformats.org/officeDocument/2006/relationships/image" Target="media/image32.gif"/><Relationship Id="rId60" Type="http://schemas.openxmlformats.org/officeDocument/2006/relationships/image" Target="media/image48.gif"/><Relationship Id="rId65" Type="http://schemas.openxmlformats.org/officeDocument/2006/relationships/image" Target="media/image53.png"/><Relationship Id="rId81" Type="http://schemas.openxmlformats.org/officeDocument/2006/relationships/image" Target="media/image69.png"/><Relationship Id="rId86" Type="http://schemas.openxmlformats.org/officeDocument/2006/relationships/image" Target="media/image74.png"/><Relationship Id="rId130" Type="http://schemas.openxmlformats.org/officeDocument/2006/relationships/image" Target="media/image118.png"/><Relationship Id="rId135" Type="http://schemas.openxmlformats.org/officeDocument/2006/relationships/image" Target="media/image123.png"/><Relationship Id="rId151" Type="http://schemas.openxmlformats.org/officeDocument/2006/relationships/image" Target="media/image139.png"/><Relationship Id="rId156" Type="http://schemas.openxmlformats.org/officeDocument/2006/relationships/image" Target="media/image144.png"/><Relationship Id="rId13" Type="http://schemas.openxmlformats.org/officeDocument/2006/relationships/image" Target="media/image6.jpeg"/><Relationship Id="rId18" Type="http://schemas.openxmlformats.org/officeDocument/2006/relationships/hyperlink" Target="https://www.imf.org/en/Blogs/authors?author=Christopher%20Erceg" TargetMode="External"/><Relationship Id="rId39" Type="http://schemas.openxmlformats.org/officeDocument/2006/relationships/image" Target="media/image27.jpeg"/><Relationship Id="rId109" Type="http://schemas.openxmlformats.org/officeDocument/2006/relationships/image" Target="media/image97.jpe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image" Target="media/image64.png"/><Relationship Id="rId97" Type="http://schemas.openxmlformats.org/officeDocument/2006/relationships/image" Target="media/image85.png"/><Relationship Id="rId104" Type="http://schemas.openxmlformats.org/officeDocument/2006/relationships/image" Target="media/image92.png"/><Relationship Id="rId120" Type="http://schemas.openxmlformats.org/officeDocument/2006/relationships/image" Target="media/image108.png"/><Relationship Id="rId125" Type="http://schemas.openxmlformats.org/officeDocument/2006/relationships/image" Target="media/image113.png"/><Relationship Id="rId141" Type="http://schemas.openxmlformats.org/officeDocument/2006/relationships/image" Target="media/image129.png"/><Relationship Id="rId146" Type="http://schemas.openxmlformats.org/officeDocument/2006/relationships/image" Target="media/image134.png"/><Relationship Id="rId7" Type="http://schemas.openxmlformats.org/officeDocument/2006/relationships/image" Target="media/image2.png"/><Relationship Id="rId71" Type="http://schemas.openxmlformats.org/officeDocument/2006/relationships/image" Target="media/image59.jpeg"/><Relationship Id="rId92" Type="http://schemas.openxmlformats.org/officeDocument/2006/relationships/image" Target="media/image80.png"/><Relationship Id="rId2" Type="http://schemas.openxmlformats.org/officeDocument/2006/relationships/styles" Target="styles.xml"/><Relationship Id="rId29" Type="http://schemas.openxmlformats.org/officeDocument/2006/relationships/image" Target="media/image17.png"/><Relationship Id="rId24" Type="http://schemas.openxmlformats.org/officeDocument/2006/relationships/image" Target="media/image12.png"/><Relationship Id="rId40" Type="http://schemas.openxmlformats.org/officeDocument/2006/relationships/image" Target="media/image28.jpeg"/><Relationship Id="rId45" Type="http://schemas.openxmlformats.org/officeDocument/2006/relationships/image" Target="media/image33.jpeg"/><Relationship Id="rId66" Type="http://schemas.openxmlformats.org/officeDocument/2006/relationships/image" Target="media/image54.png"/><Relationship Id="rId87" Type="http://schemas.openxmlformats.org/officeDocument/2006/relationships/image" Target="media/image75.png"/><Relationship Id="rId110" Type="http://schemas.openxmlformats.org/officeDocument/2006/relationships/image" Target="media/image98.png"/><Relationship Id="rId115" Type="http://schemas.openxmlformats.org/officeDocument/2006/relationships/image" Target="media/image103.png"/><Relationship Id="rId131" Type="http://schemas.openxmlformats.org/officeDocument/2006/relationships/image" Target="media/image119.png"/><Relationship Id="rId136" Type="http://schemas.openxmlformats.org/officeDocument/2006/relationships/image" Target="media/image124.png"/><Relationship Id="rId157" Type="http://schemas.openxmlformats.org/officeDocument/2006/relationships/fontTable" Target="fontTable.xml"/><Relationship Id="rId61" Type="http://schemas.openxmlformats.org/officeDocument/2006/relationships/image" Target="media/image49.jpeg"/><Relationship Id="rId82" Type="http://schemas.openxmlformats.org/officeDocument/2006/relationships/image" Target="media/image70.png"/><Relationship Id="rId152" Type="http://schemas.openxmlformats.org/officeDocument/2006/relationships/image" Target="media/image140.png"/><Relationship Id="rId19" Type="http://schemas.openxmlformats.org/officeDocument/2006/relationships/hyperlink" Target="https://www.imf.org/en/Blogs/authors?author=Fabio%20Natalucci" TargetMode="External"/><Relationship Id="rId14" Type="http://schemas.openxmlformats.org/officeDocument/2006/relationships/image" Target="media/image7.jpeg"/><Relationship Id="rId30" Type="http://schemas.openxmlformats.org/officeDocument/2006/relationships/image" Target="media/image18.png"/><Relationship Id="rId35" Type="http://schemas.openxmlformats.org/officeDocument/2006/relationships/image" Target="media/image23.png"/><Relationship Id="rId56" Type="http://schemas.openxmlformats.org/officeDocument/2006/relationships/image" Target="media/image44.png"/><Relationship Id="rId77" Type="http://schemas.openxmlformats.org/officeDocument/2006/relationships/image" Target="media/image65.png"/><Relationship Id="rId100" Type="http://schemas.openxmlformats.org/officeDocument/2006/relationships/image" Target="media/image88.png"/><Relationship Id="rId105" Type="http://schemas.openxmlformats.org/officeDocument/2006/relationships/image" Target="media/image93.png"/><Relationship Id="rId126" Type="http://schemas.openxmlformats.org/officeDocument/2006/relationships/image" Target="media/image114.png"/><Relationship Id="rId147" Type="http://schemas.openxmlformats.org/officeDocument/2006/relationships/image" Target="media/image135.png"/><Relationship Id="rId8" Type="http://schemas.openxmlformats.org/officeDocument/2006/relationships/image" Target="media/image3.jpeg"/><Relationship Id="rId51" Type="http://schemas.openxmlformats.org/officeDocument/2006/relationships/image" Target="media/image39.png"/><Relationship Id="rId72" Type="http://schemas.openxmlformats.org/officeDocument/2006/relationships/image" Target="media/image60.png"/><Relationship Id="rId93" Type="http://schemas.openxmlformats.org/officeDocument/2006/relationships/image" Target="media/image81.png"/><Relationship Id="rId98" Type="http://schemas.openxmlformats.org/officeDocument/2006/relationships/image" Target="media/image86.png"/><Relationship Id="rId121" Type="http://schemas.openxmlformats.org/officeDocument/2006/relationships/image" Target="media/image109.png"/><Relationship Id="rId142" Type="http://schemas.openxmlformats.org/officeDocument/2006/relationships/image" Target="media/image130.png"/><Relationship Id="rId3" Type="http://schemas.microsoft.com/office/2007/relationships/stylesWithEffects" Target="stylesWithEffects.xml"/><Relationship Id="rId25" Type="http://schemas.openxmlformats.org/officeDocument/2006/relationships/image" Target="media/image13.jpeg"/><Relationship Id="rId46" Type="http://schemas.openxmlformats.org/officeDocument/2006/relationships/image" Target="media/image34.jpeg"/><Relationship Id="rId67" Type="http://schemas.openxmlformats.org/officeDocument/2006/relationships/image" Target="media/image55.png"/><Relationship Id="rId116" Type="http://schemas.openxmlformats.org/officeDocument/2006/relationships/image" Target="media/image104.png"/><Relationship Id="rId137" Type="http://schemas.openxmlformats.org/officeDocument/2006/relationships/image" Target="media/image125.png"/><Relationship Id="rId158" Type="http://schemas.openxmlformats.org/officeDocument/2006/relationships/theme" Target="theme/theme1.xml"/><Relationship Id="rId20" Type="http://schemas.openxmlformats.org/officeDocument/2006/relationships/hyperlink" Target="https://www.imf.org/external/Pubs/FT/weo/2023/01/pdf/text.pdf" TargetMode="External"/><Relationship Id="rId41" Type="http://schemas.openxmlformats.org/officeDocument/2006/relationships/image" Target="media/image29.gif"/><Relationship Id="rId62" Type="http://schemas.openxmlformats.org/officeDocument/2006/relationships/image" Target="media/image50.png"/><Relationship Id="rId83" Type="http://schemas.openxmlformats.org/officeDocument/2006/relationships/image" Target="media/image71.png"/><Relationship Id="rId88" Type="http://schemas.openxmlformats.org/officeDocument/2006/relationships/image" Target="media/image76.png"/><Relationship Id="rId111" Type="http://schemas.openxmlformats.org/officeDocument/2006/relationships/image" Target="media/image99.png"/><Relationship Id="rId132" Type="http://schemas.openxmlformats.org/officeDocument/2006/relationships/image" Target="media/image120.png"/><Relationship Id="rId153" Type="http://schemas.openxmlformats.org/officeDocument/2006/relationships/image" Target="media/image141.png"/><Relationship Id="rId15" Type="http://schemas.openxmlformats.org/officeDocument/2006/relationships/image" Target="media/image8.jpeg"/><Relationship Id="rId36" Type="http://schemas.openxmlformats.org/officeDocument/2006/relationships/image" Target="media/image24.png"/><Relationship Id="rId57" Type="http://schemas.openxmlformats.org/officeDocument/2006/relationships/image" Target="media/image45.png"/><Relationship Id="rId106" Type="http://schemas.openxmlformats.org/officeDocument/2006/relationships/image" Target="media/image94.png"/><Relationship Id="rId127" Type="http://schemas.openxmlformats.org/officeDocument/2006/relationships/image" Target="media/image115.jpeg"/><Relationship Id="rId10" Type="http://schemas.openxmlformats.org/officeDocument/2006/relationships/hyperlink" Target="https://www.blogger.com/blog/post/edit/8918872498108334143/2237032378531195230?hl=es-419" TargetMode="External"/><Relationship Id="rId31" Type="http://schemas.openxmlformats.org/officeDocument/2006/relationships/image" Target="media/image19.png"/><Relationship Id="rId52" Type="http://schemas.openxmlformats.org/officeDocument/2006/relationships/image" Target="media/image40.gif"/><Relationship Id="rId73" Type="http://schemas.openxmlformats.org/officeDocument/2006/relationships/image" Target="media/image61.jpeg"/><Relationship Id="rId78" Type="http://schemas.openxmlformats.org/officeDocument/2006/relationships/image" Target="media/image66.png"/><Relationship Id="rId94" Type="http://schemas.openxmlformats.org/officeDocument/2006/relationships/image" Target="media/image82.png"/><Relationship Id="rId99" Type="http://schemas.openxmlformats.org/officeDocument/2006/relationships/image" Target="media/image87.png"/><Relationship Id="rId101" Type="http://schemas.openxmlformats.org/officeDocument/2006/relationships/image" Target="media/image89.png"/><Relationship Id="rId122" Type="http://schemas.openxmlformats.org/officeDocument/2006/relationships/image" Target="media/image110.png"/><Relationship Id="rId143" Type="http://schemas.openxmlformats.org/officeDocument/2006/relationships/image" Target="media/image131.png"/><Relationship Id="rId148" Type="http://schemas.openxmlformats.org/officeDocument/2006/relationships/image" Target="media/image136.png"/><Relationship Id="rId4" Type="http://schemas.openxmlformats.org/officeDocument/2006/relationships/settings" Target="settings.xml"/><Relationship Id="rId9" Type="http://schemas.openxmlformats.org/officeDocument/2006/relationships/image" Target="media/image4.jpeg"/><Relationship Id="rId26" Type="http://schemas.openxmlformats.org/officeDocument/2006/relationships/image" Target="media/image14.jpeg"/><Relationship Id="rId47" Type="http://schemas.openxmlformats.org/officeDocument/2006/relationships/image" Target="media/image35.png"/><Relationship Id="rId68" Type="http://schemas.openxmlformats.org/officeDocument/2006/relationships/image" Target="media/image56.png"/><Relationship Id="rId89" Type="http://schemas.openxmlformats.org/officeDocument/2006/relationships/image" Target="media/image77.png"/><Relationship Id="rId112" Type="http://schemas.openxmlformats.org/officeDocument/2006/relationships/image" Target="media/image100.png"/><Relationship Id="rId133" Type="http://schemas.openxmlformats.org/officeDocument/2006/relationships/image" Target="media/image121.png"/><Relationship Id="rId154" Type="http://schemas.openxmlformats.org/officeDocument/2006/relationships/image" Target="media/image142.png"/><Relationship Id="rId16" Type="http://schemas.openxmlformats.org/officeDocument/2006/relationships/image" Target="media/image9.png"/><Relationship Id="rId37" Type="http://schemas.openxmlformats.org/officeDocument/2006/relationships/image" Target="media/image25.gif"/><Relationship Id="rId58" Type="http://schemas.openxmlformats.org/officeDocument/2006/relationships/image" Target="media/image46.png"/><Relationship Id="rId79" Type="http://schemas.openxmlformats.org/officeDocument/2006/relationships/image" Target="media/image67.png"/><Relationship Id="rId102" Type="http://schemas.openxmlformats.org/officeDocument/2006/relationships/image" Target="media/image90.png"/><Relationship Id="rId123" Type="http://schemas.openxmlformats.org/officeDocument/2006/relationships/image" Target="media/image111.png"/><Relationship Id="rId144" Type="http://schemas.openxmlformats.org/officeDocument/2006/relationships/image" Target="media/image132.png"/><Relationship Id="rId90" Type="http://schemas.openxmlformats.org/officeDocument/2006/relationships/image" Target="media/image78.png"/><Relationship Id="rId27" Type="http://schemas.openxmlformats.org/officeDocument/2006/relationships/image" Target="media/image15.gif"/><Relationship Id="rId48" Type="http://schemas.openxmlformats.org/officeDocument/2006/relationships/image" Target="media/image36.jpeg"/><Relationship Id="rId69" Type="http://schemas.openxmlformats.org/officeDocument/2006/relationships/image" Target="media/image57.gif"/><Relationship Id="rId113" Type="http://schemas.openxmlformats.org/officeDocument/2006/relationships/image" Target="media/image101.png"/><Relationship Id="rId134" Type="http://schemas.openxmlformats.org/officeDocument/2006/relationships/image" Target="media/image12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215</Pages>
  <Words>82434</Words>
  <Characters>453393</Characters>
  <Application>Microsoft Office Word</Application>
  <DocSecurity>0</DocSecurity>
  <Lines>3778</Lines>
  <Paragraphs>1069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534758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Ricardo Lomoro</dc:creator>
  <cp:lastModifiedBy>Ricardo Lomoro</cp:lastModifiedBy>
  <cp:revision>2</cp:revision>
  <dcterms:created xsi:type="dcterms:W3CDTF">2023-11-23T10:13:00Z</dcterms:created>
  <dcterms:modified xsi:type="dcterms:W3CDTF">2023-11-23T10:13:00Z</dcterms:modified>
</cp:coreProperties>
</file>