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68EB" w:rsidRPr="00A468EB" w:rsidRDefault="00A468EB" w:rsidP="006E5D75">
      <w:pPr>
        <w:spacing w:line="240" w:lineRule="auto"/>
        <w:jc w:val="both"/>
        <w:rPr>
          <w:rFonts w:ascii="Times New Roman" w:hAnsi="Times New Roman" w:cs="Times New Roman"/>
          <w:b/>
          <w:sz w:val="32"/>
          <w:szCs w:val="32"/>
        </w:rPr>
      </w:pPr>
      <w:r w:rsidRPr="00A468EB">
        <w:rPr>
          <w:rFonts w:ascii="Times New Roman" w:hAnsi="Times New Roman" w:cs="Times New Roman"/>
          <w:b/>
          <w:sz w:val="32"/>
          <w:szCs w:val="32"/>
        </w:rPr>
        <w:t>Ensayo</w:t>
      </w:r>
      <w:r w:rsidR="008B56EF">
        <w:rPr>
          <w:rFonts w:ascii="Times New Roman" w:hAnsi="Times New Roman" w:cs="Times New Roman"/>
          <w:b/>
          <w:sz w:val="32"/>
          <w:szCs w:val="32"/>
        </w:rPr>
        <w:t xml:space="preserve"> </w:t>
      </w:r>
      <w:r>
        <w:rPr>
          <w:rFonts w:ascii="Times New Roman" w:hAnsi="Times New Roman" w:cs="Times New Roman"/>
          <w:b/>
          <w:sz w:val="32"/>
          <w:szCs w:val="32"/>
        </w:rPr>
        <w:t>-</w:t>
      </w:r>
      <w:r w:rsidR="008B56EF">
        <w:rPr>
          <w:rFonts w:ascii="Times New Roman" w:hAnsi="Times New Roman" w:cs="Times New Roman"/>
          <w:b/>
          <w:sz w:val="32"/>
          <w:szCs w:val="32"/>
        </w:rPr>
        <w:t xml:space="preserve"> </w:t>
      </w:r>
      <w:r w:rsidR="008B56EF">
        <w:rPr>
          <w:b/>
          <w:bCs/>
          <w:sz w:val="32"/>
          <w:szCs w:val="32"/>
        </w:rPr>
        <w:t>El “precio” de la globalización (al “costo” de los factores)</w:t>
      </w:r>
    </w:p>
    <w:p w:rsidR="00A468EB" w:rsidRPr="00A468EB" w:rsidRDefault="006E5D75" w:rsidP="00C01E1D">
      <w:pPr>
        <w:spacing w:line="240" w:lineRule="auto"/>
        <w:jc w:val="both"/>
        <w:rPr>
          <w:rFonts w:ascii="Times New Roman" w:hAnsi="Times New Roman" w:cs="Times New Roman"/>
          <w:sz w:val="20"/>
          <w:szCs w:val="20"/>
        </w:rPr>
      </w:pPr>
      <w:r>
        <w:rPr>
          <w:noProof/>
          <w:lang w:val="en-GB" w:eastAsia="zh-CN"/>
        </w:rPr>
        <w:drawing>
          <wp:inline distT="0" distB="0" distL="0" distR="0">
            <wp:extent cx="5727700" cy="3143250"/>
            <wp:effectExtent l="0" t="0" r="6350" b="0"/>
            <wp:docPr id="20" name="Imagen 20" descr="https://cflvdg.avoz.es/sc/lBjkoAjy5nJkwESFxzS7vXi7-E0=/x/2020/04/22/00121587561362146360315/Foto/L21A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lvdg.avoz.es/sc/lBjkoAjy5nJkwESFxzS7vXi7-E0=/x/2020/04/22/00121587561362146360315/Foto/L21A0088.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45341"/>
                    </a:xfrm>
                    <a:prstGeom prst="rect">
                      <a:avLst/>
                    </a:prstGeom>
                    <a:noFill/>
                    <a:ln>
                      <a:noFill/>
                    </a:ln>
                  </pic:spPr>
                </pic:pic>
              </a:graphicData>
            </a:graphic>
          </wp:inline>
        </w:drawing>
      </w:r>
      <w:r w:rsidRPr="001E3FBA">
        <w:rPr>
          <w:rFonts w:ascii="Times New Roman" w:hAnsi="Times New Roman" w:cs="Times New Roman"/>
          <w:sz w:val="24"/>
          <w:szCs w:val="24"/>
        </w:rPr>
        <w:t>El banco de alimentos de Lugo (España) repartió en un día el suministro que antes de que estallase la pandemia global de coronavirus “entregaba a lo largo de un mes” - Abril 2020</w:t>
      </w:r>
    </w:p>
    <w:p w:rsidR="00A468EB" w:rsidRDefault="00A468EB" w:rsidP="006E5D75">
      <w:pPr>
        <w:spacing w:line="240" w:lineRule="auto"/>
        <w:jc w:val="both"/>
        <w:rPr>
          <w:rFonts w:ascii="Times New Roman" w:hAnsi="Times New Roman" w:cs="Times New Roman"/>
          <w:b/>
          <w:sz w:val="32"/>
          <w:szCs w:val="32"/>
        </w:rPr>
      </w:pPr>
    </w:p>
    <w:p w:rsidR="00A468EB" w:rsidRDefault="00A468EB" w:rsidP="006E5D75">
      <w:pPr>
        <w:spacing w:line="240" w:lineRule="auto"/>
        <w:jc w:val="both"/>
        <w:rPr>
          <w:rFonts w:ascii="Times New Roman" w:hAnsi="Times New Roman" w:cs="Times New Roman"/>
          <w:b/>
          <w:sz w:val="32"/>
          <w:szCs w:val="32"/>
        </w:rPr>
      </w:pPr>
      <w:r>
        <w:rPr>
          <w:rFonts w:ascii="Times New Roman" w:hAnsi="Times New Roman" w:cs="Times New Roman"/>
          <w:b/>
          <w:sz w:val="32"/>
          <w:szCs w:val="32"/>
        </w:rPr>
        <w:t xml:space="preserve">      -</w:t>
      </w:r>
      <w:r w:rsidR="00C01E1D" w:rsidRPr="00A468EB">
        <w:rPr>
          <w:rFonts w:ascii="Times New Roman" w:hAnsi="Times New Roman" w:cs="Times New Roman"/>
          <w:b/>
          <w:sz w:val="32"/>
          <w:szCs w:val="32"/>
        </w:rPr>
        <w:t>El “precio” de la globalización (al “costo” de los factores)</w:t>
      </w:r>
      <w:r>
        <w:rPr>
          <w:rFonts w:ascii="Times New Roman" w:hAnsi="Times New Roman" w:cs="Times New Roman"/>
          <w:b/>
          <w:sz w:val="32"/>
          <w:szCs w:val="32"/>
        </w:rPr>
        <w:t>-</w:t>
      </w:r>
    </w:p>
    <w:p w:rsidR="00A468EB" w:rsidRPr="00A468EB" w:rsidRDefault="00A468EB" w:rsidP="006E5D75">
      <w:pPr>
        <w:spacing w:line="240" w:lineRule="auto"/>
        <w:jc w:val="both"/>
        <w:rPr>
          <w:rFonts w:ascii="Times New Roman" w:hAnsi="Times New Roman" w:cs="Times New Roman"/>
          <w:b/>
          <w:sz w:val="32"/>
          <w:szCs w:val="32"/>
        </w:rPr>
      </w:pPr>
    </w:p>
    <w:p w:rsidR="006E5D75" w:rsidRPr="001E3FBA" w:rsidRDefault="006E5D75" w:rsidP="006E5D75">
      <w:pPr>
        <w:spacing w:line="240" w:lineRule="auto"/>
        <w:jc w:val="both"/>
        <w:rPr>
          <w:rFonts w:ascii="Times New Roman" w:hAnsi="Times New Roman" w:cs="Times New Roman"/>
          <w:b/>
          <w:sz w:val="24"/>
          <w:szCs w:val="24"/>
          <w:lang w:val="en-US"/>
        </w:rPr>
      </w:pPr>
      <w:r>
        <w:rPr>
          <w:noProof/>
          <w:lang w:val="en-GB" w:eastAsia="zh-CN"/>
        </w:rPr>
        <w:drawing>
          <wp:inline distT="0" distB="0" distL="0" distR="0">
            <wp:extent cx="5702300" cy="3098800"/>
            <wp:effectExtent l="0" t="0" r="0" b="6350"/>
            <wp:docPr id="214" name="Imagen 214" descr="A line for a food bank in Brooklyn, N.Y. Unemployment is expected to remain high through nex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line for a food bank in Brooklyn, N.Y. Unemployment is expected to remain high through next year."/>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2174" cy="3098732"/>
                    </a:xfrm>
                    <a:prstGeom prst="rect">
                      <a:avLst/>
                    </a:prstGeom>
                    <a:noFill/>
                    <a:ln>
                      <a:noFill/>
                    </a:ln>
                  </pic:spPr>
                </pic:pic>
              </a:graphicData>
            </a:graphic>
          </wp:inline>
        </w:drawing>
      </w:r>
      <w:r w:rsidRPr="001E3FBA">
        <w:rPr>
          <w:rFonts w:ascii="Times New Roman" w:hAnsi="Times New Roman" w:cs="Times New Roman"/>
          <w:sz w:val="24"/>
          <w:szCs w:val="24"/>
          <w:lang w:val="en-US"/>
        </w:rPr>
        <w:t>A line for a food bank in Brooklyn, N.Y. Unemployment is expected to remain high through next year - WSJ - Mayo 2020</w:t>
      </w:r>
    </w:p>
    <w:p w:rsidR="001E3FBA" w:rsidRPr="001E3FBA" w:rsidRDefault="001E3FBA" w:rsidP="006E5D75">
      <w:pPr>
        <w:pStyle w:val="NormalWeb"/>
        <w:spacing w:after="0"/>
        <w:jc w:val="both"/>
        <w:textAlignment w:val="baseline"/>
        <w:rPr>
          <w:b/>
          <w:lang w:val="en-US"/>
        </w:rPr>
      </w:pPr>
    </w:p>
    <w:p w:rsidR="001E3FBA" w:rsidRPr="001E3FBA" w:rsidRDefault="001E3FBA" w:rsidP="006E5D75">
      <w:pPr>
        <w:pStyle w:val="NormalWeb"/>
        <w:spacing w:after="0"/>
        <w:jc w:val="both"/>
        <w:textAlignment w:val="baseline"/>
        <w:rPr>
          <w:b/>
          <w:lang w:val="en-US"/>
        </w:rPr>
      </w:pPr>
    </w:p>
    <w:p w:rsidR="001E3FBA" w:rsidRPr="001E3FBA" w:rsidRDefault="001E3FBA" w:rsidP="006E5D75">
      <w:pPr>
        <w:pStyle w:val="NormalWeb"/>
        <w:spacing w:after="0"/>
        <w:jc w:val="both"/>
        <w:textAlignment w:val="baseline"/>
        <w:rPr>
          <w:b/>
          <w:lang w:val="en-US"/>
        </w:rPr>
      </w:pPr>
    </w:p>
    <w:p w:rsidR="001E3FBA" w:rsidRPr="001E3FBA" w:rsidRDefault="001E3FBA" w:rsidP="006E5D75">
      <w:pPr>
        <w:pStyle w:val="NormalWeb"/>
        <w:spacing w:after="0"/>
        <w:jc w:val="both"/>
        <w:textAlignment w:val="baseline"/>
        <w:rPr>
          <w:b/>
          <w:lang w:val="en-US"/>
        </w:rPr>
      </w:pPr>
    </w:p>
    <w:p w:rsidR="001E3FBA" w:rsidRPr="001E3FBA"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Pr="006A5BEC" w:rsidRDefault="001E3FBA" w:rsidP="006E5D75">
      <w:pPr>
        <w:pStyle w:val="NormalWeb"/>
        <w:spacing w:after="0"/>
        <w:jc w:val="both"/>
        <w:textAlignment w:val="baseline"/>
        <w:rPr>
          <w:b/>
          <w:lang w:val="en-US"/>
        </w:rPr>
      </w:pPr>
    </w:p>
    <w:p w:rsidR="001E3FBA" w:rsidRDefault="006E5D75" w:rsidP="006E5D75">
      <w:pPr>
        <w:pStyle w:val="NormalWeb"/>
        <w:spacing w:after="0"/>
        <w:jc w:val="both"/>
        <w:textAlignment w:val="baseline"/>
        <w:rPr>
          <w:b/>
        </w:rPr>
      </w:pPr>
      <w:r w:rsidRPr="006E5D75">
        <w:rPr>
          <w:b/>
        </w:rPr>
        <w:t xml:space="preserve">Dedicatoria: </w:t>
      </w:r>
    </w:p>
    <w:p w:rsidR="006E5D75" w:rsidRPr="006E5D75" w:rsidRDefault="006E5D75" w:rsidP="001E3FBA">
      <w:pPr>
        <w:pStyle w:val="NormalWeb"/>
        <w:spacing w:after="0"/>
        <w:ind w:left="708" w:firstLine="708"/>
        <w:jc w:val="both"/>
        <w:textAlignment w:val="baseline"/>
        <w:rPr>
          <w:b/>
        </w:rPr>
      </w:pPr>
      <w:r w:rsidRPr="006E5D75">
        <w:rPr>
          <w:b/>
        </w:rPr>
        <w:t>a todos aquellos que creen que hay que poner límites a las ansias de poder de lo</w:t>
      </w:r>
      <w:r w:rsidR="001E3FBA">
        <w:rPr>
          <w:b/>
        </w:rPr>
        <w:t xml:space="preserve">s empresarios globalizadores (con </w:t>
      </w:r>
      <w:r w:rsidRPr="006E5D75">
        <w:rPr>
          <w:b/>
        </w:rPr>
        <w:t>avaricia corporativa de manos libres)</w:t>
      </w:r>
    </w:p>
    <w:p w:rsidR="006E5D75" w:rsidRPr="006E5D75" w:rsidRDefault="006E5D75" w:rsidP="006E5D75">
      <w:pPr>
        <w:pStyle w:val="NormalWeb"/>
        <w:spacing w:after="0"/>
        <w:jc w:val="both"/>
        <w:textAlignment w:val="baseline"/>
        <w:rPr>
          <w:b/>
        </w:rPr>
      </w:pPr>
      <w:r w:rsidRPr="006E5D75">
        <w:rPr>
          <w:b/>
        </w:rPr>
        <w:tab/>
      </w:r>
      <w:r w:rsidRPr="006E5D75">
        <w:rPr>
          <w:b/>
        </w:rPr>
        <w:tab/>
        <w:t>a todos aquellos que confían en combatir la astucia animal de los políticos nihilistas, que intentan crear regímenes iliberales (de poder presidencial irrestricto)</w:t>
      </w:r>
    </w:p>
    <w:p w:rsidR="006E5D75" w:rsidRPr="006E5D75" w:rsidRDefault="006E5D75" w:rsidP="006E5D75">
      <w:pPr>
        <w:pStyle w:val="NormalWeb"/>
        <w:spacing w:after="0"/>
        <w:jc w:val="both"/>
        <w:textAlignment w:val="baseline"/>
        <w:rPr>
          <w:b/>
        </w:rPr>
      </w:pPr>
      <w:r w:rsidRPr="006E5D75">
        <w:rPr>
          <w:b/>
        </w:rPr>
        <w:tab/>
        <w:t xml:space="preserve">            a todos aquellos que no quieren ser felices en la ignorancia (del presente)</w:t>
      </w:r>
    </w:p>
    <w:p w:rsidR="007A637F" w:rsidRDefault="006E5D75" w:rsidP="006E5D75">
      <w:pPr>
        <w:pStyle w:val="NormalWeb"/>
        <w:spacing w:after="0"/>
        <w:jc w:val="both"/>
        <w:textAlignment w:val="baseline"/>
        <w:rPr>
          <w:b/>
        </w:rPr>
      </w:pPr>
      <w:r w:rsidRPr="006E5D75">
        <w:rPr>
          <w:b/>
        </w:rPr>
        <w:t>a todos aquellos que no quieren criar a unos hijos discapacitados emocionalmente, inválidos de coraje y paralíticos de ética (para abordar el futuro)</w:t>
      </w:r>
    </w:p>
    <w:p w:rsidR="00C01E1D" w:rsidRPr="00C01E1D" w:rsidRDefault="00C01E1D" w:rsidP="006E5D75">
      <w:pPr>
        <w:pStyle w:val="NormalWeb"/>
        <w:spacing w:after="0"/>
        <w:jc w:val="both"/>
        <w:textAlignment w:val="baseline"/>
        <w:rPr>
          <w:b/>
        </w:rPr>
      </w:pPr>
      <w:r>
        <w:rPr>
          <w:b/>
        </w:rPr>
        <w:tab/>
      </w:r>
      <w:r w:rsidRPr="00C01E1D">
        <w:rPr>
          <w:b/>
        </w:rPr>
        <w:t xml:space="preserve">a </w:t>
      </w:r>
      <w:r>
        <w:rPr>
          <w:b/>
        </w:rPr>
        <w:t xml:space="preserve">todos aquellos </w:t>
      </w:r>
      <w:r w:rsidRPr="00C01E1D">
        <w:rPr>
          <w:b/>
        </w:rPr>
        <w:t>jóvenes que no acepten el absurdo destino de convertirse en viejos decrépitos, sin pas</w:t>
      </w:r>
      <w:r>
        <w:rPr>
          <w:b/>
        </w:rPr>
        <w:t>ar por la madurez, anestesiados</w:t>
      </w:r>
      <w:r w:rsidRPr="00C01E1D">
        <w:rPr>
          <w:b/>
        </w:rPr>
        <w:t>,</w:t>
      </w:r>
      <w:r>
        <w:rPr>
          <w:b/>
        </w:rPr>
        <w:t xml:space="preserve"> abducidos, entretenidos, descerebrados</w:t>
      </w:r>
      <w:r w:rsidRPr="00C01E1D">
        <w:rPr>
          <w:b/>
        </w:rPr>
        <w:t xml:space="preserve">, dejando las cosas </w:t>
      </w:r>
      <w:r>
        <w:rPr>
          <w:b/>
        </w:rPr>
        <w:t xml:space="preserve">para que el tiempo las resuelva </w:t>
      </w:r>
    </w:p>
    <w:p w:rsidR="001E3FBA" w:rsidRDefault="001E3FBA" w:rsidP="006E5D75">
      <w:pPr>
        <w:pStyle w:val="NormalWeb"/>
        <w:spacing w:after="0"/>
        <w:jc w:val="both"/>
        <w:textAlignment w:val="baseline"/>
        <w:rPr>
          <w:b/>
        </w:rPr>
      </w:pPr>
    </w:p>
    <w:p w:rsidR="001E3FBA" w:rsidRDefault="001E3FBA" w:rsidP="006E5D75">
      <w:pPr>
        <w:pStyle w:val="NormalWeb"/>
        <w:spacing w:after="0"/>
        <w:jc w:val="both"/>
        <w:textAlignment w:val="baseline"/>
        <w:rPr>
          <w:b/>
        </w:rPr>
      </w:pPr>
      <w:r>
        <w:rPr>
          <w:b/>
        </w:rPr>
        <w:t>Ricardo Lomoro</w:t>
      </w:r>
      <w:r>
        <w:rPr>
          <w:b/>
        </w:rPr>
        <w:tab/>
      </w:r>
      <w:r>
        <w:rPr>
          <w:b/>
        </w:rPr>
        <w:tab/>
      </w:r>
      <w:r>
        <w:rPr>
          <w:b/>
        </w:rPr>
        <w:tab/>
      </w:r>
      <w:r>
        <w:rPr>
          <w:b/>
        </w:rPr>
        <w:tab/>
      </w:r>
      <w:r>
        <w:rPr>
          <w:b/>
        </w:rPr>
        <w:tab/>
      </w:r>
      <w:r>
        <w:rPr>
          <w:b/>
        </w:rPr>
        <w:tab/>
      </w:r>
      <w:r>
        <w:rPr>
          <w:b/>
        </w:rPr>
        <w:tab/>
      </w:r>
      <w:r>
        <w:rPr>
          <w:b/>
        </w:rPr>
        <w:tab/>
        <w:t xml:space="preserve">            Enero 2021</w:t>
      </w:r>
    </w:p>
    <w:p w:rsidR="00B7149D" w:rsidRDefault="00B7149D" w:rsidP="009E3D31">
      <w:pPr>
        <w:pStyle w:val="NormalWeb"/>
        <w:spacing w:after="0"/>
        <w:jc w:val="both"/>
        <w:textAlignment w:val="baseline"/>
        <w:rPr>
          <w:b/>
        </w:rPr>
      </w:pPr>
    </w:p>
    <w:p w:rsidR="009E3D31" w:rsidRPr="006E5D75" w:rsidRDefault="009E3D31" w:rsidP="009E3D31">
      <w:pPr>
        <w:pStyle w:val="NormalWeb"/>
        <w:spacing w:after="0"/>
        <w:jc w:val="both"/>
        <w:textAlignment w:val="baseline"/>
        <w:rPr>
          <w:b/>
        </w:rPr>
      </w:pPr>
      <w:r w:rsidRPr="005A5C6A">
        <w:rPr>
          <w:b/>
        </w:rPr>
        <w:lastRenderedPageBreak/>
        <w:t xml:space="preserve">Temario </w:t>
      </w:r>
    </w:p>
    <w:p w:rsidR="009E3D31" w:rsidRDefault="009E3D31" w:rsidP="009E3D31">
      <w:pPr>
        <w:rPr>
          <w:rFonts w:ascii="Times New Roman" w:eastAsia="Times New Roman" w:hAnsi="Times New Roman" w:cs="Times New Roman"/>
          <w:b/>
          <w:sz w:val="24"/>
          <w:szCs w:val="24"/>
        </w:rPr>
      </w:pPr>
      <w:r>
        <w:rPr>
          <w:rFonts w:ascii="Times New Roman" w:hAnsi="Times New Roman" w:cs="Times New Roman"/>
          <w:b/>
          <w:sz w:val="24"/>
          <w:szCs w:val="24"/>
        </w:rPr>
        <w:t xml:space="preserve">- Introducción: </w:t>
      </w:r>
      <w:r>
        <w:rPr>
          <w:rFonts w:ascii="Times New Roman" w:eastAsia="Times New Roman" w:hAnsi="Times New Roman" w:cs="Times New Roman"/>
          <w:b/>
          <w:sz w:val="24"/>
          <w:szCs w:val="24"/>
        </w:rPr>
        <w:t xml:space="preserve">La globalización, </w:t>
      </w:r>
      <w:r w:rsidRPr="008E76DC">
        <w:rPr>
          <w:rFonts w:ascii="Times New Roman" w:eastAsia="Times New Roman" w:hAnsi="Times New Roman" w:cs="Times New Roman"/>
          <w:b/>
          <w:sz w:val="24"/>
          <w:szCs w:val="24"/>
        </w:rPr>
        <w:t>co</w:t>
      </w:r>
      <w:r>
        <w:rPr>
          <w:rFonts w:ascii="Times New Roman" w:eastAsia="Times New Roman" w:hAnsi="Times New Roman" w:cs="Times New Roman"/>
          <w:b/>
          <w:sz w:val="24"/>
          <w:szCs w:val="24"/>
        </w:rPr>
        <w:t xml:space="preserve">nfirma </w:t>
      </w:r>
      <w:r w:rsidRPr="008E76DC">
        <w:rPr>
          <w:rFonts w:ascii="Times New Roman" w:eastAsia="Times New Roman" w:hAnsi="Times New Roman" w:cs="Times New Roman"/>
          <w:b/>
          <w:sz w:val="24"/>
          <w:szCs w:val="24"/>
        </w:rPr>
        <w:t>que “hay convicciones que crean evidencias”</w:t>
      </w:r>
    </w:p>
    <w:p w:rsidR="009E3D31" w:rsidRDefault="009E3D31" w:rsidP="009E3D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Los últimos datos que, por razón de tiempo, escapan a las estadísticas publicadas</w:t>
      </w:r>
    </w:p>
    <w:p w:rsidR="009E3D31" w:rsidRDefault="009E3D31" w:rsidP="009E3D31">
      <w:pPr>
        <w:spacing w:line="240" w:lineRule="auto"/>
        <w:jc w:val="both"/>
        <w:rPr>
          <w:rFonts w:ascii="Times New Roman" w:hAnsi="Times New Roman" w:cs="Times New Roman"/>
          <w:b/>
          <w:sz w:val="24"/>
          <w:szCs w:val="24"/>
        </w:rPr>
      </w:pPr>
      <w:r w:rsidRPr="0087418D">
        <w:rPr>
          <w:rFonts w:ascii="Times New Roman" w:hAnsi="Times New Roman" w:cs="Times New Roman"/>
          <w:b/>
          <w:sz w:val="24"/>
          <w:szCs w:val="24"/>
        </w:rPr>
        <w:t>- Cálculo del “precio” de la globalización (al “costo” de los factores)</w:t>
      </w:r>
    </w:p>
    <w:p w:rsidR="009E3D31" w:rsidRPr="0031486C" w:rsidRDefault="009E3D31" w:rsidP="009E3D3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rPr>
        <w:tab/>
      </w:r>
      <w:r w:rsidRPr="0031486C">
        <w:rPr>
          <w:rFonts w:ascii="Times New Roman" w:hAnsi="Times New Roman" w:cs="Times New Roman"/>
          <w:sz w:val="24"/>
          <w:szCs w:val="24"/>
          <w:shd w:val="clear" w:color="auto" w:fill="FFFFFF"/>
        </w:rPr>
        <w:t>Del lado de las “ganancias” (o ganadores)</w:t>
      </w:r>
    </w:p>
    <w:p w:rsidR="009E3D31" w:rsidRPr="0031486C" w:rsidRDefault="009E3D31" w:rsidP="009E3D31">
      <w:pPr>
        <w:spacing w:line="240" w:lineRule="auto"/>
        <w:jc w:val="both"/>
        <w:rPr>
          <w:rFonts w:ascii="Times New Roman" w:hAnsi="Times New Roman" w:cs="Times New Roman"/>
          <w:sz w:val="24"/>
          <w:szCs w:val="24"/>
          <w:shd w:val="clear" w:color="auto" w:fill="FFFFFF"/>
        </w:rPr>
      </w:pPr>
      <w:r w:rsidRPr="0031486C">
        <w:rPr>
          <w:rFonts w:ascii="Times New Roman" w:hAnsi="Times New Roman" w:cs="Times New Roman"/>
          <w:sz w:val="24"/>
          <w:szCs w:val="24"/>
        </w:rPr>
        <w:tab/>
      </w:r>
      <w:r w:rsidRPr="0031486C">
        <w:rPr>
          <w:rFonts w:ascii="Times New Roman" w:hAnsi="Times New Roman" w:cs="Times New Roman"/>
          <w:sz w:val="24"/>
          <w:szCs w:val="24"/>
          <w:shd w:val="clear" w:color="auto" w:fill="FFFFFF"/>
        </w:rPr>
        <w:t>Del lado de las “pérdidas” (o perdedores)</w:t>
      </w:r>
    </w:p>
    <w:p w:rsidR="009E3D31" w:rsidRDefault="009E3D31" w:rsidP="009E3D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Base de datos y detalle de los cálculos sobre e</w:t>
      </w:r>
      <w:r w:rsidRPr="00780DE3">
        <w:rPr>
          <w:rFonts w:ascii="Times New Roman" w:hAnsi="Times New Roman" w:cs="Times New Roman"/>
          <w:b/>
          <w:sz w:val="24"/>
          <w:szCs w:val="24"/>
        </w:rPr>
        <w:t xml:space="preserve">l </w:t>
      </w:r>
      <w:r>
        <w:rPr>
          <w:rFonts w:ascii="Times New Roman" w:hAnsi="Times New Roman" w:cs="Times New Roman"/>
          <w:b/>
          <w:sz w:val="24"/>
          <w:szCs w:val="24"/>
        </w:rPr>
        <w:t>“</w:t>
      </w:r>
      <w:r w:rsidRPr="00780DE3">
        <w:rPr>
          <w:rFonts w:ascii="Times New Roman" w:hAnsi="Times New Roman" w:cs="Times New Roman"/>
          <w:b/>
          <w:sz w:val="24"/>
          <w:szCs w:val="24"/>
        </w:rPr>
        <w:t>precio</w:t>
      </w:r>
      <w:r>
        <w:rPr>
          <w:rFonts w:ascii="Times New Roman" w:hAnsi="Times New Roman" w:cs="Times New Roman"/>
          <w:b/>
          <w:sz w:val="24"/>
          <w:szCs w:val="24"/>
        </w:rPr>
        <w:t>”</w:t>
      </w:r>
      <w:r w:rsidRPr="00780DE3">
        <w:rPr>
          <w:rFonts w:ascii="Times New Roman" w:hAnsi="Times New Roman" w:cs="Times New Roman"/>
          <w:b/>
          <w:sz w:val="24"/>
          <w:szCs w:val="24"/>
        </w:rPr>
        <w:t xml:space="preserve"> de la globalización</w:t>
      </w:r>
      <w:r>
        <w:rPr>
          <w:rFonts w:ascii="Times New Roman" w:hAnsi="Times New Roman" w:cs="Times New Roman"/>
          <w:b/>
          <w:sz w:val="24"/>
          <w:szCs w:val="24"/>
        </w:rPr>
        <w:t xml:space="preserve"> (al “costo” de los factores)</w:t>
      </w:r>
    </w:p>
    <w:p w:rsidR="009E3D31" w:rsidRPr="0031486C" w:rsidRDefault="009E3D31" w:rsidP="009E3D3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rPr>
        <w:tab/>
      </w:r>
      <w:r w:rsidRPr="0031486C">
        <w:rPr>
          <w:rFonts w:ascii="Times New Roman" w:hAnsi="Times New Roman" w:cs="Times New Roman"/>
          <w:sz w:val="24"/>
          <w:szCs w:val="24"/>
          <w:shd w:val="clear" w:color="auto" w:fill="FFFFFF"/>
        </w:rPr>
        <w:t>Cálculo de las “ganancias” (o ganadores) en el proceso de globalización</w:t>
      </w:r>
    </w:p>
    <w:p w:rsidR="009E3D31" w:rsidRDefault="009E3D31" w:rsidP="009E3D31">
      <w:pPr>
        <w:spacing w:line="240" w:lineRule="auto"/>
        <w:jc w:val="both"/>
        <w:rPr>
          <w:rFonts w:ascii="Times New Roman" w:hAnsi="Times New Roman" w:cs="Times New Roman"/>
          <w:sz w:val="24"/>
          <w:szCs w:val="24"/>
          <w:shd w:val="clear" w:color="auto" w:fill="FFFFFF"/>
        </w:rPr>
      </w:pPr>
      <w:r w:rsidRPr="0031486C">
        <w:rPr>
          <w:rFonts w:ascii="Times New Roman" w:hAnsi="Times New Roman" w:cs="Times New Roman"/>
          <w:sz w:val="24"/>
          <w:szCs w:val="24"/>
        </w:rPr>
        <w:tab/>
      </w:r>
      <w:r w:rsidRPr="0031486C">
        <w:rPr>
          <w:rFonts w:ascii="Times New Roman" w:hAnsi="Times New Roman" w:cs="Times New Roman"/>
          <w:sz w:val="24"/>
          <w:szCs w:val="24"/>
          <w:shd w:val="clear" w:color="auto" w:fill="FFFFFF"/>
        </w:rPr>
        <w:t>Cálculo de las “pérdidas” (o perdedores) en el proceso de globalización</w:t>
      </w:r>
    </w:p>
    <w:p w:rsidR="009E3D31" w:rsidRPr="00FE130B" w:rsidRDefault="009E3D31" w:rsidP="009E3D31">
      <w:pPr>
        <w:pStyle w:val="NormalWeb"/>
        <w:shd w:val="clear" w:color="auto" w:fill="FFFFFF"/>
        <w:jc w:val="both"/>
        <w:rPr>
          <w:b/>
        </w:rPr>
      </w:pPr>
      <w:r w:rsidRPr="00FE130B">
        <w:rPr>
          <w:rFonts w:eastAsiaTheme="minorHAnsi"/>
          <w:lang w:eastAsia="en-US"/>
        </w:rPr>
        <w:t xml:space="preserve">- </w:t>
      </w:r>
      <w:r w:rsidRPr="00FE130B">
        <w:rPr>
          <w:b/>
        </w:rPr>
        <w:t>Heli</w:t>
      </w:r>
      <w:r w:rsidR="00B7149D">
        <w:rPr>
          <w:b/>
        </w:rPr>
        <w:t>copter Money (rescate económico</w:t>
      </w:r>
      <w:r w:rsidRPr="00FE130B">
        <w:rPr>
          <w:b/>
        </w:rPr>
        <w:t xml:space="preserve"> - monetización de la deuda)</w:t>
      </w:r>
    </w:p>
    <w:p w:rsidR="009E3D31" w:rsidRDefault="009E3D31" w:rsidP="009E3D31">
      <w:pPr>
        <w:pStyle w:val="NormalWeb"/>
        <w:shd w:val="clear" w:color="auto" w:fill="FFFFFF"/>
        <w:jc w:val="both"/>
        <w:rPr>
          <w:b/>
        </w:rPr>
      </w:pPr>
      <w:r w:rsidRPr="00FE130B">
        <w:rPr>
          <w:b/>
        </w:rPr>
        <w:t xml:space="preserve">- Represión financiera (socialización de las pérdidas - castigo al ahorro) </w:t>
      </w:r>
    </w:p>
    <w:p w:rsidR="009E3D31" w:rsidRPr="005F116B" w:rsidRDefault="009E3D31" w:rsidP="009E3D31">
      <w:pPr>
        <w:spacing w:line="240" w:lineRule="auto"/>
        <w:jc w:val="both"/>
        <w:rPr>
          <w:rFonts w:ascii="Times New Roman" w:hAnsi="Times New Roman" w:cs="Times New Roman"/>
          <w:b/>
          <w:sz w:val="24"/>
          <w:szCs w:val="24"/>
        </w:rPr>
      </w:pPr>
      <w:r w:rsidRPr="005F116B">
        <w:rPr>
          <w:rFonts w:ascii="Times New Roman" w:hAnsi="Times New Roman" w:cs="Times New Roman"/>
          <w:b/>
          <w:sz w:val="24"/>
          <w:szCs w:val="24"/>
        </w:rPr>
        <w:t>- Lo que en realidad importa</w:t>
      </w:r>
      <w:r w:rsidR="00196CF7">
        <w:rPr>
          <w:rFonts w:ascii="Times New Roman" w:hAnsi="Times New Roman" w:cs="Times New Roman"/>
          <w:b/>
          <w:sz w:val="24"/>
          <w:szCs w:val="24"/>
        </w:rPr>
        <w:t xml:space="preserve"> (la mano que mece la cuna)</w:t>
      </w:r>
    </w:p>
    <w:p w:rsidR="009E3D31" w:rsidRDefault="009E3D31" w:rsidP="009E3D31">
      <w:pPr>
        <w:spacing w:line="240" w:lineRule="auto"/>
        <w:jc w:val="both"/>
        <w:rPr>
          <w:rFonts w:ascii="Times New Roman" w:hAnsi="Times New Roman" w:cs="Times New Roman"/>
          <w:b/>
          <w:sz w:val="24"/>
          <w:szCs w:val="24"/>
        </w:rPr>
      </w:pPr>
      <w:r w:rsidRPr="00344F06">
        <w:rPr>
          <w:rFonts w:ascii="Times New Roman" w:hAnsi="Times New Roman" w:cs="Times New Roman"/>
          <w:b/>
          <w:sz w:val="24"/>
          <w:szCs w:val="24"/>
        </w:rPr>
        <w:t xml:space="preserve">- Con este escenario, es inevitable que la crisis actual rehaga la globalización </w:t>
      </w:r>
      <w:r>
        <w:rPr>
          <w:rFonts w:ascii="Times New Roman" w:hAnsi="Times New Roman" w:cs="Times New Roman"/>
          <w:b/>
          <w:sz w:val="24"/>
          <w:szCs w:val="24"/>
        </w:rPr>
        <w:t xml:space="preserve">de un modo u otro. ¿Pero cómo? </w:t>
      </w:r>
    </w:p>
    <w:p w:rsidR="009E3D31" w:rsidRPr="0031486C" w:rsidRDefault="009E3D31" w:rsidP="009E3D3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rPr>
        <w:tab/>
      </w:r>
      <w:r w:rsidRPr="0031486C">
        <w:rPr>
          <w:rFonts w:ascii="Times New Roman" w:hAnsi="Times New Roman" w:cs="Times New Roman"/>
          <w:sz w:val="24"/>
          <w:szCs w:val="24"/>
          <w:shd w:val="clear" w:color="auto" w:fill="FFFFFF"/>
        </w:rPr>
        <w:t>Intentando tapar una verdad imposible de ocultar</w:t>
      </w:r>
    </w:p>
    <w:p w:rsidR="009E3D31" w:rsidRPr="0031486C" w:rsidRDefault="009E3D31" w:rsidP="009E3D31">
      <w:pPr>
        <w:spacing w:line="240" w:lineRule="auto"/>
        <w:jc w:val="both"/>
        <w:rPr>
          <w:rFonts w:ascii="Times New Roman" w:hAnsi="Times New Roman" w:cs="Times New Roman"/>
          <w:sz w:val="24"/>
          <w:szCs w:val="24"/>
        </w:rPr>
      </w:pPr>
      <w:r w:rsidRPr="0031486C">
        <w:rPr>
          <w:rFonts w:ascii="Times New Roman" w:hAnsi="Times New Roman" w:cs="Times New Roman"/>
          <w:sz w:val="24"/>
          <w:szCs w:val="24"/>
        </w:rPr>
        <w:tab/>
        <w:t>Negocios, traiciones, y disparates, como sistema económico de la posmodernidad</w:t>
      </w:r>
    </w:p>
    <w:p w:rsidR="009E3D31" w:rsidRDefault="009E3D31" w:rsidP="009E3D31">
      <w:pPr>
        <w:spacing w:line="240" w:lineRule="auto"/>
        <w:jc w:val="both"/>
        <w:rPr>
          <w:rFonts w:ascii="Times New Roman" w:hAnsi="Times New Roman" w:cs="Times New Roman"/>
          <w:sz w:val="24"/>
          <w:szCs w:val="24"/>
        </w:rPr>
      </w:pPr>
      <w:r w:rsidRPr="0031486C">
        <w:rPr>
          <w:rFonts w:ascii="Times New Roman" w:hAnsi="Times New Roman" w:cs="Times New Roman"/>
          <w:sz w:val="24"/>
          <w:szCs w:val="24"/>
        </w:rPr>
        <w:tab/>
        <w:t>Las perversiones económicas globales (2008: culpable EEUU y 2020: culpable China)</w:t>
      </w:r>
    </w:p>
    <w:p w:rsidR="009E3D31" w:rsidRDefault="009E3D31" w:rsidP="009E3D31">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31486C">
        <w:rPr>
          <w:rFonts w:ascii="Times New Roman" w:hAnsi="Times New Roman" w:cs="Times New Roman"/>
          <w:sz w:val="24"/>
          <w:szCs w:val="24"/>
        </w:rPr>
        <w:t>More questions than answers (la realidad que tanto cuesta reconocer al establishment)</w:t>
      </w:r>
    </w:p>
    <w:p w:rsidR="009E3D31" w:rsidRDefault="009E3D31" w:rsidP="009E3D31">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31486C">
        <w:rPr>
          <w:rFonts w:ascii="Times New Roman" w:hAnsi="Times New Roman" w:cs="Times New Roman"/>
          <w:sz w:val="24"/>
          <w:szCs w:val="24"/>
        </w:rPr>
        <w:t>Tanguedia I: Cuentas que no cierran… (y sangran todavía)</w:t>
      </w:r>
    </w:p>
    <w:p w:rsidR="009E3D31" w:rsidRDefault="009E3D31" w:rsidP="009E3D31">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31486C">
        <w:rPr>
          <w:rFonts w:ascii="Times New Roman" w:hAnsi="Times New Roman" w:cs="Times New Roman"/>
          <w:sz w:val="24"/>
          <w:szCs w:val="24"/>
        </w:rPr>
        <w:t xml:space="preserve">Tanguedia II: Lo que más bronca me da, es haber sido tan </w:t>
      </w:r>
      <w:r>
        <w:rPr>
          <w:rFonts w:ascii="Times New Roman" w:hAnsi="Times New Roman" w:cs="Times New Roman"/>
          <w:sz w:val="24"/>
          <w:szCs w:val="24"/>
        </w:rPr>
        <w:t>“</w:t>
      </w:r>
      <w:r w:rsidRPr="0031486C">
        <w:rPr>
          <w:rFonts w:ascii="Times New Roman" w:hAnsi="Times New Roman" w:cs="Times New Roman"/>
          <w:sz w:val="24"/>
          <w:szCs w:val="24"/>
        </w:rPr>
        <w:t>gil</w:t>
      </w:r>
      <w:r>
        <w:rPr>
          <w:rFonts w:ascii="Times New Roman" w:hAnsi="Times New Roman" w:cs="Times New Roman"/>
          <w:sz w:val="24"/>
          <w:szCs w:val="24"/>
        </w:rPr>
        <w:t>”</w:t>
      </w:r>
      <w:r w:rsidRPr="0031486C">
        <w:rPr>
          <w:rFonts w:ascii="Times New Roman" w:hAnsi="Times New Roman" w:cs="Times New Roman"/>
          <w:sz w:val="24"/>
          <w:szCs w:val="24"/>
        </w:rPr>
        <w:t xml:space="preserve"> (idiota)</w:t>
      </w:r>
    </w:p>
    <w:p w:rsidR="009E3D31" w:rsidRPr="00A23520" w:rsidRDefault="009E3D31" w:rsidP="009E3D31">
      <w:pPr>
        <w:spacing w:line="240" w:lineRule="auto"/>
        <w:jc w:val="both"/>
        <w:rPr>
          <w:rFonts w:ascii="Times New Roman" w:hAnsi="Times New Roman" w:cs="Times New Roman"/>
          <w:sz w:val="24"/>
          <w:szCs w:val="24"/>
        </w:rPr>
      </w:pPr>
      <w:r w:rsidRPr="00005D29">
        <w:rPr>
          <w:rFonts w:ascii="Times New Roman" w:hAnsi="Times New Roman" w:cs="Times New Roman"/>
          <w:b/>
          <w:sz w:val="24"/>
          <w:szCs w:val="24"/>
        </w:rPr>
        <w:t>- Del “big data”, al “big bang” (más allá del balance de sumas y saldos</w:t>
      </w:r>
      <w:r>
        <w:rPr>
          <w:rFonts w:ascii="Times New Roman" w:hAnsi="Times New Roman" w:cs="Times New Roman"/>
          <w:b/>
          <w:sz w:val="24"/>
          <w:szCs w:val="24"/>
        </w:rPr>
        <w:t>)</w:t>
      </w:r>
    </w:p>
    <w:p w:rsidR="009E3D31" w:rsidRPr="0031486C" w:rsidRDefault="009E3D31" w:rsidP="009E3D31">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31486C">
        <w:rPr>
          <w:rFonts w:ascii="Times New Roman" w:hAnsi="Times New Roman" w:cs="Times New Roman"/>
          <w:sz w:val="24"/>
          <w:szCs w:val="24"/>
        </w:rPr>
        <w:t>Una “sociedad del malestar”: solo puede mantenerse por la fuerza (¿modelo chino?)</w:t>
      </w:r>
    </w:p>
    <w:p w:rsidR="009E3D31" w:rsidRDefault="009E3D31" w:rsidP="009E3D31">
      <w:pPr>
        <w:spacing w:line="240" w:lineRule="auto"/>
        <w:jc w:val="both"/>
        <w:rPr>
          <w:rFonts w:ascii="Times New Roman" w:hAnsi="Times New Roman" w:cs="Times New Roman"/>
          <w:sz w:val="24"/>
          <w:szCs w:val="24"/>
        </w:rPr>
      </w:pPr>
      <w:r w:rsidRPr="0031486C">
        <w:rPr>
          <w:rFonts w:ascii="Times New Roman" w:hAnsi="Times New Roman" w:cs="Times New Roman"/>
          <w:sz w:val="24"/>
          <w:szCs w:val="24"/>
        </w:rPr>
        <w:t>Unión Europea: del estado del bienestar al estado del malestar</w:t>
      </w:r>
    </w:p>
    <w:p w:rsidR="009E3D31" w:rsidRDefault="00117A2B" w:rsidP="009E3D31">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EEUU: d</w:t>
      </w:r>
      <w:r w:rsidR="009E3D31" w:rsidRPr="00E0439E">
        <w:rPr>
          <w:rFonts w:ascii="Times New Roman" w:hAnsi="Times New Roman" w:cs="Times New Roman"/>
          <w:sz w:val="24"/>
          <w:szCs w:val="24"/>
        </w:rPr>
        <w:t>el sueño americano a la pesadilla americana</w:t>
      </w:r>
    </w:p>
    <w:p w:rsidR="009E3D31" w:rsidRPr="001E3FBA" w:rsidRDefault="003D5524" w:rsidP="009E3D31">
      <w:pPr>
        <w:spacing w:line="240" w:lineRule="auto"/>
        <w:jc w:val="both"/>
        <w:rPr>
          <w:rFonts w:ascii="Times New Roman" w:hAnsi="Times New Roman" w:cs="Times New Roman"/>
          <w:b/>
          <w:sz w:val="24"/>
          <w:szCs w:val="24"/>
        </w:rPr>
      </w:pPr>
      <w:r w:rsidRPr="001E3FBA">
        <w:rPr>
          <w:rFonts w:ascii="Times New Roman" w:hAnsi="Times New Roman" w:cs="Times New Roman"/>
          <w:b/>
          <w:sz w:val="24"/>
          <w:szCs w:val="24"/>
        </w:rPr>
        <w:t>- Conclusión (en el nombre del nieto): con todo esto… ¿qué carajo esperábamos que pasaría: hacer normal la vieja anormalidad?</w:t>
      </w:r>
    </w:p>
    <w:p w:rsidR="009E3D31" w:rsidRDefault="009E3D31" w:rsidP="009E3D31">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 La opinión de “los que saben” (o eso se supone)</w:t>
      </w:r>
    </w:p>
    <w:p w:rsidR="009E3D31" w:rsidRPr="001F4713" w:rsidRDefault="009E3D31" w:rsidP="009E3D31">
      <w:pPr>
        <w:spacing w:line="240" w:lineRule="auto"/>
        <w:jc w:val="both"/>
        <w:rPr>
          <w:rFonts w:ascii="Times New Roman" w:hAnsi="Times New Roman" w:cs="Times New Roman"/>
          <w:b/>
          <w:sz w:val="24"/>
          <w:szCs w:val="24"/>
          <w:shd w:val="clear" w:color="auto" w:fill="FFFFFF"/>
        </w:rPr>
      </w:pPr>
      <w:r w:rsidRPr="001F4713">
        <w:rPr>
          <w:rFonts w:ascii="Times New Roman" w:hAnsi="Times New Roman" w:cs="Times New Roman"/>
          <w:b/>
          <w:sz w:val="24"/>
          <w:szCs w:val="24"/>
          <w:shd w:val="clear" w:color="auto" w:fill="FFFFFF"/>
        </w:rPr>
        <w:t>Anexo II: Información complementaria (gráficos y tablas, de fuentes seleccionadas)</w:t>
      </w:r>
    </w:p>
    <w:p w:rsidR="009E3D31" w:rsidRDefault="009E3D31" w:rsidP="009E3D31">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III: Base de datos, e informes de Organism</w:t>
      </w:r>
      <w:r w:rsidR="005005D2">
        <w:rPr>
          <w:rFonts w:ascii="Times New Roman" w:hAnsi="Times New Roman" w:cs="Times New Roman"/>
          <w:b/>
          <w:sz w:val="24"/>
          <w:szCs w:val="24"/>
        </w:rPr>
        <w:t xml:space="preserve">os Internacionales </w:t>
      </w:r>
    </w:p>
    <w:p w:rsidR="007747B9" w:rsidRDefault="007747B9" w:rsidP="006E5D75">
      <w:pPr>
        <w:spacing w:line="240" w:lineRule="auto"/>
        <w:jc w:val="both"/>
        <w:rPr>
          <w:rFonts w:ascii="Times New Roman" w:eastAsia="Times New Roman" w:hAnsi="Times New Roman" w:cs="Times New Roman"/>
          <w:sz w:val="24"/>
          <w:szCs w:val="24"/>
        </w:rPr>
      </w:pPr>
      <w:r>
        <w:rPr>
          <w:rFonts w:ascii="Times New Roman" w:hAnsi="Times New Roman" w:cs="Times New Roman"/>
          <w:b/>
          <w:sz w:val="24"/>
          <w:szCs w:val="24"/>
        </w:rPr>
        <w:lastRenderedPageBreak/>
        <w:t xml:space="preserve">- Introducción: </w:t>
      </w:r>
      <w:r>
        <w:rPr>
          <w:rFonts w:ascii="Times New Roman" w:eastAsia="Times New Roman" w:hAnsi="Times New Roman" w:cs="Times New Roman"/>
          <w:b/>
          <w:sz w:val="24"/>
          <w:szCs w:val="24"/>
        </w:rPr>
        <w:t xml:space="preserve">La globalización, </w:t>
      </w:r>
      <w:r w:rsidRPr="008E76DC">
        <w:rPr>
          <w:rFonts w:ascii="Times New Roman" w:eastAsia="Times New Roman" w:hAnsi="Times New Roman" w:cs="Times New Roman"/>
          <w:b/>
          <w:sz w:val="24"/>
          <w:szCs w:val="24"/>
        </w:rPr>
        <w:t>co</w:t>
      </w:r>
      <w:r>
        <w:rPr>
          <w:rFonts w:ascii="Times New Roman" w:eastAsia="Times New Roman" w:hAnsi="Times New Roman" w:cs="Times New Roman"/>
          <w:b/>
          <w:sz w:val="24"/>
          <w:szCs w:val="24"/>
        </w:rPr>
        <w:t xml:space="preserve">nfirma </w:t>
      </w:r>
      <w:r w:rsidRPr="008E76DC">
        <w:rPr>
          <w:rFonts w:ascii="Times New Roman" w:eastAsia="Times New Roman" w:hAnsi="Times New Roman" w:cs="Times New Roman"/>
          <w:b/>
          <w:sz w:val="24"/>
          <w:szCs w:val="24"/>
        </w:rPr>
        <w:t>que “hay convicciones que crean evidencias”</w:t>
      </w:r>
      <w:r w:rsidRPr="00331198">
        <w:rPr>
          <w:rFonts w:ascii="Times New Roman" w:eastAsia="Times New Roman" w:hAnsi="Times New Roman" w:cs="Times New Roman"/>
          <w:sz w:val="24"/>
          <w:szCs w:val="24"/>
        </w:rPr>
        <w:t>(Proust)</w:t>
      </w:r>
    </w:p>
    <w:p w:rsidR="007747B9" w:rsidRPr="007747B9" w:rsidRDefault="007747B9" w:rsidP="006E5D75">
      <w:pPr>
        <w:spacing w:line="240" w:lineRule="auto"/>
        <w:jc w:val="both"/>
        <w:rPr>
          <w:rFonts w:ascii="Times New Roman" w:eastAsia="Times New Roman" w:hAnsi="Times New Roman" w:cs="Times New Roman"/>
          <w:sz w:val="24"/>
          <w:szCs w:val="24"/>
        </w:rPr>
      </w:pPr>
    </w:p>
    <w:p w:rsidR="006E5D75" w:rsidRPr="006E5D75"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25086" cy="2602006"/>
            <wp:effectExtent l="0" t="0" r="0" b="8255"/>
            <wp:docPr id="302" name="Imagen 302" descr="berglof24_STRAFP via Getty Images_chinashippingtruck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rglof24_STRAFP via Getty Images_chinashippingtrucktrade"/>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04926"/>
                    </a:xfrm>
                    <a:prstGeom prst="rect">
                      <a:avLst/>
                    </a:prstGeom>
                    <a:noFill/>
                    <a:ln>
                      <a:noFill/>
                    </a:ln>
                  </pic:spPr>
                </pic:pic>
              </a:graphicData>
            </a:graphic>
          </wp:inline>
        </w:drawing>
      </w:r>
    </w:p>
    <w:p w:rsidR="006E5D75" w:rsidRPr="004C4244" w:rsidRDefault="006E5D75" w:rsidP="006E5D75">
      <w:pPr>
        <w:spacing w:after="0" w:line="240" w:lineRule="auto"/>
        <w:jc w:val="both"/>
        <w:rPr>
          <w:rFonts w:ascii="Times New Roman" w:eastAsia="Times New Roman" w:hAnsi="Times New Roman" w:cs="Times New Roman"/>
          <w:b/>
          <w:sz w:val="24"/>
          <w:szCs w:val="24"/>
        </w:rPr>
      </w:pP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Cuando todo (o casi todo) se fabrica en China, resulta  fácil anticipar que en un momento u otro se darán dificultades de abastecimiento en algún sector esencial. La crisis sanitaria (Covid 19) puso en situación de emergencia (primero) y de urgencia (después), el aprovisionamiento de material sanitario (desde las insignificantes mascarillas, a los imprescindibles equipos de protección para el personal sanitaria, y los vitales respiradores para las Unidades de Cuidados Intensivos). Entonces la crisis sanitaria se transformó (por obra y gracia de la globalización), en una crisis de oferta, en toda regla. El “costo”, de la chapuza, fue la muerte de cientos de miles de personas infectadas. </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La falta de material sanitario en los momentos más graves subrayó las grandes deficiencias de aprovisionamiento que, en muchos campos, poseen los países occidentales, y señaló inequívocamente la dependencia que se tiene de China. El motivo esencial de las deslocalizaciones fue conseguir productos más baratos para que las firmas ganasen más. </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Resultado: mayor beneficio para el capital gracias al abaratamiento masivo de los costes laborales globales. Efecto colateral: el ascenso chino se volvió imparable. Si en el cambio del milenio la economía china suponía un 13% del PIB de Estados Unidos, para 2016 ya era el 60% (y alcanzará, en 2023, el 88% según el FMI).</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El “invento” de la globalización (a partir de la caída de la Unión Soviética) se basaba en la idea que China aceptaba una posición secundaria en el concierto mundial a cambio de crecer a ritmos vertiginosos mediante exportaciones baratas, y que Estados Unidos, continuaba como único súper poder global, encargado de consumir la sobreproducción asiática y encomendado a liderar una transición productiva basada en la innovación.</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Pero este entendimiento nació de un grave error de cálculo de Occidente al permitir, en diciembre de 2001, la adhesión de China a la OMC en 2001 sin ningún tipo de condición, ni regulaciones, ni balances democráticos. Supusieron entonces que la mano invisible del mercado se encargaría de acelerar las dinámicas internas que llevarían al gigante asiático a </w:t>
      </w:r>
      <w:r w:rsidRPr="00556EA7">
        <w:rPr>
          <w:rFonts w:ascii="Times New Roman" w:hAnsi="Times New Roman" w:cs="Times New Roman"/>
          <w:sz w:val="24"/>
          <w:szCs w:val="24"/>
          <w:shd w:val="clear" w:color="auto" w:fill="FFFFFF"/>
        </w:rPr>
        <w:lastRenderedPageBreak/>
        <w:t>convertirse en “uno de los nuestros”. En realidad, fue un caballo de Troya en la economía global, introduciendo una fuerza de trabajo imbatible y unas enormes tasas de ahorro.</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La crisis sanitaria ha puesto en evidencia la conveniencia de reducir la dependencia del exterior en sectores estratégicos, proteger las inversiones nacionales y ser más ambiciosos para atraer o relocalizar industrias clave. La necesidad de relocalización de muchos sectores está encima de la mesa, EEUU insiste especialmente en ello, y la UE ha subrayado ya que sería un momento conveniente. Europa  tiene que ser menos ingenua e impulsar su soberanía económica, para poder frenar o competir en mejores condiciones con las potencias depredadoras.</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Por supuesto, que la globalización ha sido un invento fallido, lo saben muchos analistas económicos, gurús mediáticos, y vacas sagradas de la “Ivy League”… Pero asumirlo implica despojarse de trampas retóricas, ensoñaciones, productos anestésicos, y obliga a hacerse cargo del drama, cada uno desde su lugar.</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¿Podrán los “grandes bonetes” seguir negando las evidencias? ¿Hasta cuándo el “establishment” podrá continuar ejercitando su ceguera voluntaria? ¿Habrá llegado el momento para que se impongan las reflexiones ineludibles?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Entre trampas y falacias, afloró la mentira de la “tierra plana” (Friedman), por no ironizar con la fábula del “fin de la historia” (Fukuyama). Al fin, desde mi humilde “speaker corner” y con la poca voz que tengo, después de más de 22 años de publicar y debatir sobre globalización económica, les dejo mi balance: deuda, déficit, despilfarro y depresión. Puro pasivo: recesión, desempleo, desigualdad y pobreza.</w:t>
      </w:r>
    </w:p>
    <w:p w:rsidR="006E5D75" w:rsidRPr="00556EA7" w:rsidRDefault="006E5D75" w:rsidP="006E5D75">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Toca decidir a estos “ínclitos personajes” (algunos Nobelados, y muchos noveleros) si emplean el tiempo disponible (antes del estallido social) en “ayudar” desde sus púlpitos, a controlar los daños o en exacerbarlos. </w:t>
      </w:r>
      <w:r w:rsidRPr="00556EA7">
        <w:rPr>
          <w:rFonts w:ascii="Times New Roman" w:hAnsi="Times New Roman" w:cs="Times New Roman"/>
          <w:sz w:val="24"/>
          <w:szCs w:val="24"/>
        </w:rPr>
        <w:t>Si los unos (Nobelados) y los otros (noveleros) siguen cerrando los ojos a esa realidad, lo pagarán muy caro. No me preocupa el destino de estos “ínclitos personajes”, que serán bienvenidos en el infierno. Me preocupa la sociedad, la democracia y la economía (en ese orden).</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A la intención política le debe seguir la lógica económica. Y no está nada claro que el consumidor esté dispuesto a pagar más por “salir” de China, ni que las compañías vayan a renunciar a la combinación de ventajas que sigue ofreciendo el país.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Sobre los consumidores (codiciosos) que quieren seguir optando por productos baratos, se les termina el tiempo feliz (de empujar el carrito de la compra) en cuanto se quedan sin empleo.</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Sobre los empresarios (avaros), creo que la única forma en que les duela el bolsillo (y cambien de actitud), es con alguna forma de boicot por parte de los consumidores a los productos que no sean de industria nacional. ¿Cómo se apañaría Apple, para seguir vendiendo sus chucherías? ¿Qué productos ofrecería Amazon? ¿Habría más “Black Friday”?</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Algunos expertos creen que lo que podemos esperar es una “glocalización” (Rifkin), en la que veremos más inversión industrial en ciertos sectores estratégicos acompañado de una mayor diversificación de las cadenas de suministro hacia centros de producción más cercanos y confiables. Unir el mundo de una manera glocal, distribuida, con redes abiertas. Veremos.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Nadie pareció prever el efecto devastador que la globalización tendría entre los trabajadores fabriles occidentales, que desde los años sesenta habían conseguido auparse a la clase media y, en muchos casos, se cayeron de ella a partir de la década del dos mil y, de manera más </w:t>
      </w:r>
      <w:r w:rsidRPr="00556EA7">
        <w:rPr>
          <w:rFonts w:ascii="Times New Roman" w:hAnsi="Times New Roman" w:cs="Times New Roman"/>
          <w:sz w:val="24"/>
          <w:szCs w:val="24"/>
        </w:rPr>
        <w:lastRenderedPageBreak/>
        <w:t xml:space="preserve">acusada, tras la crisis financiera de 2008. Se pensó que ese problema podía solventarse con otra idea de pensamiento ilusorio: se reasignaría la mano de obra que hubiera perdido su trabajo hacia sectores con un valor añadido cada vez mayor, como si los mercados laborales fueran infinitamente flexibles.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Hoy, las consecuencias de ese fracaso son, en cierto sentido, el centro de la política en los países ricos: ¿qué hacemos para restaurar la dignidad y la prosperidad heridas de millones de trabajadores a los que el mercado parece decirles que son superfluos? Una parte del electorado ha decidido que el nacionalismo y el mercantilismo pueden ser la solución.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Es posible que dentro de unos años nos demos cuenta de que las predicciones sobre la desglobalización han sido un poco exageradas. Pero es innegable que la pandemia ha agravado lo que ya es una tendencia, al menos desde 2016, cuando Donald Trump decidió, en parte con buenos motivos pero de manera equivocada, frenar las ambiciones geopolíticas de China golpeándola en la economía.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Hoy no dejamos de oír que lo que necesitamos son “cadenas logísticas” más cortas: que el lugar donde se diseña un teléfono, sus materias primas y su proceso de ensamblaje deberían estar mucho más cerca de lo que lo están en la actualidad.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b/>
          <w:sz w:val="24"/>
          <w:szCs w:val="24"/>
        </w:rPr>
        <w:t>No puedo callar</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El mundo cambiará muy poco, si por poco se considera la consolidación de China como epicentro del mundo, suplantando un siglo de hegemonía norteamericana y reduciendo Europa a ese tópico lugar lleno de bellos museos y magníficos festivales de música veraniegos, al estilo de Salzburgo o Bayreuth. Nuestro mundo seguirá igual, pero peor.</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países europeos pueden decir que no tienen el peor Gobierno para hacer frente a la peor de las crisis?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entran en la crisis con margen de maniobra fiscal?</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la hipótesis de una quiebra financiera del Estado es absolutamente descabellada?</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no necesitan como fuente de financiación de la compra de deuda pública por el BCE y/o de los programas de ayuda que ponga en marcha Bruselas?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 ¿Cuántos gobiernos europeos pueden negar su total dependencia del exterior?</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negar que vivan de la caridad ajena?</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¿Es una forma de “no dejar a nadie atrás”… “dejar a todos atrás”?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¿Se puede ganar el futuro con una sociedad conformista y anestesiada, devota del estatismo, que aspira al aprobado general sin estudiar y a la paga sin trabajar, y a la que importa un comino la libertad, su libertad, porque nunca ha pensado hacer uso de ella?</w:t>
      </w:r>
    </w:p>
    <w:p w:rsidR="006E5D75"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Así se podrá salir de la pandemia (aunque sea con la herida emocional de miles de muertos a cuestas) y se terminará saliendo también de la recesión, pero no se podrá salir (tal vez, nunca) de la irrelevancia y el empobrecimiento (económico, intelectual, y moral).</w:t>
      </w:r>
    </w:p>
    <w:p w:rsidR="006E5D75" w:rsidRPr="00556EA7" w:rsidRDefault="006E5D75" w:rsidP="006E5D75">
      <w:pPr>
        <w:spacing w:line="240" w:lineRule="auto"/>
        <w:jc w:val="both"/>
        <w:rPr>
          <w:rFonts w:ascii="Times New Roman" w:hAnsi="Times New Roman" w:cs="Times New Roman"/>
          <w:b/>
          <w:sz w:val="24"/>
          <w:szCs w:val="24"/>
        </w:rPr>
      </w:pPr>
      <w:r w:rsidRPr="00556EA7">
        <w:rPr>
          <w:rFonts w:ascii="Times New Roman" w:hAnsi="Times New Roman" w:cs="Times New Roman"/>
          <w:b/>
          <w:sz w:val="24"/>
          <w:szCs w:val="24"/>
        </w:rPr>
        <w:lastRenderedPageBreak/>
        <w:t>El fin del silencio de los corderos con GPS</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Cuando abundan las colas de hambre, la angustia de los impagos y la incertidumbre en los empleos, algún “alquimista” (de los tantos que abundan por Washington SA, o por Davos Inc.) se cree, aún, que puede convencer a las “ovejas” con GPS (la “manada”, según los “algorítmicos” de Wall Street) que viven mejor con la globalización (que antes, trajo la crisis financiera -2008- y ahora, trajo la crisis sanitaria -2020-), con el librecambio y con la financierización. ¿Que la globalización es un “paradigma” que favorece los ciudadanos?… ¡No jodamos!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Como dijo Lincoln: “Puedes engañar a todo el mundo algún tiempo. Puedes engañar a algunos todo el tiempo. Pero no puedes engañar a todo el mundo todo el tiempo”. </w:t>
      </w:r>
    </w:p>
    <w:p w:rsidR="006E5D75" w:rsidRPr="00556EA7"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Después de tan tremendas carnicerías sociales en poco más de una década (2008-2020): no hay dirigente occidental que aspire hoy a mucho más que a llegar vivo a Navidad. Y queda por ver dónde estarán las grandes empresas y a sus prominentes CEO, para las campanadas. </w:t>
      </w:r>
    </w:p>
    <w:p w:rsidR="006E5D75" w:rsidRDefault="006E5D75" w:rsidP="006E5D75">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Cuando el presente precario se impone, cualquier promesa de futuro, se convierte en una caricatura. Y las propuestas de librecambio, se transforman en una ideología de anticuario. </w:t>
      </w:r>
    </w:p>
    <w:p w:rsidR="006E5D75" w:rsidRDefault="007A637F" w:rsidP="006E5D75">
      <w:pPr>
        <w:spacing w:line="240" w:lineRule="auto"/>
        <w:jc w:val="both"/>
        <w:rPr>
          <w:rFonts w:ascii="Times New Roman" w:hAnsi="Times New Roman" w:cs="Times New Roman"/>
          <w:sz w:val="24"/>
          <w:szCs w:val="24"/>
        </w:rPr>
      </w:pPr>
      <w:r w:rsidRPr="007A637F">
        <w:rPr>
          <w:rFonts w:ascii="Times New Roman" w:hAnsi="Times New Roman" w:cs="Times New Roman"/>
          <w:sz w:val="24"/>
          <w:szCs w:val="24"/>
        </w:rPr>
        <w:t>Lo único</w:t>
      </w:r>
      <w:r>
        <w:rPr>
          <w:rFonts w:ascii="Times New Roman" w:hAnsi="Times New Roman" w:cs="Times New Roman"/>
          <w:sz w:val="24"/>
          <w:szCs w:val="24"/>
        </w:rPr>
        <w:t xml:space="preserve"> que pueden hacer los “profetas” de la mundialización es defender su culpabilidad, pero con excusas, frente a mi (y de algunos pocos más) denuncia sobre su culpabilidad, pero sin excusas.</w:t>
      </w:r>
    </w:p>
    <w:p w:rsidR="007A637F" w:rsidRDefault="007A637F"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Al menos (siguiendo los consejos de los abogados</w:t>
      </w:r>
      <w:r w:rsidR="00243173">
        <w:rPr>
          <w:rFonts w:ascii="Times New Roman" w:hAnsi="Times New Roman" w:cs="Times New Roman"/>
          <w:sz w:val="24"/>
          <w:szCs w:val="24"/>
        </w:rPr>
        <w:t xml:space="preserve"> en los juicios) si se callaran…</w:t>
      </w:r>
      <w:r>
        <w:rPr>
          <w:rFonts w:ascii="Times New Roman" w:hAnsi="Times New Roman" w:cs="Times New Roman"/>
          <w:sz w:val="24"/>
          <w:szCs w:val="24"/>
        </w:rPr>
        <w:t xml:space="preserve"> convendría más para la defensa. En cierto modo</w:t>
      </w:r>
      <w:r w:rsidR="00243173">
        <w:rPr>
          <w:rFonts w:ascii="Times New Roman" w:hAnsi="Times New Roman" w:cs="Times New Roman"/>
          <w:sz w:val="24"/>
          <w:szCs w:val="24"/>
        </w:rPr>
        <w:t>,</w:t>
      </w:r>
      <w:r>
        <w:rPr>
          <w:rFonts w:ascii="Times New Roman" w:hAnsi="Times New Roman" w:cs="Times New Roman"/>
          <w:sz w:val="24"/>
          <w:szCs w:val="24"/>
        </w:rPr>
        <w:t xml:space="preserve"> parecen tratar el asunto con prescindencia de la ingente cantidad de personas afectadas, decidiendo su suerte sin pedirles opinión.</w:t>
      </w:r>
    </w:p>
    <w:p w:rsidR="007A637F" w:rsidRDefault="007A637F"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Sobre la premeditación del daño podrían alegar ignorancia, aunque tendrían que justificar</w:t>
      </w:r>
      <w:r w:rsidR="00A00674">
        <w:rPr>
          <w:rFonts w:ascii="Times New Roman" w:hAnsi="Times New Roman" w:cs="Times New Roman"/>
          <w:sz w:val="24"/>
          <w:szCs w:val="24"/>
        </w:rPr>
        <w:t xml:space="preserve"> la insensibilidad. Difícil cometido.</w:t>
      </w:r>
    </w:p>
    <w:p w:rsidR="00A00674" w:rsidRDefault="00A00674"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No han sido actos irreflexivos que puedan considerarse atenuados por las circunstancias</w:t>
      </w:r>
      <w:r w:rsidR="00126978">
        <w:rPr>
          <w:rFonts w:ascii="Times New Roman" w:hAnsi="Times New Roman" w:cs="Times New Roman"/>
          <w:sz w:val="24"/>
          <w:szCs w:val="24"/>
        </w:rPr>
        <w:t>. No es posible que hayan actuado sin darse cuenta.</w:t>
      </w:r>
    </w:p>
    <w:p w:rsidR="00126978" w:rsidRDefault="00126978"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Ante unos cargos tan aplastantes (</w:t>
      </w:r>
      <w:r w:rsidR="00243173">
        <w:rPr>
          <w:rFonts w:ascii="Times New Roman" w:hAnsi="Times New Roman" w:cs="Times New Roman"/>
          <w:sz w:val="24"/>
          <w:szCs w:val="24"/>
        </w:rPr>
        <w:t>causar</w:t>
      </w:r>
      <w:r>
        <w:rPr>
          <w:rFonts w:ascii="Times New Roman" w:hAnsi="Times New Roman" w:cs="Times New Roman"/>
          <w:sz w:val="24"/>
          <w:szCs w:val="24"/>
        </w:rPr>
        <w:t xml:space="preserve"> las dos mayores depresiones -2008 y 2020- de alcance mundial, desde la crisis del año 1930)… ¿acaso han demostrado por lo menos</w:t>
      </w:r>
      <w:r w:rsidR="00243173">
        <w:rPr>
          <w:rFonts w:ascii="Times New Roman" w:hAnsi="Times New Roman" w:cs="Times New Roman"/>
          <w:sz w:val="24"/>
          <w:szCs w:val="24"/>
        </w:rPr>
        <w:t>,</w:t>
      </w:r>
      <w:r>
        <w:rPr>
          <w:rFonts w:ascii="Times New Roman" w:hAnsi="Times New Roman" w:cs="Times New Roman"/>
          <w:sz w:val="24"/>
          <w:szCs w:val="24"/>
        </w:rPr>
        <w:t xml:space="preserve"> arrepentimiento?</w:t>
      </w:r>
    </w:p>
    <w:p w:rsidR="00243173" w:rsidRDefault="00126978" w:rsidP="00243173">
      <w:pPr>
        <w:spacing w:line="240" w:lineRule="auto"/>
        <w:jc w:val="both"/>
        <w:rPr>
          <w:rFonts w:ascii="Times New Roman" w:hAnsi="Times New Roman" w:cs="Times New Roman"/>
          <w:sz w:val="24"/>
          <w:szCs w:val="24"/>
        </w:rPr>
      </w:pPr>
      <w:r>
        <w:rPr>
          <w:rFonts w:ascii="Times New Roman" w:hAnsi="Times New Roman" w:cs="Times New Roman"/>
          <w:sz w:val="24"/>
          <w:szCs w:val="24"/>
        </w:rPr>
        <w:t>Jamás, hasta el momento</w:t>
      </w:r>
      <w:r w:rsidR="00243173">
        <w:rPr>
          <w:rFonts w:ascii="Times New Roman" w:hAnsi="Times New Roman" w:cs="Times New Roman"/>
          <w:sz w:val="24"/>
          <w:szCs w:val="24"/>
        </w:rPr>
        <w:t>,</w:t>
      </w:r>
      <w:r>
        <w:rPr>
          <w:rFonts w:ascii="Times New Roman" w:hAnsi="Times New Roman" w:cs="Times New Roman"/>
          <w:sz w:val="24"/>
          <w:szCs w:val="24"/>
        </w:rPr>
        <w:t xml:space="preserve"> nunca. Ni una sola vez en el curso de esta triste historia de la globalización económica, han parecido conmovidos por sus abominables crímenes sociales. Tanto encarnizamiento asombra.</w:t>
      </w:r>
    </w:p>
    <w:p w:rsidR="00243173" w:rsidRPr="00243173" w:rsidRDefault="00243173" w:rsidP="00243173">
      <w:pPr>
        <w:spacing w:line="240" w:lineRule="auto"/>
        <w:jc w:val="both"/>
        <w:rPr>
          <w:rFonts w:ascii="Times New Roman" w:hAnsi="Times New Roman" w:cs="Times New Roman"/>
          <w:sz w:val="24"/>
          <w:szCs w:val="24"/>
        </w:rPr>
      </w:pPr>
      <w:r w:rsidRPr="00243173">
        <w:rPr>
          <w:rFonts w:ascii="Times New Roman" w:hAnsi="Times New Roman" w:cs="Times New Roman"/>
          <w:sz w:val="24"/>
          <w:szCs w:val="24"/>
        </w:rPr>
        <w:t>Los poderes económicos (y políticos) son por su propia naturaleza insaciables. Siempre quieren más. Ignoran el punto culminante de la victoria. Pretenden la incesante explotación del éxito de la que acaba derivando el desastre seguro. Se sienten desequilibrados por la duda y procuran ahuyentarla.</w:t>
      </w:r>
    </w:p>
    <w:p w:rsidR="00243173" w:rsidRDefault="00243173" w:rsidP="00243173">
      <w:pPr>
        <w:spacing w:line="240" w:lineRule="auto"/>
        <w:jc w:val="both"/>
        <w:rPr>
          <w:rFonts w:ascii="Times New Roman" w:hAnsi="Times New Roman" w:cs="Times New Roman"/>
          <w:sz w:val="24"/>
          <w:szCs w:val="24"/>
        </w:rPr>
      </w:pPr>
      <w:r w:rsidRPr="00243173">
        <w:rPr>
          <w:rFonts w:ascii="Times New Roman" w:hAnsi="Times New Roman" w:cs="Times New Roman"/>
          <w:sz w:val="24"/>
          <w:szCs w:val="24"/>
        </w:rPr>
        <w:t>Evitan cuestionarse los propios logros. Intentan disipar la niebla de la incertidumbre. Buscan perpetuarse, como si la perennidad les hiciera impunes. Abominan de los desafectos. Sospechan de las adhesiones al uso. Prefieren las inquebrantables, procedentes de inasequibles al desaliento. Toda crítica es excesiva y todo elogio, insuficiente.</w:t>
      </w:r>
    </w:p>
    <w:p w:rsidR="00012764" w:rsidRPr="008935E0" w:rsidRDefault="00243173" w:rsidP="006E5D75">
      <w:pPr>
        <w:spacing w:line="240" w:lineRule="auto"/>
        <w:jc w:val="both"/>
        <w:rPr>
          <w:rFonts w:ascii="Times New Roman" w:hAnsi="Times New Roman" w:cs="Times New Roman"/>
          <w:b/>
          <w:sz w:val="24"/>
          <w:szCs w:val="24"/>
        </w:rPr>
      </w:pPr>
      <w:r w:rsidRPr="008935E0">
        <w:rPr>
          <w:rFonts w:ascii="Times New Roman" w:hAnsi="Times New Roman" w:cs="Times New Roman"/>
          <w:b/>
          <w:sz w:val="24"/>
          <w:szCs w:val="24"/>
        </w:rPr>
        <w:t xml:space="preserve">Aunque se esté entrando en una fase de eclipse total de la globalización económica, quienes se malician ser sus inminentes huérfanos, se niegan a perder sus prebendas. </w:t>
      </w:r>
    </w:p>
    <w:p w:rsidR="006E5D75" w:rsidRPr="00012764" w:rsidRDefault="006E5D75" w:rsidP="006E5D75">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 Los últimos datos que, por razón de tiempo, escapan a las estadísticas publicadas</w:t>
      </w:r>
    </w:p>
    <w:p w:rsidR="006E5D75"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5171" cy="3166782"/>
            <wp:effectExtent l="0" t="0" r="0" b="0"/>
            <wp:docPr id="24" name="Imagen 24" descr="Foto de La banca se enfrenta a un agujero sin precedentes en el trimestre clave del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de La banca se enfrenta a un agujero sin precedentes en el trimestre clave del año"/>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64761"/>
                    </a:xfrm>
                    <a:prstGeom prst="rect">
                      <a:avLst/>
                    </a:prstGeom>
                    <a:noFill/>
                    <a:ln>
                      <a:noFill/>
                    </a:ln>
                  </pic:spPr>
                </pic:pic>
              </a:graphicData>
            </a:graphic>
          </wp:inline>
        </w:drawing>
      </w:r>
    </w:p>
    <w:p w:rsidR="006E5D75" w:rsidRPr="004C4244" w:rsidRDefault="006E5D75" w:rsidP="006E5D75">
      <w:pPr>
        <w:spacing w:after="0" w:line="240" w:lineRule="auto"/>
        <w:jc w:val="both"/>
        <w:rPr>
          <w:rFonts w:ascii="Times New Roman" w:hAnsi="Times New Roman" w:cs="Times New Roman"/>
          <w:sz w:val="24"/>
          <w:szCs w:val="24"/>
        </w:rPr>
      </w:pPr>
      <w:r w:rsidRPr="00331198">
        <w:rPr>
          <w:rFonts w:ascii="Times New Roman" w:hAnsi="Times New Roman" w:cs="Times New Roman"/>
          <w:b/>
          <w:sz w:val="24"/>
          <w:szCs w:val="24"/>
        </w:rPr>
        <w:t>Nota</w:t>
      </w:r>
      <w:r>
        <w:rPr>
          <w:rFonts w:ascii="Times New Roman" w:hAnsi="Times New Roman" w:cs="Times New Roman"/>
          <w:sz w:val="24"/>
          <w:szCs w:val="24"/>
        </w:rPr>
        <w:t>: los lectores “con poco tiempo”, los suficientement</w:t>
      </w:r>
      <w:r w:rsidR="001E3FBA">
        <w:rPr>
          <w:rFonts w:ascii="Times New Roman" w:hAnsi="Times New Roman" w:cs="Times New Roman"/>
          <w:sz w:val="24"/>
          <w:szCs w:val="24"/>
        </w:rPr>
        <w:t>e “actualizados” o, simplemente</w:t>
      </w:r>
      <w:r>
        <w:rPr>
          <w:rFonts w:ascii="Times New Roman" w:hAnsi="Times New Roman" w:cs="Times New Roman"/>
          <w:sz w:val="24"/>
          <w:szCs w:val="24"/>
        </w:rPr>
        <w:t xml:space="preserve"> aquellos</w:t>
      </w:r>
      <w:r w:rsidR="001E3FBA">
        <w:rPr>
          <w:rFonts w:ascii="Times New Roman" w:hAnsi="Times New Roman" w:cs="Times New Roman"/>
          <w:sz w:val="24"/>
          <w:szCs w:val="24"/>
        </w:rPr>
        <w:t>,</w:t>
      </w:r>
      <w:r>
        <w:rPr>
          <w:rFonts w:ascii="Times New Roman" w:hAnsi="Times New Roman" w:cs="Times New Roman"/>
          <w:sz w:val="24"/>
          <w:szCs w:val="24"/>
        </w:rPr>
        <w:t xml:space="preserve"> solo interesados en conocer (revisar, o criticar) mis cálculos sobre el precio de la globalización (al costo de los factores), pueden saltear este Apartado (pasando a la pag. </w:t>
      </w:r>
      <w:r w:rsidR="007747B9">
        <w:rPr>
          <w:rFonts w:ascii="Times New Roman" w:hAnsi="Times New Roman" w:cs="Times New Roman"/>
          <w:sz w:val="24"/>
          <w:szCs w:val="24"/>
        </w:rPr>
        <w:t>100</w:t>
      </w:r>
      <w:r>
        <w:rPr>
          <w:rFonts w:ascii="Times New Roman" w:hAnsi="Times New Roman" w:cs="Times New Roman"/>
          <w:sz w:val="24"/>
          <w:szCs w:val="24"/>
        </w:rPr>
        <w:t xml:space="preserve">). </w:t>
      </w:r>
    </w:p>
    <w:p w:rsidR="006E5D75" w:rsidRDefault="006E5D75" w:rsidP="006E5D75">
      <w:pPr>
        <w:spacing w:after="0" w:line="240" w:lineRule="auto"/>
        <w:jc w:val="both"/>
        <w:rPr>
          <w:rFonts w:ascii="Times New Roman" w:hAnsi="Times New Roman" w:cs="Times New Roman"/>
          <w:b/>
          <w:sz w:val="24"/>
          <w:szCs w:val="24"/>
        </w:rPr>
      </w:pPr>
    </w:p>
    <w:p w:rsidR="006E5D75" w:rsidRDefault="006E5D75" w:rsidP="006E5D75">
      <w:pPr>
        <w:spacing w:after="0" w:line="240" w:lineRule="auto"/>
        <w:jc w:val="both"/>
        <w:rPr>
          <w:rFonts w:ascii="Times New Roman" w:eastAsia="Times New Roman" w:hAnsi="Times New Roman" w:cs="Times New Roman"/>
          <w:b/>
          <w:sz w:val="24"/>
          <w:szCs w:val="24"/>
        </w:rPr>
      </w:pPr>
      <w:r>
        <w:rPr>
          <w:rFonts w:ascii="Times New Roman" w:hAnsi="Times New Roman" w:cs="Times New Roman"/>
          <w:b/>
          <w:sz w:val="24"/>
          <w:szCs w:val="24"/>
        </w:rPr>
        <w:t>El día después: “t</w:t>
      </w:r>
      <w:r w:rsidRPr="008E76DC">
        <w:rPr>
          <w:rFonts w:ascii="Times New Roman" w:eastAsia="Times New Roman" w:hAnsi="Times New Roman" w:cs="Times New Roman"/>
          <w:b/>
          <w:sz w:val="24"/>
          <w:szCs w:val="24"/>
        </w:rPr>
        <w:t>oda realidad que se ignora prepara su venganza”</w:t>
      </w:r>
      <w:r>
        <w:rPr>
          <w:rFonts w:ascii="Times New Roman" w:eastAsia="Times New Roman" w:hAnsi="Times New Roman" w:cs="Times New Roman"/>
          <w:b/>
          <w:sz w:val="24"/>
          <w:szCs w:val="24"/>
        </w:rPr>
        <w:t xml:space="preserve"> (Ortega)</w:t>
      </w:r>
      <w:r w:rsidRPr="008E76DC">
        <w:rPr>
          <w:rFonts w:ascii="Times New Roman" w:eastAsia="Times New Roman" w:hAnsi="Times New Roman" w:cs="Times New Roman"/>
          <w:b/>
          <w:sz w:val="24"/>
          <w:szCs w:val="24"/>
        </w:rPr>
        <w:t>.</w:t>
      </w:r>
    </w:p>
    <w:p w:rsidR="006E5D75" w:rsidRDefault="006E5D75" w:rsidP="006E5D75">
      <w:pPr>
        <w:spacing w:after="0" w:line="240" w:lineRule="auto"/>
        <w:jc w:val="both"/>
        <w:rPr>
          <w:rFonts w:ascii="Times New Roman" w:eastAsia="Times New Roman" w:hAnsi="Times New Roman" w:cs="Times New Roman"/>
          <w:b/>
          <w:sz w:val="24"/>
          <w:szCs w:val="24"/>
        </w:rPr>
      </w:pPr>
    </w:p>
    <w:p w:rsidR="006E5D75" w:rsidRPr="002E231A"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B849A0">
        <w:rPr>
          <w:rFonts w:ascii="Times New Roman" w:hAnsi="Times New Roman" w:cs="Times New Roman"/>
          <w:sz w:val="24"/>
          <w:szCs w:val="24"/>
        </w:rPr>
        <w:t>Paper</w:t>
      </w:r>
      <w:r>
        <w:rPr>
          <w:rFonts w:ascii="Times New Roman" w:hAnsi="Times New Roman" w:cs="Times New Roman"/>
          <w:sz w:val="24"/>
          <w:szCs w:val="24"/>
        </w:rPr>
        <w:t xml:space="preserve"> anterior “</w:t>
      </w:r>
      <w:r w:rsidRPr="00AF59A6">
        <w:rPr>
          <w:rFonts w:ascii="Times New Roman" w:hAnsi="Times New Roman" w:cs="Times New Roman"/>
          <w:b/>
          <w:sz w:val="24"/>
          <w:szCs w:val="24"/>
        </w:rPr>
        <w:t>Reflexiones económicas sobre la crisis sanitaria (Covid 19)</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B849A0">
        <w:rPr>
          <w:rFonts w:ascii="Times New Roman" w:hAnsi="Times New Roman" w:cs="Times New Roman"/>
          <w:b/>
          <w:sz w:val="24"/>
          <w:szCs w:val="24"/>
        </w:rPr>
        <w:t>15/5/20</w:t>
      </w:r>
      <w:r>
        <w:rPr>
          <w:rFonts w:ascii="Times New Roman" w:hAnsi="Times New Roman" w:cs="Times New Roman"/>
          <w:sz w:val="24"/>
          <w:szCs w:val="24"/>
        </w:rPr>
        <w:t xml:space="preserve">, presentaba información actualizada </w:t>
      </w:r>
      <w:r w:rsidRPr="00B849A0">
        <w:rPr>
          <w:rFonts w:ascii="Times New Roman" w:hAnsi="Times New Roman" w:cs="Times New Roman"/>
          <w:sz w:val="24"/>
          <w:szCs w:val="24"/>
        </w:rPr>
        <w:t>que, por razón de tiempo</w:t>
      </w:r>
      <w:r>
        <w:rPr>
          <w:rFonts w:ascii="Times New Roman" w:hAnsi="Times New Roman" w:cs="Times New Roman"/>
          <w:sz w:val="24"/>
          <w:szCs w:val="24"/>
        </w:rPr>
        <w:t>, escapa</w:t>
      </w:r>
      <w:r w:rsidRPr="00B849A0">
        <w:rPr>
          <w:rFonts w:ascii="Times New Roman" w:hAnsi="Times New Roman" w:cs="Times New Roman"/>
          <w:sz w:val="24"/>
          <w:szCs w:val="24"/>
        </w:rPr>
        <w:t xml:space="preserve"> a las estadísticas</w:t>
      </w:r>
      <w:r>
        <w:rPr>
          <w:rFonts w:ascii="Times New Roman" w:hAnsi="Times New Roman" w:cs="Times New Roman"/>
          <w:sz w:val="24"/>
          <w:szCs w:val="24"/>
        </w:rPr>
        <w:t xml:space="preserve"> de los Organismos Internacionales, que se adjuntan en el </w:t>
      </w:r>
      <w:r w:rsidRPr="002E231A">
        <w:rPr>
          <w:rFonts w:ascii="Times New Roman" w:hAnsi="Times New Roman" w:cs="Times New Roman"/>
          <w:b/>
          <w:sz w:val="24"/>
          <w:szCs w:val="24"/>
        </w:rPr>
        <w:t>Anexo.</w:t>
      </w:r>
    </w:p>
    <w:p w:rsidR="006E5D75" w:rsidRPr="009C115C" w:rsidRDefault="006E5D75" w:rsidP="006E5D75">
      <w:pPr>
        <w:pStyle w:val="NormalWeb"/>
        <w:spacing w:after="0"/>
        <w:jc w:val="both"/>
        <w:textAlignment w:val="baseline"/>
        <w:rPr>
          <w:color w:val="FF0000"/>
        </w:rPr>
      </w:pPr>
      <w:r>
        <w:rPr>
          <w:b/>
        </w:rPr>
        <w:t>La economía que nos espera (post Covid 19): algunas previsiones, sin provisiones</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34E2">
        <w:rPr>
          <w:rFonts w:ascii="Times New Roman" w:hAnsi="Times New Roman" w:cs="Times New Roman"/>
          <w:sz w:val="24"/>
          <w:szCs w:val="24"/>
          <w:u w:val="single"/>
        </w:rPr>
        <w:t>Roubini cree que el mercado puede caer hasta u</w:t>
      </w:r>
      <w:r>
        <w:rPr>
          <w:rFonts w:ascii="Times New Roman" w:hAnsi="Times New Roman" w:cs="Times New Roman"/>
          <w:sz w:val="24"/>
          <w:szCs w:val="24"/>
          <w:u w:val="single"/>
        </w:rPr>
        <w:t>n 40% por el coronavirus y que “Trump está muerto”</w:t>
      </w:r>
      <w:r>
        <w:rPr>
          <w:rFonts w:ascii="Times New Roman" w:hAnsi="Times New Roman" w:cs="Times New Roman"/>
          <w:sz w:val="24"/>
          <w:szCs w:val="24"/>
        </w:rPr>
        <w:t xml:space="preserve"> (El Economista - </w:t>
      </w:r>
      <w:r>
        <w:rPr>
          <w:rFonts w:ascii="Times New Roman" w:hAnsi="Times New Roman" w:cs="Times New Roman"/>
          <w:b/>
          <w:sz w:val="24"/>
          <w:szCs w:val="24"/>
        </w:rPr>
        <w:t>2</w:t>
      </w:r>
      <w:r w:rsidRPr="001434E2">
        <w:rPr>
          <w:rFonts w:ascii="Times New Roman" w:hAnsi="Times New Roman" w:cs="Times New Roman"/>
          <w:b/>
          <w:sz w:val="24"/>
          <w:szCs w:val="24"/>
        </w:rPr>
        <w:t>/3/20</w:t>
      </w:r>
      <w:r>
        <w:rPr>
          <w:rFonts w:ascii="Times New Roman" w:hAnsi="Times New Roman" w:cs="Times New Roman"/>
          <w:sz w:val="24"/>
          <w:szCs w:val="24"/>
        </w:rPr>
        <w:t>)</w:t>
      </w:r>
    </w:p>
    <w:p w:rsidR="006E5D75" w:rsidRPr="008B4827"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famoso “Doctor Doom”</w:t>
      </w:r>
      <w:r w:rsidRPr="008B4827">
        <w:rPr>
          <w:rFonts w:ascii="Times New Roman" w:hAnsi="Times New Roman" w:cs="Times New Roman"/>
          <w:color w:val="FF0000"/>
          <w:sz w:val="24"/>
          <w:szCs w:val="24"/>
          <w:u w:val="single"/>
        </w:rPr>
        <w:t xml:space="preserve"> de los mercados, Nouriel Roubini, ha hecho sonar sus alarmas en una entrevista en el semanario alemán Der Spiegel. En él, advierte de que </w:t>
      </w:r>
      <w:r w:rsidRPr="008B4827">
        <w:rPr>
          <w:rFonts w:ascii="Times New Roman" w:hAnsi="Times New Roman" w:cs="Times New Roman"/>
          <w:b/>
          <w:color w:val="FF0000"/>
          <w:sz w:val="24"/>
          <w:szCs w:val="24"/>
          <w:u w:val="single"/>
        </w:rPr>
        <w:t>es el momento de cambiar las inversiones hacia bonos ante una posible caíd</w:t>
      </w:r>
      <w:r w:rsidR="008A1F7A">
        <w:rPr>
          <w:rFonts w:ascii="Times New Roman" w:hAnsi="Times New Roman" w:cs="Times New Roman"/>
          <w:b/>
          <w:color w:val="FF0000"/>
          <w:sz w:val="24"/>
          <w:szCs w:val="24"/>
          <w:u w:val="single"/>
        </w:rPr>
        <w:t>a de los mercados mundiales de “entre un 30% y un 40%”</w:t>
      </w:r>
      <w:r w:rsidRPr="008B4827">
        <w:rPr>
          <w:rFonts w:ascii="Times New Roman" w:hAnsi="Times New Roman" w:cs="Times New Roman"/>
          <w:color w:val="FF0000"/>
          <w:sz w:val="24"/>
          <w:szCs w:val="24"/>
          <w:u w:val="single"/>
        </w:rPr>
        <w:t>, que llevará a la derrota a Donald Trump.</w:t>
      </w:r>
    </w:p>
    <w:p w:rsidR="006E5D75" w:rsidRPr="008B4827" w:rsidRDefault="006E5D75" w:rsidP="006E5D7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1434E2">
        <w:rPr>
          <w:rFonts w:ascii="Times New Roman" w:hAnsi="Times New Roman" w:cs="Times New Roman"/>
          <w:sz w:val="24"/>
          <w:szCs w:val="24"/>
        </w:rPr>
        <w:t xml:space="preserve">Hay que proteger el dinero contra un </w:t>
      </w:r>
      <w:r>
        <w:rPr>
          <w:rFonts w:ascii="Times New Roman" w:hAnsi="Times New Roman" w:cs="Times New Roman"/>
          <w:sz w:val="24"/>
          <w:szCs w:val="24"/>
        </w:rPr>
        <w:t>crash. Mejor prevenir que curar”</w:t>
      </w:r>
      <w:r w:rsidRPr="001434E2">
        <w:rPr>
          <w:rFonts w:ascii="Times New Roman" w:hAnsi="Times New Roman" w:cs="Times New Roman"/>
          <w:sz w:val="24"/>
          <w:szCs w:val="24"/>
        </w:rPr>
        <w:t xml:space="preserve">, afirmó Roubini. En su opinión, </w:t>
      </w:r>
      <w:r w:rsidRPr="008B4827">
        <w:rPr>
          <w:rFonts w:ascii="Times New Roman" w:hAnsi="Times New Roman" w:cs="Times New Roman"/>
          <w:color w:val="FF0000"/>
          <w:sz w:val="24"/>
          <w:szCs w:val="24"/>
          <w:u w:val="single"/>
        </w:rPr>
        <w:t>el coronavirus tiene potencial para sacudir los mercados durante todo el año, con pérdidas irrecuperables en algunos casos y alteraciones de la economía mundial hasta el tercer trimestre, como mínimo.</w:t>
      </w:r>
      <w:r>
        <w:rPr>
          <w:rFonts w:ascii="Times New Roman" w:hAnsi="Times New Roman" w:cs="Times New Roman"/>
          <w:sz w:val="24"/>
          <w:szCs w:val="24"/>
        </w:rPr>
        <w:t>“</w:t>
      </w:r>
      <w:r w:rsidRPr="001434E2">
        <w:rPr>
          <w:rFonts w:ascii="Times New Roman" w:hAnsi="Times New Roman" w:cs="Times New Roman"/>
          <w:sz w:val="24"/>
          <w:szCs w:val="24"/>
        </w:rPr>
        <w:t xml:space="preserve">Vivo en Nueva York y ya casi nadie va a cines o restaurantes por </w:t>
      </w:r>
      <w:r w:rsidRPr="008B4827">
        <w:rPr>
          <w:rFonts w:ascii="Times New Roman" w:hAnsi="Times New Roman" w:cs="Times New Roman"/>
          <w:sz w:val="24"/>
          <w:szCs w:val="24"/>
          <w:u w:val="single"/>
        </w:rPr>
        <w:t>el miedo. Si se extiende más, estamos</w:t>
      </w:r>
      <w:r>
        <w:rPr>
          <w:rFonts w:ascii="Times New Roman" w:hAnsi="Times New Roman" w:cs="Times New Roman"/>
          <w:sz w:val="24"/>
          <w:szCs w:val="24"/>
          <w:u w:val="single"/>
        </w:rPr>
        <w:t xml:space="preserve"> jodidos</w:t>
      </w:r>
      <w:r w:rsidRPr="00B7149D">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color w:val="FF0000"/>
          <w:sz w:val="24"/>
          <w:szCs w:val="24"/>
          <w:u w:val="single"/>
        </w:rPr>
      </w:pPr>
      <w:r w:rsidRPr="001434E2">
        <w:rPr>
          <w:rFonts w:ascii="Times New Roman" w:hAnsi="Times New Roman" w:cs="Times New Roman"/>
          <w:sz w:val="24"/>
          <w:szCs w:val="24"/>
        </w:rPr>
        <w:t xml:space="preserve">La clave está en sus efectos en Europa, especialmente en Italia, que ya estaba al borde de la recesión, y sus repercusiones en Alemania, gran exportador a China. </w:t>
      </w:r>
      <w:r w:rsidRPr="00B7149D">
        <w:rPr>
          <w:rFonts w:ascii="Times New Roman" w:hAnsi="Times New Roman" w:cs="Times New Roman"/>
          <w:color w:val="FF0000"/>
          <w:sz w:val="24"/>
          <w:szCs w:val="24"/>
        </w:rPr>
        <w:t>“</w:t>
      </w:r>
      <w:r w:rsidRPr="008B4827">
        <w:rPr>
          <w:rFonts w:ascii="Times New Roman" w:hAnsi="Times New Roman" w:cs="Times New Roman"/>
          <w:color w:val="FF0000"/>
          <w:sz w:val="24"/>
          <w:szCs w:val="24"/>
          <w:u w:val="single"/>
        </w:rPr>
        <w:t xml:space="preserve">Esta crisis es mucho más grave de lo que pensamos. Es una epidemia global, está muy lejos de haber terminado; el </w:t>
      </w:r>
      <w:r w:rsidRPr="008B4827">
        <w:rPr>
          <w:rFonts w:ascii="Times New Roman" w:hAnsi="Times New Roman" w:cs="Times New Roman"/>
          <w:color w:val="FF0000"/>
          <w:sz w:val="24"/>
          <w:szCs w:val="24"/>
          <w:u w:val="single"/>
        </w:rPr>
        <w:lastRenderedPageBreak/>
        <w:t>impacto para el crecimiento de China será mucho mayor de lo esperado y la política mo</w:t>
      </w:r>
      <w:r>
        <w:rPr>
          <w:rFonts w:ascii="Times New Roman" w:hAnsi="Times New Roman" w:cs="Times New Roman"/>
          <w:color w:val="FF0000"/>
          <w:sz w:val="24"/>
          <w:szCs w:val="24"/>
          <w:u w:val="single"/>
        </w:rPr>
        <w:t>netaria no será capaz de actuar”</w:t>
      </w:r>
      <w:r w:rsidRPr="008B4827">
        <w:rPr>
          <w:rFonts w:ascii="Times New Roman" w:hAnsi="Times New Roman" w:cs="Times New Roman"/>
          <w:color w:val="FF0000"/>
          <w:sz w:val="24"/>
          <w:szCs w:val="24"/>
          <w:u w:val="single"/>
        </w:rPr>
        <w:t>, advirtió.</w:t>
      </w:r>
    </w:p>
    <w:p w:rsidR="006E5D75" w:rsidRPr="0087105D" w:rsidRDefault="006E5D75" w:rsidP="006E5D75">
      <w:pPr>
        <w:spacing w:line="240" w:lineRule="auto"/>
        <w:jc w:val="both"/>
        <w:rPr>
          <w:rFonts w:ascii="Times New Roman" w:hAnsi="Times New Roman" w:cs="Times New Roman"/>
          <w:color w:val="FF0000"/>
          <w:sz w:val="24"/>
          <w:szCs w:val="24"/>
          <w:u w:val="single"/>
        </w:rPr>
      </w:pPr>
      <w:r w:rsidRPr="008B4827">
        <w:rPr>
          <w:rFonts w:ascii="Times New Roman" w:hAnsi="Times New Roman" w:cs="Times New Roman"/>
          <w:color w:val="FF0000"/>
          <w:sz w:val="24"/>
          <w:szCs w:val="24"/>
          <w:u w:val="single"/>
        </w:rPr>
        <w:t>Ese golpe tendrá consecuencias políticas, especialmente si el virus continúa extendiéndose por EEUU ante la incapacidad del Gobierno, que se ha limitado a minimizar los riesgos y confi</w:t>
      </w:r>
      <w:r>
        <w:rPr>
          <w:rFonts w:ascii="Times New Roman" w:hAnsi="Times New Roman" w:cs="Times New Roman"/>
          <w:color w:val="FF0000"/>
          <w:sz w:val="24"/>
          <w:szCs w:val="24"/>
          <w:u w:val="single"/>
        </w:rPr>
        <w:t>ar en que desaparezca sin más. “Trump está muerto”, cree Roubini. “</w:t>
      </w:r>
      <w:r w:rsidRPr="008B4827">
        <w:rPr>
          <w:rFonts w:ascii="Times New Roman" w:hAnsi="Times New Roman" w:cs="Times New Roman"/>
          <w:color w:val="FF0000"/>
          <w:sz w:val="24"/>
          <w:szCs w:val="24"/>
          <w:u w:val="single"/>
        </w:rPr>
        <w:t xml:space="preserve">Los </w:t>
      </w:r>
      <w:r>
        <w:rPr>
          <w:rFonts w:ascii="Times New Roman" w:hAnsi="Times New Roman" w:cs="Times New Roman"/>
          <w:color w:val="FF0000"/>
          <w:sz w:val="24"/>
          <w:szCs w:val="24"/>
          <w:u w:val="single"/>
        </w:rPr>
        <w:t>candidatos demócratas son malos”, pero “</w:t>
      </w:r>
      <w:r w:rsidRPr="008B4827">
        <w:rPr>
          <w:rFonts w:ascii="Times New Roman" w:hAnsi="Times New Roman" w:cs="Times New Roman"/>
          <w:color w:val="FF0000"/>
          <w:sz w:val="24"/>
          <w:szCs w:val="24"/>
          <w:u w:val="single"/>
        </w:rPr>
        <w:t xml:space="preserve">esto es lo que ha ocurrido siempre en la historia. Gerald Ford perdió por la crisis del petróleo de 1973. Jimmy Carter perdió por la segunda crisis en el 79, y Bush padre perdió tras </w:t>
      </w:r>
      <w:r>
        <w:rPr>
          <w:rFonts w:ascii="Times New Roman" w:hAnsi="Times New Roman" w:cs="Times New Roman"/>
          <w:color w:val="FF0000"/>
          <w:sz w:val="24"/>
          <w:szCs w:val="24"/>
          <w:u w:val="single"/>
        </w:rPr>
        <w:t>la invasión de Kuwait en el 90”.</w:t>
      </w:r>
    </w:p>
    <w:p w:rsidR="006E5D75" w:rsidRPr="00D62FD6"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62FD6">
        <w:rPr>
          <w:rFonts w:ascii="Times New Roman" w:hAnsi="Times New Roman" w:cs="Times New Roman"/>
          <w:sz w:val="24"/>
          <w:szCs w:val="24"/>
          <w:u w:val="single"/>
        </w:rPr>
        <w:t>Recuerdos de los setenta</w:t>
      </w:r>
      <w:r>
        <w:rPr>
          <w:rFonts w:ascii="Times New Roman" w:hAnsi="Times New Roman" w:cs="Times New Roman"/>
          <w:sz w:val="24"/>
          <w:szCs w:val="24"/>
        </w:rPr>
        <w:t xml:space="preserve"> (Project Syndicate - </w:t>
      </w:r>
      <w:r w:rsidRPr="00D62FD6">
        <w:rPr>
          <w:rFonts w:ascii="Times New Roman" w:hAnsi="Times New Roman" w:cs="Times New Roman"/>
          <w:b/>
          <w:sz w:val="24"/>
          <w:szCs w:val="24"/>
        </w:rPr>
        <w:t>2/3/20</w:t>
      </w:r>
      <w:r>
        <w:rPr>
          <w:rFonts w:ascii="Times New Roman" w:hAnsi="Times New Roman" w:cs="Times New Roman"/>
          <w:sz w:val="24"/>
          <w:szCs w:val="24"/>
        </w:rPr>
        <w:t>)</w:t>
      </w:r>
    </w:p>
    <w:p w:rsidR="006E5D75" w:rsidRPr="00651519"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Pr="00651519">
        <w:rPr>
          <w:rFonts w:ascii="Times New Roman" w:hAnsi="Times New Roman" w:cs="Times New Roman"/>
          <w:color w:val="FF0000"/>
          <w:sz w:val="24"/>
          <w:szCs w:val="24"/>
          <w:u w:val="single"/>
        </w:rPr>
        <w:t>Es demasiado pronto para predecir la evolución a largo plazo del brote de coronavirus. Pero no es pronto para reconocer que la próxima recesión global puede estar a la vuelta de la esquina, y que tal vez sea muy diferente a las que empezaron en 2001 y 2008.</w:t>
      </w:r>
    </w:p>
    <w:p w:rsidR="006E5D75" w:rsidRPr="00D62FD6" w:rsidRDefault="006E5D75" w:rsidP="006E5D75">
      <w:pPr>
        <w:spacing w:line="240" w:lineRule="auto"/>
        <w:jc w:val="both"/>
        <w:rPr>
          <w:rFonts w:ascii="Times New Roman" w:hAnsi="Times New Roman" w:cs="Times New Roman"/>
          <w:sz w:val="24"/>
          <w:szCs w:val="24"/>
        </w:rPr>
      </w:pPr>
      <w:r w:rsidRPr="00651519">
        <w:rPr>
          <w:rFonts w:ascii="Times New Roman" w:hAnsi="Times New Roman" w:cs="Times New Roman"/>
          <w:color w:val="FF0000"/>
          <w:sz w:val="24"/>
          <w:szCs w:val="24"/>
          <w:u w:val="single"/>
        </w:rPr>
        <w:t>En primer lugar, es probable que el origen de la próxima recesión sea China, y de hecho, puede que ya se esté produciendo</w:t>
      </w:r>
      <w:r w:rsidRPr="00D62FD6">
        <w:rPr>
          <w:rFonts w:ascii="Times New Roman" w:hAnsi="Times New Roman" w:cs="Times New Roman"/>
          <w:sz w:val="24"/>
          <w:szCs w:val="24"/>
        </w:rPr>
        <w:t>. La economía china está sumamente apalancada, y su capacidad de hacer frente a una desaceleración sostenida no es mayor a la de Japón durante su auge económico de los ochenta. Personas, empresas y municipalidades necesitan fondos para pagar deudas desmesuradas. Una situación demográfica muy adversa, el hecho de que ya no queda tanto margen para la modernización tecnológica y el enorme excedente de viviendas derivado de recurrentes programas de estímulo (por no hablar de un proceso de toma de decisiones cada vez más centralizado) ya son presagio de una disminución significativa del crecimien</w:t>
      </w:r>
      <w:r>
        <w:rPr>
          <w:rFonts w:ascii="Times New Roman" w:hAnsi="Times New Roman" w:cs="Times New Roman"/>
          <w:sz w:val="24"/>
          <w:szCs w:val="24"/>
        </w:rPr>
        <w:t>to chino en la década venidera.</w:t>
      </w:r>
    </w:p>
    <w:p w:rsidR="006E5D75" w:rsidRPr="00111150" w:rsidRDefault="006E5D75" w:rsidP="006E5D75">
      <w:pPr>
        <w:spacing w:line="240" w:lineRule="auto"/>
        <w:jc w:val="both"/>
        <w:rPr>
          <w:rFonts w:ascii="Times New Roman" w:hAnsi="Times New Roman" w:cs="Times New Roman"/>
          <w:sz w:val="24"/>
          <w:szCs w:val="24"/>
          <w:u w:val="single"/>
        </w:rPr>
      </w:pPr>
      <w:r w:rsidRPr="00111150">
        <w:rPr>
          <w:rFonts w:ascii="Times New Roman" w:hAnsi="Times New Roman" w:cs="Times New Roman"/>
          <w:color w:val="FF0000"/>
          <w:sz w:val="24"/>
          <w:szCs w:val="24"/>
          <w:u w:val="single"/>
        </w:rPr>
        <w:t>Además, a diferencia de las dos recesiones globales previas de este siglo, el nuevo coronavirus, COVID-19, implica un shock de oferta, no sólo de demanda</w:t>
      </w:r>
      <w:r w:rsidRPr="00D62FD6">
        <w:rPr>
          <w:rFonts w:ascii="Times New Roman" w:hAnsi="Times New Roman" w:cs="Times New Roman"/>
          <w:sz w:val="24"/>
          <w:szCs w:val="24"/>
        </w:rPr>
        <w:t xml:space="preserve">. </w:t>
      </w:r>
      <w:r w:rsidRPr="00111150">
        <w:rPr>
          <w:rFonts w:ascii="Times New Roman" w:hAnsi="Times New Roman" w:cs="Times New Roman"/>
          <w:sz w:val="24"/>
          <w:szCs w:val="24"/>
          <w:u w:val="single"/>
        </w:rPr>
        <w:t>De hecho, para encontrar otro ejemplo de la misma magnitud hay que retrotraerse a los shocks petroleros de mediados de los setenta.</w:t>
      </w:r>
      <w:r w:rsidRPr="00D62FD6">
        <w:rPr>
          <w:rFonts w:ascii="Times New Roman" w:hAnsi="Times New Roman" w:cs="Times New Roman"/>
          <w:sz w:val="24"/>
          <w:szCs w:val="24"/>
        </w:rPr>
        <w:t xml:space="preserve"> Es verdad que el temor al contagio afectará la demanda en el sector de las aerolíneas y el turismo internacional y que generará un aumento del ahorro precautorio. Pero </w:t>
      </w:r>
      <w:r w:rsidRPr="00111150">
        <w:rPr>
          <w:rFonts w:ascii="Times New Roman" w:hAnsi="Times New Roman" w:cs="Times New Roman"/>
          <w:sz w:val="24"/>
          <w:szCs w:val="24"/>
          <w:u w:val="single"/>
        </w:rPr>
        <w:t>si decenas de millones de personas no pudieran ir a trabajar (por cuarentena o por miedo), se interrumpieran las cadenas de valor globales, se cerraran las fronteras y el comercio internacional se redujera porque los países no confían en las estadísticas sanitarias de los otros países, el perjuicio del lado de la oferta sería al menos igual de grande.</w:t>
      </w:r>
    </w:p>
    <w:p w:rsidR="006E5D75" w:rsidRPr="00D62FD6" w:rsidRDefault="006E5D75" w:rsidP="006E5D75">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Los países afectados implementarán, con razón, inmensos programas deficitarios de gasto para reforzar sus sistemas sanitarios y estimular sus economías. El motivo de ahorrar para los tiempos malos es poder gastar cuando esos tiempos malos llegan; y la necesidad de estar preparados para pandemias, guerras, crisis climáticas y otros hechos extraordinarios es la razón misma por la que un gasto deficitario ilimitado en t</w:t>
      </w:r>
      <w:r>
        <w:rPr>
          <w:rFonts w:ascii="Times New Roman" w:hAnsi="Times New Roman" w:cs="Times New Roman"/>
          <w:sz w:val="24"/>
          <w:szCs w:val="24"/>
        </w:rPr>
        <w:t>iempos de bonanza es peligroso.</w:t>
      </w:r>
    </w:p>
    <w:p w:rsidR="006E5D75" w:rsidRPr="00111150" w:rsidRDefault="006E5D75" w:rsidP="006E5D75">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Pero las autoridades políticas (y también demasiados analistas económicos) no logran comprender de qué manera el componente ofertista puede llevar a que la próxima recesión global sea distinta a las dos anteriores. A diferencia de recesiones impulsadas ante todo por escasez de demanda, el desafío que plantea una desaceleración impulsada por la oferta es que puede dar lugar a una marcada reducción de la producción y una multiplicación de cuellos de botella. En tal caso, la escasez generalizada (algo que en algunos países no se ve desde los tiempos de las filas para cargar gasolina en los setenta) puede terminar presionando sobre la inflación al alza, no a la baja.</w:t>
      </w:r>
    </w:p>
    <w:p w:rsidR="006E5D75" w:rsidRPr="00111150" w:rsidRDefault="006E5D75" w:rsidP="006E5D75">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lastRenderedPageBreak/>
        <w:t>Es verdad que hoy las condiciones iniciales para contener una inflación generalizada son extraordinariamente favorables. Pero siendo casi seguro que cuatro décadas de globalización han sido el principal factor de los bajos niveles de inflación, un proceso sostenido de retirada al interior de las fronteras nacionales debido a una pandemia de COVID-19 (o incluso al temor permanente a tal pandemia), sumado al aumento de las fricciones comerciales, es una receta para la reaparición de presiones alcistas sobre los precios. En este escenario, el aumento de la inflación puede provocar un alza de los tipos de interés y plantear problemas a las autoridades monetarias y fiscales.</w:t>
      </w:r>
    </w:p>
    <w:p w:rsidR="006E5D75" w:rsidRPr="00D62FD6" w:rsidRDefault="006E5D75" w:rsidP="006E5D75">
      <w:pPr>
        <w:spacing w:line="240" w:lineRule="auto"/>
        <w:jc w:val="both"/>
        <w:rPr>
          <w:rFonts w:ascii="Times New Roman" w:hAnsi="Times New Roman" w:cs="Times New Roman"/>
          <w:sz w:val="24"/>
          <w:szCs w:val="24"/>
        </w:rPr>
      </w:pPr>
      <w:r w:rsidRPr="00111150">
        <w:rPr>
          <w:rFonts w:ascii="Times New Roman" w:hAnsi="Times New Roman" w:cs="Times New Roman"/>
          <w:sz w:val="24"/>
          <w:szCs w:val="24"/>
          <w:u w:val="single"/>
        </w:rPr>
        <w:t>También hay que señalar que la crisis del COVID-19 golpea a la economía mundial en un momento en que el crecimiento ya es tenue y muchos países están demasiado apalancados</w:t>
      </w:r>
      <w:r w:rsidRPr="00D62FD6">
        <w:rPr>
          <w:rFonts w:ascii="Times New Roman" w:hAnsi="Times New Roman" w:cs="Times New Roman"/>
          <w:sz w:val="24"/>
          <w:szCs w:val="24"/>
        </w:rPr>
        <w:t>. El crecimiento mundial en 2019 apenas llegó a 2,9%, no muy lejos del nivel del 2,5% que históricamente ha sido sinónimo de recesión global. La economía italiana apenas comenzaba a recuperarse cuando llegó el virus. La de Japón ya estaba entrando en recesión después de un aumento inoportuno del impuesto al valor agregado, y la de Alemania viene tambaleándose en un contexto de incertidumbre política. Estados Unidos está en su mejor forma, pero si antes se calculaba un 15% de probabilidades de que empiece una recesión antes de las elecciones presidencial y legislativa de noviembre, ahora</w:t>
      </w:r>
      <w:r>
        <w:rPr>
          <w:rFonts w:ascii="Times New Roman" w:hAnsi="Times New Roman" w:cs="Times New Roman"/>
          <w:sz w:val="24"/>
          <w:szCs w:val="24"/>
        </w:rPr>
        <w:t xml:space="preserve"> el cálculo parece mucho mayor.</w:t>
      </w:r>
    </w:p>
    <w:p w:rsidR="006E5D75" w:rsidRPr="00D62FD6" w:rsidRDefault="006E5D75" w:rsidP="006E5D75">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 xml:space="preserve">Puede parecer extraño que el nuevo coronavirus sea capaz de causar tanto daño económico incluso en países que al parecer cuentan con recursos y tecnología para combatirlo. Uno de los principales motivos es que antes la gente era mucho más pobre que ahora, de modo que muchas más personas tenían que correr el riesgo de ir a trabajar. A diferencia de ahora, una retirada radical de la economía en respuesta a una epidemia que no matara a la mayoría de la gente </w:t>
      </w:r>
      <w:r>
        <w:rPr>
          <w:rFonts w:ascii="Times New Roman" w:hAnsi="Times New Roman" w:cs="Times New Roman"/>
          <w:sz w:val="24"/>
          <w:szCs w:val="24"/>
        </w:rPr>
        <w:t>no era una alternativa posible.</w:t>
      </w:r>
    </w:p>
    <w:p w:rsidR="006E5D75" w:rsidRPr="00D62FD6" w:rsidRDefault="006E5D75" w:rsidP="006E5D75">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 que sucedió en Wuhan (China), epicentro del brote actual, es un caso extremo pero ilustrativo. El gobierno chino básicamente puso en cuarentena la provincia de Hubei e impuso la ley marcial a sus 58 millones de habitantes, de modo que la ciudadanía ordinaria no puede salir de casa, excepto en circunstancias muy específicas. Pero al mismo tiempo, el gobierno se ha mostrado aparentemente capaz de llevar alimento y agua a la población de Hubei por más o menos seis semanas ya, algo que para un</w:t>
      </w:r>
      <w:r>
        <w:rPr>
          <w:rFonts w:ascii="Times New Roman" w:hAnsi="Times New Roman" w:cs="Times New Roman"/>
          <w:sz w:val="24"/>
          <w:szCs w:val="24"/>
        </w:rPr>
        <w:t xml:space="preserve"> país pobre sería inimaginable.</w:t>
      </w:r>
    </w:p>
    <w:p w:rsidR="006E5D75" w:rsidRPr="00D62FD6" w:rsidRDefault="006E5D75" w:rsidP="006E5D75">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En otras partes de China, un buen número de personas en c</w:t>
      </w:r>
      <w:r>
        <w:rPr>
          <w:rFonts w:ascii="Times New Roman" w:hAnsi="Times New Roman" w:cs="Times New Roman"/>
          <w:sz w:val="24"/>
          <w:szCs w:val="24"/>
        </w:rPr>
        <w:t>iudades importantes como Shanghá</w:t>
      </w:r>
      <w:r w:rsidRPr="00D62FD6">
        <w:rPr>
          <w:rFonts w:ascii="Times New Roman" w:hAnsi="Times New Roman" w:cs="Times New Roman"/>
          <w:sz w:val="24"/>
          <w:szCs w:val="24"/>
        </w:rPr>
        <w:t>i y Beijing se han quedado en casa la mayor parte del tiempo para reducir la exposición. Es posible que los gobiernos de países como Corea del Sur e Italia no estén tomando medidas tan extremas como las de China, pero muchas personas también se quedan en casa, lo que implica un perjuicio significati</w:t>
      </w:r>
      <w:r>
        <w:rPr>
          <w:rFonts w:ascii="Times New Roman" w:hAnsi="Times New Roman" w:cs="Times New Roman"/>
          <w:sz w:val="24"/>
          <w:szCs w:val="24"/>
        </w:rPr>
        <w:t>vo para la actividad económica.</w:t>
      </w:r>
    </w:p>
    <w:p w:rsidR="006E5D75" w:rsidRPr="00111150" w:rsidRDefault="006E5D75" w:rsidP="006E5D75">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Las probabilidades de una recesión global han aumentado drásticamente, mucho más de lo que quieren admitir los pronósticos convencionales de inversores e instituciones internacionales. Es necesario que las autoridades se den cuenta de que, además de bajar los tipos de interés y aplicar medidas de estímulo fiscal, hay que dar respuesta al inmenso shock a las cadenas globales de suministro</w:t>
      </w:r>
      <w:r w:rsidRPr="00D62FD6">
        <w:rPr>
          <w:rFonts w:ascii="Times New Roman" w:hAnsi="Times New Roman" w:cs="Times New Roman"/>
          <w:sz w:val="24"/>
          <w:szCs w:val="24"/>
        </w:rPr>
        <w:t xml:space="preserve">. </w:t>
      </w:r>
      <w:r w:rsidRPr="00111150">
        <w:rPr>
          <w:rFonts w:ascii="Times New Roman" w:hAnsi="Times New Roman" w:cs="Times New Roman"/>
          <w:color w:val="FF0000"/>
          <w:sz w:val="24"/>
          <w:szCs w:val="24"/>
          <w:u w:val="single"/>
        </w:rPr>
        <w:t>La forma más inmediata de proveer alivio sería que Estados Unidos reduzca considerablemente los aranceles aplicados como parte de la guerra comercial; eso llevaría calma a los mercados, sería una muestra de estatura política en la relación con China y pondría dinero en los bolsillos de los consumidores estadounidenses. Una recesión global es un momento para la cooperación, no para el aislamiento.</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62FD6">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w:t>
      </w:r>
      <w:r w:rsidRPr="00D62FD6">
        <w:rPr>
          <w:rFonts w:ascii="Times New Roman" w:hAnsi="Times New Roman" w:cs="Times New Roman"/>
          <w:sz w:val="24"/>
          <w:szCs w:val="24"/>
          <w:lang w:val="en-US"/>
        </w:rPr>
        <w:lastRenderedPageBreak/>
        <w:t xml:space="preserve">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6E5D75" w:rsidRDefault="006E5D75" w:rsidP="006E5D75">
      <w:pPr>
        <w:spacing w:line="240" w:lineRule="auto"/>
        <w:jc w:val="both"/>
        <w:rPr>
          <w:rFonts w:ascii="Times New Roman" w:hAnsi="Times New Roman" w:cs="Times New Roman"/>
          <w:sz w:val="24"/>
          <w:szCs w:val="24"/>
          <w:lang w:val="en-US"/>
        </w:rPr>
      </w:pPr>
      <w:r w:rsidRPr="006C62D1">
        <w:rPr>
          <w:rFonts w:ascii="Times New Roman" w:hAnsi="Times New Roman" w:cs="Times New Roman"/>
          <w:noProof/>
          <w:color w:val="FF0000"/>
          <w:sz w:val="24"/>
          <w:szCs w:val="24"/>
          <w:u w:val="single"/>
          <w:lang w:val="en-GB" w:eastAsia="zh-CN"/>
        </w:rPr>
        <w:drawing>
          <wp:inline distT="0" distB="0" distL="0" distR="0">
            <wp:extent cx="5735171" cy="2380129"/>
            <wp:effectExtent l="0" t="0" r="0" b="12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378610"/>
                    </a:xfrm>
                    <a:prstGeom prst="rect">
                      <a:avLst/>
                    </a:prstGeom>
                  </pic:spPr>
                </pic:pic>
              </a:graphicData>
            </a:graphic>
          </wp:inline>
        </w:drawing>
      </w:r>
    </w:p>
    <w:p w:rsidR="006E5D75" w:rsidRPr="009C115C" w:rsidRDefault="006E5D75" w:rsidP="006E5D75">
      <w:pPr>
        <w:spacing w:line="240" w:lineRule="auto"/>
        <w:jc w:val="both"/>
        <w:rPr>
          <w:rFonts w:ascii="Times New Roman" w:hAnsi="Times New Roman" w:cs="Times New Roman"/>
          <w:color w:val="FF0000"/>
          <w:sz w:val="24"/>
          <w:szCs w:val="24"/>
          <w:u w:val="single"/>
          <w:lang w:val="en-US"/>
        </w:rPr>
      </w:pPr>
    </w:p>
    <w:p w:rsidR="006E5D75" w:rsidRDefault="006E5D75" w:rsidP="006E5D75">
      <w:pPr>
        <w:spacing w:line="240" w:lineRule="auto"/>
        <w:jc w:val="both"/>
        <w:rPr>
          <w:rFonts w:ascii="Times New Roman" w:hAnsi="Times New Roman" w:cs="Times New Roman"/>
          <w:color w:val="FF0000"/>
          <w:sz w:val="24"/>
          <w:szCs w:val="24"/>
          <w:u w:val="single"/>
        </w:rPr>
      </w:pPr>
      <w:r>
        <w:rPr>
          <w:noProof/>
          <w:lang w:val="en-GB" w:eastAsia="zh-CN"/>
        </w:rPr>
        <w:drawing>
          <wp:inline distT="0" distB="0" distL="0" distR="0">
            <wp:extent cx="5726666" cy="3852582"/>
            <wp:effectExtent l="0" t="0" r="7620" b="0"/>
            <wp:docPr id="37" name="Imagen 37" descr="Wall Street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l Street coronaviru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55841"/>
                    </a:xfrm>
                    <a:prstGeom prst="rect">
                      <a:avLst/>
                    </a:prstGeom>
                    <a:noFill/>
                    <a:ln>
                      <a:noFill/>
                    </a:ln>
                  </pic:spPr>
                </pic:pic>
              </a:graphicData>
            </a:graphic>
          </wp:inline>
        </w:drawing>
      </w:r>
    </w:p>
    <w:p w:rsidR="006E5D75" w:rsidRPr="00DB3BC1" w:rsidRDefault="006E5D75" w:rsidP="006E5D75">
      <w:pPr>
        <w:spacing w:line="240" w:lineRule="auto"/>
        <w:jc w:val="both"/>
        <w:rPr>
          <w:rFonts w:ascii="Times New Roman" w:hAnsi="Times New Roman" w:cs="Times New Roman"/>
          <w:sz w:val="24"/>
          <w:szCs w:val="24"/>
        </w:rPr>
      </w:pPr>
      <w:r w:rsidRPr="00DB3BC1">
        <w:rPr>
          <w:rFonts w:ascii="Times New Roman" w:hAnsi="Times New Roman" w:cs="Times New Roman"/>
          <w:sz w:val="24"/>
          <w:szCs w:val="24"/>
        </w:rPr>
        <w:t xml:space="preserve">(Fuente: WSJ y Cinco Días - </w:t>
      </w:r>
      <w:r w:rsidRPr="00DB3BC1">
        <w:rPr>
          <w:rFonts w:ascii="Times New Roman" w:hAnsi="Times New Roman" w:cs="Times New Roman"/>
          <w:b/>
          <w:sz w:val="24"/>
          <w:szCs w:val="24"/>
        </w:rPr>
        <w:t>17/3/20</w:t>
      </w:r>
      <w:r w:rsidRPr="00DB3BC1">
        <w:rPr>
          <w:rFonts w:ascii="Times New Roman" w:hAnsi="Times New Roman" w:cs="Times New Roman"/>
          <w:sz w:val="24"/>
          <w:szCs w:val="24"/>
        </w:rPr>
        <w:t>)</w:t>
      </w:r>
    </w:p>
    <w:p w:rsidR="006E5D75" w:rsidRPr="008973D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73DB">
        <w:rPr>
          <w:rFonts w:ascii="Times New Roman" w:hAnsi="Times New Roman" w:cs="Times New Roman"/>
          <w:sz w:val="24"/>
          <w:szCs w:val="24"/>
        </w:rPr>
        <w:t>¿</w:t>
      </w:r>
      <w:r w:rsidRPr="008973DB">
        <w:rPr>
          <w:rFonts w:ascii="Times New Roman" w:hAnsi="Times New Roman" w:cs="Times New Roman"/>
          <w:sz w:val="24"/>
          <w:szCs w:val="24"/>
          <w:u w:val="single"/>
        </w:rPr>
        <w:t>Una mayor depresión</w:t>
      </w:r>
      <w:r w:rsidRPr="008973DB">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973DB">
        <w:rPr>
          <w:rFonts w:ascii="Times New Roman" w:hAnsi="Times New Roman" w:cs="Times New Roman"/>
          <w:b/>
          <w:sz w:val="24"/>
          <w:szCs w:val="24"/>
        </w:rPr>
        <w:t>24/3/20</w:t>
      </w:r>
      <w:r>
        <w:rPr>
          <w:rFonts w:ascii="Times New Roman" w:hAnsi="Times New Roman" w:cs="Times New Roman"/>
          <w:sz w:val="24"/>
          <w:szCs w:val="24"/>
        </w:rPr>
        <w:t>)</w:t>
      </w:r>
    </w:p>
    <w:p w:rsidR="006E5D75" w:rsidRPr="00716A68"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716A68">
        <w:rPr>
          <w:rFonts w:ascii="Times New Roman" w:hAnsi="Times New Roman" w:cs="Times New Roman"/>
          <w:sz w:val="24"/>
          <w:szCs w:val="24"/>
          <w:u w:val="single"/>
        </w:rPr>
        <w:t>La sacudida que le está pegando el COVID-19 a la economía global ha sido más rápida y más severa que la crisis financiera global (CFG) de 2008 y hasta la Gran Depresión.</w:t>
      </w:r>
      <w:r w:rsidRPr="00716A68">
        <w:rPr>
          <w:rFonts w:ascii="Times New Roman" w:hAnsi="Times New Roman" w:cs="Times New Roman"/>
          <w:color w:val="FF0000"/>
          <w:sz w:val="24"/>
          <w:szCs w:val="24"/>
          <w:u w:val="single"/>
        </w:rPr>
        <w:t xml:space="preserve">En esos dos episodios anteriores, los mercados bursátiles colapsaron el 50% o más, los mercados de crédito se congelaron, hubo quiebras gigantescas, las tasas de desempleo se dispararon por encima del 10% y el PIB se contrajo a una tasa anualizada del </w:t>
      </w:r>
      <w:r w:rsidRPr="00716A68">
        <w:rPr>
          <w:rFonts w:ascii="Times New Roman" w:hAnsi="Times New Roman" w:cs="Times New Roman"/>
          <w:color w:val="FF0000"/>
          <w:sz w:val="24"/>
          <w:szCs w:val="24"/>
          <w:u w:val="single"/>
        </w:rPr>
        <w:lastRenderedPageBreak/>
        <w:t xml:space="preserve">10% o más. Pero todo esto transcurrió en un lapso de alrededor de tres años. En la crisis actual, desenlaces macroeconómicos y financieros igual de sombríos se han materializado en tres semanas. </w:t>
      </w:r>
    </w:p>
    <w:p w:rsidR="006E5D75" w:rsidRPr="008973DB" w:rsidRDefault="006E5D75" w:rsidP="006E5D75">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A comienzos de este mes, sólo hicieron falta 15 días para que el mercado bursátil de Estados Unidos se derrumbara en terreno bajista (una caída del 20% de su pico) –la caída de ese tipo más rápida de la historia-. Ahora, los mercados están un 35% abajo, los mercados de crédito se han congelado y los diferenciales de crédito (al igual que los bonos basura) se han disparado a los niveles de 2008. Inclusive firmas financieras tradicionales como Goldman Sachs, JP Morgan y Morgan Stanley esperan que el PIB de Estados Unidos caiga a una tasa anualizada del 6% en el primer trimestre, y del 24% al 30% en el segundo. El secretario del Tesoro norteamericano, Steve Mnuchin, ha advertido que la tasa de desempleo podría elevarse por encima del 20% (el doble del nivel pico durante la CFG).</w:t>
      </w:r>
    </w:p>
    <w:p w:rsidR="006E5D75" w:rsidRPr="008973DB" w:rsidRDefault="006E5D75" w:rsidP="006E5D75">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En otras palabras, cada com</w:t>
      </w:r>
      <w:r>
        <w:rPr>
          <w:rFonts w:ascii="Times New Roman" w:hAnsi="Times New Roman" w:cs="Times New Roman"/>
          <w:color w:val="FF0000"/>
          <w:sz w:val="24"/>
          <w:szCs w:val="24"/>
          <w:u w:val="single"/>
        </w:rPr>
        <w:t>ponente de la demanda agregada -</w:t>
      </w:r>
      <w:r w:rsidRPr="00716A68">
        <w:rPr>
          <w:rFonts w:ascii="Times New Roman" w:hAnsi="Times New Roman" w:cs="Times New Roman"/>
          <w:color w:val="FF0000"/>
          <w:sz w:val="24"/>
          <w:szCs w:val="24"/>
          <w:u w:val="single"/>
        </w:rPr>
        <w:t>consumo, gasto de capital, exportaciones- está en una caída libre sin precedentes. Mientras la mayoría de los analistas interesados han venido antici</w:t>
      </w:r>
      <w:r>
        <w:rPr>
          <w:rFonts w:ascii="Times New Roman" w:hAnsi="Times New Roman" w:cs="Times New Roman"/>
          <w:color w:val="FF0000"/>
          <w:sz w:val="24"/>
          <w:szCs w:val="24"/>
          <w:u w:val="single"/>
        </w:rPr>
        <w:t>pando una crisis en forma de V -</w:t>
      </w:r>
      <w:r w:rsidRPr="00716A68">
        <w:rPr>
          <w:rFonts w:ascii="Times New Roman" w:hAnsi="Times New Roman" w:cs="Times New Roman"/>
          <w:color w:val="FF0000"/>
          <w:sz w:val="24"/>
          <w:szCs w:val="24"/>
          <w:u w:val="single"/>
        </w:rPr>
        <w:t>en la que la producción cae marcadamente durante un trimestre y luego se recupera rápidamente en el próximo-, ahora debería quedar claro que la crisis del COVID-19 es algo totalmente diferente. La contracción que hoy está en marcha no se parece ni a una en V, ni en U, ni en L (una marcada crisis seguida de estancamiento). Más bien, se parece a una contracción en I: una línea vertical que representa un derrumbe de los mercados financieros y de la economía real</w:t>
      </w:r>
      <w:r>
        <w:rPr>
          <w:rFonts w:ascii="Times New Roman" w:hAnsi="Times New Roman" w:cs="Times New Roman"/>
          <w:sz w:val="24"/>
          <w:szCs w:val="24"/>
        </w:rPr>
        <w:t>.</w:t>
      </w:r>
    </w:p>
    <w:p w:rsidR="006E5D75" w:rsidRPr="00505974" w:rsidRDefault="006E5D75" w:rsidP="006E5D75">
      <w:pPr>
        <w:spacing w:line="240" w:lineRule="auto"/>
        <w:jc w:val="both"/>
        <w:rPr>
          <w:rFonts w:ascii="Times New Roman" w:hAnsi="Times New Roman" w:cs="Times New Roman"/>
          <w:color w:val="FF0000"/>
          <w:sz w:val="24"/>
          <w:szCs w:val="24"/>
          <w:u w:val="single"/>
        </w:rPr>
      </w:pPr>
      <w:r w:rsidRPr="00716A68">
        <w:rPr>
          <w:rFonts w:ascii="Times New Roman" w:hAnsi="Times New Roman" w:cs="Times New Roman"/>
          <w:sz w:val="24"/>
          <w:szCs w:val="24"/>
          <w:u w:val="single"/>
        </w:rPr>
        <w:t>Ni siquiera durante la Gran Depresión y la Segunda Guerra Mundial el grueso de la actividad económica literalmente se cerró, como sucede en China, Estados Unidos y Europa hoy</w:t>
      </w:r>
      <w:r w:rsidRPr="008973DB">
        <w:rPr>
          <w:rFonts w:ascii="Times New Roman" w:hAnsi="Times New Roman" w:cs="Times New Roman"/>
          <w:sz w:val="24"/>
          <w:szCs w:val="24"/>
        </w:rPr>
        <w:t xml:space="preserve">. </w:t>
      </w:r>
      <w:r w:rsidRPr="00505974">
        <w:rPr>
          <w:rFonts w:ascii="Times New Roman" w:hAnsi="Times New Roman" w:cs="Times New Roman"/>
          <w:color w:val="FF0000"/>
          <w:sz w:val="24"/>
          <w:szCs w:val="24"/>
          <w:u w:val="single"/>
        </w:rPr>
        <w:t xml:space="preserve">El mejor escenario sería una crisis más severa que la de la CFG (en términos de una menor producción global acumulada), pero de más corta vida, lo que permitiría el retorno a un crecimiento positivo en el cuarto trimestre de este año. En ese caso, los mercados comenzarían a recuperarse cuando aparezca la luz al final del túnel. </w:t>
      </w:r>
    </w:p>
    <w:p w:rsidR="006E5D75" w:rsidRPr="008973DB" w:rsidRDefault="006E5D75" w:rsidP="006E5D75">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el mejor escenario supone varias condiciones. Primero, Estados Unidos, Europa y otras economías muy afectadas necesitarían desplegar medidas generalizadas de testeo, rastreo y tratamiento del COVID-19, cuarentenas obligatorias y un aislamiento a plena escala como el que ha implementado China</w:t>
      </w:r>
      <w:r w:rsidRPr="008973DB">
        <w:rPr>
          <w:rFonts w:ascii="Times New Roman" w:hAnsi="Times New Roman" w:cs="Times New Roman"/>
          <w:sz w:val="24"/>
          <w:szCs w:val="24"/>
        </w:rPr>
        <w:t>. Y, como desarrollar y producir una vacuna en gran escala podría demorar 18 meses, será necesario distribuir antivirales e implementar otras medidas</w:t>
      </w:r>
      <w:r>
        <w:rPr>
          <w:rFonts w:ascii="Times New Roman" w:hAnsi="Times New Roman" w:cs="Times New Roman"/>
          <w:sz w:val="24"/>
          <w:szCs w:val="24"/>
        </w:rPr>
        <w:t xml:space="preserve"> terapéuticas en escala masiva.</w:t>
      </w:r>
    </w:p>
    <w:p w:rsidR="006E5D75" w:rsidRPr="008973DB" w:rsidRDefault="006E5D75" w:rsidP="006E5D75">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Segundo, los responsabl</w:t>
      </w:r>
      <w:r>
        <w:rPr>
          <w:rFonts w:ascii="Times New Roman" w:hAnsi="Times New Roman" w:cs="Times New Roman"/>
          <w:color w:val="FF0000"/>
          <w:sz w:val="24"/>
          <w:szCs w:val="24"/>
          <w:u w:val="single"/>
        </w:rPr>
        <w:t>es de las políticas monetarias -</w:t>
      </w:r>
      <w:r w:rsidRPr="00505974">
        <w:rPr>
          <w:rFonts w:ascii="Times New Roman" w:hAnsi="Times New Roman" w:cs="Times New Roman"/>
          <w:color w:val="FF0000"/>
          <w:sz w:val="24"/>
          <w:szCs w:val="24"/>
          <w:u w:val="single"/>
        </w:rPr>
        <w:t>que ya han hecho en menos de un mes lo que les llevó tres años después de la CFG- deben seguir implementando medidas poco convencionales ante la crisis. Eso significa tasas de interés cero o negativas; una mejor orientación futura; alivio cuantitativo y alivio crediticio (la compra de activos privados) para respaldar a los bancos, las instituciones no bancarias, los fondos del mercado de dinero y hasta las grandes corporaciones (instrumentos para papeles comerciales y bonos corporativos).</w:t>
      </w:r>
      <w:r w:rsidRPr="008973DB">
        <w:rPr>
          <w:rFonts w:ascii="Times New Roman" w:hAnsi="Times New Roman" w:cs="Times New Roman"/>
          <w:sz w:val="24"/>
          <w:szCs w:val="24"/>
        </w:rPr>
        <w:t xml:space="preserve"> La Reserva Federal de Estados Unidos ha expandido sus líneas swap transfronterizas para abordar la inmensa escasez de liquidez en dólares en los mercados globales, pero ahora necesitamos más instrumentos para alentar a los bancos a prestarles a empresas pequeñas y medianas ilíquidas pero aún solventes.</w:t>
      </w:r>
    </w:p>
    <w:p w:rsidR="006E5D75" w:rsidRPr="00505974" w:rsidRDefault="006E5D75" w:rsidP="006E5D75">
      <w:pPr>
        <w:spacing w:line="240" w:lineRule="auto"/>
        <w:jc w:val="both"/>
        <w:rPr>
          <w:rFonts w:ascii="Times New Roman" w:hAnsi="Times New Roman" w:cs="Times New Roman"/>
          <w:sz w:val="24"/>
          <w:szCs w:val="24"/>
          <w:u w:val="single"/>
        </w:rPr>
      </w:pPr>
      <w:r w:rsidRPr="00505974">
        <w:rPr>
          <w:rFonts w:ascii="Times New Roman" w:hAnsi="Times New Roman" w:cs="Times New Roman"/>
          <w:color w:val="FF0000"/>
          <w:sz w:val="24"/>
          <w:szCs w:val="24"/>
          <w:u w:val="single"/>
        </w:rPr>
        <w:t>Tercero, los gobiernos tienen que desplegar un enorme estímulo fiscal, inclusive a través de una “distribución en helicóptero” de desembolsos directos de efectivo a los hogares</w:t>
      </w:r>
      <w:r w:rsidRPr="008973DB">
        <w:rPr>
          <w:rFonts w:ascii="Times New Roman" w:hAnsi="Times New Roman" w:cs="Times New Roman"/>
          <w:sz w:val="24"/>
          <w:szCs w:val="24"/>
        </w:rPr>
        <w:t xml:space="preserve">. Dado el tamaño de la crisis económica, los déficits fiscales en las economías avanzadas necesitarán </w:t>
      </w:r>
      <w:r w:rsidRPr="008973DB">
        <w:rPr>
          <w:rFonts w:ascii="Times New Roman" w:hAnsi="Times New Roman" w:cs="Times New Roman"/>
          <w:sz w:val="24"/>
          <w:szCs w:val="24"/>
        </w:rPr>
        <w:lastRenderedPageBreak/>
        <w:t xml:space="preserve">subir de 2-3% del PIB a alrededor del 10% o más. </w:t>
      </w:r>
      <w:r w:rsidRPr="00505974">
        <w:rPr>
          <w:rFonts w:ascii="Times New Roman" w:hAnsi="Times New Roman" w:cs="Times New Roman"/>
          <w:sz w:val="24"/>
          <w:szCs w:val="24"/>
          <w:u w:val="single"/>
        </w:rPr>
        <w:t>Sólo los gobiernos centrales tienen balances lo suficientemente grades y sólidos como para impedir el colapso del sector privado.</w:t>
      </w:r>
    </w:p>
    <w:p w:rsidR="006E5D75" w:rsidRPr="008973DB" w:rsidRDefault="006E5D75" w:rsidP="006E5D75">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estas intervenciones financiadas con déficits deben monetizarse por completo. Si están financiadas a través de deuda gubernamental estándar, las tasas de interés aumentarían marcadamente y la recuperación quedaría asfixiada en la cuna. Dadas las circunstancias, las intervenciones propuestas desde hace mucho tiempo por los izquierdistas de la escuela de la Teoría Monetaria Moderna, incluido el dinero helicóptero, se han vuelto convencionales</w:t>
      </w:r>
      <w:r w:rsidRPr="008973DB">
        <w:rPr>
          <w:rFonts w:ascii="Times New Roman" w:hAnsi="Times New Roman" w:cs="Times New Roman"/>
          <w:sz w:val="24"/>
          <w:szCs w:val="24"/>
        </w:rPr>
        <w:t>.</w:t>
      </w:r>
    </w:p>
    <w:p w:rsidR="006E5D75" w:rsidRPr="00505974" w:rsidRDefault="006E5D75" w:rsidP="006E5D75">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Desafortunadamente para el mejor escenario, la respuesta de salud pública en las economías avanzadas ha sido mucho más ineficiente de lo que hacía falta para contener la pandemia, mientras que el paquete de políticas fiscales que se está debatiendo en la actualidad no es ni lo suficientemente grande ni lo suficientemente rápido como para crear las condiciones para una recuperación oportuna. Así, el riesgo de una nueva Gran D</w:t>
      </w:r>
      <w:r w:rsidR="008A1F7A">
        <w:rPr>
          <w:rFonts w:ascii="Times New Roman" w:hAnsi="Times New Roman" w:cs="Times New Roman"/>
          <w:color w:val="FF0000"/>
          <w:sz w:val="24"/>
          <w:szCs w:val="24"/>
          <w:u w:val="single"/>
        </w:rPr>
        <w:t>epresión, peor que la original -</w:t>
      </w:r>
      <w:r w:rsidRPr="00505974">
        <w:rPr>
          <w:rFonts w:ascii="Times New Roman" w:hAnsi="Times New Roman" w:cs="Times New Roman"/>
          <w:color w:val="FF0000"/>
          <w:sz w:val="24"/>
          <w:szCs w:val="24"/>
          <w:u w:val="single"/>
        </w:rPr>
        <w:t>una Mayor Depresión- crece día a día.</w:t>
      </w:r>
    </w:p>
    <w:p w:rsidR="006E5D75" w:rsidRPr="008973DB" w:rsidRDefault="006E5D75" w:rsidP="006E5D75">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A menos que se detenga la pandemia, las economías y mercados en todo el mundo seguirán su caída libre. Pero aún si la pandemia está más o menos contenida, el crecimiento general podría no producirse a fines de 2020</w:t>
      </w:r>
      <w:r w:rsidRPr="008973DB">
        <w:rPr>
          <w:rFonts w:ascii="Times New Roman" w:hAnsi="Times New Roman" w:cs="Times New Roman"/>
          <w:sz w:val="24"/>
          <w:szCs w:val="24"/>
        </w:rPr>
        <w:t xml:space="preserve">. Después de todo, para entonces, muy probablemente comience otra temporada de virus con nuevas mutaciones; las intervenciones terapéuticas con las que cuentan muchos pueden resultar menos efectivas de lo que esperaban. Así, las economías volverán a contraerse </w:t>
      </w:r>
      <w:r>
        <w:rPr>
          <w:rFonts w:ascii="Times New Roman" w:hAnsi="Times New Roman" w:cs="Times New Roman"/>
          <w:sz w:val="24"/>
          <w:szCs w:val="24"/>
        </w:rPr>
        <w:t>y los mercados volverán a caer.</w:t>
      </w:r>
    </w:p>
    <w:p w:rsidR="006E5D75" w:rsidRPr="00505974" w:rsidRDefault="006E5D75" w:rsidP="006E5D75">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Es más, la respuesta fiscal podría chocar contra una pared si la monetización de déficits gigantescos empieza a producir una inflación alta, especialmente si una serie de shocks de oferta negativos relacionados con el virus reduce el potencial crecimiento. Y muchos países simplemente no pueden asumir un endeudamiento semejante en su propia moneda. ¿Quién rescatará a los gobiernos, las corporaciones, los bancos y los hogares en los mercados emergentes?</w:t>
      </w:r>
    </w:p>
    <w:p w:rsidR="006E5D75" w:rsidRPr="008973DB" w:rsidRDefault="006E5D75" w:rsidP="006E5D75">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Como sea, aún si la pandemia y las repercusiones económicas llegaran a controlarse, la economía global todavía podría ser objeto de una cantidad de riesgos de cola de “cisne blanco”</w:t>
      </w:r>
      <w:r w:rsidRPr="008973DB">
        <w:rPr>
          <w:rFonts w:ascii="Times New Roman" w:hAnsi="Times New Roman" w:cs="Times New Roman"/>
          <w:sz w:val="24"/>
          <w:szCs w:val="24"/>
        </w:rPr>
        <w:t>. Las elecciones presidenciales de Estados Unidos se acercan y la crisis del COVID-19 dará lugar a renovados conflictos entre Occidente y por lo menos cuatro potencias revisionistas</w:t>
      </w:r>
      <w:r>
        <w:rPr>
          <w:rFonts w:ascii="Times New Roman" w:hAnsi="Times New Roman" w:cs="Times New Roman"/>
          <w:sz w:val="24"/>
          <w:szCs w:val="24"/>
        </w:rPr>
        <w:t>: China, Rusia, Irán y Corea d</w:t>
      </w:r>
      <w:r w:rsidRPr="008973DB">
        <w:rPr>
          <w:rFonts w:ascii="Times New Roman" w:hAnsi="Times New Roman" w:cs="Times New Roman"/>
          <w:sz w:val="24"/>
          <w:szCs w:val="24"/>
        </w:rPr>
        <w:t>el Norte, que están recurriendo, en su totalidad, a una guerra cibernética asimétrica para minar a Estados Unidos desde adentro. Los inevitables ataques cibernéticos contra el proceso electoral estadounidense pueden conducir a un resultado final impugnado, con acusaciones de “fraude” y la posibilidad de violenc</w:t>
      </w:r>
      <w:r>
        <w:rPr>
          <w:rFonts w:ascii="Times New Roman" w:hAnsi="Times New Roman" w:cs="Times New Roman"/>
          <w:sz w:val="24"/>
          <w:szCs w:val="24"/>
        </w:rPr>
        <w:t>ia manifiesta y desorden civil.</w:t>
      </w:r>
    </w:p>
    <w:p w:rsidR="006E5D75" w:rsidRPr="00505974" w:rsidRDefault="006E5D75" w:rsidP="006E5D75">
      <w:pPr>
        <w:spacing w:line="240" w:lineRule="auto"/>
        <w:jc w:val="both"/>
        <w:rPr>
          <w:rFonts w:ascii="Times New Roman" w:hAnsi="Times New Roman" w:cs="Times New Roman"/>
          <w:color w:val="FF0000"/>
          <w:sz w:val="24"/>
          <w:szCs w:val="24"/>
          <w:u w:val="single"/>
        </w:rPr>
      </w:pPr>
      <w:r w:rsidRPr="008973DB">
        <w:rPr>
          <w:rFonts w:ascii="Times New Roman" w:hAnsi="Times New Roman" w:cs="Times New Roman"/>
          <w:sz w:val="24"/>
          <w:szCs w:val="24"/>
        </w:rPr>
        <w:t xml:space="preserve">De la misma manera, como he dicho anteriormente, los mercados están subestimando, y mucho, el riesgo de una guerra entre Estados Unidos e Irán este año; el deterioro de las relaciones sino-norteamericanas se está acelerando mientras cada parte responsabiliza a la otra de la escala de la pandemia del COVID-19. </w:t>
      </w:r>
      <w:r w:rsidRPr="00505974">
        <w:rPr>
          <w:rFonts w:ascii="Times New Roman" w:hAnsi="Times New Roman" w:cs="Times New Roman"/>
          <w:color w:val="FF0000"/>
          <w:sz w:val="24"/>
          <w:szCs w:val="24"/>
          <w:u w:val="single"/>
        </w:rPr>
        <w:t>La crisis actual probablemente acelere la balcanización y desmadre en curso de la economía global en los meses y años venideros.</w:t>
      </w:r>
    </w:p>
    <w:p w:rsidR="006E5D75" w:rsidRPr="00487292" w:rsidRDefault="006E5D75" w:rsidP="006E5D75">
      <w:pPr>
        <w:spacing w:line="240" w:lineRule="auto"/>
        <w:jc w:val="both"/>
        <w:rPr>
          <w:rFonts w:ascii="Times New Roman" w:hAnsi="Times New Roman" w:cs="Times New Roman"/>
          <w:sz w:val="24"/>
          <w:szCs w:val="24"/>
          <w:u w:val="single"/>
          <w:lang w:val="en-US"/>
        </w:rPr>
      </w:pPr>
      <w:r>
        <w:rPr>
          <w:rFonts w:ascii="Times New Roman" w:hAnsi="Times New Roman" w:cs="Times New Roman"/>
          <w:sz w:val="24"/>
          <w:szCs w:val="24"/>
          <w:u w:val="single"/>
        </w:rPr>
        <w:t>Esta trifecta de riesgos -</w:t>
      </w:r>
      <w:r w:rsidRPr="00505974">
        <w:rPr>
          <w:rFonts w:ascii="Times New Roman" w:hAnsi="Times New Roman" w:cs="Times New Roman"/>
          <w:sz w:val="24"/>
          <w:szCs w:val="24"/>
          <w:u w:val="single"/>
        </w:rPr>
        <w:t xml:space="preserve">pandemia no contenida, arsenales insuficientes de políticas económicas y cisnes blancos geopolíticos- bastarán para hacer caer a la economía global en una depresión persistente y un derrumbe galopante de los mercados financieros. Después de la crisis de 2008, una respuesta contundente (aunque demorada) logró sacar a la economía global del abismo. </w:t>
      </w:r>
      <w:r w:rsidRPr="00487292">
        <w:rPr>
          <w:rFonts w:ascii="Times New Roman" w:hAnsi="Times New Roman" w:cs="Times New Roman"/>
          <w:sz w:val="24"/>
          <w:szCs w:val="24"/>
          <w:u w:val="single"/>
          <w:lang w:val="en-US"/>
        </w:rPr>
        <w:t>Quizás esta vez no tengamos tanta suerte.</w:t>
      </w:r>
    </w:p>
    <w:p w:rsidR="006E5D75" w:rsidRPr="001A588A"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8973DB">
        <w:rPr>
          <w:rFonts w:ascii="Times New Roman" w:hAnsi="Times New Roman" w:cs="Times New Roman"/>
          <w:sz w:val="24"/>
          <w:szCs w:val="24"/>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Pr>
          <w:rFonts w:ascii="Times New Roman" w:hAnsi="Times New Roman" w:cs="Times New Roman"/>
          <w:sz w:val="24"/>
          <w:szCs w:val="24"/>
          <w:lang w:val="en-US"/>
        </w:rPr>
        <w:t>al Reserve, and the World Bank</w:t>
      </w:r>
      <w:r w:rsidRPr="001A588A">
        <w:rPr>
          <w:rFonts w:ascii="Times New Roman" w:hAnsi="Times New Roman" w:cs="Times New Roman"/>
          <w:sz w:val="24"/>
          <w:szCs w:val="24"/>
          <w:lang w:val="en-US"/>
        </w:rPr>
        <w:t>)</w:t>
      </w:r>
    </w:p>
    <w:p w:rsidR="006E5D75" w:rsidRPr="00061EA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61EA1">
        <w:rPr>
          <w:rFonts w:ascii="Times New Roman" w:hAnsi="Times New Roman" w:cs="Times New Roman"/>
          <w:sz w:val="24"/>
          <w:szCs w:val="24"/>
          <w:u w:val="single"/>
        </w:rPr>
        <w:t>Cuánto durará el desplome bursátil y cómo se recuperará</w:t>
      </w:r>
      <w:r>
        <w:rPr>
          <w:rFonts w:ascii="Times New Roman" w:hAnsi="Times New Roman" w:cs="Times New Roman"/>
          <w:sz w:val="24"/>
          <w:szCs w:val="24"/>
        </w:rPr>
        <w:t xml:space="preserve"> (Expansión - FT - </w:t>
      </w:r>
      <w:r w:rsidRPr="00061EA1">
        <w:rPr>
          <w:rFonts w:ascii="Times New Roman" w:hAnsi="Times New Roman" w:cs="Times New Roman"/>
          <w:b/>
          <w:sz w:val="24"/>
          <w:szCs w:val="24"/>
        </w:rPr>
        <w:t>28/3/20</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lang w:val="en-US"/>
        </w:rPr>
      </w:pPr>
      <w:r w:rsidRPr="00DB3BC1">
        <w:rPr>
          <w:rFonts w:ascii="Times New Roman" w:hAnsi="Times New Roman" w:cs="Times New Roman"/>
          <w:sz w:val="24"/>
          <w:szCs w:val="24"/>
          <w:lang w:val="en-US"/>
        </w:rPr>
        <w:t>(Por Robin Wigglesworth - Financial Times)</w:t>
      </w:r>
    </w:p>
    <w:p w:rsidR="006E5D75" w:rsidRPr="00EA5174" w:rsidRDefault="006E5D75" w:rsidP="006E5D75">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Las estadísticas desde el año 1800 indican que la bolsa de EEUU se ha desplomado en las crisis, de media, un 38% y que han necesitado 60 meses para recuperarse.</w:t>
      </w:r>
    </w:p>
    <w:p w:rsidR="006E5D75" w:rsidRPr="00D7645D" w:rsidRDefault="006E5D75" w:rsidP="006E5D75">
      <w:pPr>
        <w:spacing w:line="240" w:lineRule="auto"/>
        <w:jc w:val="both"/>
        <w:rPr>
          <w:rFonts w:ascii="Times New Roman" w:hAnsi="Times New Roman" w:cs="Times New Roman"/>
          <w:sz w:val="24"/>
          <w:szCs w:val="24"/>
          <w:u w:val="single"/>
        </w:rPr>
      </w:pPr>
      <w:r w:rsidRPr="00EA5174">
        <w:rPr>
          <w:rFonts w:ascii="Times New Roman" w:hAnsi="Times New Roman" w:cs="Times New Roman"/>
          <w:sz w:val="24"/>
          <w:szCs w:val="24"/>
          <w:u w:val="single"/>
        </w:rPr>
        <w:t>La larga racha alcista de las bolsas estadounidenses ha acabado de forma cruenta. Pero la duración de este mercado bajista dependerá principalmente del tipo de convulsión que termine suponiendo para la economía el coronavirus -y de las otras vulnerabilida</w:t>
      </w:r>
      <w:r>
        <w:rPr>
          <w:rFonts w:ascii="Times New Roman" w:hAnsi="Times New Roman" w:cs="Times New Roman"/>
          <w:sz w:val="24"/>
          <w:szCs w:val="24"/>
          <w:u w:val="single"/>
        </w:rPr>
        <w:t>des que haga emerger o agrave-.</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4049" cy="2711450"/>
            <wp:effectExtent l="0" t="0" r="635" b="0"/>
            <wp:docPr id="38" name="Imagen 38" descr="https://e00-expansion.uecdn.es/assets/multimedia/imagenes/2020/03/27/1585343635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3/27/15853436354238.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10249"/>
                    </a:xfrm>
                    <a:prstGeom prst="rect">
                      <a:avLst/>
                    </a:prstGeom>
                    <a:noFill/>
                    <a:ln>
                      <a:noFill/>
                    </a:ln>
                  </pic:spPr>
                </pic:pic>
              </a:graphicData>
            </a:graphic>
          </wp:inline>
        </w:drawing>
      </w:r>
    </w:p>
    <w:p w:rsidR="006E5D75" w:rsidRPr="00EA5174" w:rsidRDefault="006E5D75" w:rsidP="006E5D75">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El S&amp;P 500 está un 24% por debajo de su máximo, lo que lleva a los analistas y a los inversores a preguntarse si esto representa una oportunidad para volver a la Bolsa, o si las caídas se prolongarán.</w:t>
      </w:r>
    </w:p>
    <w:p w:rsidR="006E5D75" w:rsidRPr="00061EA1" w:rsidRDefault="006E5D75" w:rsidP="006E5D75">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El responsable de estrategia global de Goldman Sachs, Peter Oppenheimer, ha contabilizado 27 mercados bajistas desde la primera década del siglo XIX. Oppenheimer halló que el descenso medio es del 38%, y que las acci</w:t>
      </w:r>
      <w:r>
        <w:rPr>
          <w:rFonts w:ascii="Times New Roman" w:hAnsi="Times New Roman" w:cs="Times New Roman"/>
          <w:sz w:val="24"/>
          <w:szCs w:val="24"/>
        </w:rPr>
        <w:t>ones estadounidenses han necesit</w:t>
      </w:r>
      <w:r w:rsidRPr="00061EA1">
        <w:rPr>
          <w:rFonts w:ascii="Times New Roman" w:hAnsi="Times New Roman" w:cs="Times New Roman"/>
          <w:sz w:val="24"/>
          <w:szCs w:val="24"/>
        </w:rPr>
        <w:t>ado de media</w:t>
      </w:r>
      <w:r w:rsidR="00A468EB">
        <w:rPr>
          <w:rFonts w:ascii="Times New Roman" w:hAnsi="Times New Roman" w:cs="Times New Roman"/>
          <w:sz w:val="24"/>
          <w:szCs w:val="24"/>
        </w:rPr>
        <w:t>,</w:t>
      </w:r>
      <w:r w:rsidRPr="00061EA1">
        <w:rPr>
          <w:rFonts w:ascii="Times New Roman" w:hAnsi="Times New Roman" w:cs="Times New Roman"/>
          <w:sz w:val="24"/>
          <w:szCs w:val="24"/>
        </w:rPr>
        <w:t xml:space="preserve"> 60 meses para volver a su máximo previo. Sin embargo, el grado de dispersión entre los distintos tipos de me</w:t>
      </w:r>
      <w:r>
        <w:rPr>
          <w:rFonts w:ascii="Times New Roman" w:hAnsi="Times New Roman" w:cs="Times New Roman"/>
          <w:sz w:val="24"/>
          <w:szCs w:val="24"/>
        </w:rPr>
        <w:t>rcado bajista es significativo.</w:t>
      </w:r>
    </w:p>
    <w:p w:rsidR="006E5D75" w:rsidRPr="00EA5174" w:rsidRDefault="006E5D75" w:rsidP="006E5D7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1. Los mercados bajistas “estructurales”</w:t>
      </w:r>
      <w:r w:rsidRPr="00EA5174">
        <w:rPr>
          <w:rFonts w:ascii="Times New Roman" w:hAnsi="Times New Roman" w:cs="Times New Roman"/>
          <w:color w:val="FF0000"/>
          <w:sz w:val="24"/>
          <w:szCs w:val="24"/>
        </w:rPr>
        <w:t>, que están provocados por desequilibrios económicos profundamente arraigados y por el estallido de burbujas financieras, se han traducido de media en un hundimiento del 57%, y han tardado 111 meses en recuperar su último pico.</w:t>
      </w:r>
    </w:p>
    <w:p w:rsidR="006E5D75" w:rsidRPr="00EA5174" w:rsidRDefault="006E5D75" w:rsidP="006E5D7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2. Los mercados bajistas “cíclicos”</w:t>
      </w:r>
      <w:r w:rsidRPr="00EA5174">
        <w:rPr>
          <w:rFonts w:ascii="Times New Roman" w:hAnsi="Times New Roman" w:cs="Times New Roman"/>
          <w:color w:val="FF0000"/>
          <w:sz w:val="24"/>
          <w:szCs w:val="24"/>
        </w:rPr>
        <w:t>, más comunes y corrientes, donde la subida de los tipos de interés asfixia la actividad económica y reduce los beneficios corporativos, han derivado habitualmente en una caída de la Bolsa estadounidense del 31%, y la recuperación ha necesitado por término medio 50 meses.</w:t>
      </w:r>
    </w:p>
    <w:p w:rsidR="006E5D75" w:rsidRPr="00EA5174" w:rsidRDefault="006E5D75" w:rsidP="006E5D75">
      <w:pPr>
        <w:spacing w:line="240" w:lineRule="auto"/>
        <w:jc w:val="both"/>
        <w:rPr>
          <w:rFonts w:ascii="Times New Roman" w:hAnsi="Times New Roman" w:cs="Times New Roman"/>
          <w:color w:val="FF0000"/>
          <w:sz w:val="24"/>
          <w:szCs w:val="24"/>
        </w:rPr>
      </w:pPr>
      <w:r w:rsidRPr="00EA5174">
        <w:rPr>
          <w:rFonts w:ascii="Times New Roman" w:hAnsi="Times New Roman" w:cs="Times New Roman"/>
          <w:color w:val="FF0000"/>
          <w:sz w:val="24"/>
          <w:szCs w:val="24"/>
        </w:rPr>
        <w:lastRenderedPageBreak/>
        <w:t>3. Por otra par</w:t>
      </w:r>
      <w:r>
        <w:rPr>
          <w:rFonts w:ascii="Times New Roman" w:hAnsi="Times New Roman" w:cs="Times New Roman"/>
          <w:color w:val="FF0000"/>
          <w:sz w:val="24"/>
          <w:szCs w:val="24"/>
        </w:rPr>
        <w:t>te están los mercados bajistas “</w:t>
      </w:r>
      <w:r w:rsidRPr="00EA5174">
        <w:rPr>
          <w:rFonts w:ascii="Times New Roman" w:hAnsi="Times New Roman" w:cs="Times New Roman"/>
          <w:color w:val="FF0000"/>
          <w:sz w:val="24"/>
          <w:szCs w:val="24"/>
        </w:rPr>
        <w:t>provo</w:t>
      </w:r>
      <w:r>
        <w:rPr>
          <w:rFonts w:ascii="Times New Roman" w:hAnsi="Times New Roman" w:cs="Times New Roman"/>
          <w:color w:val="FF0000"/>
          <w:sz w:val="24"/>
          <w:szCs w:val="24"/>
        </w:rPr>
        <w:t>cados por un suceso (temáticos)”</w:t>
      </w:r>
      <w:r w:rsidRPr="00EA5174">
        <w:rPr>
          <w:rFonts w:ascii="Times New Roman" w:hAnsi="Times New Roman" w:cs="Times New Roman"/>
          <w:color w:val="FF0000"/>
          <w:sz w:val="24"/>
          <w:szCs w:val="24"/>
        </w:rPr>
        <w:t>. Son los ocasionados por alguna conmoción extraordinaria como una guerra, el repunte del precio del petróleo, una crisis de los mercados emergentes o un episodio financiero dramático breve como el desplome del Lunes Negro. Ésta es la categoría a la que mejor parece ajustarse el escenario del coronavirus, según Oppenheimer. Este tipo de mercados bajistas ocasiona por término medio una caída más modesta del 29%, y sólo dura 15 meses.</w:t>
      </w:r>
    </w:p>
    <w:p w:rsidR="006E5D75" w:rsidRPr="00B7149D" w:rsidRDefault="006E5D75" w:rsidP="006E5D75">
      <w:pPr>
        <w:spacing w:line="240" w:lineRule="auto"/>
        <w:jc w:val="both"/>
        <w:rPr>
          <w:rFonts w:ascii="Times New Roman" w:hAnsi="Times New Roman" w:cs="Times New Roman"/>
          <w:color w:val="FF0000"/>
          <w:sz w:val="24"/>
          <w:szCs w:val="24"/>
          <w:u w:val="single"/>
        </w:rPr>
      </w:pPr>
      <w:r w:rsidRPr="00B7149D">
        <w:rPr>
          <w:rFonts w:ascii="Times New Roman" w:hAnsi="Times New Roman" w:cs="Times New Roman"/>
          <w:color w:val="FF0000"/>
          <w:sz w:val="24"/>
          <w:szCs w:val="24"/>
          <w:u w:val="single"/>
        </w:rPr>
        <w:t>Sin embargo, Oppenheimer acentúa que existen razones para pensar que el actual mercado bajista puede resultar más doloroso que otros episodios causados por acontecimientos.</w:t>
      </w:r>
    </w:p>
    <w:p w:rsidR="006E5D75" w:rsidRPr="00061EA1" w:rsidRDefault="006E5D75" w:rsidP="006E5D75">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Una pandemia global supone un nuevo peligro sin precedentes modernos, y los tipos de interés están ya extremadamente bajos en la mayoría de la economía global, lo que implica que los bancos centrales disponen de menos pólvora para mitigar el impacto, según advir</w:t>
      </w:r>
      <w:r>
        <w:rPr>
          <w:rFonts w:ascii="Times New Roman" w:hAnsi="Times New Roman" w:cs="Times New Roman"/>
          <w:sz w:val="24"/>
          <w:szCs w:val="24"/>
        </w:rPr>
        <w:t>tió el ejecutivo.</w:t>
      </w:r>
    </w:p>
    <w:p w:rsidR="006E5D75" w:rsidRDefault="006E5D75" w:rsidP="006E5D75">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Por lo tanto, este mercado bajista podría mutar en algo mucho más pernicioso y duradero.</w:t>
      </w:r>
    </w:p>
    <w:p w:rsidR="006E5D75" w:rsidRPr="006530EA"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30EA">
        <w:rPr>
          <w:rFonts w:ascii="Times New Roman" w:hAnsi="Times New Roman" w:cs="Times New Roman"/>
          <w:sz w:val="24"/>
          <w:szCs w:val="24"/>
          <w:u w:val="single"/>
        </w:rPr>
        <w:t>La guerra que libramos contra la COVID-19</w:t>
      </w:r>
      <w:r>
        <w:rPr>
          <w:rFonts w:ascii="Times New Roman" w:hAnsi="Times New Roman" w:cs="Times New Roman"/>
          <w:sz w:val="24"/>
          <w:szCs w:val="24"/>
        </w:rPr>
        <w:t xml:space="preserve"> (Project Syndicate - </w:t>
      </w:r>
      <w:r w:rsidRPr="006530EA">
        <w:rPr>
          <w:rFonts w:ascii="Times New Roman" w:hAnsi="Times New Roman" w:cs="Times New Roman"/>
          <w:b/>
          <w:sz w:val="24"/>
          <w:szCs w:val="24"/>
        </w:rPr>
        <w:t>27/3/20</w:t>
      </w:r>
      <w:r>
        <w:rPr>
          <w:rFonts w:ascii="Times New Roman" w:hAnsi="Times New Roman" w:cs="Times New Roman"/>
          <w:sz w:val="24"/>
          <w:szCs w:val="24"/>
        </w:rPr>
        <w:t>)</w:t>
      </w:r>
    </w:p>
    <w:p w:rsidR="006E5D75" w:rsidRPr="002D4361" w:rsidRDefault="006E5D75" w:rsidP="006E5D7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Hong Kong.-</w:t>
      </w:r>
      <w:r w:rsidRPr="002D4361">
        <w:rPr>
          <w:rFonts w:ascii="Times New Roman" w:hAnsi="Times New Roman" w:cs="Times New Roman"/>
          <w:sz w:val="24"/>
          <w:szCs w:val="24"/>
          <w:u w:val="single"/>
        </w:rPr>
        <w:t>El mundo está en guerra. El enemigo es resistente, despiadado e impredecible, no distingue razas, nacionalidades, ideologías ni riqueza. Ya dio muerte a más de 26 000 personas e infectó a más de 566 000. Desde trabajadores comunes, hasta el primer ministro y el príncipe heredero del Reino Unido. Ha detenido economías, colapsado los sistemas de atención sanitaria y obligado a cientos de millones de personas a quedarse confinadas en sus hogares. Y no retrocederá.</w:t>
      </w:r>
    </w:p>
    <w:p w:rsidR="006E5D75" w:rsidRPr="002D4361" w:rsidRDefault="006E5D75" w:rsidP="006E5D75">
      <w:pPr>
        <w:spacing w:line="240" w:lineRule="auto"/>
        <w:jc w:val="both"/>
        <w:rPr>
          <w:rFonts w:ascii="Times New Roman" w:hAnsi="Times New Roman" w:cs="Times New Roman"/>
          <w:sz w:val="24"/>
          <w:szCs w:val="24"/>
          <w:u w:val="single"/>
        </w:rPr>
      </w:pPr>
      <w:r w:rsidRPr="006530EA">
        <w:rPr>
          <w:rFonts w:ascii="Times New Roman" w:hAnsi="Times New Roman" w:cs="Times New Roman"/>
          <w:sz w:val="24"/>
          <w:szCs w:val="24"/>
        </w:rPr>
        <w:t xml:space="preserve">A diferencia de una guerra convencional, la pandemia de la COVID-19 no es una opción ni una competencia. No se puede consensuar un cese del fuego ni firmar un acuerdo. Y, sin vacunas ni curas eficaces, el mundo cuenta con pocas armas para combatirla. </w:t>
      </w:r>
      <w:r w:rsidRPr="002D4361">
        <w:rPr>
          <w:rFonts w:ascii="Times New Roman" w:hAnsi="Times New Roman" w:cs="Times New Roman"/>
          <w:sz w:val="24"/>
          <w:szCs w:val="24"/>
          <w:u w:val="single"/>
        </w:rPr>
        <w:t>La ú</w:t>
      </w:r>
      <w:r>
        <w:rPr>
          <w:rFonts w:ascii="Times New Roman" w:hAnsi="Times New Roman" w:cs="Times New Roman"/>
          <w:sz w:val="24"/>
          <w:szCs w:val="24"/>
          <w:u w:val="single"/>
        </w:rPr>
        <w:t>nica forma de recuperar la paz -</w:t>
      </w:r>
      <w:r w:rsidRPr="002D4361">
        <w:rPr>
          <w:rFonts w:ascii="Times New Roman" w:hAnsi="Times New Roman" w:cs="Times New Roman"/>
          <w:sz w:val="24"/>
          <w:szCs w:val="24"/>
          <w:u w:val="single"/>
        </w:rPr>
        <w:t>o, al menos, de evitar una falla sistémica hasta que s</w:t>
      </w:r>
      <w:r>
        <w:rPr>
          <w:rFonts w:ascii="Times New Roman" w:hAnsi="Times New Roman" w:cs="Times New Roman"/>
          <w:sz w:val="24"/>
          <w:szCs w:val="24"/>
          <w:u w:val="single"/>
        </w:rPr>
        <w:t>e desarrolle un arma más eficaz-</w:t>
      </w:r>
      <w:r w:rsidRPr="002D4361">
        <w:rPr>
          <w:rFonts w:ascii="Times New Roman" w:hAnsi="Times New Roman" w:cs="Times New Roman"/>
          <w:sz w:val="24"/>
          <w:szCs w:val="24"/>
          <w:u w:val="single"/>
        </w:rPr>
        <w:t xml:space="preserve"> es con un enfoque que integre a todo el gobierno, toda la sociedad y todo el mundo.</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imperativo más urgente es garantizar que la primera línea no sea sobrepasada. Como muestra un estudio del Imperial College, la mejor forma de lograrlo es con el distanciamiento social temprano y decidido: mantener a la gente separada para desacelerar el contagio. Esto reemplaza una «curva de pandemia con un pico» exponencial de contagios con otra «aplastada», en la cual los casos graves no superan la capacidad del sistema sanitario.</w:t>
      </w:r>
    </w:p>
    <w:p w:rsidR="006E5D75" w:rsidRPr="006530EA" w:rsidRDefault="006E5D75" w:rsidP="006E5D75">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No es lo que ocurrió Wuhan, China, cuando apareció el virus. Las autoridades no eran conscientes de la patología ni del potencial de la COVID-19 y tuvieron que correr por detrás de los acontecimientos, con demoras que probablemente hayan aumentado la cantidad total de muertes. Tampoco es lo que ocurrió en Italia, donde el sistema de salud colapsó rápidamente y la cantidad de muertes s</w:t>
      </w:r>
      <w:r>
        <w:rPr>
          <w:rFonts w:ascii="Times New Roman" w:hAnsi="Times New Roman" w:cs="Times New Roman"/>
          <w:sz w:val="24"/>
          <w:szCs w:val="24"/>
        </w:rPr>
        <w:t>upera el doble de las de China.</w:t>
      </w:r>
    </w:p>
    <w:p w:rsidR="006E5D75" w:rsidRPr="002D4361" w:rsidRDefault="006E5D75" w:rsidP="006E5D75">
      <w:pPr>
        <w:spacing w:line="240" w:lineRule="auto"/>
        <w:jc w:val="both"/>
        <w:rPr>
          <w:rFonts w:ascii="Times New Roman" w:hAnsi="Times New Roman" w:cs="Times New Roman"/>
          <w:sz w:val="24"/>
          <w:szCs w:val="24"/>
          <w:u w:val="single"/>
        </w:rPr>
      </w:pPr>
      <w:r w:rsidRPr="002D4361">
        <w:rPr>
          <w:rFonts w:ascii="Times New Roman" w:hAnsi="Times New Roman" w:cs="Times New Roman"/>
          <w:sz w:val="24"/>
          <w:szCs w:val="24"/>
          <w:u w:val="single"/>
        </w:rPr>
        <w:t>La lección es clara: los gobiernos deben implementar medidas de confinamiento con urgencia. Tanto China como Italia lo hicieron (aunque las medidas más draconianas de China, junto con factores demográficos y otras acciones como la construcción de hospitales especia</w:t>
      </w:r>
      <w:r>
        <w:rPr>
          <w:rFonts w:ascii="Times New Roman" w:hAnsi="Times New Roman" w:cs="Times New Roman"/>
          <w:sz w:val="24"/>
          <w:szCs w:val="24"/>
          <w:u w:val="single"/>
        </w:rPr>
        <w:t>les para la COVID-19,</w:t>
      </w:r>
      <w:r w:rsidRPr="002D4361">
        <w:rPr>
          <w:rFonts w:ascii="Times New Roman" w:hAnsi="Times New Roman" w:cs="Times New Roman"/>
          <w:sz w:val="24"/>
          <w:szCs w:val="24"/>
          <w:u w:val="single"/>
        </w:rPr>
        <w:t xml:space="preserve"> resultaron más eficaces).</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 xml:space="preserve">Sin embargo, aunque esas acciones son fundamentales para proteger la salud pública, afectan gravemente a la economía. Cuanto más se extienda el confinamiento, mayor es la probabilidad del desempleo a gran escala, el colapso de la demanda y la recesión, </w:t>
      </w:r>
      <w:r w:rsidRPr="002D4361">
        <w:rPr>
          <w:rFonts w:ascii="Times New Roman" w:hAnsi="Times New Roman" w:cs="Times New Roman"/>
          <w:color w:val="FF0000"/>
          <w:sz w:val="24"/>
          <w:szCs w:val="24"/>
          <w:u w:val="single"/>
        </w:rPr>
        <w:lastRenderedPageBreak/>
        <w:t>especialmente si tenemos en cuenta las burbujas mundiales de activos que existen desde hace tiempo, fomentadas por tasas de interés nulas o negativas.</w:t>
      </w:r>
    </w:p>
    <w:p w:rsidR="006E5D75" w:rsidRPr="002D4361"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economía mundial del “modelo justo a tiempo”</w:t>
      </w:r>
      <w:r w:rsidRPr="002D4361">
        <w:rPr>
          <w:rFonts w:ascii="Times New Roman" w:hAnsi="Times New Roman" w:cs="Times New Roman"/>
          <w:color w:val="FF0000"/>
          <w:sz w:val="24"/>
          <w:szCs w:val="24"/>
          <w:u w:val="single"/>
        </w:rPr>
        <w:t xml:space="preserve"> no puede sobrevivir a más de dos meses de conf</w:t>
      </w:r>
      <w:r>
        <w:rPr>
          <w:rFonts w:ascii="Times New Roman" w:hAnsi="Times New Roman" w:cs="Times New Roman"/>
          <w:color w:val="FF0000"/>
          <w:sz w:val="24"/>
          <w:szCs w:val="24"/>
          <w:u w:val="single"/>
        </w:rPr>
        <w:t>inamiento antes de llegar a su “momento Minsky”</w:t>
      </w:r>
      <w:r w:rsidRPr="002D4361">
        <w:rPr>
          <w:rFonts w:ascii="Times New Roman" w:hAnsi="Times New Roman" w:cs="Times New Roman"/>
          <w:color w:val="FF0000"/>
          <w:sz w:val="24"/>
          <w:szCs w:val="24"/>
          <w:u w:val="single"/>
        </w:rPr>
        <w:t>: cuando los inversores comienzan sus ventas de pánico, la bonanza se convierte en crac y estalla la burbuja. Los mercados de valores occidentales ya se han desplomado. En Estados Unidos, el Promedio Industrial Dow Jones, incluso con su reciente repunte, va rumbo a su peor momento desde la Gran Depresión.</w:t>
      </w:r>
    </w:p>
    <w:p w:rsidR="006E5D75" w:rsidRPr="006530EA" w:rsidRDefault="006E5D75" w:rsidP="006E5D75">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 xml:space="preserve">A pesar de que el mercado bursátil chino hasta el momento ha soportado el confinamiento sin caídas bruscas, en gran medida porque ya se había visto afectado </w:t>
      </w:r>
      <w:r>
        <w:rPr>
          <w:rFonts w:ascii="Times New Roman" w:hAnsi="Times New Roman" w:cs="Times New Roman"/>
          <w:sz w:val="24"/>
          <w:szCs w:val="24"/>
        </w:rPr>
        <w:t>por la guerra comercial con EEUU</w:t>
      </w:r>
      <w:r w:rsidRPr="006530EA">
        <w:rPr>
          <w:rFonts w:ascii="Times New Roman" w:hAnsi="Times New Roman" w:cs="Times New Roman"/>
          <w:sz w:val="24"/>
          <w:szCs w:val="24"/>
        </w:rPr>
        <w:t xml:space="preserve">, se han destruido enormes riquezas. Durante los primeros dos meses de 2020, el valor agregado industrial de las empresas grandes y medianas chinas cayó el 13,5 % interanual; la inversión urbana en activos fijos se desplomó el 24,5 %; y las ventas minoristas totales bajaron un 20,5 %. En diciembre de 2019, por el contrario, esos tres indicadores habían aumentado el 6,9 %, 5,4 % y </w:t>
      </w:r>
      <w:r>
        <w:rPr>
          <w:rFonts w:ascii="Times New Roman" w:hAnsi="Times New Roman" w:cs="Times New Roman"/>
          <w:sz w:val="24"/>
          <w:szCs w:val="24"/>
        </w:rPr>
        <w:t>8 %, respectivamente.</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mensaje es claro: Aunque el confinamiento es fundamental, también lo son las acciones firmes para estimular la producción y el consumo. En el corto plazo, esto puede implicar una política monetaria y fiscal activa, pero el potencial de esas medidas es limitado. Incluso la rápida intervención de la Reserva Federal estadounidense para recortar las tasas de interés y prometer la inyección de billones de dólares no logró detener la caída del mercado de valores.</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 xml:space="preserve">Las medidas fiscales podrían tener un impacto mayor. De hecho, fue la aprobación legislativa de un paquete de estabilización </w:t>
      </w:r>
      <w:r>
        <w:rPr>
          <w:rFonts w:ascii="Times New Roman" w:hAnsi="Times New Roman" w:cs="Times New Roman"/>
          <w:color w:val="FF0000"/>
          <w:sz w:val="24"/>
          <w:szCs w:val="24"/>
          <w:u w:val="single"/>
        </w:rPr>
        <w:t>económica de 2 billones de USD -</w:t>
      </w:r>
      <w:r w:rsidRPr="002D4361">
        <w:rPr>
          <w:rFonts w:ascii="Times New Roman" w:hAnsi="Times New Roman" w:cs="Times New Roman"/>
          <w:color w:val="FF0000"/>
          <w:sz w:val="24"/>
          <w:szCs w:val="24"/>
          <w:u w:val="single"/>
        </w:rPr>
        <w:t>que incluye pagos directos a los contribuyentes, beneficios por desempleo y un fondo de 500 000 millo</w:t>
      </w:r>
      <w:r>
        <w:rPr>
          <w:rFonts w:ascii="Times New Roman" w:hAnsi="Times New Roman" w:cs="Times New Roman"/>
          <w:color w:val="FF0000"/>
          <w:sz w:val="24"/>
          <w:szCs w:val="24"/>
          <w:u w:val="single"/>
        </w:rPr>
        <w:t>nes para asistir a las empresas-</w:t>
      </w:r>
      <w:r w:rsidRPr="002D4361">
        <w:rPr>
          <w:rFonts w:ascii="Times New Roman" w:hAnsi="Times New Roman" w:cs="Times New Roman"/>
          <w:color w:val="FF0000"/>
          <w:sz w:val="24"/>
          <w:szCs w:val="24"/>
          <w:u w:val="single"/>
        </w:rPr>
        <w:t xml:space="preserve"> lo que detuvo la caída del mercado bursátil estadounidense. Pero incluso eso tiene sus limitaciones frente a un confinamiento prolongado.</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Las reservas de efectivo de la mayoría de los trabajadores y empresas son limitadas. Un reciente estudio de Brookings señala que el 44 % de los estadounidenses son trabajadores por hora con bajas remuneraciones, y una encuesta de la Fed de 2019 sugiere que el 40 % de los estadounidenses adultos no podría cubrir un gasto inesperado de $400 con efectivo o ahorros, o con sus tarjetas de crédito y repagarlo rápidamente.</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En la Unión Euro</w:t>
      </w:r>
      <w:r>
        <w:rPr>
          <w:rFonts w:ascii="Times New Roman" w:hAnsi="Times New Roman" w:cs="Times New Roman"/>
          <w:color w:val="FF0000"/>
          <w:sz w:val="24"/>
          <w:szCs w:val="24"/>
          <w:u w:val="single"/>
        </w:rPr>
        <w:t>pea, el 22,4 % de la población -112,8 millones de personas-</w:t>
      </w:r>
      <w:r w:rsidRPr="002D4361">
        <w:rPr>
          <w:rFonts w:ascii="Times New Roman" w:hAnsi="Times New Roman" w:cs="Times New Roman"/>
          <w:color w:val="FF0000"/>
          <w:sz w:val="24"/>
          <w:szCs w:val="24"/>
          <w:u w:val="single"/>
        </w:rPr>
        <w:t xml:space="preserve"> vivían en hogares con riesgo de pobreza o exclusión social en 2017. No es gente que pueda permitirse una interrupción en sus ingresos por mucho tiempo. Y, como muchos de ellos se ocupan de tareas que no permiten el trabajo remoto, eso es exactamente lo que ocurriría con un confinamiento prolongado.</w:t>
      </w:r>
    </w:p>
    <w:p w:rsidR="006E5D75" w:rsidRPr="00544E3D"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 probabilidad de todo eso aumenta más todavía porque muchos de sus empleadores no serían capaces de seguir pagándoles</w:t>
      </w:r>
      <w:r w:rsidRPr="006530EA">
        <w:rPr>
          <w:rFonts w:ascii="Times New Roman" w:hAnsi="Times New Roman" w:cs="Times New Roman"/>
          <w:sz w:val="24"/>
          <w:szCs w:val="24"/>
        </w:rPr>
        <w:t xml:space="preserve">. </w:t>
      </w:r>
      <w:r w:rsidRPr="00544E3D">
        <w:rPr>
          <w:rFonts w:ascii="Times New Roman" w:hAnsi="Times New Roman" w:cs="Times New Roman"/>
          <w:color w:val="FF0000"/>
          <w:sz w:val="24"/>
          <w:szCs w:val="24"/>
          <w:u w:val="single"/>
        </w:rPr>
        <w:t>JP Morgan estima que las reservas promedio de efectivo alcanzan para 16 días en el caso de los restaurantes, 19 días para las tiendas minoristas, 27 días para las pequeñas empresas, 33 días para los servicios de alta tecnología y 47 días para las empresas de bienes raíces.</w:t>
      </w:r>
    </w:p>
    <w:p w:rsidR="006E5D75" w:rsidRPr="00544E3D" w:rsidRDefault="006E5D75" w:rsidP="006E5D75">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t>La Organización Mundial del Trabajo prevé la pérdida de entre 5,3 y 24,7 millones de empleos por la pandemia. (La crisis de 2008 aumentó el desempleo mundial e</w:t>
      </w:r>
      <w:r>
        <w:rPr>
          <w:rFonts w:ascii="Times New Roman" w:hAnsi="Times New Roman" w:cs="Times New Roman"/>
          <w:color w:val="FF0000"/>
          <w:sz w:val="24"/>
          <w:szCs w:val="24"/>
          <w:u w:val="single"/>
        </w:rPr>
        <w:t>n 22 millones). Tan solo en EEUU</w:t>
      </w:r>
      <w:r w:rsidRPr="00544E3D">
        <w:rPr>
          <w:rFonts w:ascii="Times New Roman" w:hAnsi="Times New Roman" w:cs="Times New Roman"/>
          <w:color w:val="FF0000"/>
          <w:sz w:val="24"/>
          <w:szCs w:val="24"/>
          <w:u w:val="single"/>
        </w:rPr>
        <w:t>, 3,3 millones de personas solicitaron beneficios por desempleo la semana pasada, un tercio más que lo estimado por Goldman Sachs (2,25 millones).</w:t>
      </w:r>
    </w:p>
    <w:p w:rsidR="006E5D75" w:rsidRPr="00544E3D" w:rsidRDefault="006E5D75" w:rsidP="006E5D75">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lastRenderedPageBreak/>
        <w:t>Sin embargo, no hay muchos motivos para esperar que la pandemia concluya rápida y definitivamente. Según el Imperial College, incluso si pronto alcanza su punto máximo, habrá brotes más pequeños que podrían requerir confinamientos reiterados, hasta que se desarrolle, pruebe, fabrique y distribuya ampliamente una vacuna eficaz, un proceso que requeriría como mínimo entre 12 y 18 meses.</w:t>
      </w:r>
    </w:p>
    <w:p w:rsidR="006E5D75" w:rsidRPr="006530EA" w:rsidRDefault="006E5D75" w:rsidP="006E5D75">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El mundo solo tiene una esperanza para contrarrestar las consecuencias de las periódicas paralizaciones económicas durante este período: la cooperación. Eso incluye tanto las políticas económicas coordinadas como el libre intercambio</w:t>
      </w:r>
      <w:r>
        <w:rPr>
          <w:rFonts w:ascii="Times New Roman" w:hAnsi="Times New Roman" w:cs="Times New Roman"/>
          <w:sz w:val="24"/>
          <w:szCs w:val="24"/>
        </w:rPr>
        <w:t xml:space="preserve"> de conocimiento e información.</w:t>
      </w:r>
    </w:p>
    <w:p w:rsidR="006E5D75" w:rsidRPr="006530EA" w:rsidRDefault="006E5D75" w:rsidP="006E5D75">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Como en cualquier guerra, la lucha contra la COVID-19 perjudicará más a quienes ya son vulnerables. A menos que los países logren superar el nacionalismo destruc</w:t>
      </w:r>
      <w:r>
        <w:rPr>
          <w:rFonts w:ascii="Times New Roman" w:hAnsi="Times New Roman" w:cs="Times New Roman"/>
          <w:sz w:val="24"/>
          <w:szCs w:val="24"/>
        </w:rPr>
        <w:t>tivo y la competencia mezquina -</w:t>
      </w:r>
      <w:r w:rsidRPr="006530EA">
        <w:rPr>
          <w:rFonts w:ascii="Times New Roman" w:hAnsi="Times New Roman" w:cs="Times New Roman"/>
          <w:sz w:val="24"/>
          <w:szCs w:val="24"/>
        </w:rPr>
        <w:t>como la insistencia del presidente estadounidense Donald</w:t>
      </w:r>
      <w:r>
        <w:rPr>
          <w:rFonts w:ascii="Times New Roman" w:hAnsi="Times New Roman" w:cs="Times New Roman"/>
          <w:sz w:val="24"/>
          <w:szCs w:val="24"/>
        </w:rPr>
        <w:t xml:space="preserve"> Trump en llamar a la COVID-19 “</w:t>
      </w:r>
      <w:r w:rsidRPr="006530EA">
        <w:rPr>
          <w:rFonts w:ascii="Times New Roman" w:hAnsi="Times New Roman" w:cs="Times New Roman"/>
          <w:sz w:val="24"/>
          <w:szCs w:val="24"/>
        </w:rPr>
        <w:t>el vi</w:t>
      </w:r>
      <w:r>
        <w:rPr>
          <w:rFonts w:ascii="Times New Roman" w:hAnsi="Times New Roman" w:cs="Times New Roman"/>
          <w:sz w:val="24"/>
          <w:szCs w:val="24"/>
        </w:rPr>
        <w:t>rus chino”-</w:t>
      </w:r>
      <w:r w:rsidRPr="006530EA">
        <w:rPr>
          <w:rFonts w:ascii="Times New Roman" w:hAnsi="Times New Roman" w:cs="Times New Roman"/>
          <w:sz w:val="24"/>
          <w:szCs w:val="24"/>
        </w:rPr>
        <w:t>, millones de personas sufrirán. La furia resultante podría llevar al mundo hacia el conflicto convencional, y causar aún</w:t>
      </w:r>
      <w:r>
        <w:rPr>
          <w:rFonts w:ascii="Times New Roman" w:hAnsi="Times New Roman" w:cs="Times New Roman"/>
          <w:sz w:val="24"/>
          <w:szCs w:val="24"/>
        </w:rPr>
        <w:t xml:space="preserve"> más destrucción y sufrimiento.</w:t>
      </w:r>
    </w:p>
    <w:p w:rsidR="006E5D75" w:rsidRPr="00554313"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En las pandemias, es</w:t>
      </w:r>
      <w:r w:rsidRPr="006530EA">
        <w:rPr>
          <w:rFonts w:ascii="Times New Roman" w:hAnsi="Times New Roman" w:cs="Times New Roman"/>
          <w:sz w:val="24"/>
          <w:szCs w:val="24"/>
        </w:rPr>
        <w:t xml:space="preserve"> como las guerras, no importa quién tiene la razón, sino quien queda en pie. </w:t>
      </w:r>
      <w:r w:rsidRPr="00554313">
        <w:rPr>
          <w:rFonts w:ascii="Times New Roman" w:hAnsi="Times New Roman" w:cs="Times New Roman"/>
          <w:sz w:val="24"/>
          <w:szCs w:val="24"/>
          <w:lang w:val="en-US"/>
        </w:rPr>
        <w:t>Necesitamos una alianza mundial para lograr la victoria.</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0EA">
        <w:rPr>
          <w:rFonts w:ascii="Times New Roman" w:hAnsi="Times New Roman" w:cs="Times New Roman"/>
          <w:sz w:val="24"/>
          <w:szCs w:val="24"/>
          <w:lang w:val="en-US"/>
        </w:rPr>
        <w:t xml:space="preserve">Andrew Sheng, Distinguished Fellow of the Asia Global Institute at the University of Hong Kong and a member of the UNEP Advisory Council on Sustainable Finance, is a former chairman of the Hong Kong Securities and Futures Commission. His latest book is From Asian to Global Financial Crisis.Xiao Geng, President of the Hong Kong Institution for International Finance, is a professor and Director of the Research Institute of Maritime Silk-Road at Peking </w:t>
      </w:r>
      <w:r>
        <w:rPr>
          <w:rFonts w:ascii="Times New Roman" w:hAnsi="Times New Roman" w:cs="Times New Roman"/>
          <w:sz w:val="24"/>
          <w:szCs w:val="24"/>
          <w:lang w:val="en-US"/>
        </w:rPr>
        <w:t>University HSBC Business School)</w:t>
      </w:r>
    </w:p>
    <w:p w:rsidR="006E5D75" w:rsidRPr="00DE236D"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Reinhart: “</w:t>
      </w:r>
      <w:r w:rsidRPr="00DE236D">
        <w:rPr>
          <w:rFonts w:ascii="Times New Roman" w:hAnsi="Times New Roman" w:cs="Times New Roman"/>
          <w:sz w:val="24"/>
          <w:szCs w:val="24"/>
          <w:u w:val="single"/>
        </w:rPr>
        <w:t>La crisis creada por el coronavirus será la mayor desde la Gran Depresión</w:t>
      </w:r>
      <w:r>
        <w:rPr>
          <w:rFonts w:ascii="Times New Roman" w:hAnsi="Times New Roman" w:cs="Times New Roman"/>
          <w:sz w:val="24"/>
          <w:szCs w:val="24"/>
        </w:rPr>
        <w:t xml:space="preserve">” (El Economista - </w:t>
      </w:r>
      <w:r w:rsidRPr="00DE236D">
        <w:rPr>
          <w:rFonts w:ascii="Times New Roman" w:hAnsi="Times New Roman" w:cs="Times New Roman"/>
          <w:b/>
          <w:sz w:val="24"/>
          <w:szCs w:val="24"/>
        </w:rPr>
        <w:t>30/3/20</w:t>
      </w:r>
      <w:r>
        <w:rPr>
          <w:rFonts w:ascii="Times New Roman" w:hAnsi="Times New Roman" w:cs="Times New Roman"/>
          <w:sz w:val="24"/>
          <w:szCs w:val="24"/>
        </w:rPr>
        <w:t>)</w:t>
      </w:r>
    </w:p>
    <w:p w:rsidR="006E5D75" w:rsidRPr="00554313" w:rsidRDefault="006E5D75" w:rsidP="006E5D7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La probabilidad de una recupera</w:t>
      </w:r>
      <w:r>
        <w:rPr>
          <w:rFonts w:ascii="Times New Roman" w:hAnsi="Times New Roman" w:cs="Times New Roman"/>
          <w:color w:val="FF0000"/>
          <w:sz w:val="24"/>
          <w:szCs w:val="24"/>
        </w:rPr>
        <w:t>ción con forma de V es muy baja”</w:t>
      </w:r>
    </w:p>
    <w:p w:rsidR="006E5D75" w:rsidRPr="00554313" w:rsidRDefault="006E5D75" w:rsidP="006E5D7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Existe un claro riesgo en Europa de que esto se convierta en u</w:t>
      </w:r>
      <w:r>
        <w:rPr>
          <w:rFonts w:ascii="Times New Roman" w:hAnsi="Times New Roman" w:cs="Times New Roman"/>
          <w:color w:val="FF0000"/>
          <w:sz w:val="24"/>
          <w:szCs w:val="24"/>
        </w:rPr>
        <w:t>na crisis financiera y de deuda”</w:t>
      </w:r>
    </w:p>
    <w:p w:rsidR="006E5D75" w:rsidRPr="00554313" w:rsidRDefault="006E5D75" w:rsidP="006E5D7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 xml:space="preserve">Restaurar el comercio global tal cual lo conocíamos </w:t>
      </w:r>
      <w:r>
        <w:rPr>
          <w:rFonts w:ascii="Times New Roman" w:hAnsi="Times New Roman" w:cs="Times New Roman"/>
          <w:color w:val="FF0000"/>
          <w:sz w:val="24"/>
          <w:szCs w:val="24"/>
        </w:rPr>
        <w:t>antes del virus no va a ocurrir”</w:t>
      </w:r>
    </w:p>
    <w:p w:rsidR="006E5D75" w:rsidRPr="00DE236D"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E236D">
        <w:rPr>
          <w:rFonts w:ascii="Times New Roman" w:hAnsi="Times New Roman" w:cs="Times New Roman"/>
          <w:sz w:val="24"/>
          <w:szCs w:val="24"/>
        </w:rPr>
        <w:t>José Luis de Haro</w:t>
      </w:r>
      <w:r>
        <w:rPr>
          <w:rFonts w:ascii="Times New Roman" w:hAnsi="Times New Roman" w:cs="Times New Roman"/>
          <w:sz w:val="24"/>
          <w:szCs w:val="24"/>
        </w:rPr>
        <w:t>)</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Carmen Reinhart, actual profesora de Sistema Financiero Internacional en la Escuela Kennedy de la Universidad de Harvard, es junto a Kenneth Rogoff, una de las economistas que ha dedicado su vida a estudiar y entender las crisis económicas a lo largo de la historia, tanto en economías desarrolladas como países emergentes. Además de su bagaje académico fue subdirectora gerente del Fondo Monetario Internacional y economista jefa del perecido banco de inversión Bear Stearns. Actualmente es consejera de la Reserva Federal de Nueva York y miembro del panel de economistas de la Oficina Presupuestaria del Congreso (CBO, por sus siglas en inglés).</w:t>
      </w:r>
    </w:p>
    <w:p w:rsidR="006E5D75" w:rsidRPr="00554313" w:rsidRDefault="006E5D75" w:rsidP="006E5D75">
      <w:pPr>
        <w:spacing w:line="240" w:lineRule="auto"/>
        <w:jc w:val="both"/>
        <w:rPr>
          <w:rFonts w:ascii="Times New Roman" w:hAnsi="Times New Roman" w:cs="Times New Roman"/>
          <w:sz w:val="24"/>
          <w:szCs w:val="24"/>
          <w:u w:val="single"/>
        </w:rPr>
      </w:pPr>
      <w:r w:rsidRPr="00DE236D">
        <w:rPr>
          <w:rFonts w:ascii="Times New Roman" w:hAnsi="Times New Roman" w:cs="Times New Roman"/>
          <w:sz w:val="24"/>
          <w:szCs w:val="24"/>
        </w:rPr>
        <w:t xml:space="preserve">El Fondo Monetario Internacional habla ya de una recesión económica global mayor a la vista durante la crisis financiera, </w:t>
      </w:r>
      <w:r w:rsidRPr="00554313">
        <w:rPr>
          <w:rFonts w:ascii="Times New Roman" w:hAnsi="Times New Roman" w:cs="Times New Roman"/>
          <w:sz w:val="24"/>
          <w:szCs w:val="24"/>
          <w:u w:val="single"/>
        </w:rPr>
        <w:t>¿será la crisis económica provocada por el COVID-19 la más profunda desde la Gran Depresión?</w:t>
      </w:r>
    </w:p>
    <w:p w:rsidR="006E5D75" w:rsidRPr="00DE236D" w:rsidRDefault="006E5D75" w:rsidP="006E5D75">
      <w:pPr>
        <w:spacing w:line="240" w:lineRule="auto"/>
        <w:jc w:val="both"/>
        <w:rPr>
          <w:rFonts w:ascii="Times New Roman" w:hAnsi="Times New Roman" w:cs="Times New Roman"/>
          <w:sz w:val="24"/>
          <w:szCs w:val="24"/>
        </w:rPr>
      </w:pPr>
      <w:r w:rsidRPr="001A588A">
        <w:rPr>
          <w:rFonts w:ascii="Times New Roman" w:hAnsi="Times New Roman" w:cs="Times New Roman"/>
          <w:color w:val="FF0000"/>
          <w:sz w:val="24"/>
          <w:szCs w:val="24"/>
          <w:u w:val="single"/>
        </w:rPr>
        <w:lastRenderedPageBreak/>
        <w:t>Así lo creo por distintos motivos. La crisis global del 2008 fue una crisis de 11 países avanzados, incluyendo España, Estados Unidos o Reino Unido. Los países emergentes se recuperaron muy fuerte dado que los precios de las commodities ayudaron mucho. La crisis de los años 80 fue más una crisis de emergentes. La crisis actual es global, como en los años 30, y está dividida entre avanzados y emergentes casi por igual. Otro factor muy parecido es el desplome del comercio internacional</w:t>
      </w:r>
      <w:r w:rsidRPr="001A588A">
        <w:rPr>
          <w:rFonts w:ascii="Times New Roman" w:hAnsi="Times New Roman" w:cs="Times New Roman"/>
          <w:sz w:val="24"/>
          <w:szCs w:val="24"/>
          <w:u w:val="single"/>
        </w:rPr>
        <w:t>.</w:t>
      </w:r>
      <w:r w:rsidRPr="00DE236D">
        <w:rPr>
          <w:rFonts w:ascii="Times New Roman" w:hAnsi="Times New Roman" w:cs="Times New Roman"/>
          <w:sz w:val="24"/>
          <w:szCs w:val="24"/>
        </w:rPr>
        <w:t xml:space="preserve"> Obviamente en 2008 también hubo una fuerte caída del comercio, pero esta vez venimos de </w:t>
      </w:r>
      <w:r w:rsidRPr="00554313">
        <w:rPr>
          <w:rFonts w:ascii="Times New Roman" w:hAnsi="Times New Roman" w:cs="Times New Roman"/>
          <w:sz w:val="24"/>
          <w:szCs w:val="24"/>
          <w:u w:val="single"/>
        </w:rPr>
        <w:t>una base más debilitada por el Brexit y la guerra comercial de Trump con China.</w:t>
      </w:r>
      <w:r w:rsidRPr="00DE236D">
        <w:rPr>
          <w:rFonts w:ascii="Times New Roman" w:hAnsi="Times New Roman" w:cs="Times New Roman"/>
          <w:sz w:val="24"/>
          <w:szCs w:val="24"/>
        </w:rPr>
        <w:t xml:space="preserve"> Si miramos el crecimiento del comercio internacional, el volumen en los 10 años antes de la crisis era alrededor del 6%. Durante los 10 últimos años ha sido más cerca de 2,5%. La depresión del comercio global se parece mucho también a los 30. El último factor que quiero mencionar es </w:t>
      </w:r>
      <w:r w:rsidRPr="00554313">
        <w:rPr>
          <w:rFonts w:ascii="Times New Roman" w:hAnsi="Times New Roman" w:cs="Times New Roman"/>
          <w:sz w:val="24"/>
          <w:szCs w:val="24"/>
          <w:u w:val="single"/>
        </w:rPr>
        <w:t>el shock de la guerra de precios entre Rusia y Arabia Saudita y el desplome de las materias primas</w:t>
      </w:r>
      <w:r w:rsidRPr="00DE236D">
        <w:rPr>
          <w:rFonts w:ascii="Times New Roman" w:hAnsi="Times New Roman" w:cs="Times New Roman"/>
          <w:sz w:val="24"/>
          <w:szCs w:val="24"/>
        </w:rPr>
        <w:t>. Ecuador, Angola y Argelia están al punto del default.</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¿Supondrá entonces esto un desencadenante para los productores de crudo de países emergentes?</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Sí, será el beso de la muerte y llevo preocupada por los emergentes hace ya más de un año.</w:t>
      </w:r>
      <w:r w:rsidRPr="00DE236D">
        <w:rPr>
          <w:rFonts w:ascii="Times New Roman" w:hAnsi="Times New Roman" w:cs="Times New Roman"/>
          <w:sz w:val="24"/>
          <w:szCs w:val="24"/>
        </w:rPr>
        <w:t xml:space="preserve"> En Ecuador, por ejemplo, el precio del petróleo que ellos asumían en su programa fiscal era de 48 dólares el barril. Ahora estamos a menos de la mitad. </w:t>
      </w:r>
      <w:r w:rsidRPr="00554313">
        <w:rPr>
          <w:rFonts w:ascii="Times New Roman" w:hAnsi="Times New Roman" w:cs="Times New Roman"/>
          <w:sz w:val="24"/>
          <w:szCs w:val="24"/>
          <w:u w:val="single"/>
        </w:rPr>
        <w:t>En este ambiente, a no ser que todo repunte con una fuerza bárbara muy pronto, no aguantarán</w:t>
      </w:r>
      <w:r w:rsidRPr="00DE236D">
        <w:rPr>
          <w:rFonts w:ascii="Times New Roman" w:hAnsi="Times New Roman" w:cs="Times New Roman"/>
          <w:sz w:val="24"/>
          <w:szCs w:val="24"/>
        </w:rPr>
        <w:t xml:space="preserve">. </w:t>
      </w:r>
      <w:r w:rsidRPr="00554313">
        <w:rPr>
          <w:rFonts w:ascii="Times New Roman" w:hAnsi="Times New Roman" w:cs="Times New Roman"/>
          <w:sz w:val="24"/>
          <w:szCs w:val="24"/>
          <w:u w:val="single"/>
        </w:rPr>
        <w:t>La incidencia de los default soberanos va a ir aumentando</w:t>
      </w:r>
      <w:r w:rsidRPr="00DE236D">
        <w:rPr>
          <w:rFonts w:ascii="Times New Roman" w:hAnsi="Times New Roman" w:cs="Times New Roman"/>
          <w:sz w:val="24"/>
          <w:szCs w:val="24"/>
        </w:rPr>
        <w:t xml:space="preserve">. </w:t>
      </w:r>
      <w:r w:rsidRPr="00554313">
        <w:rPr>
          <w:rFonts w:ascii="Times New Roman" w:hAnsi="Times New Roman" w:cs="Times New Roman"/>
          <w:color w:val="FF0000"/>
          <w:sz w:val="24"/>
          <w:szCs w:val="24"/>
          <w:u w:val="single"/>
        </w:rPr>
        <w:t>Tanto Kenneth Rogoff como yo abogamos en estos momentos por una moratoria temporal en el pago de las deudas, dado que si se paraliza la capacidad de tener ingresos, también es justo que se paralice el pago de éstas</w:t>
      </w:r>
      <w:r w:rsidRPr="00DE236D">
        <w:rPr>
          <w:rFonts w:ascii="Times New Roman" w:hAnsi="Times New Roman" w:cs="Times New Roman"/>
          <w:sz w:val="24"/>
          <w:szCs w:val="24"/>
        </w:rPr>
        <w:t xml:space="preserve">. Esto es posible a nivel corporativo, de los hogares, pero no soluciona el problema a nivel soberano. Las deudas de muchos países emergentes a China son enormes, más grandes que el FMI y el Banco Mundial combinados. Tanto China como estas instituciones deben conceder una moratoria. </w:t>
      </w:r>
      <w:r w:rsidRPr="00554313">
        <w:rPr>
          <w:rFonts w:ascii="Times New Roman" w:hAnsi="Times New Roman" w:cs="Times New Roman"/>
          <w:sz w:val="24"/>
          <w:szCs w:val="24"/>
          <w:u w:val="single"/>
        </w:rPr>
        <w:t>En los años 30 también hubo una oleada de defaults global y algunos tardaron hasta dos décadas en solucionarse.</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¿Cree entonces que la pandemia y el shock en los precios del crudo acabarán por generar una década perdida?</w:t>
      </w:r>
    </w:p>
    <w:p w:rsidR="006E5D75" w:rsidRPr="00554313" w:rsidRDefault="006E5D75" w:rsidP="006E5D75">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No quiero adelantar si es una década o no, pero la idea de que esto va a ser una recuperación con forma de V, lo veo con muy baja probabilidad</w:t>
      </w:r>
      <w:r w:rsidRPr="00DE236D">
        <w:rPr>
          <w:rFonts w:ascii="Times New Roman" w:hAnsi="Times New Roman" w:cs="Times New Roman"/>
          <w:sz w:val="24"/>
          <w:szCs w:val="24"/>
        </w:rPr>
        <w:t xml:space="preserve">. Los bancos se van a encontrar con consumidores y hogares que han perdido el empleo, empresas que han tenido que cerrar, por lo que su cartera lucirá muy distinta pese a las mejoras registradas por estas entidades, tanto en Europa como EEUU desde la crisis. Pese a la ayuda del Banco Central Europeo y la Reserva Federal, especialmente ésta última a través de las distintas facilidades creadas para ayudar a los pequeños negocios y los hogares, es inevitable dada la severidad de este shock que terminemos con un sistema financiero mucho más débil. </w:t>
      </w:r>
      <w:r w:rsidRPr="00554313">
        <w:rPr>
          <w:rFonts w:ascii="Times New Roman" w:hAnsi="Times New Roman" w:cs="Times New Roman"/>
          <w:color w:val="FF0000"/>
          <w:sz w:val="24"/>
          <w:szCs w:val="24"/>
          <w:u w:val="single"/>
        </w:rPr>
        <w:t>Pongo en duda que muchas empresas puedan aguantar más de uno o dos meses en esta situación. Las caídas para el PIB van a ser mucho más profundas que las registradas durante la crisis del 2008.</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Países como España o Italia se han convertido en el epicentro de la pandemia en Europa. ¿Se corre el riesgo de que esta situación tenga consecuencias más allá de una crisis económica severa?</w:t>
      </w:r>
    </w:p>
    <w:p w:rsidR="006E5D75" w:rsidRPr="00DE236D" w:rsidRDefault="006E5D75" w:rsidP="006E5D75">
      <w:pPr>
        <w:spacing w:line="240" w:lineRule="auto"/>
        <w:jc w:val="both"/>
        <w:rPr>
          <w:rFonts w:ascii="Times New Roman" w:hAnsi="Times New Roman" w:cs="Times New Roman"/>
          <w:sz w:val="24"/>
          <w:szCs w:val="24"/>
        </w:rPr>
      </w:pPr>
      <w:r w:rsidRPr="00554313">
        <w:rPr>
          <w:rFonts w:ascii="Times New Roman" w:hAnsi="Times New Roman" w:cs="Times New Roman"/>
          <w:color w:val="FF0000"/>
          <w:sz w:val="24"/>
          <w:szCs w:val="24"/>
          <w:u w:val="single"/>
        </w:rPr>
        <w:t>Se corre claramente el riesgo de que esto se convierta no solamente en una crisis económica sino también en una crisis financiera y una crisis de deuda</w:t>
      </w:r>
      <w:r w:rsidRPr="00DE236D">
        <w:rPr>
          <w:rFonts w:ascii="Times New Roman" w:hAnsi="Times New Roman" w:cs="Times New Roman"/>
          <w:sz w:val="24"/>
          <w:szCs w:val="24"/>
        </w:rPr>
        <w:t xml:space="preserve">. Es por ello que el Banco Central Europeo y las instituciones deben jugar un rol enorme para aliviar las disrupciones y el contagio económico. </w:t>
      </w:r>
      <w:r w:rsidRPr="00554313">
        <w:rPr>
          <w:rFonts w:ascii="Times New Roman" w:hAnsi="Times New Roman" w:cs="Times New Roman"/>
          <w:color w:val="FF0000"/>
          <w:sz w:val="24"/>
          <w:szCs w:val="24"/>
          <w:u w:val="single"/>
        </w:rPr>
        <w:t xml:space="preserve">Una moratoria de la deuda es muy atractivo para muchos países </w:t>
      </w:r>
      <w:r w:rsidRPr="00554313">
        <w:rPr>
          <w:rFonts w:ascii="Times New Roman" w:hAnsi="Times New Roman" w:cs="Times New Roman"/>
          <w:color w:val="FF0000"/>
          <w:sz w:val="24"/>
          <w:szCs w:val="24"/>
          <w:u w:val="single"/>
        </w:rPr>
        <w:lastRenderedPageBreak/>
        <w:t>emergentes, pero no es una opción para Europa</w:t>
      </w:r>
      <w:r w:rsidRPr="00DE236D">
        <w:rPr>
          <w:rFonts w:ascii="Times New Roman" w:hAnsi="Times New Roman" w:cs="Times New Roman"/>
          <w:sz w:val="24"/>
          <w:szCs w:val="24"/>
        </w:rPr>
        <w:t>. Por ejemplo, en Italia que es el caso más extremo, los hogares son tenedores importantes de esa deuda, es decir, que si hay una suspensión de pago, hay que compensar a esos hogares por la suspensión de pago, que es distinto a los países emergentes donde generalmente la deuda extern</w:t>
      </w:r>
      <w:r>
        <w:rPr>
          <w:rFonts w:ascii="Times New Roman" w:hAnsi="Times New Roman" w:cs="Times New Roman"/>
          <w:sz w:val="24"/>
          <w:szCs w:val="24"/>
        </w:rPr>
        <w:t>a está en manos de extranjeros.</w:t>
      </w:r>
    </w:p>
    <w:p w:rsidR="006E5D75" w:rsidRPr="00554313" w:rsidRDefault="006E5D75" w:rsidP="006E5D75">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Entonces, ¿aboga usted por la creación de coronabonos o eurobonos, que mutualicen la deuda?</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Hace mucho tiempo que veo con ojos muy favorables el tema de tratar de unificar un mercado de deuda</w:t>
      </w:r>
      <w:r w:rsidRPr="00DE236D">
        <w:rPr>
          <w:rFonts w:ascii="Times New Roman" w:hAnsi="Times New Roman" w:cs="Times New Roman"/>
          <w:sz w:val="24"/>
          <w:szCs w:val="24"/>
        </w:rPr>
        <w:t xml:space="preserve">. Desde la crisis financiera global, el uso del dólar internacional ha aumentado y el euro, que había ganado espacio en los primeros años, ha retrocedido bárbaramente. Parte de eso se debe a no tener un mercado de bonos unificado, porque los inversores no compran euro, compran la deuda. Un bund alemán no es lo mismo que un bono irlandés o un bono portugués y así sucesivamente. </w:t>
      </w:r>
      <w:r w:rsidRPr="002D4361">
        <w:rPr>
          <w:rFonts w:ascii="Times New Roman" w:hAnsi="Times New Roman" w:cs="Times New Roman"/>
          <w:color w:val="FF0000"/>
          <w:sz w:val="24"/>
          <w:szCs w:val="24"/>
          <w:u w:val="single"/>
        </w:rPr>
        <w:t>Este es un momento de emergencia donde un punto clave podría ser la unificación del mercado de deuda, que es uno de los elementos que haría al euro más sostenible como moneda.</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¿Será la crisis desatada por el coronavirus un factor más que invite a la desglobalización?</w:t>
      </w:r>
    </w:p>
    <w:p w:rsidR="006E5D75" w:rsidRPr="002D4361" w:rsidRDefault="006E5D75" w:rsidP="006E5D75">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Restaurar el comercio global tal cual lo conocíamos antes del virus no va a ocurrir. Cuanto más dure el brote, más se cuestionarán las empresas sus modelos y cadenas de producción.</w:t>
      </w:r>
      <w:r w:rsidRPr="002D4361">
        <w:rPr>
          <w:rFonts w:ascii="Times New Roman" w:hAnsi="Times New Roman" w:cs="Times New Roman"/>
          <w:sz w:val="24"/>
          <w:szCs w:val="24"/>
          <w:u w:val="single"/>
        </w:rPr>
        <w:t>Además, la gente no volverá a viajar tanto como antes por lo que el turismo también va a estar paralizado durante mucho tiempo</w:t>
      </w:r>
      <w:r w:rsidRPr="00DE236D">
        <w:rPr>
          <w:rFonts w:ascii="Times New Roman" w:hAnsi="Times New Roman" w:cs="Times New Roman"/>
          <w:sz w:val="24"/>
          <w:szCs w:val="24"/>
        </w:rPr>
        <w:t xml:space="preserve">. </w:t>
      </w:r>
      <w:r w:rsidRPr="002D4361">
        <w:rPr>
          <w:rFonts w:ascii="Times New Roman" w:hAnsi="Times New Roman" w:cs="Times New Roman"/>
          <w:color w:val="FF0000"/>
          <w:sz w:val="24"/>
          <w:szCs w:val="24"/>
          <w:u w:val="single"/>
        </w:rPr>
        <w:t>El punto máximo de la globalización lo dejamos atrás hace más de una década.Además, la crisis financiera de 2008, el Brexit, las tensiones de Trump con China han sido olas que nos han ido llevando a la desglobalización</w:t>
      </w:r>
      <w:r w:rsidRPr="00DE236D">
        <w:rPr>
          <w:rFonts w:ascii="Times New Roman" w:hAnsi="Times New Roman" w:cs="Times New Roman"/>
          <w:sz w:val="24"/>
          <w:szCs w:val="24"/>
        </w:rPr>
        <w:t xml:space="preserve">. En EEUU donde hay opinión común entre los demócratas y los republicanos es en el problema con el comercio de China. </w:t>
      </w:r>
      <w:r w:rsidRPr="002D4361">
        <w:rPr>
          <w:rFonts w:ascii="Times New Roman" w:hAnsi="Times New Roman" w:cs="Times New Roman"/>
          <w:color w:val="FF0000"/>
          <w:sz w:val="24"/>
          <w:szCs w:val="24"/>
          <w:u w:val="single"/>
        </w:rPr>
        <w:t>El problema en que se encuentra China ahora es que quiere ser tratado como un país emergente pero también como una potencia global y no puede ser ambas. Esto está generando una desconfianza en la interacción entre China y el resto del mundo.</w:t>
      </w:r>
    </w:p>
    <w:p w:rsidR="006E5D75" w:rsidRPr="004956B9"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6E5D75" w:rsidRPr="0097462F" w:rsidRDefault="006E5D75" w:rsidP="006E5D75">
      <w:pPr>
        <w:spacing w:line="240" w:lineRule="auto"/>
        <w:jc w:val="both"/>
        <w:rPr>
          <w:rFonts w:ascii="Times New Roman" w:hAnsi="Times New Roman" w:cs="Times New Roman"/>
          <w:color w:val="FF0000"/>
          <w:sz w:val="24"/>
          <w:szCs w:val="24"/>
        </w:rPr>
      </w:pPr>
      <w:r w:rsidRPr="0097462F">
        <w:rPr>
          <w:rFonts w:ascii="Times New Roman" w:hAnsi="Times New Roman" w:cs="Times New Roman"/>
          <w:color w:val="FF0000"/>
          <w:sz w:val="24"/>
          <w:szCs w:val="24"/>
        </w:rPr>
        <w:t>La directora gerente del Fondo Monetario Internacional, Kristalina Georgieva, movilizará hasta un billón de dólares para combatir los efectos de la pandemia</w:t>
      </w:r>
    </w:p>
    <w:p w:rsidR="006E5D75" w:rsidRPr="0097462F" w:rsidRDefault="006E5D75" w:rsidP="006E5D75">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La directora gerente del Fondo Monetario Internacional (FMI), Kristalina Georgieva, subrayó este vier</w:t>
      </w:r>
      <w:r>
        <w:rPr>
          <w:rFonts w:ascii="Times New Roman" w:hAnsi="Times New Roman" w:cs="Times New Roman"/>
          <w:color w:val="FF0000"/>
          <w:sz w:val="24"/>
          <w:szCs w:val="24"/>
          <w:u w:val="single"/>
        </w:rPr>
        <w:t>nes que el mundo se enfrenta a “</w:t>
      </w:r>
      <w:r w:rsidRPr="0097462F">
        <w:rPr>
          <w:rFonts w:ascii="Times New Roman" w:hAnsi="Times New Roman" w:cs="Times New Roman"/>
          <w:color w:val="FF0000"/>
          <w:sz w:val="24"/>
          <w:szCs w:val="24"/>
          <w:u w:val="single"/>
        </w:rPr>
        <w:t>una crisis n</w:t>
      </w:r>
      <w:r>
        <w:rPr>
          <w:rFonts w:ascii="Times New Roman" w:hAnsi="Times New Roman" w:cs="Times New Roman"/>
          <w:color w:val="FF0000"/>
          <w:sz w:val="24"/>
          <w:szCs w:val="24"/>
          <w:u w:val="single"/>
        </w:rPr>
        <w:t>unca antes vista en la historia”</w:t>
      </w:r>
      <w:r w:rsidRPr="0097462F">
        <w:rPr>
          <w:rFonts w:ascii="Times New Roman" w:hAnsi="Times New Roman" w:cs="Times New Roman"/>
          <w:color w:val="FF0000"/>
          <w:sz w:val="24"/>
          <w:szCs w:val="24"/>
          <w:u w:val="single"/>
        </w:rPr>
        <w:t>, y destacó que su organización movilizará su reserva de emergencias para préstamos, de un billón de dólares, para afrontarla.</w:t>
      </w:r>
    </w:p>
    <w:p w:rsidR="006E5D75" w:rsidRPr="0097462F"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97462F">
        <w:rPr>
          <w:rFonts w:ascii="Times New Roman" w:hAnsi="Times New Roman" w:cs="Times New Roman"/>
          <w:color w:val="FF0000"/>
          <w:sz w:val="24"/>
          <w:szCs w:val="24"/>
          <w:u w:val="single"/>
        </w:rPr>
        <w:t>Tenemos una reserva para emergencias de un billón de dólares y estamos decididos a usar toda la que haga falta para proteger de las cicatrices que causa</w:t>
      </w:r>
      <w:r>
        <w:rPr>
          <w:rFonts w:ascii="Times New Roman" w:hAnsi="Times New Roman" w:cs="Times New Roman"/>
          <w:color w:val="FF0000"/>
          <w:sz w:val="24"/>
          <w:szCs w:val="24"/>
          <w:u w:val="single"/>
        </w:rPr>
        <w:t>rá esta crisis”</w:t>
      </w:r>
      <w:r w:rsidRPr="0097462F">
        <w:rPr>
          <w:rFonts w:ascii="Times New Roman" w:hAnsi="Times New Roman" w:cs="Times New Roman"/>
          <w:color w:val="FF0000"/>
          <w:sz w:val="24"/>
          <w:szCs w:val="24"/>
          <w:u w:val="single"/>
        </w:rPr>
        <w:t>, destacó la economista búlgara en una rueda de prensa junto al director general de la Organización Mundial de la Salud (OMS), Tedros Adhanom Ghebreyesus.</w:t>
      </w:r>
    </w:p>
    <w:p w:rsidR="006E5D75" w:rsidRPr="004956B9" w:rsidRDefault="006E5D75" w:rsidP="006E5D75">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La directora gerente anunció en videoconferencia que más de 90 países han pedido ya ayuda financiera de emergencia al FMI a causa de la ac</w:t>
      </w:r>
      <w:r>
        <w:rPr>
          <w:rFonts w:ascii="Times New Roman" w:hAnsi="Times New Roman" w:cs="Times New Roman"/>
          <w:sz w:val="24"/>
          <w:szCs w:val="24"/>
        </w:rPr>
        <w:t>tual crisis por el coronavirus.</w:t>
      </w:r>
    </w:p>
    <w:p w:rsidR="006E5D75" w:rsidRPr="0097462F" w:rsidRDefault="006E5D75" w:rsidP="006E5D75">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lastRenderedPageBreak/>
        <w:t>También aseguró que la pan</w:t>
      </w:r>
      <w:r>
        <w:rPr>
          <w:rFonts w:ascii="Times New Roman" w:hAnsi="Times New Roman" w:cs="Times New Roman"/>
          <w:color w:val="FF0000"/>
          <w:sz w:val="24"/>
          <w:szCs w:val="24"/>
          <w:u w:val="single"/>
        </w:rPr>
        <w:t>demia de COVID-19 ha provocado “</w:t>
      </w:r>
      <w:r w:rsidRPr="0097462F">
        <w:rPr>
          <w:rFonts w:ascii="Times New Roman" w:hAnsi="Times New Roman" w:cs="Times New Roman"/>
          <w:color w:val="FF0000"/>
          <w:sz w:val="24"/>
          <w:szCs w:val="24"/>
          <w:u w:val="single"/>
        </w:rPr>
        <w:t>una para</w:t>
      </w:r>
      <w:r>
        <w:rPr>
          <w:rFonts w:ascii="Times New Roman" w:hAnsi="Times New Roman" w:cs="Times New Roman"/>
          <w:color w:val="FF0000"/>
          <w:sz w:val="24"/>
          <w:szCs w:val="24"/>
          <w:u w:val="single"/>
        </w:rPr>
        <w:t>lización de la economía mundial”que ya ha sumido al planeta en “</w:t>
      </w:r>
      <w:r w:rsidRPr="0097462F">
        <w:rPr>
          <w:rFonts w:ascii="Times New Roman" w:hAnsi="Times New Roman" w:cs="Times New Roman"/>
          <w:color w:val="FF0000"/>
          <w:sz w:val="24"/>
          <w:szCs w:val="24"/>
          <w:u w:val="single"/>
        </w:rPr>
        <w:t>una recesión much</w:t>
      </w:r>
      <w:r>
        <w:rPr>
          <w:rFonts w:ascii="Times New Roman" w:hAnsi="Times New Roman" w:cs="Times New Roman"/>
          <w:color w:val="FF0000"/>
          <w:sz w:val="24"/>
          <w:szCs w:val="24"/>
          <w:u w:val="single"/>
        </w:rPr>
        <w:t>o peor que la crisis financiera”</w:t>
      </w:r>
      <w:r w:rsidRPr="0097462F">
        <w:rPr>
          <w:rFonts w:ascii="Times New Roman" w:hAnsi="Times New Roman" w:cs="Times New Roman"/>
          <w:color w:val="FF0000"/>
          <w:sz w:val="24"/>
          <w:szCs w:val="24"/>
          <w:u w:val="single"/>
        </w:rPr>
        <w:t xml:space="preserve"> iniciada en 2008.</w:t>
      </w:r>
    </w:p>
    <w:p w:rsidR="006E5D75" w:rsidRPr="004956B9"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56B9">
        <w:rPr>
          <w:rFonts w:ascii="Times New Roman" w:hAnsi="Times New Roman" w:cs="Times New Roman"/>
          <w:sz w:val="24"/>
          <w:szCs w:val="24"/>
        </w:rPr>
        <w:t>La OMS está aquí para proteger la salud de la gente, el FMI para proteger el estado de la economía mundial, ambas cosas están siendo asediadas y sólo unido</w:t>
      </w:r>
      <w:r>
        <w:rPr>
          <w:rFonts w:ascii="Times New Roman" w:hAnsi="Times New Roman" w:cs="Times New Roman"/>
          <w:sz w:val="24"/>
          <w:szCs w:val="24"/>
        </w:rPr>
        <w:t>s podemos conseguirlo”, señaló.</w:t>
      </w:r>
    </w:p>
    <w:p w:rsidR="006E5D75" w:rsidRPr="004956B9" w:rsidRDefault="006E5D75" w:rsidP="006E5D75">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Georgieva indicó que de la misma manera que el coronavirus daña especialmente a los pacientes más vulnerables, la crisis golpeará sobre todo a los países en desarrollo y emergentes, de los que ya han salido en los últimos meses inversiones por valor de 90.000 millones de dólares</w:t>
      </w:r>
      <w:r>
        <w:rPr>
          <w:rFonts w:ascii="Times New Roman" w:hAnsi="Times New Roman" w:cs="Times New Roman"/>
          <w:sz w:val="24"/>
          <w:szCs w:val="24"/>
        </w:rPr>
        <w:t>, más que en la crisis de 2008.</w:t>
      </w:r>
    </w:p>
    <w:p w:rsidR="006E5D75" w:rsidRPr="0097462F" w:rsidRDefault="006E5D75" w:rsidP="006E5D75">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Concluyó subrayando que la actua</w:t>
      </w:r>
      <w:r>
        <w:rPr>
          <w:rFonts w:ascii="Times New Roman" w:hAnsi="Times New Roman" w:cs="Times New Roman"/>
          <w:color w:val="FF0000"/>
          <w:sz w:val="24"/>
          <w:szCs w:val="24"/>
          <w:u w:val="single"/>
        </w:rPr>
        <w:t>l crisis es “</w:t>
      </w:r>
      <w:r w:rsidRPr="0097462F">
        <w:rPr>
          <w:rFonts w:ascii="Times New Roman" w:hAnsi="Times New Roman" w:cs="Times New Roman"/>
          <w:color w:val="FF0000"/>
          <w:sz w:val="24"/>
          <w:szCs w:val="24"/>
          <w:u w:val="single"/>
        </w:rPr>
        <w:t>la hora más oscura para la humanidad, una gran amenaza ante la que debemos estar unidos para</w:t>
      </w:r>
      <w:r>
        <w:rPr>
          <w:rFonts w:ascii="Times New Roman" w:hAnsi="Times New Roman" w:cs="Times New Roman"/>
          <w:color w:val="FF0000"/>
          <w:sz w:val="24"/>
          <w:szCs w:val="24"/>
          <w:u w:val="single"/>
        </w:rPr>
        <w:t xml:space="preserve"> proteger a los más vulnerables”</w:t>
      </w:r>
      <w:r w:rsidRPr="0097462F">
        <w:rPr>
          <w:rFonts w:ascii="Times New Roman" w:hAnsi="Times New Roman" w:cs="Times New Roman"/>
          <w:color w:val="FF0000"/>
          <w:sz w:val="24"/>
          <w:szCs w:val="24"/>
          <w:u w:val="single"/>
        </w:rPr>
        <w:t>.</w:t>
      </w:r>
    </w:p>
    <w:p w:rsidR="006E5D75" w:rsidRPr="00CD2A0F" w:rsidRDefault="006E5D75" w:rsidP="006E5D75">
      <w:pPr>
        <w:spacing w:line="240" w:lineRule="auto"/>
        <w:rPr>
          <w:rFonts w:ascii="Times New Roman" w:hAnsi="Times New Roman" w:cs="Times New Roman"/>
          <w:b/>
          <w:sz w:val="24"/>
          <w:szCs w:val="24"/>
        </w:rPr>
      </w:pPr>
      <w:r>
        <w:rPr>
          <w:noProof/>
          <w:lang w:val="en-GB" w:eastAsia="zh-CN"/>
        </w:rPr>
        <w:drawing>
          <wp:inline distT="0" distB="0" distL="0" distR="0">
            <wp:extent cx="5727372" cy="2635624"/>
            <wp:effectExtent l="0" t="0" r="6985" b="0"/>
            <wp:docPr id="39" name="Imagen 39" descr="https://d500.epimg.net/descargables/2020/04/03/42c284d6b96ad57b316aad3c4325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4/03/42c284d6b96ad57b316aad3c43251e72.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37528"/>
                    </a:xfrm>
                    <a:prstGeom prst="rect">
                      <a:avLst/>
                    </a:prstGeom>
                    <a:noFill/>
                    <a:ln>
                      <a:noFill/>
                    </a:ln>
                  </pic:spPr>
                </pic:pic>
              </a:graphicData>
            </a:graphic>
          </wp:inline>
        </w:drawing>
      </w:r>
    </w:p>
    <w:p w:rsidR="006E5D75" w:rsidRDefault="006E5D75" w:rsidP="006E5D75">
      <w:pPr>
        <w:pStyle w:val="NormalWeb"/>
        <w:spacing w:after="0"/>
        <w:jc w:val="both"/>
        <w:textAlignment w:val="baseline"/>
      </w:pPr>
      <w:r>
        <w:t xml:space="preserve">- </w:t>
      </w:r>
      <w:r w:rsidRPr="00995A4B">
        <w:rPr>
          <w:u w:val="single"/>
        </w:rPr>
        <w:t>Perspectivas para la recesión de la COVID</w:t>
      </w:r>
      <w:r w:rsidRPr="00995A4B">
        <w:rPr>
          <w:rFonts w:ascii="Cambria Math" w:hAnsi="Cambria Math" w:cs="Cambria Math"/>
          <w:u w:val="single"/>
        </w:rPr>
        <w:t>‑</w:t>
      </w:r>
      <w:r w:rsidRPr="00995A4B">
        <w:rPr>
          <w:u w:val="single"/>
        </w:rPr>
        <w:t>19</w:t>
      </w:r>
      <w:r>
        <w:t xml:space="preserve"> (Project Syndicate - </w:t>
      </w:r>
      <w:r w:rsidRPr="00995A4B">
        <w:rPr>
          <w:b/>
        </w:rPr>
        <w:t>7/4/20</w:t>
      </w:r>
      <w:r>
        <w:t>)</w:t>
      </w:r>
    </w:p>
    <w:p w:rsidR="006E5D75" w:rsidRPr="007D349B" w:rsidRDefault="006E5D75" w:rsidP="006E5D75">
      <w:pPr>
        <w:pStyle w:val="NormalWeb"/>
        <w:spacing w:after="0"/>
        <w:jc w:val="both"/>
        <w:textAlignment w:val="baseline"/>
        <w:rPr>
          <w:color w:val="FF0000"/>
          <w:u w:val="single"/>
        </w:rPr>
      </w:pPr>
      <w:r>
        <w:t xml:space="preserve">Cambridge.-  </w:t>
      </w:r>
      <w:r w:rsidRPr="007D349B">
        <w:rPr>
          <w:color w:val="FF0000"/>
          <w:u w:val="single"/>
        </w:rPr>
        <w:t>Con cada día que pasa, la crisis financiera global de 2008 se va pareciendo cada vez más a un mero ensayo para la catástrofe económica actual. El derrumbe inmediato de la producción global que ya está en curso parece destinado a ser comparable o superior a cualquier recesión de los últimos 150 años.</w:t>
      </w:r>
    </w:p>
    <w:p w:rsidR="006E5D75" w:rsidRPr="007D349B" w:rsidRDefault="006E5D75" w:rsidP="006E5D75">
      <w:pPr>
        <w:pStyle w:val="NormalWeb"/>
        <w:spacing w:after="0"/>
        <w:jc w:val="both"/>
        <w:textAlignment w:val="baseline"/>
        <w:rPr>
          <w:color w:val="FF0000"/>
          <w:u w:val="single"/>
        </w:rPr>
      </w:pPr>
      <w:r>
        <w:t xml:space="preserve">Incluso con los decididos esfuerzos de bancos centrales y autoridades fiscales para suavizar el golpe, los mercados de activos en las economías avanzadas se derrumbaron, y los capitales huyen de los mercados emergentes a una velocidad pasmosa. </w:t>
      </w:r>
      <w:r w:rsidRPr="007D349B">
        <w:rPr>
          <w:color w:val="FF0000"/>
          <w:u w:val="single"/>
        </w:rPr>
        <w:t>Nada podrá evitar una profunda desaceleración económica y una crisis financiera. La pregunta clave ahora es cuáles serán la gravedad y duración de la recesión.</w:t>
      </w:r>
    </w:p>
    <w:p w:rsidR="006E5D75" w:rsidRDefault="006E5D75" w:rsidP="006E5D75">
      <w:pPr>
        <w:pStyle w:val="NormalWeb"/>
        <w:spacing w:after="0"/>
        <w:jc w:val="both"/>
        <w:textAlignment w:val="baseline"/>
      </w:pPr>
      <w:r w:rsidRPr="007D349B">
        <w:rPr>
          <w:u w:val="single"/>
        </w:rPr>
        <w:t>Mientras no se sepa cuán rápida y completa será la solución del desafío sanitario, es casi imposible para los economistas predecir cómo terminará esta crisis</w:t>
      </w:r>
      <w:r>
        <w:t>. A la incertidumbre científica en relación con el coronavirus se le agrega la incertidumbre socioeconómica respecto de la conducta de las personas y de las autoridades en las próximas semanas y meses.</w:t>
      </w:r>
    </w:p>
    <w:p w:rsidR="006E5D75" w:rsidRDefault="006E5D75" w:rsidP="006E5D75">
      <w:pPr>
        <w:pStyle w:val="NormalWeb"/>
        <w:spacing w:after="0"/>
        <w:jc w:val="both"/>
        <w:textAlignment w:val="baseline"/>
      </w:pPr>
      <w:r w:rsidRPr="007D349B">
        <w:rPr>
          <w:u w:val="single"/>
        </w:rPr>
        <w:lastRenderedPageBreak/>
        <w:t>Al fin y al cabo, el mundo está experimentando algo similar a una invasión extraterrestre. Sabemos que la determinación y la creatividad de la humanidad triunfarán. ¿Pero a qué costo?</w:t>
      </w:r>
      <w:r>
        <w:t xml:space="preserve"> Al momento de escribir estas líneas, los mercados parecen cautamente esperanzados en una recuperación rápida, tal vez a partir del cuarto trimestre de este año. Muchos analistas señalan la experiencia china como un preanuncio alentador de lo que puede esperar el resto del mundo.</w:t>
      </w:r>
    </w:p>
    <w:p w:rsidR="006E5D75" w:rsidRPr="007D349B" w:rsidRDefault="006E5D75" w:rsidP="006E5D75">
      <w:pPr>
        <w:pStyle w:val="NormalWeb"/>
        <w:spacing w:after="0"/>
        <w:jc w:val="both"/>
        <w:textAlignment w:val="baseline"/>
        <w:rPr>
          <w:u w:val="single"/>
        </w:rPr>
      </w:pPr>
      <w:r>
        <w:t xml:space="preserve">Pero ¿se justifica realmente esa mirada? </w:t>
      </w:r>
      <w:r w:rsidRPr="001A588A">
        <w:rPr>
          <w:color w:val="FF0000"/>
          <w:u w:val="single"/>
        </w:rPr>
        <w:t>Pese a cierta recuperación del empleo en China, no está nada claro cuándo regresará a niveles similares a los de antes de la COVID</w:t>
      </w:r>
      <w:r w:rsidRPr="001A588A">
        <w:rPr>
          <w:rFonts w:ascii="Cambria Math" w:hAnsi="Cambria Math" w:cs="Cambria Math"/>
          <w:color w:val="FF0000"/>
          <w:u w:val="single"/>
        </w:rPr>
        <w:t>‑</w:t>
      </w:r>
      <w:r w:rsidRPr="001A588A">
        <w:rPr>
          <w:color w:val="FF0000"/>
          <w:u w:val="single"/>
        </w:rPr>
        <w:t>19</w:t>
      </w:r>
      <w:r>
        <w:t>. E incluso con una recuperaci</w:t>
      </w:r>
      <w:r>
        <w:rPr>
          <w:rFonts w:ascii="Calibri" w:hAnsi="Calibri" w:cs="Calibri"/>
        </w:rPr>
        <w:t>ó</w:t>
      </w:r>
      <w:r>
        <w:t xml:space="preserve">n plena de la actividad industrial china, </w:t>
      </w:r>
      <w:r w:rsidRPr="007D349B">
        <w:rPr>
          <w:rFonts w:ascii="Calibri" w:hAnsi="Calibri" w:cs="Calibri"/>
          <w:u w:val="single"/>
        </w:rPr>
        <w:t>¿</w:t>
      </w:r>
      <w:r w:rsidRPr="007D349B">
        <w:rPr>
          <w:u w:val="single"/>
        </w:rPr>
        <w:t>qui</w:t>
      </w:r>
      <w:r w:rsidRPr="007D349B">
        <w:rPr>
          <w:rFonts w:ascii="Calibri" w:hAnsi="Calibri" w:cs="Calibri"/>
          <w:u w:val="single"/>
        </w:rPr>
        <w:t>é</w:t>
      </w:r>
      <w:r w:rsidRPr="007D349B">
        <w:rPr>
          <w:u w:val="single"/>
        </w:rPr>
        <w:t>n comprar</w:t>
      </w:r>
      <w:r w:rsidRPr="007D349B">
        <w:rPr>
          <w:rFonts w:ascii="Calibri" w:hAnsi="Calibri" w:cs="Calibri"/>
          <w:u w:val="single"/>
        </w:rPr>
        <w:t>á</w:t>
      </w:r>
      <w:r w:rsidRPr="007D349B">
        <w:rPr>
          <w:u w:val="single"/>
        </w:rPr>
        <w:t xml:space="preserve"> esos bienes si el resto de la econom</w:t>
      </w:r>
      <w:r w:rsidRPr="007D349B">
        <w:rPr>
          <w:rFonts w:ascii="Calibri" w:hAnsi="Calibri" w:cs="Calibri"/>
          <w:u w:val="single"/>
        </w:rPr>
        <w:t>í</w:t>
      </w:r>
      <w:r w:rsidRPr="007D349B">
        <w:rPr>
          <w:u w:val="single"/>
        </w:rPr>
        <w:t>a global se hunde? En cuanto a Estados Unidos, regresar al 70% o 80% de la capacidad parece un sueño lejano.</w:t>
      </w:r>
    </w:p>
    <w:p w:rsidR="006E5D75" w:rsidRPr="007D349B" w:rsidRDefault="006E5D75" w:rsidP="006E5D75">
      <w:pPr>
        <w:pStyle w:val="NormalWeb"/>
        <w:spacing w:after="0"/>
        <w:jc w:val="both"/>
        <w:textAlignment w:val="baseline"/>
        <w:rPr>
          <w:u w:val="single"/>
        </w:rPr>
      </w:pPr>
      <w:r>
        <w:t xml:space="preserve">Ahora que la contención del brote en Estados Unidos ha sido un fracaso rotundo (pese a tener el sistema sanitario más avanzado del mundo), </w:t>
      </w:r>
      <w:r w:rsidRPr="007D349B">
        <w:rPr>
          <w:u w:val="single"/>
        </w:rPr>
        <w:t>para los estadounidenses será sumamente difícil regresar a la normalidad económica hasta que se disponga de una vacuna, algo que puede demorar un año o más. Ni siquiera es seguro cómo se las arreglará Estados Unidos para celebrar la elección presidencial de noviembre de 2020.</w:t>
      </w:r>
    </w:p>
    <w:p w:rsidR="006E5D75" w:rsidRPr="007D349B" w:rsidRDefault="006E5D75" w:rsidP="006E5D75">
      <w:pPr>
        <w:pStyle w:val="NormalWeb"/>
        <w:spacing w:after="0"/>
        <w:jc w:val="both"/>
        <w:textAlignment w:val="baseline"/>
        <w:rPr>
          <w:color w:val="FF0000"/>
          <w:u w:val="single"/>
        </w:rPr>
      </w:pPr>
      <w:r w:rsidRPr="007D349B">
        <w:rPr>
          <w:color w:val="FF0000"/>
          <w:u w:val="single"/>
        </w:rPr>
        <w:t>Por ahora, los mercados parecen hallar alivio en los inmensos programas de estímulo en Estados Unidos, absolutamente necesarios para proteger a los trabajadores y evitar un derrumbe del mercado. Pero ya es evidente que se necesita mucho más.</w:t>
      </w:r>
    </w:p>
    <w:p w:rsidR="006E5D75" w:rsidRPr="004955C8" w:rsidRDefault="006E5D75" w:rsidP="006E5D75">
      <w:pPr>
        <w:pStyle w:val="NormalWeb"/>
        <w:spacing w:after="0"/>
        <w:jc w:val="both"/>
        <w:textAlignment w:val="baseline"/>
        <w:rPr>
          <w:u w:val="single"/>
        </w:rPr>
      </w:pPr>
      <w:r>
        <w:t xml:space="preserve">Si esto fuera un pánico financiero común y corriente, una inyección masiva de estímulo fiscal a la demanda resolvería muchos problemas. Pero </w:t>
      </w:r>
      <w:r w:rsidRPr="004955C8">
        <w:rPr>
          <w:u w:val="single"/>
        </w:rPr>
        <w:t>el mundo está experimentando la pandemia más grave desde el brote de gripe de 1918</w:t>
      </w:r>
      <w:r w:rsidRPr="004955C8">
        <w:rPr>
          <w:rFonts w:ascii="Cambria Math" w:hAnsi="Cambria Math" w:cs="Cambria Math"/>
          <w:u w:val="single"/>
        </w:rPr>
        <w:t>‑</w:t>
      </w:r>
      <w:r w:rsidRPr="004955C8">
        <w:rPr>
          <w:u w:val="single"/>
        </w:rPr>
        <w:t>20. Si esta vez muriera otro 2% de la poblaci</w:t>
      </w:r>
      <w:r w:rsidRPr="004955C8">
        <w:rPr>
          <w:rFonts w:ascii="Calibri" w:hAnsi="Calibri" w:cs="Calibri"/>
          <w:u w:val="single"/>
        </w:rPr>
        <w:t>ó</w:t>
      </w:r>
      <w:r w:rsidRPr="004955C8">
        <w:rPr>
          <w:u w:val="single"/>
        </w:rPr>
        <w:t>n mundial, la cifra de muertes llegar</w:t>
      </w:r>
      <w:r w:rsidRPr="004955C8">
        <w:rPr>
          <w:rFonts w:ascii="Calibri" w:hAnsi="Calibri" w:cs="Calibri"/>
          <w:u w:val="single"/>
        </w:rPr>
        <w:t>í</w:t>
      </w:r>
      <w:r w:rsidRPr="004955C8">
        <w:rPr>
          <w:u w:val="single"/>
        </w:rPr>
        <w:t>a a unos 150 millones de personas.</w:t>
      </w:r>
    </w:p>
    <w:p w:rsidR="006E5D75" w:rsidRDefault="006E5D75" w:rsidP="006E5D75">
      <w:pPr>
        <w:pStyle w:val="NormalWeb"/>
        <w:spacing w:after="0"/>
        <w:jc w:val="both"/>
        <w:textAlignment w:val="baseline"/>
      </w:pPr>
      <w:r w:rsidRPr="004955C8">
        <w:rPr>
          <w:u w:val="single"/>
        </w:rPr>
        <w:t>Felizmente, es probable que no se llegue a semejante extremo, vistas las medidas radicales de confinamiento y distanciamiento social que se están adoptando en todo el mundo. Pero mientras la crisis sanitaria no esté resuelta, la situación económica será muy sombría</w:t>
      </w:r>
      <w:r>
        <w:t>. E incluso después de un reinicio de la actividad económica, el daño a las empresas y a los mercados de deuda tendrá efectos duraderos, especialmente si se tiene en cuenta que antes del inicio de la crisis el nivel global de endeudamiento ya estaba en niveles récord.</w:t>
      </w:r>
    </w:p>
    <w:p w:rsidR="006E5D75" w:rsidRPr="004955C8" w:rsidRDefault="006E5D75" w:rsidP="006E5D75">
      <w:pPr>
        <w:pStyle w:val="NormalWeb"/>
        <w:spacing w:after="0"/>
        <w:jc w:val="both"/>
        <w:textAlignment w:val="baseline"/>
        <w:rPr>
          <w:color w:val="FF0000"/>
          <w:u w:val="single"/>
        </w:rPr>
      </w:pPr>
      <w:r w:rsidRPr="004955C8">
        <w:rPr>
          <w:u w:val="single"/>
        </w:rPr>
        <w:t>Es verdad que los gobiernos y bancos centrales han provisto protección a amplias franjas del sector financiero con medidas tan minuciosas que casi parecen chinas; y tienen poder de fuego suficiente para hacer mucho más si fuera necesario</w:t>
      </w:r>
      <w:r>
        <w:t xml:space="preserve">. </w:t>
      </w:r>
      <w:r w:rsidRPr="004955C8">
        <w:rPr>
          <w:color w:val="FF0000"/>
          <w:u w:val="single"/>
        </w:rPr>
        <w:t>Pero el problema es que lo que tenemos enfrente no es solamente un shock de demanda sino también un inmenso shock de oferta.Las políticas de apoyo a la demanda pueden ayudar a aplanar la curva de contagios en la medida en que facilitan la permanencia de las personas en sus hogares, pero su capacidad de sostener la economía es limitada si, digamos, el 20 o 30% de la fuerza laboral estuviera en aislamiento buena parte de los próximos dos años.</w:t>
      </w:r>
    </w:p>
    <w:p w:rsidR="006E5D75" w:rsidRPr="004955C8" w:rsidRDefault="006E5D75" w:rsidP="006E5D75">
      <w:pPr>
        <w:pStyle w:val="NormalWeb"/>
        <w:spacing w:after="0"/>
        <w:jc w:val="both"/>
        <w:textAlignment w:val="baseline"/>
        <w:rPr>
          <w:u w:val="single"/>
        </w:rPr>
      </w:pPr>
      <w:r w:rsidRPr="004955C8">
        <w:rPr>
          <w:b/>
          <w:color w:val="FF0000"/>
          <w:u w:val="single"/>
        </w:rPr>
        <w:t>Y todavía no he mencionado la enorme incertidumbre política que puede seguir a una depresión global. Así como la crisis financiera de 2008 produjo una profunda parálisis política y alentó el surgimiento de una camada de líderes populistas antitecnocráticos, es previsible que la crisis de la COVID</w:t>
      </w:r>
      <w:r w:rsidRPr="004955C8">
        <w:rPr>
          <w:rFonts w:ascii="Cambria Math" w:hAnsi="Cambria Math" w:cs="Cambria Math"/>
          <w:b/>
          <w:color w:val="FF0000"/>
          <w:u w:val="single"/>
        </w:rPr>
        <w:t>‑</w:t>
      </w:r>
      <w:r w:rsidRPr="004955C8">
        <w:rPr>
          <w:b/>
          <w:color w:val="FF0000"/>
          <w:u w:val="single"/>
        </w:rPr>
        <w:t>19 lleve a disrupciones todav</w:t>
      </w:r>
      <w:r w:rsidRPr="004955C8">
        <w:rPr>
          <w:rFonts w:ascii="Calibri" w:hAnsi="Calibri" w:cs="Calibri"/>
          <w:b/>
          <w:color w:val="FF0000"/>
          <w:u w:val="single"/>
        </w:rPr>
        <w:t>í</w:t>
      </w:r>
      <w:r w:rsidRPr="004955C8">
        <w:rPr>
          <w:b/>
          <w:color w:val="FF0000"/>
          <w:u w:val="single"/>
        </w:rPr>
        <w:t>a m</w:t>
      </w:r>
      <w:r w:rsidRPr="004955C8">
        <w:rPr>
          <w:rFonts w:ascii="Calibri" w:hAnsi="Calibri" w:cs="Calibri"/>
          <w:b/>
          <w:color w:val="FF0000"/>
          <w:u w:val="single"/>
        </w:rPr>
        <w:t>á</w:t>
      </w:r>
      <w:r w:rsidRPr="004955C8">
        <w:rPr>
          <w:b/>
          <w:color w:val="FF0000"/>
          <w:u w:val="single"/>
        </w:rPr>
        <w:t>s extremas</w:t>
      </w:r>
      <w:r>
        <w:t xml:space="preserve">. La respuesta sanitaria en Estados Unidos ha sido catastrófica, por una combinación de incompetencia y negligencia en muchos de los niveles de gobierno (incluido el más alto). </w:t>
      </w:r>
      <w:r w:rsidRPr="004955C8">
        <w:rPr>
          <w:u w:val="single"/>
        </w:rPr>
        <w:t xml:space="preserve">Si </w:t>
      </w:r>
      <w:r w:rsidRPr="004955C8">
        <w:rPr>
          <w:u w:val="single"/>
        </w:rPr>
        <w:lastRenderedPageBreak/>
        <w:t>se mantiene la trayectoria actual, la cifra de muertes sólo en Nueva York puede superar a la de Italia.</w:t>
      </w:r>
    </w:p>
    <w:p w:rsidR="006E5D75" w:rsidRPr="004955C8" w:rsidRDefault="006E5D75" w:rsidP="006E5D75">
      <w:pPr>
        <w:pStyle w:val="NormalWeb"/>
        <w:spacing w:after="0"/>
        <w:jc w:val="both"/>
        <w:textAlignment w:val="baseline"/>
        <w:rPr>
          <w:u w:val="single"/>
        </w:rPr>
      </w:pPr>
      <w:r w:rsidRPr="004955C8">
        <w:rPr>
          <w:u w:val="single"/>
        </w:rPr>
        <w:t>Claro que es posible imaginar escenarios más optimistas. Con testeos a gran escala podríamos determinar quién está enfermo, quién sano y quién ya está inmunizado y puede volver a trabajar. Ese conocimiento sería invaluable. Pero aquí también, Estados Unidos tiene una tremenda insuficiencia de recursos de testeo, que se debe a muchos años de incorrecta fijación de prioridades y mala gestión en varios niveles.</w:t>
      </w:r>
    </w:p>
    <w:p w:rsidR="006E5D75" w:rsidRPr="004955C8" w:rsidRDefault="006E5D75" w:rsidP="006E5D75">
      <w:pPr>
        <w:pStyle w:val="NormalWeb"/>
        <w:spacing w:after="0"/>
        <w:jc w:val="both"/>
        <w:textAlignment w:val="baseline"/>
        <w:rPr>
          <w:color w:val="FF0000"/>
          <w:u w:val="single"/>
        </w:rPr>
      </w:pPr>
      <w:r w:rsidRPr="004955C8">
        <w:rPr>
          <w:color w:val="FF0000"/>
          <w:u w:val="single"/>
        </w:rPr>
        <w:t>Incluso sin una vacuna, la economía puede volver a la normalidad en relativamente poco tiempo si se consigue una implementación rápida de tratamientos eficaces. Pero sin testeos a gran escala y una idea clara de lo que será la «normalidad» en un par de años, será difícil persuadir a las empresas de invertir y tomar personal, especialmente cuando prevén una suba de impuestos cuando todo termine. Y que las bolsas hasta ahora hayan perdido menos que en 2008 puede deberse exclusivamente a que todos recuerdan el rebote de las cotizaciones durante la recuperación. Pero si fuera cierto que aquella crisis apenas fue un ensayo para esta, los inversores no deben esperar un rebote rápido.</w:t>
      </w:r>
    </w:p>
    <w:p w:rsidR="006E5D75" w:rsidRPr="004955C8" w:rsidRDefault="006E5D75" w:rsidP="006E5D75">
      <w:pPr>
        <w:pStyle w:val="NormalWeb"/>
        <w:spacing w:after="0"/>
        <w:jc w:val="both"/>
        <w:textAlignment w:val="baseline"/>
        <w:rPr>
          <w:color w:val="FF0000"/>
          <w:u w:val="single"/>
        </w:rPr>
      </w:pPr>
      <w:r>
        <w:t xml:space="preserve">En unos pocos meses, los científicos sabrán mucho más acerca de nuestro invasor microscópico. La propagación del virus a través de Estados Unidos dará a los investigadores de este país acceso directo a datos y pacientes, en vez de tener que basarse solamente en datos chinos de la provincia de Hubei. </w:t>
      </w:r>
      <w:r w:rsidRPr="004955C8">
        <w:rPr>
          <w:color w:val="FF0000"/>
          <w:u w:val="single"/>
        </w:rPr>
        <w:t>Sólo cuando la invasión haya sido derrotada será posible evaluar el costo del cataclismo económico que dejará tras de sí.</w:t>
      </w:r>
    </w:p>
    <w:p w:rsidR="006E5D75" w:rsidRDefault="006E5D75" w:rsidP="006E5D75">
      <w:pPr>
        <w:pStyle w:val="NormalWeb"/>
        <w:spacing w:after="0"/>
        <w:jc w:val="both"/>
        <w:textAlignment w:val="baseline"/>
        <w:rPr>
          <w:lang w:val="en-US"/>
        </w:rPr>
      </w:pPr>
      <w:r>
        <w:rPr>
          <w:lang w:val="en-US"/>
        </w:rPr>
        <w:t>(</w:t>
      </w:r>
      <w:r w:rsidRPr="00995A4B">
        <w:rPr>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lang w:val="en-US"/>
        </w:rPr>
        <w:t>and author of The Curse of Cash)</w:t>
      </w:r>
    </w:p>
    <w:p w:rsidR="006E5D75" w:rsidRDefault="006E5D75" w:rsidP="006E5D75">
      <w:pPr>
        <w:pStyle w:val="NormalWeb"/>
        <w:spacing w:after="0"/>
        <w:jc w:val="both"/>
        <w:textAlignment w:val="baseline"/>
      </w:pPr>
      <w:r>
        <w:t xml:space="preserve">- </w:t>
      </w:r>
      <w:r w:rsidRPr="00192FC1">
        <w:rPr>
          <w:u w:val="single"/>
        </w:rPr>
        <w:t>OIT: El COVID-19 causa pérdidas devastadoras de empleos y horas de trabajo</w:t>
      </w:r>
      <w:r>
        <w:t xml:space="preserve"> (Comunicado de prensa - </w:t>
      </w:r>
      <w:r>
        <w:rPr>
          <w:b/>
        </w:rPr>
        <w:t>7/4/</w:t>
      </w:r>
      <w:r w:rsidRPr="00460972">
        <w:rPr>
          <w:b/>
        </w:rPr>
        <w:t>20</w:t>
      </w:r>
      <w:r>
        <w:t>)</w:t>
      </w:r>
    </w:p>
    <w:p w:rsidR="006E5D75" w:rsidRDefault="006E5D75" w:rsidP="006E5D75">
      <w:pPr>
        <w:pStyle w:val="NormalWeb"/>
        <w:spacing w:after="0"/>
        <w:jc w:val="both"/>
        <w:textAlignment w:val="baseline"/>
      </w:pPr>
      <w:r>
        <w:t>La pandemia COVID-19 está teniendo un efecto catastrófico en el tiempo de trabajo y en los ingresos, a nivel mundial. Un nuevo informe de la OIT destaca algunos de los sectores y regiones más afectados, y esboza unas políticas para mitigar la crisis.</w:t>
      </w:r>
    </w:p>
    <w:p w:rsidR="006E5D75" w:rsidRDefault="006E5D75" w:rsidP="006E5D75">
      <w:pPr>
        <w:pStyle w:val="NormalWeb"/>
        <w:spacing w:after="0"/>
        <w:jc w:val="both"/>
        <w:textAlignment w:val="baseline"/>
      </w:pPr>
      <w:r>
        <w:t>(Por Luis Acosta / AFP)</w:t>
      </w:r>
    </w:p>
    <w:p w:rsidR="006E5D75" w:rsidRDefault="006E5D75" w:rsidP="006E5D75">
      <w:pPr>
        <w:pStyle w:val="NormalWeb"/>
        <w:spacing w:after="0"/>
        <w:jc w:val="both"/>
        <w:textAlignment w:val="baseline"/>
      </w:pPr>
      <w:r>
        <w:t>Ginebra (OIT Noticias).- A nivel mundial, se prevé que la crisis por el COVID-19  hará desaparecer 6,7 por ciento de las horas de trabajo en el segundo trimestre de 2020, lo que equivale a 195 millones de trabajadores a tiempo completo.</w:t>
      </w:r>
    </w:p>
    <w:p w:rsidR="006E5D75" w:rsidRDefault="006E5D75" w:rsidP="006E5D75">
      <w:pPr>
        <w:pStyle w:val="NormalWeb"/>
        <w:spacing w:after="0"/>
        <w:jc w:val="both"/>
        <w:textAlignment w:val="baseline"/>
      </w:pPr>
      <w:r>
        <w:t>Recortes a gran escala están previstos en los Estados Árabes (8,1 por ciento, equivalente a 5 millones de trabajadores a tiempo completo), en Europa (7,8 por ciento, o 12 millones de trabajadores a tiempo completo) y en Asia y el Pacífico (7,2 por ciento, 125 millones de trabajadores a tiempo completo).</w:t>
      </w:r>
    </w:p>
    <w:p w:rsidR="006E5D75" w:rsidRDefault="006E5D75" w:rsidP="006E5D75">
      <w:pPr>
        <w:pStyle w:val="NormalWeb"/>
        <w:spacing w:after="0"/>
        <w:jc w:val="both"/>
        <w:textAlignment w:val="baseline"/>
      </w:pPr>
      <w:r>
        <w:t>Se prevén enormes pérdidas en los distintos grupos de ingresos, en particular en los países de ingresos medios altos (7 por ciento o 100 millones de trabajadores a tiempo completo). Esto supera con creces los efectos de la crisis financiera de 2008-2009.</w:t>
      </w:r>
    </w:p>
    <w:p w:rsidR="006E5D75" w:rsidRDefault="006E5D75" w:rsidP="006E5D75">
      <w:pPr>
        <w:pStyle w:val="NormalWeb"/>
        <w:spacing w:after="0"/>
        <w:jc w:val="both"/>
        <w:textAlignment w:val="baseline"/>
      </w:pPr>
      <w:r>
        <w:lastRenderedPageBreak/>
        <w:t>Los sectores más expuestos al riesgo incluyen los servicios de hospedaje y restauración, la manufactura, el comercio minorista y las actividades empresariales y administrativas.</w:t>
      </w:r>
    </w:p>
    <w:p w:rsidR="006E5D75" w:rsidRDefault="006E5D75" w:rsidP="006E5D75">
      <w:pPr>
        <w:pStyle w:val="NormalWeb"/>
        <w:spacing w:after="0"/>
        <w:jc w:val="both"/>
        <w:textAlignment w:val="baseline"/>
      </w:pPr>
      <w:r>
        <w:t>El posible aumento del desempleo mundial durante 2020 dependerá de manera considerable de la evolución futura y de las medidas políticas que serán adoptadas. Existe un riesgo elevado de que para final de año la cifra será significativamente más alta que la previsión inicial de la OIT, de 25 millones de desempleados.</w:t>
      </w:r>
    </w:p>
    <w:p w:rsidR="006E5D75" w:rsidRDefault="006E5D75" w:rsidP="006E5D75">
      <w:pPr>
        <w:pStyle w:val="NormalWeb"/>
        <w:spacing w:after="0"/>
        <w:jc w:val="both"/>
        <w:textAlignment w:val="baseline"/>
      </w:pPr>
      <w:r>
        <w:t>Más de cuatro de cada cinco personas (81 por ciento) de las 3.300 millones que conforman la fuerza de trabajo mundial están siendo afectadas por cierres totales o parciales de su lugar de trabajo.</w:t>
      </w:r>
    </w:p>
    <w:p w:rsidR="006E5D75" w:rsidRDefault="006E5D75" w:rsidP="006E5D75">
      <w:pPr>
        <w:pStyle w:val="NormalWeb"/>
        <w:spacing w:after="0"/>
        <w:jc w:val="both"/>
        <w:textAlignment w:val="baseline"/>
      </w:pPr>
      <w:r>
        <w:t>“Los trabajadores y las empresas se enfrentan una catástrofe, tanto en las economías desarrolladas como en las que están en desarrollo”, declaró el Director General de la OIT, Guy Ryder”. “Tenemos que actuar con rapidez, decisión y coordinación. Las medidas correctas y urgentes podrían hacer la diferencia entre la supervivencia y el colapso”.</w:t>
      </w:r>
    </w:p>
    <w:p w:rsidR="006E5D75" w:rsidRDefault="006E5D75" w:rsidP="006E5D75">
      <w:pPr>
        <w:pStyle w:val="NormalWeb"/>
        <w:spacing w:after="0"/>
        <w:jc w:val="both"/>
        <w:textAlignment w:val="baseline"/>
      </w:pPr>
      <w:r>
        <w:t>La segunda edición del Observatorio de la OIT: El COVID-19 y el mundo del trabajo, describe el COVID-19 como “la peor crisis mundial desde la Segunda Guerra Mundial”, actualiza la primera nota de investigación de la OIT publicada el 18 de marzo. La nueva versión incluye información sectorial y regional sobre los efectos de la pandemia.</w:t>
      </w:r>
    </w:p>
    <w:p w:rsidR="006E5D75" w:rsidRDefault="006E5D75" w:rsidP="006E5D75">
      <w:pPr>
        <w:pStyle w:val="NormalWeb"/>
        <w:spacing w:after="0"/>
        <w:jc w:val="both"/>
        <w:textAlignment w:val="baseline"/>
      </w:pPr>
      <w:r>
        <w:t>Según el nuevo estudio, 1.250 millones de personas trabajan en los sectores considerados de alto riesgo de sufrir “drásticos y devastadores” aumentos en los despidos y disminución de los salarios y horas de trabajo. Muchas de estas personas están empleadas en trabajos mal remunerados, de baja calificación, donde una pérdida imprevista de ingreso tiene consecuencias devastadoras.</w:t>
      </w:r>
    </w:p>
    <w:p w:rsidR="006E5D75" w:rsidRDefault="006E5D75" w:rsidP="006E5D75">
      <w:pPr>
        <w:pStyle w:val="NormalWeb"/>
        <w:spacing w:after="0"/>
        <w:jc w:val="both"/>
        <w:textAlignment w:val="baseline"/>
      </w:pPr>
      <w:r>
        <w:t>A nivel regional, la proporción de trabajadores en estos sectores “en riesgo” varía de 43 por ciento en las Américas a 26 por ciento en África. Algunas regiones, África en particular, tienen niveles de informalidad más altos, lo cual unido a la falta de protección social, gran densidad de población y débil capacidad, plantea a los gobiernos serios desafíos sanitarios y económicos, advierte el informe.</w:t>
      </w:r>
    </w:p>
    <w:p w:rsidR="006E5D75" w:rsidRDefault="006E5D75" w:rsidP="006E5D75">
      <w:pPr>
        <w:pStyle w:val="NormalWeb"/>
        <w:spacing w:after="0"/>
        <w:jc w:val="both"/>
        <w:textAlignment w:val="baseline"/>
      </w:pPr>
      <w:r>
        <w:t>A nivel mundial, dos mil millones de personas trabajan en el sector informal (la mayoría en las economías emergentes y en desarrollo) y corren un riesgo especial.</w:t>
      </w:r>
    </w:p>
    <w:p w:rsidR="006E5D75" w:rsidRDefault="006E5D75" w:rsidP="006E5D75">
      <w:pPr>
        <w:pStyle w:val="NormalWeb"/>
        <w:spacing w:after="0"/>
        <w:jc w:val="both"/>
        <w:textAlignment w:val="baseline"/>
      </w:pPr>
      <w:r>
        <w:t>Es necesario adoptar medidas políticas integradas y a gran escala, centradas en cuatro pilares: apoyar a las empresas, al empleo y los ingresos; estimular la economía y los empleos; proteger a los trabajadores en el lugar de trabajo; y utilizar el diálogo social entre gobiernos, trabajadores y empleadores a fin de encontrar soluciones, señala el estudio.</w:t>
      </w:r>
    </w:p>
    <w:p w:rsidR="006E5D75" w:rsidRDefault="006E5D75" w:rsidP="006E5D75">
      <w:pPr>
        <w:pStyle w:val="NormalWeb"/>
        <w:spacing w:after="0"/>
        <w:jc w:val="both"/>
        <w:textAlignment w:val="baseline"/>
      </w:pPr>
      <w:r>
        <w:t>“Esta es la mayor prueba para la cooperación internacional en más de 75 años”, afirmó Guy Ryder. “Si un país fracasa, entonces todos fracasamos. Debemos buscar soluciones que ayuden a todos los segmentos de nuestra sociedad global, en particular los más vulnerables y los que tienen menores posibilidades de valerse por sí mismos.</w:t>
      </w:r>
    </w:p>
    <w:p w:rsidR="006E5D75" w:rsidRDefault="006E5D75" w:rsidP="006E5D75">
      <w:pPr>
        <w:pStyle w:val="NormalWeb"/>
        <w:spacing w:after="0"/>
        <w:jc w:val="both"/>
        <w:textAlignment w:val="baseline"/>
      </w:pPr>
      <w:r>
        <w:t xml:space="preserve">“Las decisiones que tomemos hoy afectarán directamente la manera en que esta crisis evolucionará así como la vida de miles de millones de personas”, agregó. “Con las medidas correctas podemos limitar su impacto y las heridas que dejará. Nuestro objetivo debe ser </w:t>
      </w:r>
      <w:r>
        <w:lastRenderedPageBreak/>
        <w:t>reconstruir mejor para que nuestros nuevos sistemas sean más seguros, más justos y más sostenibles de los que permitieron que esta crisis ocurriera”.</w:t>
      </w:r>
    </w:p>
    <w:p w:rsidR="006E5D75" w:rsidRDefault="006E5D75" w:rsidP="006E5D75">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6E5D75" w:rsidRPr="00CB28F7" w:rsidRDefault="006E5D75" w:rsidP="006E5D75">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15000" cy="2279277"/>
            <wp:effectExtent l="0" t="0" r="0" b="6985"/>
            <wp:docPr id="86" name="Imagen 86"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279277"/>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6E5D75" w:rsidRPr="00CB28F7" w:rsidRDefault="006E5D75" w:rsidP="006E5D75">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14" w:history="1">
        <w:r w:rsidRPr="006F3112">
          <w:rPr>
            <w:rStyle w:val="Hipervnculo"/>
            <w:rFonts w:ascii="Times New Roman" w:hAnsi="Times New Roman" w:cs="Times New Roman"/>
            <w:color w:val="auto"/>
            <w:sz w:val="24"/>
            <w:szCs w:val="24"/>
            <w:u w:val="none"/>
          </w:rPr>
          <w:t>Francisco S. Jiménez</w:t>
        </w:r>
      </w:hyperlink>
      <w:r w:rsidRPr="00552C6D">
        <w:rPr>
          <w:rFonts w:ascii="Times New Roman" w:hAnsi="Times New Roman" w:cs="Times New Roman"/>
          <w:bCs/>
          <w:sz w:val="24"/>
          <w:szCs w:val="24"/>
        </w:rPr>
        <w:t>)</w:t>
      </w:r>
    </w:p>
    <w:p w:rsidR="006E5D75" w:rsidRPr="00A661FA" w:rsidRDefault="006E5D75" w:rsidP="006E5D75">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6E5D75" w:rsidRPr="00A661FA" w:rsidRDefault="006E5D75" w:rsidP="006E5D75">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15"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6E5D75" w:rsidRPr="00CB28F7" w:rsidRDefault="006E5D75" w:rsidP="006E5D75">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61FA">
        <w:rPr>
          <w:b/>
          <w:bCs/>
          <w:color w:val="212529"/>
          <w:spacing w:val="-1"/>
          <w:u w:val="single"/>
        </w:rPr>
        <w:t>peste negra del Siglo XIV.  </w:t>
      </w:r>
      <w:r w:rsidRPr="00A661FA">
        <w:rPr>
          <w:color w:val="212529"/>
          <w:spacing w:val="-1"/>
          <w:u w:val="single"/>
        </w:rPr>
        <w:t>Murieron alrededor de 75 millones de personas entre 1331 y 1353</w:t>
      </w:r>
      <w:r w:rsidRPr="00CB28F7">
        <w:rPr>
          <w:color w:val="212529"/>
          <w:spacing w:val="-1"/>
        </w:rPr>
        <w:t xml:space="preserve">, provocando un profundo cambio económico, social y político. La falta de mano de obra desembocó en revueltas de los campesinos por todo el continente al exigir mejores salarios a los señores feudales. La más conocida fue </w:t>
      </w:r>
      <w:r w:rsidRPr="008935E0">
        <w:rPr>
          <w:color w:val="212529"/>
          <w:spacing w:val="-1"/>
          <w:u w:val="single"/>
        </w:rPr>
        <w:t>el </w:t>
      </w:r>
      <w:r w:rsidRPr="008935E0">
        <w:rPr>
          <w:b/>
          <w:bCs/>
          <w:color w:val="212529"/>
          <w:spacing w:val="-1"/>
          <w:u w:val="single"/>
        </w:rPr>
        <w:t>Gran levantamiento de 1381 en Inglaterra</w:t>
      </w:r>
      <w:r w:rsidRPr="00CB28F7">
        <w:rPr>
          <w:b/>
          <w:bCs/>
          <w:color w:val="212529"/>
          <w:spacing w:val="-1"/>
        </w:rPr>
        <w:t> </w:t>
      </w:r>
      <w:r w:rsidRPr="00CB28F7">
        <w:rPr>
          <w:color w:val="212529"/>
          <w:spacing w:val="-1"/>
        </w:rPr>
        <w:t xml:space="preserve">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w:t>
      </w:r>
      <w:r w:rsidRPr="00CB28F7">
        <w:rPr>
          <w:color w:val="212529"/>
          <w:spacing w:val="-1"/>
        </w:rPr>
        <w:lastRenderedPageBreak/>
        <w:t>mano de obra entre un 25% y un 40%, lo que provocó que </w:t>
      </w:r>
      <w:r w:rsidRPr="00A34C2E">
        <w:rPr>
          <w:bCs/>
          <w:color w:val="212529"/>
          <w:spacing w:val="-1"/>
        </w:rPr>
        <w:t>los salarios entre las clases pobres crecieran un 100%</w:t>
      </w:r>
      <w:r w:rsidRPr="00A34C2E">
        <w:rPr>
          <w:color w:val="212529"/>
          <w:spacing w:val="-1"/>
        </w:rPr>
        <w:t>.</w:t>
      </w:r>
      <w:r w:rsidRPr="00CB28F7">
        <w:rPr>
          <w:color w:val="212529"/>
          <w:spacing w:val="-1"/>
        </w:rPr>
        <w:t xml:space="preserve"> Estos porcentajes se tradujeron en mayores sueldos, pero también en menos horas de trabajo y libertad para elegir al señor a quien servir.</w:t>
      </w:r>
    </w:p>
    <w:p w:rsidR="006E5D75" w:rsidRDefault="006E5D75" w:rsidP="006E5D75">
      <w:pPr>
        <w:pStyle w:val="NormalWeb"/>
        <w:shd w:val="clear" w:color="auto" w:fill="FFFFFF"/>
        <w:spacing w:before="0" w:beforeAutospacing="0" w:after="270" w:afterAutospacing="0"/>
        <w:jc w:val="both"/>
        <w:rPr>
          <w:color w:val="212529"/>
          <w:spacing w:val="-1"/>
          <w:u w:val="single"/>
        </w:rPr>
      </w:pPr>
      <w:r w:rsidRPr="00A34C2E">
        <w:rPr>
          <w:color w:val="212529"/>
          <w:spacing w:val="-1"/>
          <w:u w:val="single"/>
        </w:rPr>
        <w:t>La peste negra dejó una lección importante, </w:t>
      </w:r>
      <w:r w:rsidRPr="00A34C2E">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 xml:space="preserve">los investigadores de la Fed de San Francisco Òscar Jordà, Sanjay R. Singh y Alan M. Taylor han analizado el impacto que tuvieron epidemias pasadas teniendo en cuenta los salarios en </w:t>
      </w:r>
      <w:r w:rsidRPr="00A34C2E">
        <w:rPr>
          <w:spacing w:val="-1"/>
          <w:u w:val="single"/>
        </w:rPr>
        <w:t>un </w:t>
      </w:r>
      <w:hyperlink r:id="rId16" w:tgtFrame="_blank" w:history="1">
        <w:r w:rsidRPr="006F3112">
          <w:rPr>
            <w:rStyle w:val="Hipervnculo"/>
            <w:rFonts w:eastAsiaTheme="majorEastAsia"/>
            <w:color w:val="auto"/>
            <w:spacing w:val="-1"/>
          </w:rPr>
          <w:t>estudio para la Reserva Federal de San Francisco</w:t>
        </w:r>
      </w:hyperlink>
      <w:r w:rsidRPr="006F3112">
        <w:rPr>
          <w:spacing w:val="-1"/>
          <w:u w:val="single"/>
        </w:rPr>
        <w:t xml:space="preserve">. Constatan el incremento de salarios, pero van más allá y hallan que la mejora se prolonga </w:t>
      </w:r>
      <w:r w:rsidRPr="00A661FA">
        <w:rPr>
          <w:color w:val="212529"/>
          <w:spacing w:val="-1"/>
          <w:u w:val="single"/>
        </w:rPr>
        <w:t>durante décadas.</w:t>
      </w:r>
    </w:p>
    <w:p w:rsidR="006E5D75" w:rsidRPr="003B038D" w:rsidRDefault="006E5D75" w:rsidP="006E5D75">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6E5D75" w:rsidRPr="00CB28F7" w:rsidRDefault="006E5D75" w:rsidP="006E5D75">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salarios a las pandemias</w:t>
      </w:r>
    </w:p>
    <w:p w:rsidR="006E5D75" w:rsidRPr="00CB28F7" w:rsidRDefault="006E5D75" w:rsidP="006E5D75">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41041" cy="2353235"/>
            <wp:effectExtent l="0" t="0" r="0" b="9525"/>
            <wp:docPr id="187" name="Imagen 187"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352300"/>
                    </a:xfrm>
                    <a:prstGeom prst="rect">
                      <a:avLst/>
                    </a:prstGeom>
                    <a:noFill/>
                    <a:ln>
                      <a:noFill/>
                    </a:ln>
                  </pic:spPr>
                </pic:pic>
              </a:graphicData>
            </a:graphic>
          </wp:inline>
        </w:drawing>
      </w:r>
    </w:p>
    <w:p w:rsidR="006E5D75" w:rsidRDefault="006E5D75" w:rsidP="006E5D75">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6E5D75" w:rsidRPr="00EB6C53" w:rsidRDefault="006E5D75" w:rsidP="006E5D75">
      <w:pPr>
        <w:rPr>
          <w:lang w:eastAsia="es-ES"/>
        </w:rPr>
      </w:pPr>
    </w:p>
    <w:p w:rsidR="006E5D75" w:rsidRPr="00A661FA" w:rsidRDefault="006E5D75" w:rsidP="006E5D75">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Por contra, descubren que la depresión en los tipos es</w:t>
      </w:r>
      <w:r>
        <w:rPr>
          <w:color w:val="FF0000"/>
          <w:spacing w:val="-1"/>
          <w:u w:val="single"/>
        </w:rPr>
        <w:t xml:space="preserve"> seguida</w:t>
      </w:r>
      <w:r w:rsidRPr="00A661FA">
        <w:rPr>
          <w:color w:val="FF0000"/>
          <w:spacing w:val="-1"/>
          <w:u w:val="single"/>
        </w:rPr>
        <w:t xml:space="preserve"> por períodos sostenidos, durante varias décadas, de retornos de rentabilidad de inversión muy bajos, debido al exceso de capital que se queda en menos manos, y al </w:t>
      </w:r>
      <w:r w:rsidRPr="00A34C2E">
        <w:rPr>
          <w:bCs/>
          <w:color w:val="FF0000"/>
          <w:spacing w:val="-1"/>
          <w:u w:val="single"/>
        </w:rPr>
        <w:t>incremento del ahorro</w:t>
      </w:r>
      <w:r w:rsidRPr="00A661FA">
        <w:rPr>
          <w:color w:val="FF0000"/>
          <w:spacing w:val="-1"/>
          <w:u w:val="single"/>
        </w:rPr>
        <w:t> como medida de prevención o para recuperar parte de la riqueza agotada.</w:t>
      </w:r>
    </w:p>
    <w:p w:rsidR="006E5D75" w:rsidRPr="00A661FA" w:rsidRDefault="006E5D75" w:rsidP="006E5D75">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18"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6E5D75" w:rsidRDefault="006E5D75" w:rsidP="006E5D75">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lastRenderedPageBreak/>
        <w:t>A la</w:t>
      </w:r>
      <w:r>
        <w:rPr>
          <w:color w:val="FF0000"/>
          <w:spacing w:val="-1"/>
          <w:u w:val="single"/>
        </w:rPr>
        <w:t xml:space="preserve"> conclusión que llega</w:t>
      </w:r>
      <w:r w:rsidRPr="00A661FA">
        <w:rPr>
          <w:color w:val="FF0000"/>
          <w:spacing w:val="-1"/>
          <w:u w:val="single"/>
        </w:rPr>
        <w:t xml:space="preserve"> es que todas las plagas dejaron una larga secuela que tarda en desaparecer décadas.</w:t>
      </w:r>
      <w:r w:rsidRPr="00CB28F7">
        <w:rPr>
          <w:color w:val="212529"/>
          <w:spacing w:val="-1"/>
        </w:rPr>
        <w:t xml:space="preserve"> Los académicos utilizan en su estudio la </w:t>
      </w:r>
      <w:r w:rsidRPr="00775512">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34C2E">
        <w:rPr>
          <w:bCs/>
          <w:color w:val="212529"/>
          <w:spacing w:val="-1"/>
        </w:rPr>
        <w:t>barómetro útil de las fluctuaciones a largo plazo del dinamismo económico</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6E5D75" w:rsidRDefault="006E5D75" w:rsidP="006E5D75">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6E5D75" w:rsidRPr="0056784F" w:rsidRDefault="006E5D75" w:rsidP="006E5D75">
      <w:pPr>
        <w:rPr>
          <w:lang w:eastAsia="es-ES"/>
        </w:rPr>
      </w:pPr>
    </w:p>
    <w:p w:rsidR="006E5D75" w:rsidRPr="00A661FA" w:rsidRDefault="006E5D75" w:rsidP="006E5D75">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Pr>
          <w:color w:val="FF0000"/>
          <w:spacing w:val="-1"/>
          <w:u w:val="single"/>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6E5D75" w:rsidRDefault="006E5D75" w:rsidP="006E5D75">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6E5D75" w:rsidRPr="00A34C2E" w:rsidRDefault="006E5D75" w:rsidP="006E5D75">
      <w:pPr>
        <w:pStyle w:val="NormalWeb"/>
        <w:shd w:val="clear" w:color="auto" w:fill="FFFFFF"/>
        <w:spacing w:before="0" w:beforeAutospacing="0" w:after="270" w:afterAutospacing="0"/>
        <w:jc w:val="both"/>
        <w:rPr>
          <w:color w:val="212529"/>
          <w:spacing w:val="-1"/>
        </w:rPr>
      </w:pPr>
      <w:r w:rsidRPr="00A34C2E">
        <w:rPr>
          <w:color w:val="212529"/>
          <w:spacing w:val="-1"/>
        </w:rPr>
        <w:t>En </w:t>
      </w:r>
      <w:r w:rsidRPr="00A34C2E">
        <w:rPr>
          <w:bCs/>
          <w:color w:val="212529"/>
          <w:spacing w:val="-1"/>
        </w:rPr>
        <w:t>las guerras, los tipos suelen reaccionar bruscamente a la baja, para luego repuntar en línea con la subida de precios</w:t>
      </w:r>
      <w:r>
        <w:rPr>
          <w:color w:val="212529"/>
          <w:spacing w:val="-1"/>
        </w:rPr>
        <w:t> ante la escasez de productos. “</w:t>
      </w:r>
      <w:r w:rsidRPr="00A34C2E">
        <w:rPr>
          <w:color w:val="212529"/>
          <w:spacing w:val="-1"/>
        </w:rPr>
        <w:t>El sesgo sobre los tipos de interés natural puede leerse fácilmente a la i</w:t>
      </w:r>
      <w:r>
        <w:rPr>
          <w:color w:val="212529"/>
          <w:spacing w:val="-1"/>
        </w:rPr>
        <w:t>nversa”</w:t>
      </w:r>
      <w:r w:rsidRPr="00A34C2E">
        <w:rPr>
          <w:color w:val="212529"/>
          <w:spacing w:val="-1"/>
        </w:rPr>
        <w:t>, comentan los expertos.</w:t>
      </w:r>
    </w:p>
    <w:p w:rsidR="006E5D75" w:rsidRPr="00CB28F7" w:rsidRDefault="006E5D75" w:rsidP="006E5D75">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8935E0" w:rsidRPr="008935E0" w:rsidRDefault="006E5D75" w:rsidP="008935E0">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75545" cy="2736850"/>
            <wp:effectExtent l="0" t="0" r="1905" b="6350"/>
            <wp:docPr id="188" name="Imagen 188"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2740566"/>
                    </a:xfrm>
                    <a:prstGeom prst="rect">
                      <a:avLst/>
                    </a:prstGeom>
                    <a:noFill/>
                    <a:ln>
                      <a:noFill/>
                    </a:ln>
                  </pic:spPr>
                </pic:pic>
              </a:graphicData>
            </a:graphic>
          </wp:inline>
        </w:drawing>
      </w:r>
    </w:p>
    <w:p w:rsidR="008935E0" w:rsidRDefault="008935E0" w:rsidP="006E5D75">
      <w:pPr>
        <w:pStyle w:val="Ttulo2"/>
        <w:shd w:val="clear" w:color="auto" w:fill="FFFFFF"/>
        <w:spacing w:before="0" w:line="240" w:lineRule="auto"/>
        <w:jc w:val="both"/>
        <w:rPr>
          <w:rFonts w:ascii="Times New Roman" w:hAnsi="Times New Roman" w:cs="Times New Roman"/>
          <w:b w:val="0"/>
          <w:bCs w:val="0"/>
          <w:color w:val="212529"/>
          <w:sz w:val="24"/>
          <w:szCs w:val="24"/>
        </w:rPr>
      </w:pPr>
    </w:p>
    <w:p w:rsidR="008935E0" w:rsidRDefault="008935E0" w:rsidP="006E5D75">
      <w:pPr>
        <w:pStyle w:val="Ttulo2"/>
        <w:shd w:val="clear" w:color="auto" w:fill="FFFFFF"/>
        <w:spacing w:before="0" w:line="240" w:lineRule="auto"/>
        <w:jc w:val="both"/>
        <w:rPr>
          <w:rFonts w:ascii="Times New Roman" w:hAnsi="Times New Roman" w:cs="Times New Roman"/>
          <w:b w:val="0"/>
          <w:bCs w:val="0"/>
          <w:color w:val="212529"/>
          <w:sz w:val="24"/>
          <w:szCs w:val="24"/>
        </w:rPr>
      </w:pPr>
    </w:p>
    <w:p w:rsidR="006E5D75" w:rsidRPr="00CB28F7" w:rsidRDefault="006E5D75" w:rsidP="006E5D75">
      <w:pPr>
        <w:spacing w:line="240" w:lineRule="auto"/>
      </w:pPr>
    </w:p>
    <w:p w:rsidR="008935E0" w:rsidRPr="008935E0" w:rsidRDefault="008935E0" w:rsidP="006E5D75">
      <w:pPr>
        <w:pStyle w:val="NormalWeb"/>
        <w:shd w:val="clear" w:color="auto" w:fill="FFFFFF"/>
        <w:spacing w:before="0" w:beforeAutospacing="0" w:after="270" w:afterAutospacing="0"/>
        <w:jc w:val="both"/>
        <w:rPr>
          <w:spacing w:val="-1"/>
        </w:rPr>
      </w:pPr>
      <w:r w:rsidRPr="008935E0">
        <w:rPr>
          <w:spacing w:val="-1"/>
        </w:rPr>
        <w:t>Los bonos, un invento de la guerra para financiarse</w:t>
      </w:r>
    </w:p>
    <w:p w:rsidR="006E5D75" w:rsidRPr="00CB28F7" w:rsidRDefault="006E5D75" w:rsidP="006E5D75">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lo que impacta directamente en la oferta y estimula los precios, a pesar de que 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6E5D75" w:rsidRPr="002503CF" w:rsidRDefault="006E5D75" w:rsidP="006E5D75">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 xml:space="preserve">La gran pregunta es si las economías europeas se van a comportar igual ante la pandemia del coronavirus. Lo cierto es que </w:t>
      </w:r>
      <w:r w:rsidRPr="00A34C2E">
        <w:rPr>
          <w:color w:val="FF0000"/>
          <w:spacing w:val="-1"/>
          <w:u w:val="single"/>
        </w:rPr>
        <w:t>los </w:t>
      </w:r>
      <w:r w:rsidRPr="00A34C2E">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6E5D75" w:rsidRPr="00CB28F7" w:rsidRDefault="006E5D75" w:rsidP="006E5D75">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32450" cy="3187700"/>
            <wp:effectExtent l="0" t="0" r="6350" b="0"/>
            <wp:docPr id="189" name="Imagen 189"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3191294"/>
                    </a:xfrm>
                    <a:prstGeom prst="rect">
                      <a:avLst/>
                    </a:prstGeom>
                    <a:noFill/>
                    <a:ln>
                      <a:noFill/>
                    </a:ln>
                  </pic:spPr>
                </pic:pic>
              </a:graphicData>
            </a:graphic>
          </wp:inline>
        </w:drawing>
      </w:r>
    </w:p>
    <w:p w:rsidR="006E5D75" w:rsidRPr="002503CF" w:rsidRDefault="006E5D75" w:rsidP="006E5D75">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34C2E">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8935E0" w:rsidRDefault="008935E0" w:rsidP="006E5D75">
      <w:pPr>
        <w:pStyle w:val="NormalWeb"/>
        <w:shd w:val="clear" w:color="auto" w:fill="FFFFFF"/>
        <w:spacing w:before="0" w:beforeAutospacing="0" w:after="270" w:afterAutospacing="0"/>
        <w:jc w:val="both"/>
        <w:rPr>
          <w:color w:val="212529"/>
          <w:spacing w:val="-1"/>
        </w:rPr>
      </w:pPr>
      <w:r>
        <w:rPr>
          <w:color w:val="212529"/>
          <w:spacing w:val="-1"/>
        </w:rPr>
        <w:t>La peste negra y otras plagas a las poblaciones por debajo de los 60 años</w:t>
      </w:r>
    </w:p>
    <w:p w:rsidR="006E5D75" w:rsidRPr="002503CF" w:rsidRDefault="006E5D75" w:rsidP="006E5D75">
      <w:pPr>
        <w:pStyle w:val="NormalWeb"/>
        <w:shd w:val="clear" w:color="auto" w:fill="FFFFFF"/>
        <w:spacing w:before="0" w:beforeAutospacing="0" w:after="270" w:afterAutospacing="0"/>
        <w:jc w:val="both"/>
        <w:rPr>
          <w:color w:val="212529"/>
          <w:spacing w:val="-1"/>
          <w:u w:val="single"/>
        </w:rPr>
      </w:pPr>
      <w:r w:rsidRPr="00CB28F7">
        <w:rPr>
          <w:color w:val="212529"/>
          <w:spacing w:val="-1"/>
        </w:rPr>
        <w:t>Sin embargo, sobre los tipos oficiales y naturales influyen muchos factores más que terminan evitando una curva suave. El factor tecnológico sobre la producción, el demográfico como el </w:t>
      </w:r>
      <w:hyperlink r:id="rId21" w:tgtFrame="_self" w:history="1">
        <w:r w:rsidRPr="006F3112">
          <w:rPr>
            <w:rStyle w:val="Hipervnculo"/>
            <w:rFonts w:eastAsiaTheme="majorEastAsia"/>
            <w:color w:val="auto"/>
            <w:spacing w:val="-1"/>
            <w:u w:val="none"/>
          </w:rPr>
          <w:t>envejecimiento de la población</w:t>
        </w:r>
      </w:hyperlink>
      <w:r w:rsidRPr="00A34C2E">
        <w:rPr>
          <w:spacing w:val="-1"/>
        </w:rPr>
        <w:t> </w:t>
      </w:r>
      <w:r>
        <w:rPr>
          <w:color w:val="212529"/>
          <w:spacing w:val="-1"/>
        </w:rPr>
        <w:t>y el político (</w:t>
      </w:r>
      <w:r w:rsidRPr="00CB28F7">
        <w:rPr>
          <w:color w:val="212529"/>
          <w:spacing w:val="-1"/>
        </w:rPr>
        <w:t>las propias decisiones de los propios bancos centrales) provoca en determinados fuertes oscilaciones, aunque no han evitado modificar la tendencia de fondo. Estas circunstanci</w:t>
      </w:r>
      <w:r>
        <w:rPr>
          <w:color w:val="212529"/>
          <w:spacing w:val="-1"/>
        </w:rPr>
        <w:t>as platean dudas si la actual pa</w:t>
      </w:r>
      <w:r w:rsidRPr="00CB28F7">
        <w:rPr>
          <w:color w:val="212529"/>
          <w:spacing w:val="-1"/>
        </w:rPr>
        <w:t xml:space="preserve">ndemia tendrá las mismas </w:t>
      </w:r>
      <w:r w:rsidRPr="00CB28F7">
        <w:rPr>
          <w:color w:val="212529"/>
          <w:spacing w:val="-1"/>
        </w:rPr>
        <w:lastRenderedPageBreak/>
        <w:t>consecuencias. </w:t>
      </w:r>
      <w:r w:rsidRPr="002503CF">
        <w:rPr>
          <w:b/>
          <w:bCs/>
          <w:color w:val="212529"/>
          <w:spacing w:val="-1"/>
          <w:u w:val="single"/>
        </w:rPr>
        <w:t>Hasta el momento la mortalidad del COVID-19 se ceba con personas de elevada edad reduciéndose el impacto sobre la fuerza de trabajo</w:t>
      </w:r>
      <w:r w:rsidRPr="002503CF">
        <w:rPr>
          <w:color w:val="212529"/>
          <w:spacing w:val="-1"/>
          <w:u w:val="single"/>
        </w:rPr>
        <w:t>, un elemento que terminó desestabilizando a las economías en pasadas pandemias. El desarrollo de la tecnología también apunta a que por este lado pueda amortiguar e</w:t>
      </w:r>
      <w:r>
        <w:rPr>
          <w:color w:val="212529"/>
          <w:spacing w:val="-1"/>
          <w:u w:val="single"/>
        </w:rPr>
        <w:t>l golpe sobre la mano de obra. “</w:t>
      </w:r>
      <w:r w:rsidRPr="002503CF">
        <w:rPr>
          <w:color w:val="212529"/>
          <w:spacing w:val="-1"/>
          <w:u w:val="single"/>
        </w:rPr>
        <w:t>La peste negra y otras plagas golpearon a las poblaciones por debajo de los 60 años, por lo q</w:t>
      </w:r>
      <w:r>
        <w:rPr>
          <w:color w:val="212529"/>
          <w:spacing w:val="-1"/>
          <w:u w:val="single"/>
        </w:rPr>
        <w:t>ue esta vez puede ser diferente”</w:t>
      </w:r>
      <w:r w:rsidRPr="002503CF">
        <w:rPr>
          <w:color w:val="212529"/>
          <w:spacing w:val="-1"/>
          <w:u w:val="single"/>
        </w:rPr>
        <w:t>, afirman.</w:t>
      </w:r>
    </w:p>
    <w:p w:rsidR="006E5D75" w:rsidRPr="00CB28F7" w:rsidRDefault="006E5D75" w:rsidP="006E5D75">
      <w:pPr>
        <w:pStyle w:val="NormalWeb"/>
        <w:shd w:val="clear" w:color="auto" w:fill="FFFFFF"/>
        <w:spacing w:before="0" w:beforeAutospacing="0" w:after="270" w:afterAutospacing="0"/>
        <w:jc w:val="both"/>
        <w:rPr>
          <w:color w:val="212529"/>
          <w:spacing w:val="-1"/>
        </w:rPr>
      </w:pPr>
      <w:r w:rsidRPr="00CB28F7">
        <w:rPr>
          <w:color w:val="212529"/>
          <w:spacing w:val="-1"/>
        </w:rPr>
        <w:t>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6E5D75" w:rsidRPr="00CB28F7" w:rsidRDefault="006E5D75" w:rsidP="006E5D75">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46750" cy="3771900"/>
            <wp:effectExtent l="0" t="0" r="6350" b="0"/>
            <wp:docPr id="190" name="Imagen 190"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6750" cy="3771900"/>
                    </a:xfrm>
                    <a:prstGeom prst="rect">
                      <a:avLst/>
                    </a:prstGeom>
                    <a:noFill/>
                    <a:ln>
                      <a:noFill/>
                    </a:ln>
                  </pic:spPr>
                </pic:pic>
              </a:graphicData>
            </a:graphic>
          </wp:inline>
        </w:drawing>
      </w:r>
    </w:p>
    <w:p w:rsidR="006E5D75" w:rsidRDefault="006E5D75" w:rsidP="006E5D75">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Pr>
          <w:color w:val="212529"/>
          <w:spacing w:val="-1"/>
          <w:u w:val="single"/>
        </w:rPr>
        <w:t>tos resultados se explican por “</w:t>
      </w:r>
      <w:r w:rsidRPr="002503CF">
        <w:rPr>
          <w:color w:val="212529"/>
          <w:spacing w:val="-1"/>
          <w:u w:val="single"/>
        </w:rPr>
        <w:t>la exposición de cada país a la pandemia, el tamaño de la población activa y la industrializació</w:t>
      </w:r>
      <w:r>
        <w:rPr>
          <w:color w:val="212529"/>
          <w:spacing w:val="-1"/>
          <w:u w:val="single"/>
        </w:rPr>
        <w:t>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6E5D75" w:rsidRPr="00393AD3" w:rsidRDefault="006E5D75" w:rsidP="006E5D75">
      <w:pPr>
        <w:pStyle w:val="NormalWeb"/>
        <w:spacing w:after="0"/>
        <w:jc w:val="both"/>
        <w:textAlignment w:val="baseline"/>
      </w:pPr>
      <w:r>
        <w:t xml:space="preserve">- </w:t>
      </w:r>
      <w:r w:rsidRPr="00393AD3">
        <w:rPr>
          <w:u w:val="single"/>
        </w:rPr>
        <w:t>El Covid-19 es la ruina: la deuda supondrá el 342% del PIB mundial este año</w:t>
      </w:r>
      <w:r>
        <w:t xml:space="preserve"> (El Confidencial - </w:t>
      </w:r>
      <w:r w:rsidRPr="00393AD3">
        <w:rPr>
          <w:b/>
        </w:rPr>
        <w:t>8/4/20</w:t>
      </w:r>
      <w:r>
        <w:t>)</w:t>
      </w:r>
    </w:p>
    <w:p w:rsidR="006E5D75" w:rsidRPr="008B08A8" w:rsidRDefault="006E5D75" w:rsidP="006E5D75">
      <w:pPr>
        <w:pStyle w:val="NormalWeb"/>
        <w:spacing w:after="0"/>
        <w:jc w:val="both"/>
        <w:textAlignment w:val="baseline"/>
        <w:rPr>
          <w:u w:val="single"/>
        </w:rPr>
      </w:pPr>
      <w:r w:rsidRPr="00F3777A">
        <w:rPr>
          <w:u w:val="single"/>
        </w:rPr>
        <w:lastRenderedPageBreak/>
        <w:t xml:space="preserve">La factura del coronavirus, en términos económicos, no deja de subir. El mundo tuvo que endeudarse en dos billones solo en marzo. </w:t>
      </w:r>
      <w:r w:rsidRPr="008B08A8">
        <w:rPr>
          <w:u w:val="single"/>
        </w:rPr>
        <w:t>Y todo indica que esa tendencia continuará</w:t>
      </w:r>
    </w:p>
    <w:p w:rsidR="006E5D75" w:rsidRPr="008B08A8" w:rsidRDefault="006E5D75" w:rsidP="006E5D75">
      <w:pPr>
        <w:pStyle w:val="NormalWeb"/>
        <w:spacing w:after="0"/>
        <w:jc w:val="both"/>
        <w:textAlignment w:val="baseline"/>
      </w:pPr>
      <w:r w:rsidRPr="008B08A8">
        <w:t>(Por Carlos Sánchez)</w:t>
      </w:r>
    </w:p>
    <w:p w:rsidR="006E5D75" w:rsidRPr="008935E0" w:rsidRDefault="006E5D75" w:rsidP="006E5D75">
      <w:pPr>
        <w:pStyle w:val="NormalWeb"/>
        <w:shd w:val="clear" w:color="auto" w:fill="FFFFFF"/>
        <w:spacing w:before="0" w:beforeAutospacing="0" w:after="0" w:afterAutospacing="0"/>
        <w:jc w:val="both"/>
        <w:textAlignment w:val="baseline"/>
        <w:rPr>
          <w:color w:val="FF0000"/>
          <w:u w:val="single"/>
        </w:rPr>
      </w:pPr>
      <w:r w:rsidRPr="00393AD3">
        <w:t xml:space="preserve">La pandemia del Covid-19 continúa pulverizando todos los registros. </w:t>
      </w:r>
      <w:r w:rsidRPr="008935E0">
        <w:rPr>
          <w:color w:val="FF0000"/>
          <w:u w:val="single"/>
        </w:rPr>
        <w:t>Ahora ha vuelto a ser la </w:t>
      </w:r>
      <w:r w:rsidRPr="008935E0">
        <w:rPr>
          <w:rStyle w:val="Textoennegrita"/>
          <w:rFonts w:eastAsiaTheme="majorEastAsia"/>
          <w:b w:val="0"/>
          <w:color w:val="FF0000"/>
          <w:u w:val="single"/>
          <w:bdr w:val="none" w:sz="0" w:space="0" w:color="auto" w:frame="1"/>
        </w:rPr>
        <w:t>patronal bancaria mundial</w:t>
      </w:r>
      <w:r w:rsidRPr="008935E0">
        <w:rPr>
          <w:color w:val="FF0000"/>
          <w:u w:val="single"/>
        </w:rPr>
        <w:t> quien ha llamado la atención sobre el enorme </w:t>
      </w:r>
      <w:hyperlink r:id="rId23" w:history="1">
        <w:r w:rsidRPr="008935E0">
          <w:rPr>
            <w:rStyle w:val="Hipervnculo"/>
            <w:rFonts w:eastAsiaTheme="majorEastAsia"/>
            <w:color w:val="FF0000"/>
          </w:rPr>
          <w:t>aumento de la deuda</w:t>
        </w:r>
      </w:hyperlink>
      <w:r w:rsidRPr="008935E0">
        <w:rPr>
          <w:color w:val="FF0000"/>
          <w:u w:val="single"/>
        </w:rPr>
        <w:t> en el conjunto de la economía global en marzo. En concreto, el endeudamiento, solo de los Estados, se ha disparado hasta los 2,1 billones de dólares, una cifra que el propio</w:t>
      </w:r>
      <w:r w:rsidRPr="008935E0">
        <w:rPr>
          <w:b/>
          <w:color w:val="FF0000"/>
          <w:u w:val="single"/>
        </w:rPr>
        <w:t> </w:t>
      </w:r>
      <w:r w:rsidRPr="008935E0">
        <w:rPr>
          <w:rStyle w:val="Textoennegrita"/>
          <w:rFonts w:eastAsiaTheme="majorEastAsia"/>
          <w:b w:val="0"/>
          <w:color w:val="FF0000"/>
          <w:u w:val="single"/>
          <w:bdr w:val="none" w:sz="0" w:space="0" w:color="auto" w:frame="1"/>
        </w:rPr>
        <w:t>Instituto de Finanzas Internacionales</w:t>
      </w:r>
      <w:r w:rsidRPr="008935E0">
        <w:rPr>
          <w:color w:val="FF0000"/>
          <w:u w:val="single"/>
        </w:rPr>
        <w:t> (IIF, por sus siglas en inglés) califica de “récord”.</w:t>
      </w:r>
    </w:p>
    <w:p w:rsidR="006E5D75" w:rsidRPr="008935E0" w:rsidRDefault="006E5D75" w:rsidP="006E5D75">
      <w:pPr>
        <w:pStyle w:val="NormalWeb"/>
        <w:shd w:val="clear" w:color="auto" w:fill="FFFFFF"/>
        <w:spacing w:before="0" w:beforeAutospacing="0" w:after="0" w:afterAutospacing="0"/>
        <w:jc w:val="both"/>
        <w:textAlignment w:val="baseline"/>
        <w:rPr>
          <w:u w:val="single"/>
        </w:rPr>
      </w:pP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Ahora bien, si se incluyen las </w:t>
      </w:r>
      <w:hyperlink r:id="rId24" w:history="1">
        <w:r w:rsidRPr="007D349B">
          <w:rPr>
            <w:rStyle w:val="Hipervnculo"/>
            <w:rFonts w:eastAsiaTheme="majorEastAsia"/>
            <w:color w:val="FF0000"/>
          </w:rPr>
          <w:t>deudas</w:t>
        </w:r>
      </w:hyperlink>
      <w:r w:rsidRPr="007D349B">
        <w:rPr>
          <w:color w:val="FF0000"/>
          <w:u w:val="single"/>
        </w:rPr>
        <w:t xml:space="preserve"> que han contraído las empresas y los particulares, se estaría hablando de 3,2 </w:t>
      </w:r>
      <w:r w:rsidRPr="008D15C6">
        <w:rPr>
          <w:color w:val="FF0000"/>
          <w:u w:val="single"/>
        </w:rPr>
        <w:t xml:space="preserve">billones </w:t>
      </w:r>
      <w:r w:rsidRPr="008935E0">
        <w:rPr>
          <w:color w:val="FF0000"/>
          <w:u w:val="single"/>
        </w:rPr>
        <w:t>(</w:t>
      </w:r>
      <w:r w:rsidRPr="008935E0">
        <w:rPr>
          <w:rStyle w:val="Textoennegrita"/>
          <w:rFonts w:eastAsiaTheme="majorEastAsia"/>
          <w:b w:val="0"/>
          <w:color w:val="FF0000"/>
          <w:u w:val="single"/>
          <w:bdr w:val="none" w:sz="0" w:space="0" w:color="auto" w:frame="1"/>
        </w:rPr>
        <w:t>2,9 billones de euros</w:t>
      </w:r>
      <w:r w:rsidRPr="008935E0">
        <w:rPr>
          <w:color w:val="FF0000"/>
          <w:u w:val="single"/>
        </w:rPr>
        <w:t>).</w:t>
      </w:r>
      <w:r w:rsidRPr="007D349B">
        <w:rPr>
          <w:color w:val="FF0000"/>
          <w:u w:val="single"/>
        </w:rPr>
        <w:t>Es decir, cerca de dos veces y media el PIB de España.</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Default="006E5D75" w:rsidP="006E5D75">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 xml:space="preserve">Para hacerse una idea de </w:t>
      </w:r>
      <w:r>
        <w:rPr>
          <w:color w:val="FF0000"/>
          <w:u w:val="single"/>
        </w:rPr>
        <w:t>lo que significa aquella cifra -</w:t>
      </w:r>
      <w:r w:rsidRPr="007D349B">
        <w:rPr>
          <w:color w:val="FF0000"/>
          <w:u w:val="single"/>
        </w:rPr>
        <w:t>y en ese momento todavía no se habían materializado los gigantescos planes de estímulo que </w:t>
      </w:r>
      <w:hyperlink r:id="rId25" w:history="1">
        <w:r w:rsidRPr="007D349B">
          <w:rPr>
            <w:rStyle w:val="Hipervnculo"/>
            <w:rFonts w:eastAsiaTheme="majorEastAsia"/>
            <w:color w:val="FF0000"/>
          </w:rPr>
          <w:t>han anunciado</w:t>
        </w:r>
      </w:hyperlink>
      <w:r w:rsidRPr="007D349B">
        <w:rPr>
          <w:color w:val="FF0000"/>
          <w:u w:val="single"/>
        </w:rPr>
        <w:t> los gobiernos en las última semanas, hay que tener en cuenta que representa más del doble del promedio registrado entre 2017 y 2019, que fue equivalente a 0,9 billones de dólares.</w:t>
      </w:r>
    </w:p>
    <w:p w:rsidR="006E5D75"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8935E0" w:rsidRDefault="006E5D75" w:rsidP="006E5D75">
      <w:pPr>
        <w:pStyle w:val="NormalWeb"/>
        <w:shd w:val="clear" w:color="auto" w:fill="FFFFFF"/>
        <w:spacing w:before="0" w:beforeAutospacing="0" w:after="0" w:afterAutospacing="0"/>
        <w:jc w:val="both"/>
        <w:textAlignment w:val="baseline"/>
        <w:rPr>
          <w:b/>
          <w:color w:val="FF0000"/>
          <w:u w:val="single"/>
        </w:rPr>
      </w:pPr>
      <w:r w:rsidRPr="008935E0">
        <w:rPr>
          <w:b/>
          <w:color w:val="FF0000"/>
          <w:u w:val="single"/>
        </w:rPr>
        <w:t>El órgano que reúne a los banqueros del planeta destaca, en el sentido negativo, dentro de las economías avanzadas a seis países, </w:t>
      </w:r>
      <w:r w:rsidRPr="008935E0">
        <w:rPr>
          <w:rStyle w:val="Textoennegrita"/>
          <w:rFonts w:eastAsiaTheme="majorEastAsia"/>
          <w:color w:val="FF0000"/>
          <w:u w:val="single"/>
          <w:bdr w:val="none" w:sz="0" w:space="0" w:color="auto" w:frame="1"/>
        </w:rPr>
        <w:t>España, Reino Unido, Japón, Francia, Italia y EEUU</w:t>
      </w:r>
      <w:r w:rsidRPr="008935E0">
        <w:rPr>
          <w:color w:val="FF0000"/>
          <w:u w:val="single"/>
        </w:rPr>
        <w:t>,</w:t>
      </w:r>
      <w:r w:rsidRPr="008935E0">
        <w:rPr>
          <w:b/>
          <w:color w:val="FF0000"/>
          <w:u w:val="single"/>
        </w:rPr>
        <w:t xml:space="preserve"> que han visto crecer su deuda en más de 40 puntos de PIB desde la última gran crisis.</w:t>
      </w:r>
    </w:p>
    <w:p w:rsidR="006E5D75" w:rsidRPr="00393AD3" w:rsidRDefault="006E5D75" w:rsidP="006E5D75">
      <w:pPr>
        <w:pStyle w:val="NormalWeb"/>
        <w:shd w:val="clear" w:color="auto" w:fill="FFFFFF"/>
        <w:spacing w:before="0" w:beforeAutospacing="0" w:after="0" w:afterAutospacing="0"/>
        <w:jc w:val="both"/>
        <w:textAlignment w:val="baseline"/>
      </w:pP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r w:rsidRPr="00393AD3">
        <w:t>A partir de estos datos, los banqueros han hecho una </w:t>
      </w:r>
      <w:hyperlink r:id="rId26" w:history="1">
        <w:r w:rsidRPr="006F3112">
          <w:rPr>
            <w:rStyle w:val="Hipervnculo"/>
            <w:rFonts w:eastAsiaTheme="majorEastAsia"/>
            <w:color w:val="auto"/>
            <w:u w:val="none"/>
          </w:rPr>
          <w:t>proyección</w:t>
        </w:r>
      </w:hyperlink>
      <w:r w:rsidRPr="006F3112">
        <w:t> </w:t>
      </w:r>
      <w:r w:rsidRPr="00393AD3">
        <w:t xml:space="preserve">y estiman que, si se mantiene este ritmo a lo largo del año 2020, y teniendo en cuenta que el PIB del planeta puede caer un 3% en términos nominales, </w:t>
      </w:r>
      <w:r w:rsidRPr="007D349B">
        <w:rPr>
          <w:color w:val="FF0000"/>
          <w:u w:val="single"/>
        </w:rPr>
        <w:t xml:space="preserve">una estimación moderada respecto a otros informes, </w:t>
      </w:r>
      <w:r w:rsidRPr="008A1F7A">
        <w:rPr>
          <w:color w:val="FF0000"/>
          <w:u w:val="single"/>
        </w:rPr>
        <w:t>la </w:t>
      </w:r>
      <w:r w:rsidRPr="008935E0">
        <w:rPr>
          <w:rStyle w:val="Textoennegrita"/>
          <w:rFonts w:eastAsiaTheme="majorEastAsia"/>
          <w:b w:val="0"/>
          <w:color w:val="FF0000"/>
          <w:u w:val="single"/>
          <w:bdr w:val="none" w:sz="0" w:space="0" w:color="auto" w:frame="1"/>
        </w:rPr>
        <w:t>deuda global</w:t>
      </w:r>
      <w:r w:rsidRPr="008A1F7A">
        <w:rPr>
          <w:color w:val="FF0000"/>
          <w:u w:val="single"/>
        </w:rPr>
        <w:t> pasará</w:t>
      </w:r>
      <w:r w:rsidRPr="007D349B">
        <w:rPr>
          <w:color w:val="FF0000"/>
          <w:u w:val="single"/>
        </w:rPr>
        <w:t xml:space="preserve"> de representar un 322% del producto interior bruto a un 342%. No hace falta decir que se trata de niveles jamás alcanzados.</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393AD3" w:rsidRDefault="006E5D75" w:rsidP="006E5D75">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val="en-GB" w:eastAsia="zh-CN"/>
        </w:rPr>
        <w:drawing>
          <wp:inline distT="0" distB="0" distL="0" distR="0">
            <wp:extent cx="5735171" cy="3039035"/>
            <wp:effectExtent l="0" t="0" r="0" b="9525"/>
            <wp:docPr id="41" name="Imagen 41" descr="Impacto del coronavirus en sectores con reservas de efectivo limitad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acto del coronavirus en sectores con reservas de efectivo limitadas. "/>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038441"/>
                    </a:xfrm>
                    <a:prstGeom prst="rect">
                      <a:avLst/>
                    </a:prstGeom>
                    <a:noFill/>
                    <a:ln>
                      <a:noFill/>
                    </a:ln>
                  </pic:spPr>
                </pic:pic>
              </a:graphicData>
            </a:graphic>
          </wp:inline>
        </w:drawing>
      </w:r>
      <w:r w:rsidRPr="00393AD3">
        <w:rPr>
          <w:rFonts w:ascii="Times New Roman" w:hAnsi="Times New Roman" w:cs="Times New Roman"/>
          <w:sz w:val="24"/>
          <w:szCs w:val="24"/>
        </w:rPr>
        <w:t>Impacto del coronavirus en sectores con reservas de efectivo limitadas.</w:t>
      </w:r>
    </w:p>
    <w:p w:rsidR="006E5D75" w:rsidRPr="008D15C6" w:rsidRDefault="006E5D75" w:rsidP="006E5D75">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lastRenderedPageBreak/>
        <w:t>Lo que </w:t>
      </w:r>
      <w:hyperlink r:id="rId28" w:history="1">
        <w:r w:rsidRPr="007D349B">
          <w:rPr>
            <w:rStyle w:val="Hipervnculo"/>
            <w:rFonts w:eastAsiaTheme="majorEastAsia"/>
            <w:color w:val="FF0000"/>
          </w:rPr>
          <w:t>preocupa</w:t>
        </w:r>
      </w:hyperlink>
      <w:r w:rsidRPr="007D349B">
        <w:rPr>
          <w:color w:val="FF0000"/>
          <w:u w:val="single"/>
        </w:rPr>
        <w:t xml:space="preserve"> al IIF es que este incremento del endeudamiento se producirá en un contexto económico extremadamente difícil. Habrá, por un lado, una fuerte contracción en </w:t>
      </w:r>
      <w:r w:rsidRPr="008935E0">
        <w:rPr>
          <w:color w:val="FF0000"/>
          <w:u w:val="single"/>
        </w:rPr>
        <w:t>los </w:t>
      </w:r>
      <w:r w:rsidRPr="008935E0">
        <w:rPr>
          <w:rStyle w:val="Textoennegrita"/>
          <w:rFonts w:eastAsiaTheme="majorEastAsia"/>
          <w:b w:val="0"/>
          <w:color w:val="FF0000"/>
          <w:u w:val="single"/>
          <w:bdr w:val="none" w:sz="0" w:space="0" w:color="auto" w:frame="1"/>
        </w:rPr>
        <w:t>beneficios empresariales</w:t>
      </w:r>
      <w:r w:rsidRPr="007D349B">
        <w:rPr>
          <w:color w:val="FF0000"/>
          <w:u w:val="single"/>
        </w:rPr>
        <w:t> (lo que puede aumentar la morosidad) y, por otro, la pérdida de empleos será ingente, como ayer mismo </w:t>
      </w:r>
      <w:hyperlink r:id="rId29" w:history="1">
        <w:r w:rsidRPr="007D349B">
          <w:rPr>
            <w:rStyle w:val="Hipervnculo"/>
            <w:rFonts w:eastAsiaTheme="majorEastAsia"/>
            <w:color w:val="FF0000"/>
          </w:rPr>
          <w:t>estimó</w:t>
        </w:r>
      </w:hyperlink>
      <w:r w:rsidRPr="007D349B">
        <w:rPr>
          <w:color w:val="FF0000"/>
          <w:u w:val="single"/>
        </w:rPr>
        <w:t> la Organización Internacional del Trabajo. La OIT, en concreto, prevé que 230 millones de trabajadores en todo el mundo se vean </w:t>
      </w:r>
      <w:hyperlink r:id="rId30" w:history="1">
        <w:r w:rsidRPr="007D349B">
          <w:rPr>
            <w:rStyle w:val="Hipervnculo"/>
            <w:rFonts w:eastAsiaTheme="majorEastAsia"/>
            <w:color w:val="FF0000"/>
          </w:rPr>
          <w:t>afectados</w:t>
        </w:r>
      </w:hyperlink>
      <w:r w:rsidRPr="007D349B">
        <w:rPr>
          <w:color w:val="FF0000"/>
          <w:u w:val="single"/>
        </w:rPr>
        <w:t> de una u otra manera por recortes de plantillas</w:t>
      </w:r>
      <w:r w:rsidRPr="006F3112">
        <w:rPr>
          <w:color w:val="FF0000"/>
          <w:u w:val="single"/>
        </w:rPr>
        <w:t>, </w:t>
      </w:r>
      <w:r w:rsidRPr="006F3112">
        <w:rPr>
          <w:rStyle w:val="Textoennegrita"/>
          <w:rFonts w:eastAsiaTheme="majorEastAsia"/>
          <w:color w:val="FF0000"/>
          <w:u w:val="single"/>
          <w:bdr w:val="none" w:sz="0" w:space="0" w:color="auto" w:frame="1"/>
        </w:rPr>
        <w:t>suspensión de empleo</w:t>
      </w:r>
      <w:r w:rsidRPr="006F3112">
        <w:rPr>
          <w:color w:val="FF0000"/>
          <w:u w:val="single"/>
        </w:rPr>
        <w:t> o</w:t>
      </w:r>
      <w:r w:rsidRPr="008D15C6">
        <w:rPr>
          <w:color w:val="FF0000"/>
          <w:u w:val="single"/>
        </w:rPr>
        <w:t xml:space="preserve"> reducción de horas de trabajo.</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3B038D" w:rsidRDefault="006E5D75" w:rsidP="006E5D75">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B038D">
        <w:rPr>
          <w:rFonts w:ascii="Times New Roman" w:hAnsi="Times New Roman" w:cs="Times New Roman"/>
          <w:b w:val="0"/>
          <w:i w:val="0"/>
          <w:color w:val="auto"/>
          <w:sz w:val="24"/>
          <w:szCs w:val="24"/>
        </w:rPr>
        <w:t>Muy vulnerables</w:t>
      </w:r>
    </w:p>
    <w:p w:rsidR="006E5D75" w:rsidRDefault="006E5D75" w:rsidP="006E5D75">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5D75" w:rsidRPr="008D15C6" w:rsidRDefault="006E5D75" w:rsidP="006E5D75">
      <w:pPr>
        <w:pStyle w:val="NormalWeb"/>
        <w:shd w:val="clear" w:color="auto" w:fill="FFFFFF"/>
        <w:spacing w:before="0" w:beforeAutospacing="0" w:after="0" w:afterAutospacing="0"/>
        <w:jc w:val="both"/>
        <w:textAlignment w:val="baseline"/>
        <w:rPr>
          <w:color w:val="FF0000"/>
          <w:u w:val="single"/>
        </w:rPr>
      </w:pPr>
      <w:r w:rsidRPr="008D15C6">
        <w:rPr>
          <w:color w:val="FF0000"/>
          <w:u w:val="single"/>
        </w:rPr>
        <w:t>Los banqueros mundiales ponen el acento en el hecho de que el mundo encara una recesión de intensidad y duración desconocida con </w:t>
      </w:r>
      <w:r w:rsidRPr="008935E0">
        <w:rPr>
          <w:rStyle w:val="Textoennegrita"/>
          <w:rFonts w:eastAsiaTheme="majorEastAsia"/>
          <w:b w:val="0"/>
          <w:color w:val="FF0000"/>
          <w:u w:val="single"/>
          <w:bdr w:val="none" w:sz="0" w:space="0" w:color="auto" w:frame="1"/>
        </w:rPr>
        <w:t>87 billones de dólares</w:t>
      </w:r>
      <w:r w:rsidRPr="008D15C6">
        <w:rPr>
          <w:color w:val="FF0000"/>
          <w:u w:val="single"/>
        </w:rPr>
        <w:t> más de deuda que en la anterior crisis económica, hace poco más de una década.</w:t>
      </w:r>
    </w:p>
    <w:p w:rsidR="006E5D75" w:rsidRPr="00393AD3" w:rsidRDefault="006E5D75" w:rsidP="006E5D75">
      <w:pPr>
        <w:pStyle w:val="NormalWeb"/>
        <w:shd w:val="clear" w:color="auto" w:fill="FFFFFF"/>
        <w:spacing w:before="0" w:beforeAutospacing="0" w:after="0" w:afterAutospacing="0"/>
        <w:jc w:val="both"/>
        <w:textAlignment w:val="baseline"/>
      </w:pPr>
    </w:p>
    <w:p w:rsidR="006E5D75" w:rsidRPr="00393AD3" w:rsidRDefault="006E5D75" w:rsidP="006E5D75">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val="en-GB" w:eastAsia="zh-CN"/>
        </w:rPr>
        <w:drawing>
          <wp:inline distT="0" distB="0" distL="0" distR="0">
            <wp:extent cx="5802404" cy="2830605"/>
            <wp:effectExtent l="0" t="0" r="8255" b="8255"/>
            <wp:docPr id="42" name="Imagen 42" descr="Evolución de la deuda desde 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 la deuda desde 2008. "/>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2406" cy="2830606"/>
                    </a:xfrm>
                    <a:prstGeom prst="rect">
                      <a:avLst/>
                    </a:prstGeom>
                    <a:noFill/>
                    <a:ln>
                      <a:noFill/>
                    </a:ln>
                  </pic:spPr>
                </pic:pic>
              </a:graphicData>
            </a:graphic>
          </wp:inline>
        </w:drawing>
      </w:r>
      <w:r w:rsidRPr="00393AD3">
        <w:rPr>
          <w:rFonts w:ascii="Times New Roman" w:hAnsi="Times New Roman" w:cs="Times New Roman"/>
          <w:sz w:val="24"/>
          <w:szCs w:val="24"/>
        </w:rPr>
        <w:t>Evolución de la deuda desde 2008.</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r w:rsidRPr="00393AD3">
        <w:t xml:space="preserve">El IIF está igualmente preocupado, no solo por el volumen de deuda, tanto pública como privada, sino también porque </w:t>
      </w:r>
      <w:r w:rsidRPr="008A1F7A">
        <w:rPr>
          <w:u w:val="single"/>
        </w:rPr>
        <w:t>economías </w:t>
      </w:r>
      <w:r w:rsidRPr="008935E0">
        <w:rPr>
          <w:rStyle w:val="Textoennegrita"/>
          <w:rFonts w:eastAsiaTheme="majorEastAsia"/>
          <w:b w:val="0"/>
          <w:u w:val="single"/>
          <w:bdr w:val="none" w:sz="0" w:space="0" w:color="auto" w:frame="1"/>
        </w:rPr>
        <w:t>muy vulnerables</w:t>
      </w:r>
      <w:r w:rsidRPr="00393AD3">
        <w:t xml:space="preserve">, como las de </w:t>
      </w:r>
      <w:r w:rsidRPr="007D349B">
        <w:rPr>
          <w:color w:val="FF0000"/>
          <w:u w:val="single"/>
        </w:rPr>
        <w:t>los países emergentes, necesitarán refinanciar solo este año nada menos que 730.000 millones de deuda en unos momentos en que los mercados están sobresaturados.</w:t>
      </w:r>
    </w:p>
    <w:p w:rsidR="006E5D75"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Default="006E5D75" w:rsidP="006E5D75">
      <w:pPr>
        <w:pStyle w:val="NormalWeb"/>
        <w:shd w:val="clear" w:color="auto" w:fill="FFFFFF"/>
        <w:spacing w:before="0" w:beforeAutospacing="0" w:after="0" w:afterAutospacing="0"/>
        <w:jc w:val="both"/>
        <w:textAlignment w:val="baseline"/>
      </w:pPr>
      <w:r w:rsidRPr="007D349B">
        <w:rPr>
          <w:color w:val="FF0000"/>
          <w:u w:val="single"/>
        </w:rPr>
        <w:t>Y lo que no es menos significativo, el 80% de esa deuda está denominado en </w:t>
      </w:r>
      <w:hyperlink r:id="rId32" w:history="1">
        <w:r w:rsidRPr="007D349B">
          <w:rPr>
            <w:rStyle w:val="Hipervnculo"/>
            <w:rFonts w:eastAsiaTheme="majorEastAsia"/>
            <w:color w:val="FF0000"/>
          </w:rPr>
          <w:t>dólares</w:t>
        </w:r>
      </w:hyperlink>
      <w:r w:rsidRPr="007D349B">
        <w:rPr>
          <w:color w:val="FF0000"/>
          <w:u w:val="single"/>
        </w:rPr>
        <w:t>, lo que hace que cualquier apreciación del billete verde se convierta en una tragedia económica para los gobiernos de países muy vulnerables que, además, tienen que luchar en sus países contra la pandemia, aumentando el gasto público de una forma muy importante</w:t>
      </w:r>
      <w:r w:rsidRPr="00393AD3">
        <w:t>. Esto explica, por ejemplo, que el FMI </w:t>
      </w:r>
      <w:hyperlink r:id="rId33" w:history="1">
        <w:r w:rsidRPr="006F3112">
          <w:rPr>
            <w:rStyle w:val="Hipervnculo"/>
            <w:rFonts w:eastAsiaTheme="majorEastAsia"/>
            <w:color w:val="auto"/>
            <w:u w:val="none"/>
          </w:rPr>
          <w:t>haya pedido</w:t>
        </w:r>
      </w:hyperlink>
      <w:r w:rsidRPr="006F3112">
        <w:t> </w:t>
      </w:r>
      <w:r w:rsidRPr="00393AD3">
        <w:t>a Argentina que reduzca entre 55.000 millones y 85.000 millones de dólares los pagos de su deuda durante la próxima década.</w:t>
      </w:r>
    </w:p>
    <w:p w:rsidR="006E5D75" w:rsidRPr="00393AD3" w:rsidRDefault="006E5D75" w:rsidP="006E5D75">
      <w:pPr>
        <w:pStyle w:val="NormalWeb"/>
        <w:shd w:val="clear" w:color="auto" w:fill="FFFFFF"/>
        <w:spacing w:before="0" w:beforeAutospacing="0" w:after="0" w:afterAutospacing="0"/>
        <w:jc w:val="both"/>
        <w:textAlignment w:val="baseline"/>
      </w:pPr>
    </w:p>
    <w:p w:rsidR="006E5D75" w:rsidRDefault="006E5D75" w:rsidP="006E5D75">
      <w:pPr>
        <w:pStyle w:val="NormalWeb"/>
        <w:shd w:val="clear" w:color="auto" w:fill="FFFFFF"/>
        <w:spacing w:before="0" w:beforeAutospacing="0" w:after="0" w:afterAutospacing="0"/>
        <w:jc w:val="both"/>
        <w:textAlignment w:val="baseline"/>
        <w:rPr>
          <w:color w:val="FF0000"/>
          <w:u w:val="single"/>
        </w:rPr>
      </w:pPr>
      <w:r w:rsidRPr="003B038D">
        <w:rPr>
          <w:color w:val="FF0000"/>
          <w:u w:val="single"/>
        </w:rPr>
        <w:t xml:space="preserve">En el caso de </w:t>
      </w:r>
      <w:r w:rsidRPr="008A1F7A">
        <w:rPr>
          <w:color w:val="FF0000"/>
          <w:u w:val="single"/>
        </w:rPr>
        <w:t>la </w:t>
      </w:r>
      <w:r w:rsidRPr="008935E0">
        <w:rPr>
          <w:rStyle w:val="Textoennegrita"/>
          <w:rFonts w:eastAsiaTheme="majorEastAsia"/>
          <w:b w:val="0"/>
          <w:color w:val="FF0000"/>
          <w:u w:val="single"/>
          <w:bdr w:val="none" w:sz="0" w:space="0" w:color="auto" w:frame="1"/>
        </w:rPr>
        <w:t>deuda privada</w:t>
      </w:r>
      <w:r w:rsidRPr="003B038D">
        <w:rPr>
          <w:color w:val="FF0000"/>
          <w:u w:val="single"/>
        </w:rPr>
        <w:t>, el informe</w:t>
      </w:r>
      <w:r w:rsidRPr="007D349B">
        <w:rPr>
          <w:color w:val="FF0000"/>
          <w:u w:val="single"/>
        </w:rPr>
        <w:t xml:space="preserve"> recuerda que supera los 48 billones de dólares, frente a los 35 billones con que comenzó la anterior crisis económica, lo que significa que también en este segmento el punto de partida es peor. Suiza, Dinamarca, Noruega, Canadá y Holanda son los países donde los hogares están más endeudados del mundo en relación con el PIB, sin bien donde más ha crecido en los últimos años es en China.</w:t>
      </w:r>
    </w:p>
    <w:p w:rsidR="006E5D75"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lastRenderedPageBreak/>
        <w:t>En lo que respecta a las empresas no financieras, su deuda se ha incrementado en más de un 70% desde 2007, hasta representar cerca del 92% del PIB. En este caso, las peores posiciones son las de Canadá, Chile, Francia, Filipinas, Singapur y Sudáfrica.</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Default="006E5D75" w:rsidP="006E5D75">
      <w:pPr>
        <w:pStyle w:val="NormalWeb"/>
        <w:shd w:val="clear" w:color="auto" w:fill="FFFFFF"/>
        <w:spacing w:before="0" w:beforeAutospacing="0" w:after="0" w:afterAutospacing="0"/>
        <w:jc w:val="both"/>
        <w:textAlignment w:val="baseline"/>
      </w:pPr>
      <w:r w:rsidRPr="00393AD3">
        <w:t>La conclusión que obtienen los banqueros privados es que los </w:t>
      </w:r>
      <w:r w:rsidRPr="008935E0">
        <w:rPr>
          <w:rStyle w:val="Textoennegrita"/>
          <w:rFonts w:eastAsiaTheme="majorEastAsia"/>
          <w:b w:val="0"/>
          <w:u w:val="single"/>
          <w:bdr w:val="none" w:sz="0" w:space="0" w:color="auto" w:frame="1"/>
        </w:rPr>
        <w:t>colchones financieros</w:t>
      </w:r>
      <w:r w:rsidRPr="008935E0">
        <w:rPr>
          <w:b/>
        </w:rPr>
        <w:t> </w:t>
      </w:r>
      <w:r w:rsidRPr="00393AD3">
        <w:t>para hacer frente a una disrupción económica prolongada son muy escasos, lo que hace que sea más difícil una recuperación en V.</w:t>
      </w:r>
    </w:p>
    <w:p w:rsidR="006E5D75" w:rsidRPr="007D349B"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Default="006E5D75" w:rsidP="006E5D75">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val="en-GB" w:eastAsia="zh-CN"/>
        </w:rPr>
        <w:drawing>
          <wp:inline distT="0" distB="0" distL="0" distR="0">
            <wp:extent cx="5665171" cy="3146612"/>
            <wp:effectExtent l="0" t="0" r="0" b="0"/>
            <wp:docPr id="43" name="Imagen 43" descr="Cambios en la deuda desde 200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mbios en la deuda desde 2007. "/>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0550" cy="3149600"/>
                    </a:xfrm>
                    <a:prstGeom prst="rect">
                      <a:avLst/>
                    </a:prstGeom>
                    <a:noFill/>
                    <a:ln>
                      <a:noFill/>
                    </a:ln>
                  </pic:spPr>
                </pic:pic>
              </a:graphicData>
            </a:graphic>
          </wp:inline>
        </w:drawing>
      </w:r>
      <w:r w:rsidRPr="00393AD3">
        <w:rPr>
          <w:rFonts w:ascii="Times New Roman" w:hAnsi="Times New Roman" w:cs="Times New Roman"/>
          <w:sz w:val="24"/>
          <w:szCs w:val="24"/>
        </w:rPr>
        <w:t>Cambios en la deuda desde 2007.</w:t>
      </w:r>
    </w:p>
    <w:p w:rsidR="006E5D75" w:rsidRPr="0051226F" w:rsidRDefault="006E5D75" w:rsidP="006E5D75">
      <w:pPr>
        <w:pStyle w:val="NormalWeb"/>
        <w:spacing w:after="0"/>
        <w:jc w:val="both"/>
        <w:textAlignment w:val="baseline"/>
      </w:pPr>
      <w:r>
        <w:t xml:space="preserve">- </w:t>
      </w:r>
      <w:r w:rsidRPr="000B61F9">
        <w:rPr>
          <w:u w:val="single"/>
        </w:rPr>
        <w:t>DB apunta a la debilidad de España: necesita coronabonos o endeudarse otro 22% del PIB</w:t>
      </w:r>
      <w:r>
        <w:t xml:space="preserve"> (El Confidencial - </w:t>
      </w:r>
      <w:r w:rsidRPr="000B61F9">
        <w:rPr>
          <w:b/>
        </w:rPr>
        <w:t>9/4/20</w:t>
      </w:r>
      <w:r>
        <w:t>)</w:t>
      </w:r>
    </w:p>
    <w:p w:rsidR="006E5D75" w:rsidRPr="005D5229" w:rsidRDefault="006E5D75" w:rsidP="006E5D75">
      <w:pPr>
        <w:pStyle w:val="NormalWeb"/>
        <w:spacing w:after="0"/>
        <w:jc w:val="both"/>
        <w:textAlignment w:val="baseline"/>
        <w:rPr>
          <w:color w:val="FF0000"/>
        </w:rPr>
      </w:pPr>
      <w:r w:rsidRPr="005D5229">
        <w:rPr>
          <w:color w:val="FF0000"/>
        </w:rPr>
        <w:t>Un informe urge a una respuesta europea común para evitar que se disparen las diferencias entre norte y sur. Avisa de que el mercado laboral español es el más afectado</w:t>
      </w:r>
    </w:p>
    <w:p w:rsidR="006E5D75" w:rsidRPr="006F3112" w:rsidRDefault="00540176" w:rsidP="006E5D75">
      <w:pPr>
        <w:pStyle w:val="NormalWeb"/>
        <w:spacing w:after="0"/>
        <w:jc w:val="both"/>
        <w:textAlignment w:val="baseline"/>
        <w:rPr>
          <w:u w:val="single"/>
        </w:rPr>
      </w:pPr>
      <w:hyperlink r:id="rId35" w:tgtFrame="_self" w:history="1">
        <w:r w:rsidR="006E5D75" w:rsidRPr="006F3112">
          <w:rPr>
            <w:rStyle w:val="Hipervnculo"/>
            <w:rFonts w:eastAsiaTheme="majorEastAsia"/>
            <w:color w:val="auto"/>
            <w:u w:val="none"/>
          </w:rPr>
          <w:t>Deutsche Bank</w:t>
        </w:r>
      </w:hyperlink>
      <w:r w:rsidR="006E5D75" w:rsidRPr="006F3112">
        <w:t>, cuyos informes llevan años criticando los estímulos del </w:t>
      </w:r>
      <w:hyperlink r:id="rId36" w:tgtFrame="_self" w:history="1">
        <w:r w:rsidR="006E5D75" w:rsidRPr="006F3112">
          <w:rPr>
            <w:rStyle w:val="Hipervnculo"/>
            <w:rFonts w:eastAsiaTheme="majorEastAsia"/>
            <w:color w:val="auto"/>
            <w:u w:val="none"/>
          </w:rPr>
          <w:t>Banco Central Europeo (BCE)</w:t>
        </w:r>
      </w:hyperlink>
      <w:r w:rsidR="006E5D75" w:rsidRPr="006F3112">
        <w:t>,</w:t>
      </w:r>
      <w:r w:rsidR="006E5D75" w:rsidRPr="00552C6D">
        <w:t xml:space="preserve"> que perseguían reducir primas de riesgo, pide ahora una respuesta europea contra las divergencias entre norte y sur. El mayor banco europeo por tamaño de balance teme un </w:t>
      </w:r>
      <w:r w:rsidR="006E5D75" w:rsidRPr="006F3112">
        <w:rPr>
          <w:rStyle w:val="Textoennegrita"/>
          <w:rFonts w:eastAsiaTheme="majorEastAsia"/>
          <w:u w:val="single"/>
          <w:bdr w:val="none" w:sz="0" w:space="0" w:color="auto" w:frame="1"/>
        </w:rPr>
        <w:t>impacto sin precedentes de esta crisis que ponga en riesgo el euro</w:t>
      </w:r>
      <w:r w:rsidR="006E5D75" w:rsidRPr="00552C6D">
        <w:rPr>
          <w:rStyle w:val="Textoennegrita"/>
          <w:rFonts w:eastAsiaTheme="majorEastAsia"/>
          <w:bdr w:val="none" w:sz="0" w:space="0" w:color="auto" w:frame="1"/>
        </w:rPr>
        <w:t>. </w:t>
      </w:r>
      <w:r w:rsidR="006E5D75" w:rsidRPr="006F3112">
        <w:t>Y </w:t>
      </w:r>
      <w:hyperlink r:id="rId37" w:tgtFrame="_self" w:history="1">
        <w:r w:rsidR="006E5D75" w:rsidRPr="006F3112">
          <w:rPr>
            <w:rStyle w:val="Hipervnculo"/>
            <w:rFonts w:eastAsiaTheme="majorEastAsia"/>
            <w:color w:val="auto"/>
          </w:rPr>
          <w:t>señala en especial España por su deuda externa</w:t>
        </w:r>
      </w:hyperlink>
      <w:r w:rsidR="006E5D75" w:rsidRPr="006F3112">
        <w:rPr>
          <w:u w:val="single"/>
        </w:rPr>
        <w:t>, porque estima que tendrá que pedir al mercado más de un 20% extra del PIB si no hay coronabonos y porque será el mercado laboral más golpeado por esta crisis.</w:t>
      </w:r>
    </w:p>
    <w:p w:rsidR="006E5D75" w:rsidRPr="006F3112" w:rsidRDefault="006E5D75" w:rsidP="006E5D75">
      <w:pPr>
        <w:pStyle w:val="NormalWeb"/>
        <w:shd w:val="clear" w:color="auto" w:fill="FFFFFF"/>
        <w:spacing w:before="0" w:beforeAutospacing="0" w:after="0" w:afterAutospacing="0"/>
        <w:jc w:val="both"/>
        <w:textAlignment w:val="baseline"/>
      </w:pPr>
      <w:r w:rsidRPr="006F3112">
        <w:t>El equipo de análisis de la entidad alemana ha publicado un informe con estimaciones del impacto económico de esta crisis, derivada de la parálisis de la actividad económica para </w:t>
      </w:r>
      <w:r w:rsidRPr="006F3112">
        <w:rPr>
          <w:rStyle w:val="Textoennegrita"/>
          <w:rFonts w:eastAsiaTheme="majorEastAsia"/>
          <w:u w:val="single"/>
          <w:bdr w:val="none" w:sz="0" w:space="0" w:color="auto" w:frame="1"/>
        </w:rPr>
        <w:t>tratar de contener el virus a lo largo de Occidente</w:t>
      </w:r>
      <w:r w:rsidRPr="006F3112">
        <w:t>. Las </w:t>
      </w:r>
      <w:hyperlink r:id="rId38" w:tgtFrame="_self" w:history="1">
        <w:r w:rsidRPr="006F3112">
          <w:rPr>
            <w:rStyle w:val="Hipervnculo"/>
            <w:rFonts w:eastAsiaTheme="majorEastAsia"/>
            <w:color w:val="auto"/>
          </w:rPr>
          <w:t>restricciones más severas se están poniendo en España e Italia</w:t>
        </w:r>
      </w:hyperlink>
      <w:r w:rsidRPr="006F3112">
        <w:t>, que son, asimismo, los dos países más afectados y los que han llegado a esta contracción con la vulnerabilidad más relevante por sus desequilibrios.</w:t>
      </w:r>
    </w:p>
    <w:p w:rsidR="006E5D75" w:rsidRPr="00552C6D" w:rsidRDefault="006E5D75" w:rsidP="006E5D75">
      <w:pPr>
        <w:pStyle w:val="NormalWeb"/>
        <w:shd w:val="clear" w:color="auto" w:fill="FFFFFF"/>
        <w:spacing w:before="0" w:beforeAutospacing="0" w:after="0" w:afterAutospacing="0"/>
        <w:jc w:val="both"/>
        <w:textAlignment w:val="baseline"/>
      </w:pPr>
    </w:p>
    <w:p w:rsidR="006E5D75" w:rsidRDefault="006E5D75" w:rsidP="006E5D75">
      <w:pPr>
        <w:pStyle w:val="NormalWeb"/>
        <w:shd w:val="clear" w:color="auto" w:fill="FFFFFF"/>
        <w:spacing w:before="0" w:beforeAutospacing="0" w:after="0" w:afterAutospacing="0"/>
        <w:jc w:val="both"/>
        <w:textAlignment w:val="baseline"/>
        <w:rPr>
          <w:color w:val="FF0000"/>
          <w:u w:val="single"/>
        </w:rPr>
      </w:pPr>
      <w:r w:rsidRPr="005D5229">
        <w:rPr>
          <w:color w:val="FF0000"/>
          <w:u w:val="single"/>
        </w:rPr>
        <w:t xml:space="preserve">Los seis economistas de Deutsche Bank Research que firman el informe dibujan su propio escenario de recuperación, que no es de V, U, W o el símbolo de Nike que está empezando a </w:t>
      </w:r>
      <w:r w:rsidRPr="005D5229">
        <w:rPr>
          <w:color w:val="FF0000"/>
          <w:u w:val="single"/>
        </w:rPr>
        <w:lastRenderedPageBreak/>
        <w:t>circular. En su caso, </w:t>
      </w:r>
      <w:r w:rsidRPr="006F3112">
        <w:rPr>
          <w:rStyle w:val="Textoennegrita"/>
          <w:rFonts w:eastAsiaTheme="majorEastAsia"/>
          <w:color w:val="FF0000"/>
          <w:u w:val="single"/>
          <w:bdr w:val="none" w:sz="0" w:space="0" w:color="auto" w:frame="1"/>
        </w:rPr>
        <w:t>contemplan una V, pero sin llegar al punto de producción anterior</w:t>
      </w:r>
      <w:r w:rsidRPr="005D5229">
        <w:rPr>
          <w:color w:val="FF0000"/>
          <w:u w:val="single"/>
        </w:rPr>
        <w:t>, sino que empezaría antes una recuperación más lenta hasta volver a los niveles previos a finales de 2021. No en vano, esperan una </w:t>
      </w:r>
      <w:hyperlink r:id="rId39" w:tgtFrame="_self" w:history="1">
        <w:r w:rsidRPr="005D5229">
          <w:rPr>
            <w:rStyle w:val="Hipervnculo"/>
            <w:rFonts w:eastAsiaTheme="majorEastAsia"/>
            <w:color w:val="FF0000"/>
          </w:rPr>
          <w:t>contracción del PIB de más del doble a la sufrida en la gran crisis financiera</w:t>
        </w:r>
      </w:hyperlink>
      <w:r w:rsidRPr="005D5229">
        <w:rPr>
          <w:color w:val="FF0000"/>
          <w:u w:val="single"/>
        </w:rPr>
        <w:t>, con una caída del 3,4% en el primer trimestre y del 11,4% en el segundo en la eurozona.</w:t>
      </w:r>
    </w:p>
    <w:p w:rsidR="006E5D75" w:rsidRPr="005D5229"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0B61F9" w:rsidRDefault="006E5D75" w:rsidP="006E5D75">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val="en-GB" w:eastAsia="zh-CN"/>
        </w:rPr>
        <w:drawing>
          <wp:inline distT="0" distB="0" distL="0" distR="0">
            <wp:extent cx="5755340" cy="2877671"/>
            <wp:effectExtent l="0" t="0" r="0" b="0"/>
            <wp:docPr id="44" name="Imagen 44" descr="Impacto en el PIB del coronavirus.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acto en el PIB del coronavirus. (Fuente: Deutsche Bank)"/>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2876551"/>
                    </a:xfrm>
                    <a:prstGeom prst="rect">
                      <a:avLst/>
                    </a:prstGeom>
                    <a:noFill/>
                    <a:ln>
                      <a:noFill/>
                    </a:ln>
                  </pic:spPr>
                </pic:pic>
              </a:graphicData>
            </a:graphic>
          </wp:inline>
        </w:drawing>
      </w:r>
      <w:r w:rsidRPr="000B61F9">
        <w:rPr>
          <w:rFonts w:ascii="Times New Roman" w:hAnsi="Times New Roman" w:cs="Times New Roman"/>
          <w:sz w:val="24"/>
          <w:szCs w:val="24"/>
        </w:rPr>
        <w:t>Impacto en el PIB del coronavirus. (Fuente: Deutsche Bank)</w:t>
      </w:r>
    </w:p>
    <w:p w:rsidR="006E5D75" w:rsidRDefault="006E5D75" w:rsidP="006E5D75">
      <w:pPr>
        <w:pStyle w:val="NormalWeb"/>
        <w:shd w:val="clear" w:color="auto" w:fill="FFFFFF"/>
        <w:spacing w:before="0" w:beforeAutospacing="0" w:after="0" w:afterAutospacing="0"/>
        <w:jc w:val="both"/>
        <w:textAlignment w:val="baseline"/>
        <w:rPr>
          <w:b/>
          <w:color w:val="FF0000"/>
          <w:u w:val="single"/>
        </w:rPr>
      </w:pPr>
      <w:r w:rsidRPr="005D5229">
        <w:rPr>
          <w:b/>
          <w:color w:val="FF0000"/>
          <w:u w:val="single"/>
        </w:rPr>
        <w:t>El mayor impacto negativo lo sufriría España</w:t>
      </w:r>
      <w:r w:rsidRPr="001A588A">
        <w:rPr>
          <w:b/>
          <w:color w:val="FF0000"/>
          <w:u w:val="single"/>
        </w:rPr>
        <w:t>. </w:t>
      </w:r>
      <w:r w:rsidRPr="008A1F7A">
        <w:rPr>
          <w:rStyle w:val="Textoennegrita"/>
          <w:rFonts w:eastAsiaTheme="majorEastAsia"/>
          <w:color w:val="FF0000"/>
          <w:u w:val="single"/>
          <w:bdr w:val="none" w:sz="0" w:space="0" w:color="auto" w:frame="1"/>
        </w:rPr>
        <w:t>La intensidad de la contracción proyectada de la producción supera el 20%</w:t>
      </w:r>
      <w:r w:rsidRPr="008A1F7A">
        <w:rPr>
          <w:color w:val="FF0000"/>
          <w:u w:val="single"/>
        </w:rPr>
        <w:t xml:space="preserve">, </w:t>
      </w:r>
      <w:r w:rsidRPr="008A1F7A">
        <w:rPr>
          <w:b/>
          <w:color w:val="FF0000"/>
          <w:u w:val="single"/>
        </w:rPr>
        <w:t>mien</w:t>
      </w:r>
      <w:r w:rsidRPr="005D5229">
        <w:rPr>
          <w:b/>
          <w:color w:val="FF0000"/>
          <w:u w:val="single"/>
        </w:rPr>
        <w:t>tras que Deutsche Bank anticipa un 12,2% en Alemania, un 14,8% en Francia, un 15,1% en Reino Unido y un 16,3% en Italia</w:t>
      </w:r>
      <w:r w:rsidRPr="000B61F9">
        <w:t xml:space="preserve">. </w:t>
      </w:r>
      <w:r w:rsidRPr="005D5229">
        <w:rPr>
          <w:b/>
          <w:color w:val="FF0000"/>
          <w:u w:val="single"/>
        </w:rPr>
        <w:t>El escenario base del banco alemán es que el retroceso del PIB tendrá un pico del 25% en el conjunto de la eurozona, para recuperarse a lo largo del segundo trimestre según cambia la curva de contagios, y terminar en junio en torno al 10%, por debajo de los niveles que antecedieron a la pandemia.</w:t>
      </w:r>
    </w:p>
    <w:p w:rsidR="006E5D75" w:rsidRPr="005D5229" w:rsidRDefault="006E5D75" w:rsidP="006E5D75">
      <w:pPr>
        <w:pStyle w:val="NormalWeb"/>
        <w:shd w:val="clear" w:color="auto" w:fill="FFFFFF"/>
        <w:spacing w:before="0" w:beforeAutospacing="0" w:after="0" w:afterAutospacing="0"/>
        <w:jc w:val="both"/>
        <w:textAlignment w:val="baseline"/>
        <w:rPr>
          <w:b/>
          <w:color w:val="FF0000"/>
          <w:u w:val="single"/>
        </w:rPr>
      </w:pPr>
    </w:p>
    <w:p w:rsidR="006E5D75" w:rsidRPr="006F3112" w:rsidRDefault="006E5D75" w:rsidP="006E5D75">
      <w:pPr>
        <w:spacing w:line="240" w:lineRule="auto"/>
        <w:jc w:val="both"/>
        <w:rPr>
          <w:rFonts w:ascii="Times New Roman" w:hAnsi="Times New Roman" w:cs="Times New Roman"/>
          <w:b/>
          <w:color w:val="FF0000"/>
          <w:sz w:val="24"/>
          <w:szCs w:val="24"/>
          <w:u w:val="single"/>
        </w:rPr>
      </w:pPr>
      <w:r w:rsidRPr="008A1F7A">
        <w:rPr>
          <w:rFonts w:ascii="Times New Roman" w:hAnsi="Times New Roman" w:cs="Times New Roman"/>
          <w:color w:val="FF0000"/>
          <w:sz w:val="24"/>
          <w:szCs w:val="24"/>
          <w:u w:val="single"/>
        </w:rPr>
        <w:t>Las necesidades de financiación se dispararán en toda la eurozona, poniendo el foco en Italia y en España por la incidencia de la crisis y sus grados de apalancamiento</w:t>
      </w:r>
      <w:r w:rsidRPr="000B61F9">
        <w:rPr>
          <w:rFonts w:ascii="Times New Roman" w:hAnsi="Times New Roman" w:cs="Times New Roman"/>
          <w:sz w:val="24"/>
          <w:szCs w:val="24"/>
        </w:rPr>
        <w:t xml:space="preserve">. Según los indicadores de sostenibilidad fiscal de la Comisión Europea que cita Deutsche Bank, son las dos economías más vulnerables. </w:t>
      </w:r>
      <w:r w:rsidRPr="006F3112">
        <w:rPr>
          <w:rFonts w:ascii="Times New Roman" w:hAnsi="Times New Roman" w:cs="Times New Roman"/>
          <w:color w:val="FF0000"/>
          <w:sz w:val="24"/>
          <w:szCs w:val="24"/>
          <w:u w:val="single"/>
        </w:rPr>
        <w:t>En Italia, suponiendo medidas del Gobierno valoradas en 50.000 millones, la deuda pública sobre el PIB subiría 20 puntos porcentuales, hasta el 160%, en 2021. </w:t>
      </w:r>
      <w:r w:rsidRPr="006F3112">
        <w:rPr>
          <w:rStyle w:val="Textoennegrita"/>
          <w:rFonts w:ascii="Times New Roman" w:hAnsi="Times New Roman" w:cs="Times New Roman"/>
          <w:b w:val="0"/>
          <w:color w:val="FF0000"/>
          <w:sz w:val="24"/>
          <w:szCs w:val="24"/>
          <w:u w:val="single"/>
          <w:bdr w:val="none" w:sz="0" w:space="0" w:color="auto" w:frame="1"/>
        </w:rPr>
        <w:t>En España, esta ratio pasaría desde el 96% de 2019 hasta el 117,7% en 2021</w:t>
      </w:r>
      <w:r w:rsidRPr="006F3112">
        <w:rPr>
          <w:rFonts w:ascii="Times New Roman" w:hAnsi="Times New Roman" w:cs="Times New Roman"/>
          <w:b/>
          <w:color w:val="FF0000"/>
          <w:sz w:val="24"/>
          <w:szCs w:val="24"/>
          <w:u w:val="single"/>
        </w:rPr>
        <w:t>.</w:t>
      </w:r>
    </w:p>
    <w:p w:rsidR="006E5D75" w:rsidRPr="006F3112" w:rsidRDefault="006E5D75" w:rsidP="006E5D75">
      <w:pPr>
        <w:pStyle w:val="NormalWeb"/>
        <w:shd w:val="clear" w:color="auto" w:fill="FFFFFF"/>
        <w:spacing w:before="0" w:beforeAutospacing="0" w:after="0" w:afterAutospacing="0"/>
        <w:jc w:val="both"/>
        <w:textAlignment w:val="baseline"/>
        <w:rPr>
          <w:u w:val="single"/>
        </w:rPr>
      </w:pPr>
      <w:r w:rsidRPr="006F3112">
        <w:rPr>
          <w:u w:val="single"/>
        </w:rPr>
        <w:t>Este incremento se produciría en un escenario en el que se supone que no hay coronabonos o cualquier emisión europea mutualizada que relaje las necesidades de financiación</w:t>
      </w:r>
      <w:r w:rsidRPr="006F3112">
        <w:t>. Así, el Tesoro español tendría que pedir al mercado más de 260.000 millones de euros netos adicionales a las emisiones habituales. </w:t>
      </w:r>
      <w:hyperlink r:id="rId41" w:tgtFrame="_self" w:history="1">
        <w:r w:rsidRPr="006F3112">
          <w:rPr>
            <w:rStyle w:val="Hipervnculo"/>
            <w:rFonts w:eastAsiaTheme="majorEastAsia"/>
            <w:color w:val="auto"/>
          </w:rPr>
          <w:t>Para 2020, el Tesoro tenía programada, antes de esta crisis, la emisión neta de deuda por valor de 32.500 millones</w:t>
        </w:r>
      </w:hyperlink>
      <w:r w:rsidRPr="006F3112">
        <w:rPr>
          <w:u w:val="single"/>
        </w:rPr>
        <w:t>, mientras que en </w:t>
      </w:r>
      <w:r w:rsidRPr="006F3112">
        <w:rPr>
          <w:rStyle w:val="Textoennegrita"/>
          <w:rFonts w:eastAsiaTheme="majorEastAsia"/>
          <w:b w:val="0"/>
          <w:u w:val="single"/>
          <w:bdr w:val="none" w:sz="0" w:space="0" w:color="auto" w:frame="1"/>
        </w:rPr>
        <w:t>términos brutos era de 197.000 millones</w:t>
      </w:r>
      <w:r w:rsidRPr="006F3112">
        <w:rPr>
          <w:u w:val="single"/>
        </w:rPr>
        <w:t>.</w:t>
      </w:r>
    </w:p>
    <w:p w:rsidR="006E5D75" w:rsidRPr="006F3112" w:rsidRDefault="006E5D75" w:rsidP="006E5D75">
      <w:pPr>
        <w:pStyle w:val="NormalWeb"/>
        <w:shd w:val="clear" w:color="auto" w:fill="FFFFFF"/>
        <w:spacing w:before="0" w:beforeAutospacing="0" w:after="0" w:afterAutospacing="0"/>
        <w:jc w:val="both"/>
        <w:textAlignment w:val="baseline"/>
      </w:pPr>
    </w:p>
    <w:p w:rsidR="006E5D75" w:rsidRPr="006F3112" w:rsidRDefault="006E5D75" w:rsidP="006E5D75">
      <w:pPr>
        <w:pStyle w:val="NormalWeb"/>
        <w:shd w:val="clear" w:color="auto" w:fill="FFFFFF"/>
        <w:spacing w:before="0" w:beforeAutospacing="0" w:after="0" w:afterAutospacing="0"/>
        <w:jc w:val="both"/>
        <w:textAlignment w:val="baseline"/>
        <w:rPr>
          <w:u w:val="single"/>
        </w:rPr>
      </w:pPr>
      <w:r w:rsidRPr="006F3112">
        <w:rPr>
          <w:color w:val="FF0000"/>
          <w:u w:val="single"/>
        </w:rPr>
        <w:t>Deutsche Bank ahonda en España al analizar la vulnerabilidad de las diferentes economías por la deuda externa que arrastra la economía</w:t>
      </w:r>
      <w:r w:rsidRPr="006F3112">
        <w:t xml:space="preserve">. </w:t>
      </w:r>
      <w:r w:rsidRPr="006F3112">
        <w:rPr>
          <w:u w:val="single"/>
        </w:rPr>
        <w:t xml:space="preserve">Este pecado procede de la década de la burbuja inmobiliaria, y aunque se ha relajado en los últimos años con los récords en las </w:t>
      </w:r>
      <w:r w:rsidRPr="006F3112">
        <w:rPr>
          <w:u w:val="single"/>
        </w:rPr>
        <w:lastRenderedPageBreak/>
        <w:t>exportaciones, sigue siendo peligroso. La economía española </w:t>
      </w:r>
      <w:r w:rsidRPr="006F3112">
        <w:rPr>
          <w:rStyle w:val="Textoennegrita"/>
          <w:rFonts w:eastAsiaTheme="majorEastAsia"/>
          <w:b w:val="0"/>
          <w:u w:val="single"/>
          <w:bdr w:val="none" w:sz="0" w:space="0" w:color="auto" w:frame="1"/>
        </w:rPr>
        <w:t>acabó 2019 con una posición neta internacional deudora en un 74% del PIB, al sobrepasar los 921.708 millones</w:t>
      </w:r>
      <w:r w:rsidRPr="006F3112">
        <w:rPr>
          <w:u w:val="single"/>
        </w:rPr>
        <w:t>.</w:t>
      </w:r>
    </w:p>
    <w:p w:rsidR="006E5D75" w:rsidRPr="006F3112" w:rsidRDefault="006E5D75" w:rsidP="006E5D75">
      <w:pPr>
        <w:pStyle w:val="NormalWeb"/>
        <w:shd w:val="clear" w:color="auto" w:fill="FFFFFF"/>
        <w:spacing w:before="0" w:beforeAutospacing="0" w:after="0" w:afterAutospacing="0"/>
        <w:jc w:val="both"/>
        <w:textAlignment w:val="baseline"/>
        <w:rPr>
          <w:u w:val="single"/>
        </w:rPr>
      </w:pPr>
    </w:p>
    <w:p w:rsidR="006E5D75" w:rsidRPr="000B61F9" w:rsidRDefault="006E5D75" w:rsidP="006E5D75">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val="en-GB" w:eastAsia="zh-CN"/>
        </w:rPr>
        <w:drawing>
          <wp:inline distT="0" distB="0" distL="0" distR="0">
            <wp:extent cx="5741893" cy="2649071"/>
            <wp:effectExtent l="0" t="0" r="0" b="0"/>
            <wp:docPr id="45" name="Imagen 45" descr="A la izquierda, balanza por cuenta corriente; a la derecha, posición internacional neta sin inversión directa.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la izquierda, balanza por cuenta corriente; a la derecha, posición internacional neta sin inversión directa. (Fuente: Deutsche Bank)"/>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0400" cy="2648382"/>
                    </a:xfrm>
                    <a:prstGeom prst="rect">
                      <a:avLst/>
                    </a:prstGeom>
                    <a:noFill/>
                    <a:ln>
                      <a:noFill/>
                    </a:ln>
                  </pic:spPr>
                </pic:pic>
              </a:graphicData>
            </a:graphic>
          </wp:inline>
        </w:drawing>
      </w:r>
      <w:r w:rsidRPr="000B61F9">
        <w:rPr>
          <w:rFonts w:ascii="Times New Roman" w:hAnsi="Times New Roman" w:cs="Times New Roman"/>
          <w:sz w:val="24"/>
          <w:szCs w:val="24"/>
        </w:rPr>
        <w:t>A la izquierda, balanza por cuenta corriente; a la derecha, posición internacional neta sin inversión directa. (Fuente: Deutsche Bank)</w:t>
      </w:r>
    </w:p>
    <w:p w:rsidR="006E5D75" w:rsidRPr="006F3112" w:rsidRDefault="006E5D75" w:rsidP="006E5D75">
      <w:pPr>
        <w:pStyle w:val="NormalWeb"/>
        <w:shd w:val="clear" w:color="auto" w:fill="FFFFFF"/>
        <w:spacing w:before="0" w:beforeAutospacing="0" w:after="0" w:afterAutospacing="0"/>
        <w:jc w:val="both"/>
        <w:textAlignment w:val="baseline"/>
      </w:pPr>
      <w:r w:rsidRPr="006F3112">
        <w:t>Este saldo deudor extrema la dependencia de la inversión exterior para la economía española, lo que es un desafío añadido cuando hay turbulencias y </w:t>
      </w:r>
      <w:r w:rsidRPr="006F3112">
        <w:rPr>
          <w:rStyle w:val="Textoennegrita"/>
          <w:rFonts w:eastAsiaTheme="majorEastAsia"/>
          <w:b w:val="0"/>
          <w:bdr w:val="none" w:sz="0" w:space="0" w:color="auto" w:frame="1"/>
        </w:rPr>
        <w:t>suelen reducirse los flujos internacionales por la desconfianza de los inversores</w:t>
      </w:r>
      <w:r w:rsidRPr="006F3112">
        <w:t>. La dependencia es tanto de inversión directa como financiera, como demuestra el gráfico recogido por el banco alemán.</w:t>
      </w:r>
    </w:p>
    <w:p w:rsidR="006E5D75" w:rsidRPr="006F3112" w:rsidRDefault="006E5D75" w:rsidP="006E5D75">
      <w:pPr>
        <w:spacing w:line="240" w:lineRule="auto"/>
        <w:jc w:val="both"/>
        <w:rPr>
          <w:rFonts w:ascii="Times New Roman" w:hAnsi="Times New Roman" w:cs="Times New Roman"/>
          <w:sz w:val="24"/>
          <w:szCs w:val="24"/>
        </w:rPr>
      </w:pPr>
    </w:p>
    <w:p w:rsidR="006E5D75" w:rsidRPr="005D5229" w:rsidRDefault="006E5D75" w:rsidP="006E5D75">
      <w:pPr>
        <w:spacing w:line="240" w:lineRule="auto"/>
        <w:jc w:val="both"/>
        <w:rPr>
          <w:rFonts w:ascii="Times New Roman" w:hAnsi="Times New Roman" w:cs="Times New Roman"/>
          <w:sz w:val="24"/>
          <w:szCs w:val="24"/>
          <w:u w:val="single"/>
        </w:rPr>
      </w:pPr>
      <w:r w:rsidRPr="005D5229">
        <w:rPr>
          <w:rFonts w:ascii="Times New Roman" w:hAnsi="Times New Roman" w:cs="Times New Roman"/>
          <w:sz w:val="24"/>
          <w:szCs w:val="24"/>
          <w:u w:val="single"/>
        </w:rPr>
        <w:t xml:space="preserve"> “Italia parece ser el eslabón débil por su ratio de deuda sobre PIB. Esto podría no ser del todo correcto. Italia tiene un importante contrapeso estructural: una posición subyacente positiva del activo externo neto. Por lo tanto, si el deterioro de la dinámica de la deuda crea estrés en el mercado, dependerá del comportamiento de los inversores nacionales”, recuerda Deutsche Bank</w:t>
      </w:r>
      <w:r w:rsidRPr="000B61F9">
        <w:rPr>
          <w:rFonts w:ascii="Times New Roman" w:hAnsi="Times New Roman" w:cs="Times New Roman"/>
          <w:sz w:val="24"/>
          <w:szCs w:val="24"/>
        </w:rPr>
        <w:t xml:space="preserve">. “La clave del comportamiento de los inversores nacionales será la percepción de cohesión europea, y esto debe fortalecerse rápidamente. </w:t>
      </w:r>
      <w:r w:rsidRPr="005D5229">
        <w:rPr>
          <w:rFonts w:ascii="Times New Roman" w:hAnsi="Times New Roman" w:cs="Times New Roman"/>
          <w:sz w:val="24"/>
          <w:szCs w:val="24"/>
          <w:u w:val="single"/>
        </w:rPr>
        <w:t>España, por otro lado, tiene una posición negativa subyacente del activo externo neto</w:t>
      </w:r>
      <w:r w:rsidRPr="001A588A">
        <w:rPr>
          <w:rFonts w:ascii="Times New Roman" w:hAnsi="Times New Roman" w:cs="Times New Roman"/>
          <w:sz w:val="24"/>
          <w:szCs w:val="24"/>
        </w:rPr>
        <w:t>. </w:t>
      </w:r>
      <w:r w:rsidRPr="006F3112">
        <w:rPr>
          <w:rStyle w:val="Textoennegrita"/>
          <w:rFonts w:ascii="Times New Roman" w:hAnsi="Times New Roman" w:cs="Times New Roman"/>
          <w:b w:val="0"/>
          <w:sz w:val="24"/>
          <w:szCs w:val="24"/>
          <w:u w:val="single"/>
          <w:bdr w:val="none" w:sz="0" w:space="0" w:color="auto" w:frame="1"/>
        </w:rPr>
        <w:t>Esto es una vulnerabilidad. Significa que España es naturalmente más dependiente de los inversores extranjeros</w:t>
      </w:r>
      <w:r w:rsidRPr="006F3112">
        <w:rPr>
          <w:rFonts w:ascii="Times New Roman" w:hAnsi="Times New Roman" w:cs="Times New Roman"/>
          <w:sz w:val="24"/>
          <w:szCs w:val="24"/>
          <w:u w:val="single"/>
        </w:rPr>
        <w:t>”, añade</w:t>
      </w:r>
      <w:r w:rsidRPr="005D5229">
        <w:rPr>
          <w:rFonts w:ascii="Times New Roman" w:hAnsi="Times New Roman" w:cs="Times New Roman"/>
          <w:sz w:val="24"/>
          <w:szCs w:val="24"/>
          <w:u w:val="single"/>
        </w:rPr>
        <w:t xml:space="preserve"> el banco.</w:t>
      </w:r>
    </w:p>
    <w:p w:rsidR="006E5D75" w:rsidRDefault="006E5D75" w:rsidP="006E5D75">
      <w:pPr>
        <w:pStyle w:val="NormalWeb"/>
        <w:shd w:val="clear" w:color="auto" w:fill="FFFFFF"/>
        <w:spacing w:before="0" w:beforeAutospacing="0" w:after="0" w:afterAutospacing="0"/>
        <w:jc w:val="both"/>
        <w:textAlignment w:val="baseline"/>
      </w:pPr>
      <w:r w:rsidRPr="000B61F9">
        <w:t>Otro punto clave es evitar que esta crisis por el frenazo de la actividad se convierta en financiera. Los gobiernos han lanzado paquetes de avales para que fluya el crédito y los supervisores han suavizado las exigencias de capital y de provisiones. Deutsche Bank Research recuerda que los niveles de capital del sector financiero europeo han mejorado, pero que España, nuevamente, está a la cola.</w:t>
      </w:r>
    </w:p>
    <w:p w:rsidR="006E5D75" w:rsidRPr="000B61F9" w:rsidRDefault="006E5D75" w:rsidP="006E5D75">
      <w:pPr>
        <w:pStyle w:val="NormalWeb"/>
        <w:shd w:val="clear" w:color="auto" w:fill="FFFFFF"/>
        <w:spacing w:before="0" w:beforeAutospacing="0" w:after="0" w:afterAutospacing="0"/>
        <w:jc w:val="both"/>
        <w:textAlignment w:val="baseline"/>
      </w:pPr>
    </w:p>
    <w:p w:rsidR="006E5D75" w:rsidRPr="00552C6D" w:rsidRDefault="006E5D75" w:rsidP="006E5D75">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t>El mercado laboral más golpeado</w:t>
      </w:r>
    </w:p>
    <w:p w:rsidR="006E5D75" w:rsidRDefault="006E5D75" w:rsidP="006E5D75">
      <w:pPr>
        <w:pStyle w:val="NormalWeb"/>
        <w:shd w:val="clear" w:color="auto" w:fill="FFFFFF"/>
        <w:spacing w:before="0" w:beforeAutospacing="0" w:after="0" w:afterAutospacing="0"/>
        <w:jc w:val="both"/>
        <w:textAlignment w:val="baseline"/>
        <w:rPr>
          <w:b/>
          <w:color w:val="FF0000"/>
          <w:u w:val="single"/>
        </w:rPr>
      </w:pPr>
    </w:p>
    <w:p w:rsidR="006E5D75" w:rsidRPr="008935E0" w:rsidRDefault="006E5D75" w:rsidP="006E5D75">
      <w:pPr>
        <w:pStyle w:val="NormalWeb"/>
        <w:shd w:val="clear" w:color="auto" w:fill="FFFFFF"/>
        <w:spacing w:before="0" w:beforeAutospacing="0" w:after="0" w:afterAutospacing="0"/>
        <w:jc w:val="both"/>
        <w:textAlignment w:val="baseline"/>
        <w:rPr>
          <w:color w:val="FF0000"/>
          <w:u w:val="single"/>
        </w:rPr>
      </w:pPr>
      <w:r w:rsidRPr="008935E0">
        <w:rPr>
          <w:color w:val="FF0000"/>
          <w:u w:val="single"/>
        </w:rPr>
        <w:t>España se llevará la peor parte, en términos de golpe económico, de esta crisis. Al menos, según la estimación del banco germano. </w:t>
      </w:r>
      <w:r w:rsidRPr="008935E0">
        <w:rPr>
          <w:rStyle w:val="Textoennegrita"/>
          <w:rFonts w:eastAsiaTheme="majorEastAsia"/>
          <w:b w:val="0"/>
          <w:color w:val="FF0000"/>
          <w:u w:val="single"/>
          <w:bdr w:val="none" w:sz="0" w:space="0" w:color="auto" w:frame="1"/>
        </w:rPr>
        <w:t>El mercado laboral español sería el más vulnerable por dos razones</w:t>
      </w:r>
      <w:r w:rsidRPr="008935E0">
        <w:rPr>
          <w:color w:val="FF0000"/>
          <w:u w:val="single"/>
        </w:rPr>
        <w:t>. La primera es por tener la </w:t>
      </w:r>
      <w:r w:rsidRPr="008935E0">
        <w:rPr>
          <w:rStyle w:val="Textoennegrita"/>
          <w:rFonts w:eastAsiaTheme="majorEastAsia"/>
          <w:b w:val="0"/>
          <w:color w:val="FF0000"/>
          <w:u w:val="single"/>
          <w:bdr w:val="none" w:sz="0" w:space="0" w:color="auto" w:frame="1"/>
        </w:rPr>
        <w:t>temporalidad</w:t>
      </w:r>
      <w:r w:rsidRPr="008935E0">
        <w:rPr>
          <w:rStyle w:val="Textoennegrita"/>
          <w:rFonts w:eastAsiaTheme="majorEastAsia"/>
          <w:color w:val="FF0000"/>
          <w:u w:val="single"/>
          <w:bdr w:val="none" w:sz="0" w:space="0" w:color="auto" w:frame="1"/>
        </w:rPr>
        <w:t> </w:t>
      </w:r>
      <w:r w:rsidRPr="008935E0">
        <w:rPr>
          <w:color w:val="FF0000"/>
          <w:u w:val="single"/>
        </w:rPr>
        <w:t>más alta a lo largo de la eurozona, con niveles superiores al 20%, mientras que en las otras grandes economías europeas (Alemania, Francia, Italia y Reino Unido) no se llega al 15%.</w:t>
      </w:r>
    </w:p>
    <w:p w:rsidR="006E5D75" w:rsidRPr="008935E0"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302642" w:rsidRDefault="006E5D75" w:rsidP="006E5D75">
      <w:pPr>
        <w:pStyle w:val="NormalWeb"/>
        <w:shd w:val="clear" w:color="auto" w:fill="FFFFFF"/>
        <w:spacing w:before="0" w:beforeAutospacing="0" w:after="0" w:afterAutospacing="0"/>
        <w:jc w:val="both"/>
        <w:textAlignment w:val="baseline"/>
        <w:rPr>
          <w:color w:val="FF0000"/>
          <w:u w:val="single"/>
        </w:rPr>
      </w:pPr>
      <w:r w:rsidRPr="00302642">
        <w:rPr>
          <w:color w:val="FF0000"/>
          <w:u w:val="single"/>
        </w:rPr>
        <w:lastRenderedPageBreak/>
        <w:t>Además, los economistas germanos estiman que la </w:t>
      </w:r>
      <w:r w:rsidRPr="00302642">
        <w:rPr>
          <w:rStyle w:val="Textoennegrita"/>
          <w:rFonts w:eastAsiaTheme="majorEastAsia"/>
          <w:b w:val="0"/>
          <w:color w:val="FF0000"/>
          <w:u w:val="single"/>
          <w:bdr w:val="none" w:sz="0" w:space="0" w:color="auto" w:frame="1"/>
        </w:rPr>
        <w:t>exposición a servicios afectados directamente por la crisis del Covid-19 </w:t>
      </w:r>
      <w:r w:rsidRPr="00302642">
        <w:rPr>
          <w:color w:val="FF0000"/>
          <w:u w:val="single"/>
        </w:rPr>
        <w:t>es mayor en España, en un porcentaje superior al 35%, y que de hecho ha aumentado desde 2008. En Italia, el mercado laboral se acercaría a ese 35%, y en las otras grandes economías europeas la ratio es inferior al 30%. Según Deutsche, los sectores más afectados son la distribución, el transporte, la restauración, el entretenimiento y las empleadas del hogar.</w:t>
      </w:r>
    </w:p>
    <w:p w:rsidR="006E5D75" w:rsidRPr="005D5229" w:rsidRDefault="006E5D75" w:rsidP="006E5D75">
      <w:pPr>
        <w:pStyle w:val="NormalWeb"/>
        <w:shd w:val="clear" w:color="auto" w:fill="FFFFFF"/>
        <w:spacing w:before="0" w:beforeAutospacing="0" w:after="0" w:afterAutospacing="0"/>
        <w:jc w:val="both"/>
        <w:textAlignment w:val="baseline"/>
        <w:rPr>
          <w:color w:val="FF0000"/>
          <w:u w:val="single"/>
        </w:rPr>
      </w:pPr>
    </w:p>
    <w:p w:rsidR="006E5D75" w:rsidRPr="00302642" w:rsidRDefault="006E5D75" w:rsidP="006E5D75">
      <w:pPr>
        <w:spacing w:line="240" w:lineRule="auto"/>
        <w:jc w:val="both"/>
        <w:rPr>
          <w:rFonts w:ascii="Times New Roman" w:hAnsi="Times New Roman" w:cs="Times New Roman"/>
          <w:b/>
          <w:color w:val="FF0000"/>
          <w:sz w:val="24"/>
          <w:szCs w:val="24"/>
          <w:u w:val="single"/>
        </w:rPr>
      </w:pPr>
      <w:r w:rsidRPr="00302642">
        <w:rPr>
          <w:rFonts w:ascii="Times New Roman" w:hAnsi="Times New Roman" w:cs="Times New Roman"/>
          <w:b/>
          <w:color w:val="FF0000"/>
          <w:sz w:val="24"/>
          <w:szCs w:val="24"/>
          <w:u w:val="single"/>
        </w:rPr>
        <w:t>En este contexto, el banco alemán señala que “hay escenarios razonables en los que el paro en la eurozona ascienda desde el 7% hasta la horquilla del 15% al 20%”. “</w:t>
      </w:r>
      <w:r w:rsidRPr="00302642">
        <w:rPr>
          <w:rStyle w:val="Textoennegrita"/>
          <w:rFonts w:ascii="Times New Roman" w:hAnsi="Times New Roman" w:cs="Times New Roman"/>
          <w:color w:val="FF0000"/>
          <w:sz w:val="24"/>
          <w:szCs w:val="24"/>
          <w:u w:val="single"/>
          <w:bdr w:val="none" w:sz="0" w:space="0" w:color="auto" w:frame="1"/>
        </w:rPr>
        <w:t xml:space="preserve">La magnitud de la conmoción económica causada por el virus significa que los picos anteriores </w:t>
      </w:r>
      <w:r w:rsidRPr="008935E0">
        <w:rPr>
          <w:rStyle w:val="Textoennegrita"/>
          <w:rFonts w:ascii="Times New Roman" w:hAnsi="Times New Roman" w:cs="Times New Roman"/>
          <w:color w:val="FF0000"/>
          <w:sz w:val="24"/>
          <w:szCs w:val="24"/>
          <w:u w:val="single"/>
          <w:bdr w:val="none" w:sz="0" w:space="0" w:color="auto" w:frame="1"/>
        </w:rPr>
        <w:t>de</w:t>
      </w:r>
      <w:r w:rsidRPr="008935E0">
        <w:rPr>
          <w:rStyle w:val="Textoennegrita"/>
          <w:rFonts w:ascii="Times New Roman" w:hAnsi="Times New Roman" w:cs="Times New Roman"/>
          <w:b w:val="0"/>
          <w:color w:val="FF0000"/>
          <w:sz w:val="24"/>
          <w:szCs w:val="24"/>
          <w:u w:val="single"/>
          <w:bdr w:val="none" w:sz="0" w:space="0" w:color="auto" w:frame="1"/>
        </w:rPr>
        <w:t> </w:t>
      </w:r>
      <w:hyperlink r:id="rId43" w:tgtFrame="_self" w:history="1">
        <w:r w:rsidRPr="008935E0">
          <w:rPr>
            <w:rStyle w:val="Hipervnculo"/>
            <w:rFonts w:ascii="Times New Roman" w:hAnsi="Times New Roman" w:cs="Times New Roman"/>
            <w:b/>
            <w:color w:val="FF0000"/>
            <w:sz w:val="24"/>
            <w:szCs w:val="24"/>
            <w:bdr w:val="none" w:sz="0" w:space="0" w:color="auto" w:frame="1"/>
          </w:rPr>
          <w:t>tasas de desempleo posteriores a la Segunda Guerra Mundial</w:t>
        </w:r>
      </w:hyperlink>
      <w:r w:rsidRPr="00302642">
        <w:rPr>
          <w:rStyle w:val="Textoennegrita"/>
          <w:rFonts w:ascii="Times New Roman" w:hAnsi="Times New Roman" w:cs="Times New Roman"/>
          <w:color w:val="FF0000"/>
          <w:sz w:val="24"/>
          <w:szCs w:val="24"/>
          <w:u w:val="single"/>
          <w:bdr w:val="none" w:sz="0" w:space="0" w:color="auto" w:frame="1"/>
        </w:rPr>
        <w:t> podrían superarse</w:t>
      </w:r>
      <w:r w:rsidRPr="00302642">
        <w:rPr>
          <w:rFonts w:ascii="Times New Roman" w:hAnsi="Times New Roman" w:cs="Times New Roman"/>
          <w:b/>
          <w:color w:val="FF0000"/>
          <w:sz w:val="24"/>
          <w:szCs w:val="24"/>
          <w:u w:val="single"/>
        </w:rPr>
        <w:t> en la mayoría de los países bajo supuestos y modelos estándar”, dice la entidad, que calcula el paro a través de la metodología de Okun, economista que relacionó la producción con el empleo.</w:t>
      </w:r>
    </w:p>
    <w:p w:rsidR="006E5D75" w:rsidRDefault="006E5D75" w:rsidP="006E5D75">
      <w:pPr>
        <w:pStyle w:val="NormalWeb"/>
        <w:shd w:val="clear" w:color="auto" w:fill="FFFFFF"/>
        <w:spacing w:before="0" w:beforeAutospacing="0" w:after="0" w:afterAutospacing="0"/>
        <w:jc w:val="both"/>
        <w:textAlignment w:val="baseline"/>
      </w:pPr>
      <w:r w:rsidRPr="00302642">
        <w:rPr>
          <w:color w:val="FF0000"/>
          <w:u w:val="single"/>
        </w:rPr>
        <w:t>Y España estaría, nuevamente, en la parte alta. De hecho, </w:t>
      </w:r>
      <w:r w:rsidRPr="00302642">
        <w:rPr>
          <w:rStyle w:val="Textoennegrita"/>
          <w:rFonts w:eastAsiaTheme="majorEastAsia"/>
          <w:color w:val="FF0000"/>
          <w:u w:val="single"/>
          <w:bdr w:val="none" w:sz="0" w:space="0" w:color="auto" w:frame="1"/>
        </w:rPr>
        <w:t>el escenario base contempla que el paro se repliegue en 2021 al 9,5% en el conjunto de la eurozona, mientras que en España se mantendría cerca del 20%</w:t>
      </w:r>
      <w:r w:rsidRPr="00302642">
        <w:rPr>
          <w:color w:val="FF0000"/>
          <w:u w:val="single"/>
        </w:rPr>
        <w:t>.</w:t>
      </w:r>
      <w:r w:rsidRPr="00302642">
        <w:rPr>
          <w:b/>
          <w:color w:val="FF0000"/>
          <w:u w:val="single"/>
        </w:rPr>
        <w:t xml:space="preserve"> Estamos en un momento de incertidumbre radical</w:t>
      </w:r>
      <w:r w:rsidRPr="000B61F9">
        <w:t>, término que suele usar el exgobernador del Banco de Inglaterra Mervyn King, lo que hace más débiles de lo habitual las predicciones. Pero esta supondría que 18 meses después de esta crisis, la economía española tendría millón y medio de parados más que al terminar 2019.</w:t>
      </w:r>
    </w:p>
    <w:p w:rsidR="006E5D75" w:rsidRDefault="006E5D75" w:rsidP="006E5D75">
      <w:pPr>
        <w:pStyle w:val="NormalWeb"/>
        <w:shd w:val="clear" w:color="auto" w:fill="FFFFFF"/>
        <w:spacing w:before="0" w:beforeAutospacing="0" w:after="0" w:afterAutospacing="0"/>
        <w:jc w:val="both"/>
        <w:textAlignment w:val="baseline"/>
      </w:pPr>
    </w:p>
    <w:p w:rsidR="006E5D75" w:rsidRPr="005D5229" w:rsidRDefault="006E5D75" w:rsidP="006E5D75">
      <w:pPr>
        <w:pStyle w:val="NormalWeb"/>
        <w:shd w:val="clear" w:color="auto" w:fill="FFFFFF"/>
        <w:spacing w:before="0" w:beforeAutospacing="0" w:after="0" w:afterAutospacing="0"/>
        <w:jc w:val="both"/>
        <w:textAlignment w:val="baseline"/>
        <w:rPr>
          <w:u w:val="single"/>
        </w:rPr>
      </w:pPr>
      <w:r w:rsidRPr="00552C6D">
        <w:rPr>
          <w:u w:val="single"/>
        </w:rPr>
        <w:t>Para los expertos germanos, la clave para España dependerá de la acción europea y del éxito de los </w:t>
      </w:r>
      <w:hyperlink r:id="rId44" w:tgtFrame="_self" w:history="1">
        <w:r w:rsidRPr="006F3112">
          <w:rPr>
            <w:rStyle w:val="Hipervnculo"/>
            <w:rFonts w:eastAsiaTheme="majorEastAsia"/>
            <w:color w:val="auto"/>
            <w:u w:val="none"/>
          </w:rPr>
          <w:t>expedientes de regulación temporal de empleo (ERTE)</w:t>
        </w:r>
      </w:hyperlink>
      <w:r w:rsidRPr="00552C6D">
        <w:rPr>
          <w:u w:val="single"/>
        </w:rPr>
        <w:t> para evitar un aumento exagerado del paro tras las restricciones del estado de alarma</w:t>
      </w:r>
      <w:r w:rsidRPr="000B61F9">
        <w:t xml:space="preserve">. </w:t>
      </w:r>
      <w:r w:rsidRPr="00EB6C53">
        <w:rPr>
          <w:color w:val="FF0000"/>
          <w:u w:val="single"/>
        </w:rPr>
        <w:t>En el mejor de los casos, </w:t>
      </w:r>
      <w:r w:rsidRPr="008935E0">
        <w:rPr>
          <w:rStyle w:val="Textoennegrita"/>
          <w:rFonts w:eastAsiaTheme="majorEastAsia"/>
          <w:b w:val="0"/>
          <w:color w:val="FF0000"/>
          <w:u w:val="single"/>
          <w:bdr w:val="none" w:sz="0" w:space="0" w:color="auto" w:frame="1"/>
        </w:rPr>
        <w:t>Deutsche apunta a un 18% de tasa de desempleo</w:t>
      </w:r>
      <w:r w:rsidRPr="00EB6C53">
        <w:rPr>
          <w:color w:val="FF0000"/>
          <w:u w:val="single"/>
        </w:rPr>
        <w:t> (13,7% en el cuarto trimestre de 2019).</w:t>
      </w:r>
      <w:r w:rsidRPr="005D5229">
        <w:rPr>
          <w:u w:val="single"/>
        </w:rPr>
        <w:t>El banco recuerda que España crea y destruye empleo más rápido que otros países, y que en contracción la elasticidad llega a ser de 1 (un punto porcentual de aumento del desempleo por cada punto que cae el PIB).</w:t>
      </w:r>
    </w:p>
    <w:p w:rsidR="006E5D75" w:rsidRDefault="006E5D75" w:rsidP="006E5D75">
      <w:pPr>
        <w:pStyle w:val="NormalWeb"/>
        <w:shd w:val="clear" w:color="auto" w:fill="FFFFFF"/>
        <w:spacing w:before="0" w:beforeAutospacing="0" w:after="0" w:afterAutospacing="0"/>
        <w:jc w:val="both"/>
        <w:textAlignment w:val="baseline"/>
      </w:pPr>
    </w:p>
    <w:p w:rsidR="006E5D75" w:rsidRPr="000B61F9" w:rsidRDefault="006E5D75" w:rsidP="006E5D75">
      <w:pPr>
        <w:pStyle w:val="NormalWeb"/>
        <w:shd w:val="clear" w:color="auto" w:fill="FFFFFF"/>
        <w:spacing w:before="0" w:beforeAutospacing="0" w:after="0" w:afterAutospacing="0"/>
        <w:jc w:val="both"/>
        <w:textAlignment w:val="baseline"/>
      </w:pPr>
    </w:p>
    <w:p w:rsidR="006E5D75" w:rsidRPr="000B61F9" w:rsidRDefault="006E5D75" w:rsidP="006E5D75">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val="en-GB" w:eastAsia="zh-CN"/>
        </w:rPr>
        <w:drawing>
          <wp:inline distT="0" distB="0" distL="0" distR="0">
            <wp:extent cx="5726196" cy="2454088"/>
            <wp:effectExtent l="0" t="0" r="8255" b="3810"/>
            <wp:docPr id="47" name="Imagen 47" descr="Escenarios de paro previstos por Deutsche Bank para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enarios de paro previstos por Deutsche Bank para España."/>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454733"/>
                    </a:xfrm>
                    <a:prstGeom prst="rect">
                      <a:avLst/>
                    </a:prstGeom>
                    <a:noFill/>
                    <a:ln>
                      <a:noFill/>
                    </a:ln>
                  </pic:spPr>
                </pic:pic>
              </a:graphicData>
            </a:graphic>
          </wp:inline>
        </w:drawing>
      </w:r>
      <w:r w:rsidRPr="000B61F9">
        <w:rPr>
          <w:rFonts w:ascii="Times New Roman" w:hAnsi="Times New Roman" w:cs="Times New Roman"/>
          <w:sz w:val="24"/>
          <w:szCs w:val="24"/>
        </w:rPr>
        <w:t>Escenarios de paro previstos por Deutsche Bank para España.</w:t>
      </w:r>
    </w:p>
    <w:p w:rsidR="006E5D75" w:rsidRPr="008935E0" w:rsidRDefault="006E5D75" w:rsidP="006E5D75">
      <w:pPr>
        <w:pStyle w:val="NormalWeb"/>
        <w:shd w:val="clear" w:color="auto" w:fill="FFFFFF"/>
        <w:spacing w:before="0" w:beforeAutospacing="0" w:after="0" w:afterAutospacing="0"/>
        <w:jc w:val="both"/>
        <w:textAlignment w:val="baseline"/>
        <w:rPr>
          <w:b/>
          <w:color w:val="FF0000"/>
          <w:u w:val="single"/>
        </w:rPr>
      </w:pPr>
      <w:r w:rsidRPr="008935E0">
        <w:rPr>
          <w:b/>
          <w:color w:val="FF0000"/>
          <w:u w:val="single"/>
        </w:rPr>
        <w:t>“</w:t>
      </w:r>
      <w:r w:rsidRPr="008935E0">
        <w:rPr>
          <w:rStyle w:val="Textoennegrita"/>
          <w:rFonts w:eastAsiaTheme="majorEastAsia"/>
          <w:b w:val="0"/>
          <w:color w:val="FF0000"/>
          <w:u w:val="single"/>
          <w:bdr w:val="none" w:sz="0" w:space="0" w:color="auto" w:frame="1"/>
        </w:rPr>
        <w:t>Si la implementación (de los ERTE) se viera restringida, el paro alcanzaría picos vistos en la crisis de deuda (el máximo fue del 27%) y permanecería alrededor del 20% durante muchos trimestres</w:t>
      </w:r>
      <w:r w:rsidRPr="008935E0">
        <w:rPr>
          <w:color w:val="FF0000"/>
          <w:u w:val="single"/>
        </w:rPr>
        <w:t xml:space="preserve">. Sin este esquema, el paro ya habría aumentado por encima del 30%”, advierte el </w:t>
      </w:r>
      <w:r w:rsidRPr="008935E0">
        <w:rPr>
          <w:color w:val="FF0000"/>
          <w:u w:val="single"/>
        </w:rPr>
        <w:lastRenderedPageBreak/>
        <w:t>informe, que cree que sin los ERTE “España alcanzaría niveles social y políticamente insostenibles de desempleo”.</w:t>
      </w:r>
    </w:p>
    <w:p w:rsidR="006E5D75" w:rsidRPr="008935E0" w:rsidRDefault="006E5D75" w:rsidP="006E5D75">
      <w:pPr>
        <w:pStyle w:val="NormalWeb"/>
        <w:shd w:val="clear" w:color="auto" w:fill="FFFFFF"/>
        <w:spacing w:before="0" w:beforeAutospacing="0" w:after="0" w:afterAutospacing="0"/>
        <w:jc w:val="both"/>
        <w:textAlignment w:val="baseline"/>
        <w:rPr>
          <w:b/>
          <w:color w:val="FF0000"/>
          <w:u w:val="single"/>
        </w:rPr>
      </w:pPr>
    </w:p>
    <w:p w:rsidR="006E5D75" w:rsidRPr="00552C6D" w:rsidRDefault="006E5D75" w:rsidP="006E5D75">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t>¿Riesgo de ruptura del euro?</w:t>
      </w:r>
    </w:p>
    <w:p w:rsidR="006E5D75" w:rsidRDefault="006E5D75" w:rsidP="006E5D75">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6E5D75" w:rsidRPr="00302642" w:rsidRDefault="006E5D75" w:rsidP="006E5D75">
      <w:pPr>
        <w:pStyle w:val="NormalWeb"/>
        <w:shd w:val="clear" w:color="auto" w:fill="FFFFFF"/>
        <w:spacing w:before="0" w:beforeAutospacing="0" w:after="0" w:afterAutospacing="0"/>
        <w:jc w:val="both"/>
        <w:textAlignment w:val="baseline"/>
        <w:rPr>
          <w:color w:val="FF0000"/>
          <w:u w:val="single"/>
        </w:rPr>
      </w:pPr>
      <w:r w:rsidRPr="00302642">
        <w:rPr>
          <w:color w:val="FF0000"/>
          <w:u w:val="single"/>
        </w:rPr>
        <w:t>Deutsche Bank cree que hay riesgo de que aumenten las asimetrías en la zona euro. Dicho de otra manera, </w:t>
      </w:r>
      <w:r w:rsidRPr="00302642">
        <w:rPr>
          <w:rStyle w:val="Textoennegrita"/>
          <w:rFonts w:eastAsiaTheme="majorEastAsia"/>
          <w:b w:val="0"/>
          <w:color w:val="FF0000"/>
          <w:u w:val="single"/>
          <w:bdr w:val="none" w:sz="0" w:space="0" w:color="auto" w:frame="1"/>
        </w:rPr>
        <w:t>que el sur </w:t>
      </w:r>
      <w:r w:rsidRPr="00302642">
        <w:rPr>
          <w:b/>
          <w:color w:val="FF0000"/>
          <w:u w:val="single"/>
        </w:rPr>
        <w:t>-</w:t>
      </w:r>
      <w:r w:rsidRPr="00302642">
        <w:rPr>
          <w:rStyle w:val="Textoennegrita"/>
          <w:rFonts w:eastAsiaTheme="majorEastAsia"/>
          <w:b w:val="0"/>
          <w:color w:val="FF0000"/>
          <w:u w:val="single"/>
          <w:bdr w:val="none" w:sz="0" w:space="0" w:color="auto" w:frame="1"/>
        </w:rPr>
        <w:t>incluyendo España</w:t>
      </w:r>
      <w:r w:rsidRPr="00302642">
        <w:rPr>
          <w:b/>
          <w:color w:val="FF0000"/>
          <w:u w:val="single"/>
        </w:rPr>
        <w:t>-</w:t>
      </w:r>
      <w:r w:rsidRPr="00302642">
        <w:rPr>
          <w:rStyle w:val="Textoennegrita"/>
          <w:rFonts w:eastAsiaTheme="majorEastAsia"/>
          <w:b w:val="0"/>
          <w:color w:val="FF0000"/>
          <w:u w:val="single"/>
          <w:bdr w:val="none" w:sz="0" w:space="0" w:color="auto" w:frame="1"/>
        </w:rPr>
        <w:t> sufra mucho más esta crisis</w:t>
      </w:r>
      <w:r w:rsidRPr="00302642">
        <w:rPr>
          <w:color w:val="FF0000"/>
          <w:u w:val="single"/>
        </w:rPr>
        <w:t> que el norte. Más allá de si es justo o no, es ineficiente, como demostró la crisis de deuda que supuso una nueva recesión en Europa en 2011 y 2012. “La crisis del virus una vez más arrojará una sombra oscura sobre la estabilidad y la sostenibilidad europeas. Esperamos que los países europeos llegarán a fines de 2021 con una divergencia sin precedentes en su desempeño económico, en crecimiento y en desempleo”, explican los economistas del equipo de análisis.</w:t>
      </w:r>
    </w:p>
    <w:p w:rsidR="006E5D75" w:rsidRDefault="006E5D75" w:rsidP="006E5D75">
      <w:pPr>
        <w:pStyle w:val="NormalWeb"/>
        <w:shd w:val="clear" w:color="auto" w:fill="FFFFFF"/>
        <w:spacing w:before="0" w:beforeAutospacing="0" w:after="0" w:afterAutospacing="0"/>
        <w:jc w:val="both"/>
        <w:textAlignment w:val="baseline"/>
      </w:pPr>
    </w:p>
    <w:p w:rsidR="006E5D75" w:rsidRPr="006F3112" w:rsidRDefault="006E5D75" w:rsidP="006E5D75">
      <w:pPr>
        <w:pStyle w:val="NormalWeb"/>
        <w:shd w:val="clear" w:color="auto" w:fill="FFFFFF"/>
        <w:spacing w:before="0" w:beforeAutospacing="0" w:after="0" w:afterAutospacing="0"/>
        <w:jc w:val="both"/>
        <w:textAlignment w:val="baseline"/>
        <w:rPr>
          <w:b/>
          <w:color w:val="FF0000"/>
          <w:u w:val="single"/>
        </w:rPr>
      </w:pPr>
      <w:r w:rsidRPr="006F3112">
        <w:rPr>
          <w:b/>
          <w:color w:val="FF0000"/>
          <w:u w:val="single"/>
        </w:rPr>
        <w:t>“Nos preocupa que esa divergencia renovada pueda volver a plantear dudas sobre el equilibrio norte-sur y la sostenibilidad de los acuerdos actuales”, prosigue Deutsche Bank Research, que recuerda la </w:t>
      </w:r>
      <w:r w:rsidRPr="006F3112">
        <w:rPr>
          <w:rStyle w:val="Textoennegrita"/>
          <w:rFonts w:eastAsiaTheme="majorEastAsia"/>
          <w:color w:val="FF0000"/>
          <w:u w:val="single"/>
          <w:bdr w:val="none" w:sz="0" w:space="0" w:color="auto" w:frame="1"/>
        </w:rPr>
        <w:t>diferencia del esfuerzo fiscal que tendrán que asumir los países, y “no todos pueden sostenerlo”</w:t>
      </w:r>
      <w:r w:rsidRPr="006F3112">
        <w:rPr>
          <w:b/>
          <w:color w:val="FF0000"/>
          <w:u w:val="single"/>
        </w:rPr>
        <w:t>.</w:t>
      </w:r>
    </w:p>
    <w:p w:rsidR="006E5D75" w:rsidRPr="000B61F9" w:rsidRDefault="006E5D75" w:rsidP="006E5D75">
      <w:pPr>
        <w:pStyle w:val="NormalWeb"/>
        <w:shd w:val="clear" w:color="auto" w:fill="FFFFFF"/>
        <w:spacing w:before="0" w:beforeAutospacing="0" w:after="0" w:afterAutospacing="0"/>
        <w:jc w:val="both"/>
        <w:textAlignment w:val="baseline"/>
      </w:pPr>
    </w:p>
    <w:p w:rsidR="006E5D75" w:rsidRPr="006F3112" w:rsidRDefault="006E5D75" w:rsidP="006E5D75">
      <w:pPr>
        <w:pStyle w:val="NormalWeb"/>
        <w:shd w:val="clear" w:color="auto" w:fill="FFFFFF"/>
        <w:spacing w:before="0" w:beforeAutospacing="0" w:after="0" w:afterAutospacing="0"/>
        <w:jc w:val="both"/>
        <w:textAlignment w:val="baseline"/>
      </w:pPr>
      <w:r w:rsidRPr="006F3112">
        <w:t>La entidad, que arrastra problemas de rentabilidad y eficiencia desde la crisis y ha sido siempre crítica con la política de </w:t>
      </w:r>
      <w:hyperlink r:id="rId46" w:tgtFrame="_self" w:history="1">
        <w:r w:rsidRPr="006F3112">
          <w:rPr>
            <w:rStyle w:val="Hipervnculo"/>
            <w:rFonts w:eastAsiaTheme="majorEastAsia"/>
            <w:color w:val="auto"/>
            <w:u w:val="none"/>
            <w:bdr w:val="none" w:sz="0" w:space="0" w:color="auto" w:frame="1"/>
          </w:rPr>
          <w:t>Mario Draghi</w:t>
        </w:r>
      </w:hyperlink>
      <w:r w:rsidRPr="006F3112">
        <w:t>, prevé dos recortes adicionales de 10 puntos básicos en 2020 de la tasa de facilidad de depósito (está en el -0,5%), que penaliza el exceso de liquidez de los bancos para incentivar el crédito, en caso de que se prolongue esta crisis. Deutsche recuerda que </w:t>
      </w:r>
      <w:hyperlink r:id="rId47" w:tgtFrame="_self" w:history="1">
        <w:r w:rsidRPr="006F3112">
          <w:rPr>
            <w:rStyle w:val="Hipervnculo"/>
            <w:rFonts w:eastAsiaTheme="majorEastAsia"/>
            <w:color w:val="auto"/>
            <w:u w:val="none"/>
          </w:rPr>
          <w:t>el BCE trató de convencer al mercado de que hay margen para bajar tipos</w:t>
        </w:r>
      </w:hyperlink>
      <w:r w:rsidRPr="006F3112">
        <w:t>, al no haber alcanzado la “reversal ratio” (nivel a partir del que sería perjudicial bajar más). Pero el economista jefe, Phillip Lane, justificó días después de la reunión que no era conveniente tocar el “precio del dinero”. “Este argumento debería cambiar en caso de una pandemia prolongada”, dicen los economistas.</w:t>
      </w:r>
    </w:p>
    <w:p w:rsidR="006E5D75" w:rsidRDefault="006E5D75" w:rsidP="006E5D75">
      <w:pPr>
        <w:pStyle w:val="NormalWeb"/>
        <w:shd w:val="clear" w:color="auto" w:fill="FFFFFF"/>
        <w:spacing w:before="0" w:beforeAutospacing="0" w:after="0" w:afterAutospacing="0"/>
        <w:jc w:val="both"/>
        <w:textAlignment w:val="baseline"/>
        <w:rPr>
          <w:rFonts w:eastAsiaTheme="minorEastAsia"/>
        </w:rPr>
      </w:pPr>
    </w:p>
    <w:p w:rsidR="006E5D75" w:rsidRPr="008C2879" w:rsidRDefault="006E5D75" w:rsidP="006E5D75">
      <w:pPr>
        <w:pStyle w:val="NormalWeb"/>
        <w:shd w:val="clear" w:color="auto" w:fill="FFFFFF"/>
        <w:spacing w:before="0" w:beforeAutospacing="0" w:after="0" w:afterAutospacing="0"/>
        <w:jc w:val="both"/>
        <w:textAlignment w:val="baseline"/>
        <w:rPr>
          <w:color w:val="FF0000"/>
          <w:u w:val="single"/>
        </w:rPr>
      </w:pPr>
      <w:r w:rsidRPr="008C2879">
        <w:rPr>
          <w:color w:val="FF0000"/>
          <w:u w:val="single"/>
        </w:rPr>
        <w:t>Deutsche Bank menciona los </w:t>
      </w:r>
      <w:r w:rsidRPr="008C2879">
        <w:rPr>
          <w:rStyle w:val="Textoennegrita"/>
          <w:rFonts w:eastAsiaTheme="majorEastAsia"/>
          <w:color w:val="FF0000"/>
          <w:bdr w:val="none" w:sz="0" w:space="0" w:color="auto" w:frame="1"/>
        </w:rPr>
        <w:t>coronabonos</w:t>
      </w:r>
      <w:r w:rsidRPr="008C2879">
        <w:rPr>
          <w:color w:val="FF0000"/>
          <w:u w:val="single"/>
        </w:rPr>
        <w:t>, sobre los que </w:t>
      </w:r>
      <w:hyperlink r:id="rId48" w:tgtFrame="_self" w:history="1">
        <w:r w:rsidRPr="008C2879">
          <w:rPr>
            <w:rStyle w:val="Hipervnculo"/>
            <w:rFonts w:eastAsiaTheme="majorEastAsia"/>
            <w:color w:val="FF0000"/>
          </w:rPr>
          <w:t>no hay acuerdo en el Eurogrupo</w:t>
        </w:r>
      </w:hyperlink>
      <w:r w:rsidRPr="008C2879">
        <w:rPr>
          <w:color w:val="FF0000"/>
          <w:u w:val="single"/>
        </w:rPr>
        <w:t>. Aunque no se posiciona explícitamente, sí muestra comprensión con la medida y, en todo caso, pide una acción europea coordinada. Las prioridades, relata el banco, deben ser un esquema para la financiación parcial de los subsidios por desempleo y un programa de inversión para financiar la recuperación de la economía. Porque la asimetría y las dificultades fiscales que podría provocar esta pandemia “amenazan con convertir una crisis socioe</w:t>
      </w:r>
      <w:r>
        <w:rPr>
          <w:color w:val="FF0000"/>
          <w:u w:val="single"/>
        </w:rPr>
        <w:t>conómica en una crisis política”. “</w:t>
      </w:r>
      <w:r w:rsidRPr="008C2879">
        <w:rPr>
          <w:color w:val="FF0000"/>
          <w:u w:val="single"/>
        </w:rPr>
        <w:t>La solidaridad europea está siendo cuestionada. Queda por ver si la crisis es el destino”, sentencia.</w:t>
      </w: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4367A">
        <w:rPr>
          <w:rFonts w:ascii="Times New Roman" w:eastAsia="Times New Roman" w:hAnsi="Times New Roman" w:cs="Times New Roman"/>
          <w:sz w:val="24"/>
          <w:szCs w:val="24"/>
          <w:u w:val="single"/>
        </w:rPr>
        <w:t>Covid-19: La primera gran crisis económica sin manual de instrucciones</w:t>
      </w:r>
      <w:r>
        <w:rPr>
          <w:rFonts w:ascii="Times New Roman" w:eastAsia="Times New Roman" w:hAnsi="Times New Roman" w:cs="Times New Roman"/>
          <w:sz w:val="24"/>
          <w:szCs w:val="24"/>
        </w:rPr>
        <w:t xml:space="preserve"> (Cinco Días - </w:t>
      </w:r>
      <w:r w:rsidRPr="00D4367A">
        <w:rPr>
          <w:rFonts w:ascii="Times New Roman" w:eastAsia="Times New Roman" w:hAnsi="Times New Roman" w:cs="Times New Roman"/>
          <w:b/>
          <w:sz w:val="24"/>
          <w:szCs w:val="24"/>
        </w:rPr>
        <w:t>12/4/20</w:t>
      </w:r>
      <w:r>
        <w:rPr>
          <w:rFonts w:ascii="Times New Roman" w:eastAsia="Times New Roman" w:hAnsi="Times New Roman" w:cs="Times New Roman"/>
          <w:sz w:val="24"/>
          <w:szCs w:val="24"/>
        </w:rPr>
        <w:t>)</w:t>
      </w: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 incertidumbre de la evolución de la pandemia y lo novedoso de la paralización económica hacen más difícil manejar esta recesión que en 2008. Las diferencias con Lehman son notables.</w:t>
      </w: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Luis Aparicio)</w:t>
      </w: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w:t>
      </w:r>
      <w:r w:rsidRPr="00D4367A">
        <w:rPr>
          <w:rFonts w:ascii="Times New Roman" w:eastAsia="Times New Roman" w:hAnsi="Times New Roman" w:cs="Times New Roman"/>
          <w:sz w:val="24"/>
          <w:szCs w:val="24"/>
        </w:rPr>
        <w:t xml:space="preserve">fa y omega, principio y final. La crisis provocada por el Covid-19 tiene un origen muy distinto a la que explotó en 2008 con la quiebra de Lehman Brothers pero su final es una gran incertidumbre porque el mundo moderno no se había enfrentado nunca a una situación similar. En principio, la caída de la economía que ya está provocando el Covid-19 debería </w:t>
      </w:r>
      <w:r w:rsidRPr="00D4367A">
        <w:rPr>
          <w:rFonts w:ascii="Times New Roman" w:eastAsia="Times New Roman" w:hAnsi="Times New Roman" w:cs="Times New Roman"/>
          <w:sz w:val="24"/>
          <w:szCs w:val="24"/>
        </w:rPr>
        <w:lastRenderedPageBreak/>
        <w:t>tener su fin cuando vuelva la actividad en una recuperación casi de resorte, en V, como dicen muchos analistas. Una situación muy diferente a la crisis de 2008, que necesitaba de años y años para absorber la burbuja de la deuda de las familias y las empresas, los productos financieros tóxicos y el gigantesco exceso de los precios inmobiliarios.</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Tras conocerse esta semana unos datos preocupantes del PIB de Francia y Alemania, las previsiones para España apuntan que en este 2020 la riqueza anual podría llegar a caer hasta un 10%. En la crisis de 2008 se conocieron cuatro años con ejercicios negativos (2009, -3,8%; 2011, -0,8%: 2012, -3% y 2013, -1,4%) con un deterioro del PIB repartido en el tiempo. Juan José Fernández-Figares, director de análisis de Link Securities apunta que “en la crisis estructurales como la del 2008 la recuperación es muy lenta, ya que tanto los estados como las empresas y muchos particulares, que presentaban elevados niveles de deuda, han de pasar por un largo periodo de reestructuración económica y financiera para superarla”.</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Covid-19: La primera gran crisis económica sin manual de instrucciones</w:t>
      </w: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val="en-GB" w:eastAsia="zh-CN"/>
        </w:rPr>
        <w:drawing>
          <wp:inline distT="0" distB="0" distL="0" distR="0">
            <wp:extent cx="5725934" cy="3162300"/>
            <wp:effectExtent l="0" t="0" r="8255" b="0"/>
            <wp:docPr id="54" name="Imagen 54" descr="https://d500.epimg.net/descargables/2020/04/09/4b26a8d141165c5be470e58cde889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09/4b26a8d141165c5be470e58cde8897e7.pn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65380"/>
                    </a:xfrm>
                    <a:prstGeom prst="rect">
                      <a:avLst/>
                    </a:prstGeom>
                    <a:noFill/>
                    <a:ln>
                      <a:noFill/>
                    </a:ln>
                  </pic:spPr>
                </pic:pic>
              </a:graphicData>
            </a:graphic>
          </wp:inline>
        </w:drawing>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Sin embargo, en la actual, el banco estadounidense Goldman Sachs prevé que el PIB mundial se recuperará un 6% en 2021 y hasta un 11% en 2022. Un auténtico brinco en el cambio de tendencia tras un 2020 catastrófico de paralización económica. Pero no todos los expertos comparten ese optimismo de la recuperación en V. El Covid-19 ha traído una siniestra originalidad a la historia de las crisis mundiales.</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“Es una situación desafiante mucho más compleja que el colapso del mercado inmobiliario y los mercados financieros en 2008 y 2001. Por lo tanto, encontrar una solución también es mucho más una incertidumbre hoy que en crisis anteriores”, opinan en Unigestión. Desde el gigante de la gestión Pimco muestran sus temores por lo novedoso de la situación. En un recientísimo informe explican que no hay un libro de instrucciones para la recesión mundial que se está desarrollando actualmente. Esta vez es muy diferente porque la causa subyacente de la recesión es un shock verdaderamente exógeno que se originó desde fuera de la esfera económica y financiera.</w:t>
      </w:r>
    </w:p>
    <w:p w:rsidR="00302642" w:rsidRDefault="00302642"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lastRenderedPageBreak/>
        <w:t>“Estamos viendo la primera recesión por decreto del gobierno: un cierre necesario, temporal y parcial de la economía para prevenir una crisis humanitaria aún mayor”, indican desde Pimco. Otra de las diferencias entre el Covid-19 y la crisis de 2008 es la de los sectores afectados. El Covid-19 paraliza el conjunto de la actividad económica, haciendo especial daño al mundo de los viajes y el turismo, mientras que la anterior crisis afectaba principalmente a la banca, que entonces lideraba por su peso los índices de las principales bolsas mundiales, y al sector inmobiliario.</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Desde Goldman Sachs indican que ahora los bancos solo representan el 18% de las Bolsas y que algunos sectores muy afectados como los viajes, ocio o educación no están bien representados en los mercados de acciones. “Ahora, el sector de la salud es el doble del tamaño de los bancos y la tecnología es más grande que el sector petrolero”, explican. También desde Unigestion ven un alcance mucho mayor de esta nueva crisis. “Con China, primero tuvimos un shock de producción, pero con la propagación d</w:t>
      </w:r>
      <w:r>
        <w:rPr>
          <w:rFonts w:ascii="Times New Roman" w:eastAsia="Times New Roman" w:hAnsi="Times New Roman" w:cs="Times New Roman"/>
          <w:sz w:val="24"/>
          <w:szCs w:val="24"/>
        </w:rPr>
        <w:t>el virus a la Eurozona y los EE</w:t>
      </w:r>
      <w:r w:rsidRPr="00D4367A">
        <w:rPr>
          <w:rFonts w:ascii="Times New Roman" w:eastAsia="Times New Roman" w:hAnsi="Times New Roman" w:cs="Times New Roman"/>
          <w:sz w:val="24"/>
          <w:szCs w:val="24"/>
        </w:rPr>
        <w:t xml:space="preserve">UU, este shock de producción ahora se complementa con un choque de demanda. En 2008, la conmoción se centró </w:t>
      </w:r>
      <w:r>
        <w:rPr>
          <w:rFonts w:ascii="Times New Roman" w:eastAsia="Times New Roman" w:hAnsi="Times New Roman" w:cs="Times New Roman"/>
          <w:sz w:val="24"/>
          <w:szCs w:val="24"/>
        </w:rPr>
        <w:t>en el sector inmobiliario de EE</w:t>
      </w:r>
      <w:r w:rsidRPr="00D4367A">
        <w:rPr>
          <w:rFonts w:ascii="Times New Roman" w:eastAsia="Times New Roman" w:hAnsi="Times New Roman" w:cs="Times New Roman"/>
          <w:sz w:val="24"/>
          <w:szCs w:val="24"/>
        </w:rPr>
        <w:t>UU, extendiéndose al mundo financiero. Hoy, el alcance del daño es más amplio”.</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Evitar la depresión</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Las reacciones de los Gobiernos, los organismos internacionales y los bancos centrales también serán decisivas para salir de la encrucijada a la que nos ha llevado el Covid-19. La reacción de dotar de liquidez al mercado con los compromisos de compra de deuda ha sido rápida y coordinada. Como siempre, la Eurozona “se enfrenta a desafíos de coordinación adicionales”, como indican desde Pimco, que hace todo</w:t>
      </w:r>
      <w:r>
        <w:rPr>
          <w:rFonts w:ascii="Times New Roman" w:eastAsia="Times New Roman" w:hAnsi="Times New Roman" w:cs="Times New Roman"/>
          <w:sz w:val="24"/>
          <w:szCs w:val="24"/>
        </w:rPr>
        <w:t xml:space="preserve"> mucho más complicado que en EE</w:t>
      </w:r>
      <w:r w:rsidRPr="00D4367A">
        <w:rPr>
          <w:rFonts w:ascii="Times New Roman" w:eastAsia="Times New Roman" w:hAnsi="Times New Roman" w:cs="Times New Roman"/>
          <w:sz w:val="24"/>
          <w:szCs w:val="24"/>
        </w:rPr>
        <w:t>UU. El apoyo fiscal incluye garantías a gran escala para préstamos bancarios a empresas y el retraso de los plazos de pago de impuestos para autónomos y corporaciones. Muchos gobiernos también brindan apoyo a los ingresos para hogares y empresas a través de una serie de transferencias a particula</w:t>
      </w:r>
      <w:r>
        <w:rPr>
          <w:rFonts w:ascii="Times New Roman" w:eastAsia="Times New Roman" w:hAnsi="Times New Roman" w:cs="Times New Roman"/>
          <w:sz w:val="24"/>
          <w:szCs w:val="24"/>
        </w:rPr>
        <w:t>res y subsidios para empresas.</w:t>
      </w:r>
      <w:r>
        <w:rPr>
          <w:rFonts w:ascii="Times New Roman" w:eastAsia="Times New Roman" w:hAnsi="Times New Roman" w:cs="Times New Roman"/>
          <w:sz w:val="24"/>
          <w:szCs w:val="24"/>
        </w:rPr>
        <w:cr/>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muchos países, la respuesta fiscal ya supera la de la pasada crisis, y es probable que se anuncien medidas adicionales en los próximos meses. Con ello muy probablemente se ayudará a prevenir una depresión económica”, explican los expertos de Pimco. Si bien es inevitable una recesión profunda dado el cierre temporal obligatorio de las principales partes de la economía mundial y que muchas de las transferencias y préstamos recientemente anunciados solo llegarán después de algún retraso, la gran respuesta fiscal muy probablemente ayudará a prevenir una depresión.</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Pero desde Unigestión no lo tienen tan claro ya que con la abultada deuda pública en el mundo, los mercados se mostrarán reacios a asumir más. Además, la capacidad de sorpresa de los bancos centrales ya no es la misma que en 2008 “por lo que el medicamento debe ser más fuerte que en el pasado para tener éxito”. No descartan que se puedan producir subidas de tipos como consecuencia del aumento de la deuda pública para afrontar la crisis. Y todo ello condicionado también a la marcha de la evolución de la pandemia.</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 después del verano se produce una segunda ola de contagios con nuevos paros en la economía, sería muy dañino para las compañías cíclicas que consigan sobrevivir a la esta primera oleada. La gestión de esta crisis por parte de los gobiernos será decisiva, según indica Juan José Fernández-Figares. “Lo que hagan los Gobiernos en los próximos meses va a determinar cuándo y cómo se sale de esta crisis”, sentencia.</w:t>
      </w:r>
    </w:p>
    <w:p w:rsidR="008935E0" w:rsidRDefault="008935E0"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8935E0" w:rsidRDefault="008935E0"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8935E0" w:rsidRPr="00D4367A" w:rsidRDefault="008935E0"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 Bolsa volverá a caer</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Como apuntan desde Bank of America, el mercado se está centrando ahora en los recuentos de contagios del Covid-19 y no reacciona a los datos económicos más débiles. “Los rendimientos de Estados Unidos podrían ver un nuevo mínimo como resultado de otro movimiento de reducción de riesgo”, añade el banco. Para el conjunto de analistas, los mercados de acciones tienen todavía que caer mucho más y el rebote vivido en las últimas semanas se esfumará.</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Goldman Sachs lo explican muy bien. El beneficio por acción cayó un 48% desde 2007 hasta 2009 en Estados Unidos. Para esta crisis, la expectativa de recorte del beneficio es del 45%. Los mercados han bajado en torno al 25-30% desde sus máximos y aún no reflejan la rebaja del beneficio por acción que prevé el banco estadounidense. “Esperamos caídas del 33% en Estados Unidos y del 45% en Europa. Además, muchas de las métricas de valoración no parecen mínimos de crisis. Por ejemplo, el PER (número de veces que el precio contiene el beneficio por acción) se sitúa en 12 veces, mientras que en la pasada crisis de 2008 este ratio bajó a 8 veces”.</w:t>
      </w:r>
    </w:p>
    <w:p w:rsidR="006E5D75" w:rsidRPr="00D4367A"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1B1D5B"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El Ibex 35 de la Bolsa española perdió el 39,43% en 2008 para rebotar un 29% en 2009 y volver a caer en 2010, 2011 y 2012. En teoría si la crisis actual tiene una duración más corta, el castigo no se extendería muchos más ejercicios, pero para los analistas, la caída actual es insuficiente. Desde Unigestion creen que deben darse tres premisas para que los mercados vuelvan a subir y que ahora mismo no existen. “Una mejora significativa en términos de la situación de salud, una combinación de estímulos de política fiscal y monetaria, y una nueva caída en la renta variable, en línea con el alcance de la actual contracción económica esperada”, concluyen. Y desde Finizens, que gestiona carteras pasivas, redundan en la idea: “No está claro que los mercados hayan tocado fondo en esta crisis bursátil causada por el Covid-19”.</w:t>
      </w:r>
    </w:p>
    <w:p w:rsidR="006E5D75" w:rsidRDefault="006E5D75" w:rsidP="006E5D75">
      <w:pPr>
        <w:pStyle w:val="NormalWeb"/>
        <w:spacing w:after="0"/>
        <w:jc w:val="both"/>
        <w:textAlignment w:val="baseline"/>
      </w:pPr>
      <w:r>
        <w:rPr>
          <w:noProof/>
          <w:lang w:val="en-GB" w:eastAsia="zh-CN"/>
        </w:rPr>
        <w:lastRenderedPageBreak/>
        <w:drawing>
          <wp:inline distT="0" distB="0" distL="0" distR="0">
            <wp:extent cx="5734049" cy="3663950"/>
            <wp:effectExtent l="0" t="0" r="635" b="0"/>
            <wp:docPr id="55" name="Imagen 55" descr="España cumple un mes bajo el estado de alarma retirando restric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paña cumple un mes bajo el estado de alarma retirando restricciones"/>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662327"/>
                    </a:xfrm>
                    <a:prstGeom prst="rect">
                      <a:avLst/>
                    </a:prstGeom>
                    <a:noFill/>
                    <a:ln>
                      <a:noFill/>
                    </a:ln>
                  </pic:spPr>
                </pic:pic>
              </a:graphicData>
            </a:graphic>
          </wp:inline>
        </w:drawing>
      </w:r>
    </w:p>
    <w:p w:rsidR="006E5D75" w:rsidRDefault="006E5D75" w:rsidP="006E5D75">
      <w:pPr>
        <w:pStyle w:val="NormalWeb"/>
        <w:spacing w:after="0"/>
        <w:jc w:val="both"/>
        <w:textAlignment w:val="baseline"/>
      </w:pPr>
      <w:r>
        <w:rPr>
          <w:noProof/>
          <w:lang w:val="en-GB" w:eastAsia="zh-CN"/>
        </w:rPr>
        <w:drawing>
          <wp:inline distT="0" distB="0" distL="0" distR="0">
            <wp:extent cx="5734604" cy="3207124"/>
            <wp:effectExtent l="0" t="0" r="0" b="0"/>
            <wp:docPr id="56" name="Imagen 56" descr="https://cincodias.elpais.com/cincodias/imagenes/2020/04/13/companias/1586788802_866927_1586804477_portad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incodias.elpais.com/cincodias/imagenes/2020/04/13/companias/1586788802_866927_1586804477_portada_grande.jp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05394"/>
                    </a:xfrm>
                    <a:prstGeom prst="rect">
                      <a:avLst/>
                    </a:prstGeom>
                    <a:noFill/>
                    <a:ln>
                      <a:noFill/>
                    </a:ln>
                  </pic:spPr>
                </pic:pic>
              </a:graphicData>
            </a:graphic>
          </wp:inline>
        </w:drawing>
      </w:r>
    </w:p>
    <w:p w:rsidR="006E5D75" w:rsidRDefault="006E5D75" w:rsidP="006E5D75">
      <w:pPr>
        <w:pStyle w:val="NormalWeb"/>
        <w:spacing w:after="0"/>
        <w:jc w:val="both"/>
        <w:textAlignment w:val="baseline"/>
      </w:pPr>
      <w:r>
        <w:t xml:space="preserve">(Fuente: Cinco Días - </w:t>
      </w:r>
      <w:r w:rsidRPr="00A34C2E">
        <w:rPr>
          <w:b/>
        </w:rPr>
        <w:t>14/4/20</w:t>
      </w:r>
      <w:r>
        <w:t>)</w:t>
      </w:r>
    </w:p>
    <w:p w:rsidR="006E5D75" w:rsidRDefault="006E5D75" w:rsidP="006E5D75">
      <w:pPr>
        <w:pStyle w:val="NormalWeb"/>
        <w:spacing w:after="0"/>
        <w:jc w:val="both"/>
        <w:textAlignment w:val="baseline"/>
      </w:pPr>
      <w:r>
        <w:t xml:space="preserve">- </w:t>
      </w:r>
      <w:r w:rsidRPr="00592B14">
        <w:rPr>
          <w:u w:val="single"/>
        </w:rPr>
        <w:t>Anatomía del colapso del coronavirus</w:t>
      </w:r>
      <w:r>
        <w:t xml:space="preserve"> (Project Syndicate - </w:t>
      </w:r>
      <w:r w:rsidRPr="00592B14">
        <w:rPr>
          <w:b/>
        </w:rPr>
        <w:t>13/4/20</w:t>
      </w:r>
      <w:r>
        <w:t>)</w:t>
      </w:r>
    </w:p>
    <w:p w:rsidR="006E5D75" w:rsidRPr="00EC0B9B" w:rsidRDefault="006E5D75" w:rsidP="006E5D75">
      <w:pPr>
        <w:pStyle w:val="NormalWeb"/>
        <w:spacing w:after="0"/>
        <w:jc w:val="both"/>
        <w:textAlignment w:val="baseline"/>
        <w:rPr>
          <w:u w:val="single"/>
        </w:rPr>
      </w:pPr>
      <w:r>
        <w:t xml:space="preserve">Ítaca.- </w:t>
      </w:r>
      <w:r w:rsidRPr="00EC0B9B">
        <w:rPr>
          <w:u w:val="single"/>
        </w:rPr>
        <w:t xml:space="preserve">La economía mundial está al borde de su peor crisis desde la Segunda Guerra Mundial. Como deja en claro el recientemente renovado índice Brookings-FT TIGER (que rastrea los índices para la recuperación económica global), la actividad económica, los mercados financieros y la confianza del sector privado se están desmoronando. Y si la </w:t>
      </w:r>
      <w:r w:rsidRPr="00EC0B9B">
        <w:rPr>
          <w:u w:val="single"/>
        </w:rPr>
        <w:lastRenderedPageBreak/>
        <w:t>cooperación internacional se mantiene en su nivel actual, por delante nos espera un colapso mucho más severo.</w:t>
      </w:r>
    </w:p>
    <w:p w:rsidR="006E5D75" w:rsidRDefault="006E5D75" w:rsidP="006E5D75">
      <w:pPr>
        <w:pStyle w:val="NormalWeb"/>
        <w:spacing w:after="0"/>
        <w:jc w:val="both"/>
        <w:textAlignment w:val="baseline"/>
      </w:pPr>
      <w:r w:rsidRPr="00EC0B9B">
        <w:rPr>
          <w:u w:val="single"/>
        </w:rPr>
        <w:t>Sin duda, la actual caída extraordinariamente marcada podría resultar relativamente breve y la actividad económica podría regresar a los niveles previos una vez que la curva de contagio del COVID-19 se aplane. Pero hay buenos motivos para preocuparse de que la economía mundial vaya camino a una recesión profunda y prolongada.</w:t>
      </w:r>
      <w:r>
        <w:t xml:space="preserve"> Mucho dependerá de la trayectoria de la pandemia y de si las respuestas de los responsables de las políticas son suficientes para contener el daño mientras se reconstruye la confianza de los consumidores y de las empresas.</w:t>
      </w:r>
    </w:p>
    <w:p w:rsidR="006E5D75" w:rsidRPr="00EC0B9B" w:rsidRDefault="006E5D75" w:rsidP="006E5D75">
      <w:pPr>
        <w:pStyle w:val="NormalWeb"/>
        <w:spacing w:after="0"/>
        <w:jc w:val="both"/>
        <w:textAlignment w:val="baseline"/>
        <w:rPr>
          <w:b/>
          <w:color w:val="FF0000"/>
          <w:u w:val="single"/>
        </w:rPr>
      </w:pPr>
      <w:r w:rsidRPr="00EC0B9B">
        <w:rPr>
          <w:b/>
          <w:color w:val="FF0000"/>
          <w:u w:val="single"/>
        </w:rPr>
        <w:t>Pero una recuperación rápida parece sumamente improbable. La demanda se ha devastado, hubo alteraciones enormes en las cadenas de suministro industriales y una crisis financiera ya está en curso. A diferencia de la crisis de 2008-09, que se originó en escaseces de liquidez en los mercados financieros, la crisis del COVID-19 implica cuestiones de solvencia fundamentales para las empresas y las industrias mucho más allá del sector financiero.</w:t>
      </w:r>
    </w:p>
    <w:p w:rsidR="006E5D75" w:rsidRPr="00EC0B9B" w:rsidRDefault="006E5D75" w:rsidP="006E5D75">
      <w:pPr>
        <w:pStyle w:val="NormalWeb"/>
        <w:spacing w:after="0"/>
        <w:jc w:val="both"/>
        <w:textAlignment w:val="baseline"/>
        <w:rPr>
          <w:color w:val="FF0000"/>
          <w:u w:val="single"/>
        </w:rPr>
      </w:pPr>
      <w:r w:rsidRPr="00EC0B9B">
        <w:rPr>
          <w:color w:val="FF0000"/>
          <w:u w:val="single"/>
        </w:rPr>
        <w:t>Asimismo, la crisis actual es simultánea y universal. Durante la crisis de 2008 e inmediatamente después, algunos mercados emergentes, sobre todo China y la India, siguieron registrando un fuerte crecimiento, y lograron arrastrar al resto del mundo. Pero esta vez, ninguna economía es inmune y ningún país podrá liderar una recuperación impulsada por las exportaciones. El colapso de hoy ha aumentado los riesgos deflacionarios y financieros en las economías avanzadas y les ha asestado un golpe importante a los exportadores de materias primas. Encima de todo, los precios del petróleo se derrumban mucho más de lo que deberían porque Arabia Saudita y Rusia están inundando los mercados.</w:t>
      </w:r>
    </w:p>
    <w:p w:rsidR="006E5D75" w:rsidRPr="00EC0B9B" w:rsidRDefault="006E5D75" w:rsidP="006E5D75">
      <w:pPr>
        <w:pStyle w:val="NormalWeb"/>
        <w:spacing w:after="0"/>
        <w:jc w:val="both"/>
        <w:textAlignment w:val="baseline"/>
        <w:rPr>
          <w:u w:val="single"/>
        </w:rPr>
      </w:pPr>
      <w:r w:rsidRPr="00EC0B9B">
        <w:rPr>
          <w:color w:val="FF0000"/>
          <w:u w:val="single"/>
        </w:rPr>
        <w:t>La economía estadounidense está prácticamente paralizada. La mayor parte del sector de servicios está cerrado, la actividad industrial está alterada y el mercado laboral al rojo vivo está dando lugar a una ola de desempleo en un lapso de pocas semanas</w:t>
      </w:r>
      <w:r>
        <w:t xml:space="preserve">. Estados Unidos ha respondido con medidas de estímulo fiscal y monetario extraordinarias, que ayudarán a mitigar las consecuencias inmediatas de la crisis. Pero </w:t>
      </w:r>
      <w:r w:rsidRPr="00EC0B9B">
        <w:rPr>
          <w:u w:val="single"/>
        </w:rPr>
        <w:t>hará falta un mayor estímulo selectivo para aliviar el daño a más largo plazo, y en especial para proteger a los hogares y a las pequeñas empresas económicamente vulnerables.</w:t>
      </w:r>
    </w:p>
    <w:p w:rsidR="006E5D75" w:rsidRPr="00EC0B9B" w:rsidRDefault="006E5D75" w:rsidP="006E5D75">
      <w:pPr>
        <w:pStyle w:val="NormalWeb"/>
        <w:spacing w:after="0"/>
        <w:jc w:val="both"/>
        <w:textAlignment w:val="baseline"/>
        <w:rPr>
          <w:color w:val="FF0000"/>
          <w:u w:val="single"/>
        </w:rPr>
      </w:pPr>
      <w:r w:rsidRPr="00EC0B9B">
        <w:rPr>
          <w:color w:val="FF0000"/>
          <w:u w:val="single"/>
        </w:rPr>
        <w:t>En cuanto a Europa y Japón, que estaban experimentando una presión económica inclusive antes de la pandemia, probablemente sufran caídas sustanciales en la producción y alzas del desempleo. Las redes de seguridad social robustas (comparadas con Estados Unidos) mitigarán el impacto de la crisis en los económicamente más vulnerables, pero el camino a la recuperación será largo y difícil.</w:t>
      </w:r>
    </w:p>
    <w:p w:rsidR="006E5D75" w:rsidRPr="00EC0B9B" w:rsidRDefault="006E5D75" w:rsidP="006E5D75">
      <w:pPr>
        <w:pStyle w:val="NormalWeb"/>
        <w:spacing w:after="0"/>
        <w:jc w:val="both"/>
        <w:textAlignment w:val="baseline"/>
        <w:rPr>
          <w:color w:val="FF0000"/>
          <w:u w:val="single"/>
        </w:rPr>
      </w:pPr>
      <w:r>
        <w:t xml:space="preserve">Por su parte, la economía de China parece estar poniéndose en marcha nuevamente, a pesar de las respuestas limitadas del gobierno en materia de política monetaria y fiscal hasta la fecha. La producción industrial, las ventas minoristas y la inversión en activos fijos se contrajeron marcadamente en enero y febrero, pero la contracción parece haber tocado fondo. </w:t>
      </w:r>
      <w:r w:rsidRPr="00EC0B9B">
        <w:rPr>
          <w:color w:val="FF0000"/>
          <w:u w:val="single"/>
        </w:rPr>
        <w:t xml:space="preserve">En algunos aspectos, la economía planificada de China está mejor posicionada que las economías de mercado para soportar estos shocks importantes, porque el estado puede ordenar los recursos nacionales más allá de los límites de las herramientas macroeconómicas convencionales y ofrecer respaldo directo a las empresas y a los bancos. Pero la economía de China tampoco está fuera de peligro. Con el desempleo en alza, la demanda doméstica y </w:t>
      </w:r>
      <w:r w:rsidRPr="00EC0B9B">
        <w:rPr>
          <w:color w:val="FF0000"/>
          <w:u w:val="single"/>
        </w:rPr>
        <w:lastRenderedPageBreak/>
        <w:t>externa probablemente sigan siendo débiles, y una segunda ola de infecciones planteará una amenaza persistente.</w:t>
      </w:r>
    </w:p>
    <w:p w:rsidR="006E5D75" w:rsidRPr="00EC0B9B" w:rsidRDefault="006E5D75" w:rsidP="006E5D75">
      <w:pPr>
        <w:pStyle w:val="NormalWeb"/>
        <w:spacing w:after="0"/>
        <w:jc w:val="both"/>
        <w:textAlignment w:val="baseline"/>
        <w:rPr>
          <w:color w:val="FF0000"/>
          <w:u w:val="single"/>
        </w:rPr>
      </w:pPr>
      <w:r w:rsidRPr="00EC0B9B">
        <w:rPr>
          <w:color w:val="FF0000"/>
          <w:u w:val="single"/>
        </w:rPr>
        <w:t>Otras economías emergentes van camino a un período particularmente sombrío. Muchas tienen sistemas de atención médica decrépitos, centros urbanos congestionados y altos niveles de pobreza, lo que deja poco espacio de maniobra entre controlar la pandemia y evitar un desastre económico. Para colmo de males, algunos de estos países deben lidiar con reversiones de los flujos de capital, depreciación de las monedas y un derrumbe de la demanda de exportaciones. Otros enfrentan cargas de deuda formidables que se están tornando más difíciles de financiar.</w:t>
      </w:r>
    </w:p>
    <w:p w:rsidR="006E5D75" w:rsidRDefault="006E5D75" w:rsidP="006E5D75">
      <w:pPr>
        <w:pStyle w:val="NormalWeb"/>
        <w:spacing w:after="0"/>
        <w:jc w:val="both"/>
        <w:textAlignment w:val="baseline"/>
      </w:pPr>
      <w:r>
        <w:t>El gobierno de la India, que ya lidiaba con una fuerte desaceleración del crecimiento, ha puesto al país en cuarentena, pero seguirá enfrentando una crisis sanitaria y económica dual. La negación de la pandemia del gobierno brasileño puede sustentar la actividad económica en el corto plazo, pero los mercados financieros y la moneda del país ya han tambaleado, lo que refleja la posibilidad de un eventual cierre.</w:t>
      </w:r>
    </w:p>
    <w:p w:rsidR="006E5D75" w:rsidRPr="00EC0B9B" w:rsidRDefault="006E5D75" w:rsidP="006E5D75">
      <w:pPr>
        <w:pStyle w:val="NormalWeb"/>
        <w:spacing w:after="0"/>
        <w:jc w:val="both"/>
        <w:textAlignment w:val="baseline"/>
        <w:rPr>
          <w:b/>
          <w:color w:val="FF0000"/>
          <w:u w:val="single"/>
        </w:rPr>
      </w:pPr>
      <w:r w:rsidRPr="00EC0B9B">
        <w:rPr>
          <w:b/>
          <w:color w:val="FF0000"/>
          <w:u w:val="single"/>
        </w:rPr>
        <w:t>Dicho esto, la masacre económica y financiera provocada por el coronavirus podría dejar cicatrices profundas y duraderas en la economía global.</w:t>
      </w:r>
    </w:p>
    <w:p w:rsidR="006E5D75" w:rsidRDefault="006E5D75" w:rsidP="006E5D75">
      <w:pPr>
        <w:pStyle w:val="NormalWeb"/>
        <w:spacing w:after="0"/>
        <w:jc w:val="both"/>
        <w:textAlignment w:val="baseline"/>
      </w:pPr>
      <w:r w:rsidRPr="00EC0B9B">
        <w:rPr>
          <w:color w:val="FF0000"/>
          <w:u w:val="single"/>
        </w:rPr>
        <w:t>Los bancos centrales, por lo menos, están redoblando sus esfuerzos frente al desafío</w:t>
      </w:r>
      <w:r>
        <w:t>. La Reserva Federal de Estados Unidos ha tomado medidas extraordinarias para impulsar a los mercados financieros a través de compras de activos, y para brindar liquidez en dólares a muchos bancos centrales extranjeros. El Banco Central Europeo, de la misma manera, ha anunciado grandes compras de bonos gubernamentales y corporativos y otros activos, a la vez que afirma que “no hay límites para nuestro compromiso con el euro”. El Banco de Inglaterra va a financiar el gasto del gobierno de manera directa. Inclusive bancos centrales de los mercados emergentes, como el Banco de la Reserva de la India, están considerando un alivio cuantitativo, que evitará que los mercados financieros se congelen.</w:t>
      </w:r>
    </w:p>
    <w:p w:rsidR="006E5D75" w:rsidRPr="00EC0B9B" w:rsidRDefault="006E5D75" w:rsidP="006E5D75">
      <w:pPr>
        <w:pStyle w:val="NormalWeb"/>
        <w:spacing w:after="0"/>
        <w:jc w:val="both"/>
        <w:textAlignment w:val="baseline"/>
        <w:rPr>
          <w:color w:val="FF0000"/>
          <w:u w:val="single"/>
        </w:rPr>
      </w:pPr>
      <w:r w:rsidRPr="00EC0B9B">
        <w:rPr>
          <w:color w:val="FF0000"/>
          <w:u w:val="single"/>
        </w:rPr>
        <w:t>Pero los bancos centrales no pueden compensar la caída de la demanda de los consumidores o estimular la inversión por sí solos</w:t>
      </w:r>
      <w:r w:rsidRPr="00E3686F">
        <w:rPr>
          <w:color w:val="FF0000"/>
        </w:rPr>
        <w:t>.</w:t>
      </w:r>
      <w:r w:rsidRPr="00EC0B9B">
        <w:rPr>
          <w:color w:val="FF0000"/>
          <w:u w:val="single"/>
        </w:rPr>
        <w:t>Considerando que las herramientas de política monetaria convencionales y no convencionales ya se han estirado al máximo, los responsables de las políticas fiscales tendrán que hacer un esfuerzo aún mayor</w:t>
      </w:r>
      <w:r>
        <w:t xml:space="preserve">. Las medidas fiscales bien dirigidas pueden amortiguar el golpe a los consumidores y las empresas -especialmente las pequeñas y medianas empresas, que normalmente tienen colchones financieros mínimos-, ayudando así a sustentar el empleo y la demanda. </w:t>
      </w:r>
      <w:r w:rsidRPr="00EC0B9B">
        <w:rPr>
          <w:color w:val="FF0000"/>
          <w:u w:val="single"/>
        </w:rPr>
        <w:t>En estos tiempos de desesperación, este tipo de medidas deberían ser abrazadas por todos los gobiernos que actualmente se benefician de costos de endeudamiento bajos, aún si tienen altos niveles de deuda pública.</w:t>
      </w:r>
    </w:p>
    <w:p w:rsidR="006E5D75" w:rsidRDefault="006E5D75" w:rsidP="006E5D75">
      <w:pPr>
        <w:pStyle w:val="NormalWeb"/>
        <w:spacing w:after="0"/>
        <w:jc w:val="both"/>
        <w:textAlignment w:val="baseline"/>
      </w:pPr>
      <w:r w:rsidRPr="00EC0B9B">
        <w:rPr>
          <w:color w:val="FF0000"/>
          <w:u w:val="single"/>
        </w:rPr>
        <w:t>Asimismo, los países de bajos y medianos ingresos con sistemas sanitarios inadecuados necesitarán una ayuda sustancial de la comunidad internacional, que potencialmente incluya un alivio de la deuda significativo</w:t>
      </w:r>
      <w:r>
        <w:t>. Desafortunadamente, la incapacidad del mundo hasta ahora para forjar un frente común da pruebas de la erosión de la cooperación internacional, lo que afecta aún más la confianza de las empresas y de los consumidores.</w:t>
      </w:r>
    </w:p>
    <w:p w:rsidR="006E5D75" w:rsidRPr="00EC0B9B" w:rsidRDefault="006E5D75" w:rsidP="006E5D75">
      <w:pPr>
        <w:pStyle w:val="NormalWeb"/>
        <w:spacing w:after="0"/>
        <w:jc w:val="both"/>
        <w:textAlignment w:val="baseline"/>
        <w:rPr>
          <w:u w:val="single"/>
        </w:rPr>
      </w:pPr>
      <w:r w:rsidRPr="00EC0B9B">
        <w:rPr>
          <w:u w:val="single"/>
        </w:rPr>
        <w:t xml:space="preserve">Eso debe cambiar. El mundo necesita con urgencia un intercambio de información honesto y transparente por parte de los líderes nacionales, junto con medidas agresivas para contener la pandemia, un amplio estímulo para mitigar las consecuencias económicas y una estrategia </w:t>
      </w:r>
      <w:r w:rsidRPr="00EC0B9B">
        <w:rPr>
          <w:u w:val="single"/>
        </w:rPr>
        <w:lastRenderedPageBreak/>
        <w:t>muy bien calibrada para restablecer la actividad económica tan pronto como sea seguro hacerlo.</w:t>
      </w:r>
    </w:p>
    <w:p w:rsidR="006E5D75" w:rsidRPr="009C115C" w:rsidRDefault="006E5D75" w:rsidP="006E5D75">
      <w:pPr>
        <w:pStyle w:val="NormalWeb"/>
        <w:spacing w:after="0"/>
        <w:jc w:val="both"/>
        <w:textAlignment w:val="baseline"/>
      </w:pPr>
      <w:r>
        <w:rPr>
          <w:lang w:val="en-US"/>
        </w:rPr>
        <w:t>(</w:t>
      </w:r>
      <w:r w:rsidRPr="00592B14">
        <w:rPr>
          <w:lang w:val="en-US"/>
        </w:rPr>
        <w:t>Eswar Prasad is Professor of Trade Policy at the Dyson School of Applied Economics and Management, Cornell University, and a senior fellow at the Brookings Institution. He is the author of Gaining Curr</w:t>
      </w:r>
      <w:r>
        <w:rPr>
          <w:lang w:val="en-US"/>
        </w:rPr>
        <w:t xml:space="preserve">ency: The Rise of the Renminbi. </w:t>
      </w:r>
      <w:r w:rsidRPr="009C115C">
        <w:t>Ethan Wu is a student at Cornell University)</w:t>
      </w:r>
    </w:p>
    <w:p w:rsidR="006E5D75" w:rsidRDefault="006E5D75" w:rsidP="006E5D75">
      <w:pPr>
        <w:pStyle w:val="NormalWeb"/>
        <w:spacing w:after="0"/>
        <w:jc w:val="both"/>
        <w:textAlignment w:val="baseline"/>
      </w:pPr>
      <w:r>
        <w:t xml:space="preserve">- </w:t>
      </w:r>
      <w:r w:rsidRPr="00D414A0">
        <w:rPr>
          <w:u w:val="single"/>
        </w:rPr>
        <w:t>El déficit público se disparará en España al 9,5% este año y el 6,7% en 2021</w:t>
      </w:r>
      <w:r>
        <w:t xml:space="preserve"> (Cinco Días - </w:t>
      </w:r>
      <w:r w:rsidRPr="00D414A0">
        <w:rPr>
          <w:b/>
        </w:rPr>
        <w:t>15/4/20</w:t>
      </w:r>
      <w:r>
        <w:t>)</w:t>
      </w:r>
    </w:p>
    <w:p w:rsidR="006E5D75" w:rsidRDefault="006E5D75" w:rsidP="006E5D75">
      <w:pPr>
        <w:pStyle w:val="NormalWeb"/>
        <w:spacing w:after="0"/>
        <w:jc w:val="both"/>
        <w:textAlignment w:val="baseline"/>
      </w:pPr>
      <w:r>
        <w:t>La deuda pública alcanzará su máximo en más de un siglo, muy por encima del 100%</w:t>
      </w:r>
    </w:p>
    <w:p w:rsidR="006E5D75" w:rsidRPr="000F0497" w:rsidRDefault="006E5D75" w:rsidP="006E5D75">
      <w:pPr>
        <w:pStyle w:val="NormalWeb"/>
        <w:spacing w:after="0"/>
        <w:jc w:val="both"/>
        <w:textAlignment w:val="baseline"/>
      </w:pPr>
      <w:r w:rsidRPr="000F0497">
        <w:t>(Por Junade Portillo)</w:t>
      </w:r>
    </w:p>
    <w:p w:rsidR="006E5D75" w:rsidRPr="00D414A0" w:rsidRDefault="006E5D75" w:rsidP="006E5D75">
      <w:pPr>
        <w:pStyle w:val="NormalWeb"/>
        <w:spacing w:after="0"/>
        <w:jc w:val="both"/>
        <w:textAlignment w:val="baseline"/>
      </w:pPr>
      <w:r w:rsidRPr="00D414A0">
        <w:t>La economía española sufrirá una debacle histórica este año como consecuencia de la pandemia del Covid-19, con un desplome del 8% del PIB en un solo ejercicio al que le seguirá una recuperación parcial en 2021, con un repunte del 4,3%, según las previsiones avanzadas ayer por el Fondo Monetario Internacional (FMI) en su informe Perspectivas de la Economía Mundial (WEO, por sus siglas en inglés).</w:t>
      </w:r>
    </w:p>
    <w:p w:rsidR="006E5D75" w:rsidRPr="00D414A0" w:rsidRDefault="006E5D75" w:rsidP="006E5D75">
      <w:pPr>
        <w:pStyle w:val="NormalWeb"/>
        <w:spacing w:after="0"/>
        <w:jc w:val="both"/>
        <w:textAlignment w:val="baseline"/>
      </w:pPr>
    </w:p>
    <w:p w:rsidR="006E5D75" w:rsidRPr="007730D8" w:rsidRDefault="006E5D75" w:rsidP="006E5D75">
      <w:pPr>
        <w:pStyle w:val="NormalWeb"/>
        <w:spacing w:after="0"/>
        <w:jc w:val="both"/>
        <w:textAlignment w:val="baseline"/>
        <w:rPr>
          <w:lang w:val="en-US"/>
        </w:rPr>
      </w:pPr>
      <w:r>
        <w:rPr>
          <w:noProof/>
          <w:lang w:val="en-GB" w:eastAsia="zh-CN"/>
        </w:rPr>
        <w:drawing>
          <wp:inline distT="0" distB="0" distL="0" distR="0">
            <wp:extent cx="5731510" cy="4000360"/>
            <wp:effectExtent l="0" t="0" r="2540" b="635"/>
            <wp:docPr id="57" name="Imagen 57"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00360"/>
                    </a:xfrm>
                    <a:prstGeom prst="rect">
                      <a:avLst/>
                    </a:prstGeom>
                    <a:noFill/>
                    <a:ln>
                      <a:noFill/>
                    </a:ln>
                  </pic:spPr>
                </pic:pic>
              </a:graphicData>
            </a:graphic>
          </wp:inline>
        </w:drawing>
      </w:r>
    </w:p>
    <w:p w:rsidR="006E5D75" w:rsidRDefault="006E5D75" w:rsidP="006E5D75">
      <w:pPr>
        <w:pStyle w:val="NormalWeb"/>
        <w:spacing w:after="0"/>
        <w:jc w:val="both"/>
        <w:textAlignment w:val="baseline"/>
      </w:pPr>
      <w:r w:rsidRPr="00D414A0">
        <w:t>Pero la secuela en las cuentas públicas del país amenaza con ser aún más grave, legando un desequilibrio presupuestario crónico que será difícil de revertir según las previsiones publicadas este martes por el FMI en las últi</w:t>
      </w:r>
      <w:r>
        <w:t>mas páginas del citado informe.</w:t>
      </w:r>
    </w:p>
    <w:p w:rsidR="006E5D75" w:rsidRDefault="006E5D75" w:rsidP="006E5D75">
      <w:pPr>
        <w:pStyle w:val="NormalWeb"/>
        <w:spacing w:after="0"/>
        <w:jc w:val="both"/>
        <w:textAlignment w:val="baseline"/>
      </w:pPr>
      <w:r w:rsidRPr="00D414A0">
        <w:lastRenderedPageBreak/>
        <w:t>El déficit público se disparará en España al 9,5% este año y el 6,7% en 20</w:t>
      </w:r>
      <w:r>
        <w:t>21</w:t>
      </w:r>
    </w:p>
    <w:p w:rsidR="006E5D75" w:rsidRPr="00D414A0" w:rsidRDefault="006E5D75" w:rsidP="006E5D75">
      <w:pPr>
        <w:pStyle w:val="NormalWeb"/>
        <w:spacing w:after="0"/>
        <w:jc w:val="both"/>
        <w:textAlignment w:val="baseline"/>
      </w:pPr>
      <w:r>
        <w:rPr>
          <w:noProof/>
          <w:lang w:val="en-GB" w:eastAsia="zh-CN"/>
        </w:rPr>
        <w:drawing>
          <wp:inline distT="0" distB="0" distL="0" distR="0">
            <wp:extent cx="5735171" cy="2548218"/>
            <wp:effectExtent l="0" t="0" r="0" b="5080"/>
            <wp:docPr id="58" name="Imagen 58" descr="https://d500.epimg.net/descargables/2020/04/14/3f899dd85fb71f7dfb7f2b536dc82f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500.epimg.net/descargables/2020/04/14/3f899dd85fb71f7dfb7f2b536dc82f00.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46591"/>
                    </a:xfrm>
                    <a:prstGeom prst="rect">
                      <a:avLst/>
                    </a:prstGeom>
                    <a:noFill/>
                    <a:ln>
                      <a:noFill/>
                    </a:ln>
                  </pic:spPr>
                </pic:pic>
              </a:graphicData>
            </a:graphic>
          </wp:inline>
        </w:drawing>
      </w:r>
    </w:p>
    <w:p w:rsidR="006E5D75" w:rsidRPr="00D414A0" w:rsidRDefault="006E5D75" w:rsidP="006E5D75">
      <w:pPr>
        <w:pStyle w:val="NormalWeb"/>
        <w:spacing w:after="0"/>
        <w:jc w:val="both"/>
        <w:textAlignment w:val="baseline"/>
      </w:pPr>
      <w:r w:rsidRPr="00D414A0">
        <w:t>En concreto, el FMI estima que el déficit público de España pasará del 2,6% del PIB en que cerró 2019 a multiplicarse casi por cuatro, hasta el 9,5%, este año, según las previsiones publicadas este martes en el WEO. Un incremento de unos 80.000 millones de euros en términos del PIB actual, que solo se rebajaría al 6,7% en 2021 (lo que supondría un recorte de más de 30.000 millones a lomos del rebote de la economía), siempre según el citado informe, publicad</w:t>
      </w:r>
      <w:r>
        <w:t>o este martes por el organismo.</w:t>
      </w:r>
    </w:p>
    <w:p w:rsidR="006E5D75" w:rsidRPr="00D414A0" w:rsidRDefault="006E5D75" w:rsidP="006E5D75">
      <w:pPr>
        <w:pStyle w:val="NormalWeb"/>
        <w:spacing w:after="0"/>
        <w:jc w:val="both"/>
        <w:textAlignment w:val="baseline"/>
      </w:pPr>
      <w:r w:rsidRPr="00D414A0">
        <w:t>Aunque la Unión Europea ha activado la llamada cláusula general de escape del Pacto de Estabilidad para liberar a los socios de su obligación de reducir el agujero fiscal, con el tiempo se impondrá de nuevo la búsqueda del equilibrio presupuestario.</w:t>
      </w:r>
    </w:p>
    <w:p w:rsidR="006E5D75" w:rsidRPr="00D414A0" w:rsidRDefault="006E5D75" w:rsidP="006E5D75">
      <w:pPr>
        <w:pStyle w:val="NormalWeb"/>
        <w:spacing w:after="0"/>
        <w:jc w:val="both"/>
        <w:textAlignment w:val="baseline"/>
      </w:pPr>
      <w:r w:rsidRPr="00D414A0">
        <w:t>Hasta la fecha, superar un agujero del 3% suponía someterse al llamado procedimiento de déficit excesivo, que España abandonó en 2019 tras 10 años de excesos por la crisis anterior. Recuperar esos niveles conllevaría cuantiosos recortes y/</w:t>
      </w:r>
      <w:r>
        <w:t>o fuertes subidas de impuestos.</w:t>
      </w:r>
    </w:p>
    <w:p w:rsidR="006E5D75" w:rsidRPr="00D414A0" w:rsidRDefault="006E5D75" w:rsidP="006E5D75">
      <w:pPr>
        <w:pStyle w:val="NormalWeb"/>
        <w:spacing w:after="0"/>
        <w:jc w:val="both"/>
        <w:textAlignment w:val="baseline"/>
      </w:pPr>
      <w:r w:rsidRPr="00D414A0">
        <w:t>“El déficit que se va a alcanzar está muy cercano a los peores momentos de la crisis anterior y la recuperación que el FMI espera para el año que viene no es suficiente para una corrección significativa, con lo cual, volver a la senda del 3% va a ser complicado para España”, dice María Jesús Fernández, economista senior de la fundación de las cajas de ahorro (Funcas), quien cree que “lo más negativo de las previsiones del FMI, más que la caída del PIB este año, es la moderada recuperación del año que viene”. “Incluso en un escenario de rebote más intenso, la huella que va a quedar es la de un endeudamiento público muy elevado, del 110% del PIB”, dice. El máximo en más de un sig</w:t>
      </w:r>
      <w:r>
        <w:t>lo, tras caer al 95,5% en 2019.</w:t>
      </w:r>
    </w:p>
    <w:p w:rsidR="006E5D75" w:rsidRPr="00D414A0" w:rsidRDefault="006E5D75" w:rsidP="006E5D75">
      <w:pPr>
        <w:pStyle w:val="NormalWeb"/>
        <w:spacing w:after="0"/>
        <w:jc w:val="both"/>
        <w:textAlignment w:val="baseline"/>
      </w:pPr>
      <w:r w:rsidRPr="00D414A0">
        <w:t xml:space="preserve">Una estimación con la que coincide Rafael Doménech, responsable de análisis económico de BBVA Research, quien recuerda que el agujero fiscal y la deuda crecerán tanto por el impacto presupuestario de atender la emergencia sanitaria, social y económica, como por la fuerte reducción del PIB, medida de </w:t>
      </w:r>
      <w:r>
        <w:t>referencia de estas magnitudes.</w:t>
      </w:r>
    </w:p>
    <w:p w:rsidR="006E5D75" w:rsidRPr="00D414A0" w:rsidRDefault="006E5D75" w:rsidP="006E5D75">
      <w:pPr>
        <w:pStyle w:val="NormalWeb"/>
        <w:spacing w:after="0"/>
        <w:jc w:val="both"/>
        <w:textAlignment w:val="baseline"/>
      </w:pPr>
      <w:r w:rsidRPr="00D414A0">
        <w:t>Por ahora, el Gobierno ha movilizado ya 128.000 millones de euros públicos, si bien 100.000 corresponden a avales del ICO que solo desembolsará si las empresas financiadas con esta cobertura impagan a la banca.</w:t>
      </w:r>
    </w:p>
    <w:p w:rsidR="006E5D75" w:rsidRDefault="006E5D75" w:rsidP="006E5D75">
      <w:pPr>
        <w:pStyle w:val="NormalWeb"/>
        <w:spacing w:after="0"/>
        <w:jc w:val="both"/>
        <w:textAlignment w:val="baseline"/>
      </w:pPr>
      <w:r w:rsidRPr="00D414A0">
        <w:lastRenderedPageBreak/>
        <w:t>Con todo, el problema es global. El FMI también prevé que el agujero fiscal del resto de grandes países de la UE supere el 5%, como en el caso de Alemania (5,5%), Francia (9,2%), o Italia</w:t>
      </w:r>
      <w:r>
        <w:t xml:space="preserve"> (8,3%) y que en países como EE</w:t>
      </w:r>
      <w:r w:rsidRPr="00D414A0">
        <w:t>UU llegue al 15,4%.</w:t>
      </w:r>
    </w:p>
    <w:p w:rsidR="006E5D75" w:rsidRPr="009E1A0D" w:rsidRDefault="006E5D75" w:rsidP="006E5D75">
      <w:pPr>
        <w:pStyle w:val="NormalWeb"/>
        <w:spacing w:after="0"/>
        <w:jc w:val="both"/>
        <w:textAlignment w:val="baseline"/>
      </w:pPr>
      <w:r w:rsidRPr="009E1A0D">
        <w:rPr>
          <w:b/>
        </w:rPr>
        <w:t>Nota</w:t>
      </w:r>
      <w:r w:rsidRPr="009E1A0D">
        <w:t>: El impacto supone más que duplicar el último gran derrumbe anual del PIB, el 3,8% que se dejó en 2009 tras la quiebra de Lehman Brothers y el estallido de la burbuja inmobiliaria. “Equivale prácticamente a la caída del PIB que tuvo lugar a lo largo de toda la Gran Recesión, de 2008 a 2013, que fue del 8,6%”, subraya María Jesús Fernández, economista sénior de la fundación de las cajas de ahorro, Funcas, que destaca que en esta ocasión el golpe se concentra en un solo ejercicio.</w:t>
      </w:r>
    </w:p>
    <w:p w:rsidR="006E5D75" w:rsidRPr="009E1A0D" w:rsidRDefault="006E5D75" w:rsidP="006E5D75">
      <w:pPr>
        <w:pStyle w:val="NormalWeb"/>
        <w:spacing w:after="0"/>
        <w:jc w:val="both"/>
        <w:textAlignment w:val="baseline"/>
      </w:pPr>
      <w:r w:rsidRPr="009E1A0D">
        <w:t>El efecto de la pandemia ha sido tal que, en apenas tres meses, el FMI ha pasado de prever una ligera ralentización de la economía española, desde el 2% que avanzó en 2019 al 1,6% que esperaba que aumentara este año en sus previsiones de enero, a una auténtica debacle.</w:t>
      </w:r>
    </w:p>
    <w:p w:rsidR="006E5D75" w:rsidRPr="009E1A0D" w:rsidRDefault="006E5D75" w:rsidP="006E5D75">
      <w:pPr>
        <w:pStyle w:val="NormalWeb"/>
        <w:spacing w:after="0"/>
        <w:jc w:val="both"/>
        <w:textAlignment w:val="baseline"/>
      </w:pPr>
      <w:r w:rsidRPr="009E1A0D">
        <w:t>“No es una sorpresa”, expone Rafael Doménech, responsable de análisis económico de BBVA Research, que estima que cada semana de confinamiento supone una pérdida de actividad de entre el 30% al 40% y de seis a ocho décimas de PIB. “Aunque el FMI no lo diga explícitamente, está considerando unas ocho semanas de confinamiento”, ilustra, más las “secuelas duraderas” que luego queden sobre “el consumo, el turismo o los viajes”, entre otros de los sectores más afectados.</w:t>
      </w:r>
    </w:p>
    <w:p w:rsidR="006E5D75" w:rsidRPr="00D414A0" w:rsidRDefault="006E5D75" w:rsidP="006E5D75">
      <w:pPr>
        <w:pStyle w:val="NormalWeb"/>
        <w:spacing w:after="0"/>
        <w:jc w:val="both"/>
        <w:textAlignment w:val="baseline"/>
      </w:pPr>
      <w:r>
        <w:t xml:space="preserve">- </w:t>
      </w:r>
      <w:r w:rsidRPr="00D414A0">
        <w:rPr>
          <w:u w:val="single"/>
        </w:rPr>
        <w:t>El FMI avisa de tres escenarios en los que la crisis será aún mucho peor</w:t>
      </w:r>
      <w:r>
        <w:t xml:space="preserve"> (Cinco Días - </w:t>
      </w:r>
      <w:r w:rsidRPr="00D414A0">
        <w:rPr>
          <w:b/>
        </w:rPr>
        <w:t>15/4/20</w:t>
      </w:r>
      <w:r>
        <w:t>)</w:t>
      </w:r>
    </w:p>
    <w:p w:rsidR="006E5D75" w:rsidRDefault="006E5D75" w:rsidP="006E5D75">
      <w:pPr>
        <w:pStyle w:val="NormalWeb"/>
        <w:spacing w:after="0"/>
        <w:jc w:val="both"/>
        <w:textAlignment w:val="baseline"/>
      </w:pPr>
      <w:r w:rsidRPr="00D414A0">
        <w:t>Un retraso en contener la pandemia o un nuevo brote tendrían efectos demoledores</w:t>
      </w:r>
    </w:p>
    <w:p w:rsidR="006E5D75" w:rsidRDefault="006E5D75" w:rsidP="006E5D75">
      <w:pPr>
        <w:pStyle w:val="NormalWeb"/>
        <w:spacing w:after="0"/>
        <w:jc w:val="both"/>
        <w:textAlignment w:val="baseline"/>
      </w:pPr>
      <w:r>
        <w:t>Una caída del PIB del 8% en España y la crisis global más profunda desde la Gran Depresión de hace un siglo. Parece una hecatombe económica. Y, sin embargo, ese es más bien el escenario optimista que dibuja el Fondo Monetario Internacional. El organismo avisa de que contempla tres escenarios alternativos en que la crisis económica sería aún mucho más grave, con efectos demoledores.</w:t>
      </w:r>
    </w:p>
    <w:p w:rsidR="006E5D75" w:rsidRDefault="006E5D75" w:rsidP="006E5D75">
      <w:pPr>
        <w:pStyle w:val="NormalWeb"/>
        <w:spacing w:after="0"/>
        <w:jc w:val="both"/>
        <w:textAlignment w:val="baseline"/>
      </w:pPr>
      <w:r>
        <w:t>Esos escenarios son tres. El primero, un retraso en contener la pandemia. El segundo, un rebrote en 2021. Y el tercero, ambas cosas, el retraso y el rebrote.</w:t>
      </w:r>
    </w:p>
    <w:p w:rsidR="006E5D75" w:rsidRDefault="006E5D75" w:rsidP="006E5D75">
      <w:pPr>
        <w:pStyle w:val="NormalWeb"/>
        <w:spacing w:after="0"/>
        <w:jc w:val="both"/>
        <w:textAlignment w:val="baseline"/>
      </w:pPr>
      <w:r>
        <w:t>Los tres escenarios alternativos con respecto al escenario base, que es la línea del 0. En azul, retraso en la contención. En rojo, recaída en 2021. En amarillo, ambos factores.</w:t>
      </w:r>
    </w:p>
    <w:p w:rsidR="006E5D75" w:rsidRDefault="006E5D75" w:rsidP="006E5D75">
      <w:pPr>
        <w:pStyle w:val="NormalWeb"/>
        <w:spacing w:after="0"/>
        <w:jc w:val="both"/>
        <w:textAlignment w:val="baseline"/>
      </w:pPr>
      <w:r>
        <w:rPr>
          <w:noProof/>
          <w:lang w:val="en-GB" w:eastAsia="zh-CN"/>
        </w:rPr>
        <w:lastRenderedPageBreak/>
        <w:drawing>
          <wp:inline distT="0" distB="0" distL="0" distR="0">
            <wp:extent cx="3429000" cy="2825750"/>
            <wp:effectExtent l="0" t="0" r="0" b="0"/>
            <wp:docPr id="59" name="Imagen 59" descr="Los tres escenarios alternativos con respecto al escenario base, que es la línea del 0. En azul, retraso en la contención. En rojo, recaída en 2021. En amarillo, ambos fa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s tres escenarios alternativos con respecto al escenario base, que es la línea del 0. En azul, retraso en la contención. En rojo, recaída en 2021. En amarillo, ambos factores."/>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2825750"/>
                    </a:xfrm>
                    <a:prstGeom prst="rect">
                      <a:avLst/>
                    </a:prstGeom>
                    <a:noFill/>
                    <a:ln>
                      <a:noFill/>
                    </a:ln>
                  </pic:spPr>
                </pic:pic>
              </a:graphicData>
            </a:graphic>
          </wp:inline>
        </w:drawing>
      </w:r>
    </w:p>
    <w:p w:rsidR="006E5D75" w:rsidRDefault="006E5D75" w:rsidP="006E5D75">
      <w:pPr>
        <w:pStyle w:val="NormalWeb"/>
        <w:spacing w:after="0"/>
        <w:jc w:val="both"/>
        <w:textAlignment w:val="baseline"/>
      </w:pPr>
      <w:r>
        <w:t>En su escenario central, el FMI prevé que la pandemia se apague en la segunda mitad de 2020 y que las medidas de contención se vayan retirando gradualmente. Ese escenario contempla que los confinamientos se concentren en el segundo trimestre, con una gradual recuperación o desescalada.</w:t>
      </w:r>
    </w:p>
    <w:p w:rsidR="006E5D75" w:rsidRDefault="006E5D75" w:rsidP="006E5D75">
      <w:pPr>
        <w:pStyle w:val="NormalWeb"/>
        <w:spacing w:after="0"/>
        <w:jc w:val="both"/>
        <w:textAlignment w:val="baseline"/>
      </w:pPr>
      <w:r>
        <w:t>Sin embargo, si la contención de la pandemia durase un 50% más de lo previsto por el FMI en su escenario base, el impacto sobre la economía global sería de 3 puntos adicionales. La caída de la actividad mundial no sería del 3% este año, sino del 6% y el rebote en 2021 también sería menor. Ese escenario implicaría un aumento de las primas de riesgo y un endurecimiento de las condiciones financieras.</w:t>
      </w:r>
    </w:p>
    <w:p w:rsidR="006E5D75" w:rsidRDefault="006E5D75" w:rsidP="006E5D75">
      <w:pPr>
        <w:pStyle w:val="NormalWeb"/>
        <w:spacing w:after="0"/>
        <w:jc w:val="both"/>
        <w:textAlignment w:val="baseline"/>
      </w:pPr>
      <w:r>
        <w:t>En el segundo escenario alternativo, la pandemia sí se contiene este año dentro del calendario previsto, pero hay un rebrote en 2021. Este año la caída prevista no variaría, pero en 2021 el efecto sería muy dañino. La recaída costaría unos 5 puntos adicionales de PIB en 2021 y otros 3 en 2022, de modo que el rebote de la economía el año próximo perdería casi toda su fuerza.</w:t>
      </w:r>
    </w:p>
    <w:p w:rsidR="006E5D75" w:rsidRDefault="006E5D75" w:rsidP="006E5D75">
      <w:pPr>
        <w:pStyle w:val="NormalWeb"/>
        <w:spacing w:after="0"/>
        <w:jc w:val="both"/>
        <w:textAlignment w:val="baseline"/>
      </w:pPr>
      <w:r>
        <w:t>El peor escenario alternativo es el tercero, que combina los dos anteriores: un retraso en la contención del actual brote en 2020 y una recaída en 2021. En ese supuesto, el PIB caería este año el doble de lo previsto (en torno al 6%) y el año que viene empeoraría otros 8 puntos con respecto al escenario base. De 2022 a 2024 se perderían en torno a otros 10-12 puntos de PIB en total en comparación con el escenario base.</w:t>
      </w:r>
    </w:p>
    <w:p w:rsidR="006E5D75" w:rsidRDefault="006E5D75" w:rsidP="006E5D75">
      <w:pPr>
        <w:pStyle w:val="NormalWeb"/>
        <w:spacing w:after="0"/>
        <w:jc w:val="both"/>
        <w:textAlignment w:val="baseline"/>
      </w:pPr>
      <w:r>
        <w:t>En los tres escenarios, pero sobre todo en el tercero, habría fuertes aumentos del gasto público, el déficit y la deuda. Y todo podría complicarse por el aumento de las primas de riesgo o por la falta de estímulos ante el riesgo de que las primas de riesgo suban.</w:t>
      </w:r>
    </w:p>
    <w:p w:rsidR="006E5D75" w:rsidRDefault="006E5D75" w:rsidP="006E5D75">
      <w:pPr>
        <w:pStyle w:val="NormalWeb"/>
        <w:spacing w:after="0"/>
        <w:jc w:val="both"/>
        <w:textAlignment w:val="baseline"/>
      </w:pPr>
      <w:r>
        <w:t>Queda un consuelo: también hay un escenario optimista. Si se consiguiese una vacuna o una terapia efectiva antes de lo esperado, se podrían eliminar las medidas de distanciamiento social y la recuperación sería más rápida.</w:t>
      </w:r>
    </w:p>
    <w:p w:rsidR="006E5D75" w:rsidRDefault="006E5D75" w:rsidP="006E5D75">
      <w:pPr>
        <w:pStyle w:val="NormalWeb"/>
        <w:spacing w:after="0"/>
        <w:jc w:val="both"/>
        <w:textAlignment w:val="baseline"/>
      </w:pPr>
      <w:r>
        <w:t xml:space="preserve">- </w:t>
      </w:r>
      <w:r w:rsidRPr="00B222DD">
        <w:rPr>
          <w:u w:val="single"/>
        </w:rPr>
        <w:t>El Fondo calcula que el Gran Confinamiento provocará la mayor crisis desde la Gran Depresión</w:t>
      </w:r>
      <w:r>
        <w:t xml:space="preserve"> (Cinco Días - </w:t>
      </w:r>
      <w:r w:rsidRPr="00B222DD">
        <w:rPr>
          <w:b/>
        </w:rPr>
        <w:t>15/4/20</w:t>
      </w:r>
      <w:r>
        <w:t>)</w:t>
      </w:r>
    </w:p>
    <w:p w:rsidR="006E5D75" w:rsidRDefault="006E5D75" w:rsidP="006E5D75">
      <w:pPr>
        <w:pStyle w:val="NormalWeb"/>
        <w:spacing w:after="0"/>
        <w:jc w:val="both"/>
        <w:textAlignment w:val="baseline"/>
      </w:pPr>
      <w:r>
        <w:lastRenderedPageBreak/>
        <w:t>La caída del PIB global será del 3%, mucho mayor que en 2009, con casi todo el mundo en recesión</w:t>
      </w:r>
    </w:p>
    <w:p w:rsidR="006E5D75" w:rsidRDefault="006E5D75" w:rsidP="006E5D75">
      <w:pPr>
        <w:pStyle w:val="NormalWeb"/>
        <w:spacing w:after="0"/>
        <w:jc w:val="both"/>
        <w:textAlignment w:val="baseline"/>
      </w:pPr>
      <w:r>
        <w:rPr>
          <w:noProof/>
          <w:lang w:val="en-GB" w:eastAsia="zh-CN"/>
        </w:rPr>
        <w:drawing>
          <wp:inline distT="0" distB="0" distL="0" distR="0">
            <wp:extent cx="5731510" cy="3120998"/>
            <wp:effectExtent l="0" t="0" r="2540" b="3810"/>
            <wp:docPr id="60" name="Imagen 60"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0998"/>
                    </a:xfrm>
                    <a:prstGeom prst="rect">
                      <a:avLst/>
                    </a:prstGeom>
                    <a:noFill/>
                    <a:ln>
                      <a:noFill/>
                    </a:ln>
                  </pic:spPr>
                </pic:pic>
              </a:graphicData>
            </a:graphic>
          </wp:inline>
        </w:drawing>
      </w:r>
    </w:p>
    <w:p w:rsidR="006E5D75" w:rsidRPr="00B222DD" w:rsidRDefault="006E5D75" w:rsidP="006E5D75">
      <w:pPr>
        <w:pStyle w:val="NormalWeb"/>
        <w:spacing w:after="0"/>
        <w:jc w:val="both"/>
        <w:textAlignment w:val="baseline"/>
        <w:rPr>
          <w:b/>
          <w:color w:val="FF0000"/>
          <w:u w:val="single"/>
        </w:rPr>
      </w:pPr>
      <w:r>
        <w:rPr>
          <w:color w:val="FF0000"/>
          <w:u w:val="single"/>
        </w:rPr>
        <w:t>“</w:t>
      </w:r>
      <w:r w:rsidRPr="00B222DD">
        <w:rPr>
          <w:color w:val="FF0000"/>
          <w:u w:val="single"/>
        </w:rPr>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w:t>
      </w:r>
      <w:r>
        <w:rPr>
          <w:color w:val="FF0000"/>
          <w:u w:val="single"/>
        </w:rPr>
        <w:t xml:space="preserve"> impacto en la economía mundial”</w:t>
      </w:r>
      <w:r w:rsidRPr="00B222DD">
        <w:rPr>
          <w:color w:val="FF0000"/>
          <w:u w:val="single"/>
        </w:rPr>
        <w:t>.</w:t>
      </w:r>
      <w:r w:rsidRPr="00B222DD">
        <w:rPr>
          <w:b/>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6E5D75" w:rsidRDefault="006E5D75" w:rsidP="006E5D75">
      <w:pPr>
        <w:pStyle w:val="NormalWeb"/>
        <w:spacing w:after="0"/>
        <w:jc w:val="both"/>
        <w:textAlignment w:val="baseline"/>
      </w:pPr>
      <w:r>
        <w:t>¿Pero cuánta riqueza se va a llevar por delante este cerrojazo en todo el mundo? El primer cálculo del FMI es que, “como resultado de la pandemia, se prevé que la economía mundial se contraiga bruscamente un -3% en 2020”, indica este informe. Esta brusca caída será la 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6E5D75" w:rsidRDefault="006E5D75" w:rsidP="006E5D75">
      <w:pPr>
        <w:pStyle w:val="NormalWeb"/>
        <w:spacing w:after="0"/>
        <w:jc w:val="both"/>
        <w:textAlignment w:val="baseline"/>
      </w:pPr>
      <w:r>
        <w:t>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riqueza nacional del -9,1%, seguido de España (-8%), Francia (-7,2%), Alemania (-7%), Reino Unido (-6,5%), Canadá (-6,2%) y Estados Unidos (-5,9%).</w:t>
      </w:r>
    </w:p>
    <w:p w:rsidR="006E5D75" w:rsidRDefault="006E5D75" w:rsidP="006E5D75">
      <w:pPr>
        <w:pStyle w:val="NormalWeb"/>
        <w:spacing w:after="0"/>
        <w:jc w:val="both"/>
        <w:textAlignment w:val="baseline"/>
      </w:pPr>
      <w:r>
        <w:t xml:space="preserve">Mientras, las principales economías emergentes, fundamentalmente las asiáticas, se verán menos dañadas, con una caída media del PIB de su área del -1% en 2020. De hecho, la </w:t>
      </w:r>
      <w:r>
        <w:lastRenderedPageBreak/>
        <w:t>riqueza de China e India se anotará crecimientos positivos del 1,2% y 1,9%, respectivamente en este ejercicio, según las estimaciones del FMI.</w:t>
      </w:r>
    </w:p>
    <w:p w:rsidR="006E5D75" w:rsidRDefault="006E5D75" w:rsidP="006E5D75">
      <w:pPr>
        <w:pStyle w:val="NormalWeb"/>
        <w:spacing w:after="0"/>
        <w:jc w:val="both"/>
        <w:textAlignment w:val="baseline"/>
      </w:pPr>
      <w:r>
        <w:t>Si bien, todos estos cálculos se han elaborado sobre la hipótesis de que la pandemia se “desvanecerá” en la segunda mitad de 2020, la vuelta a la actividad se hará entonces de forma gradual y, por tanto, prevén que haya un efecto rebote que lleve a la economía mundial a crecer un 5,8% en 2021, a medida que la actividad se vaya normalizando en todo el planeta y siempre “con la ayuda de medidas políticas”, reclama este organismo a los Estados.</w:t>
      </w:r>
    </w:p>
    <w:p w:rsidR="006E5D75" w:rsidRDefault="006E5D75" w:rsidP="006E5D75">
      <w:pPr>
        <w:pStyle w:val="NormalWeb"/>
        <w:spacing w:after="0"/>
        <w:jc w:val="both"/>
        <w:textAlignment w:val="baseline"/>
      </w:pPr>
      <w:r>
        <w:t>En cualquier caso, la economista jefe del FMI, Gita Gopinath, asegura que la recuperación en 2021 será solo “parcial” porque el organismo proyecta que el nivel de actividad económica siga por debajo del esperado para el próximo ejercicio antes de la llegada del virus. Es más, ha cifrado la pérdida acumulada del PIB mundial en 2020 y 2021 en 9 billones de dólares, una cantidad mayor que la que representan las economías de Alemania y Japón juntas.</w:t>
      </w:r>
    </w:p>
    <w:p w:rsidR="006E5D75" w:rsidRDefault="006E5D75" w:rsidP="006E5D75">
      <w:pPr>
        <w:pStyle w:val="NormalWeb"/>
        <w:spacing w:after="0"/>
        <w:jc w:val="both"/>
        <w:textAlignment w:val="baseline"/>
      </w:pPr>
      <w:r>
        <w:t>Pero dicho esto, esta mejora de las expectativas queda inmediatamente ensombrecida cuando los expertos del FMI aseguran que existe “una extrema incertidumbre en torno a estas previsiones de crecimiento”, ya que las consecuencias económicas de la pandemia “dependen de factores que interactúan de manera difícil de predecir”.</w:t>
      </w:r>
    </w:p>
    <w:p w:rsidR="006E5D75" w:rsidRDefault="006E5D75" w:rsidP="006E5D75">
      <w:pPr>
        <w:pStyle w:val="NormalWeb"/>
        <w:spacing w:after="0"/>
        <w:jc w:val="both"/>
        <w:textAlignment w:val="baseline"/>
      </w:pPr>
      <w:r>
        <w:t>Concretamente, los autores del informe se refieren a factores como la evolución de la propia pandemia, a la intensidad y la eficacia de los esfuerzos de contención, el desarrollo de curas o vacunas, el alcance de las interrupciones de la actividad, los cambios en los patrones de gasto de los ciudadanos, sus cambios de comportamiento (como evitar centros comerciales o el uso de medios de transporte colectivos), el impacto en general en la confianza y la volatilidad de los precios de los productos básicos. Y a todo esto añaden lo que denominan “las repercusiones del dramático endurecimiento de las condiciones del mercado financiero mundial”.</w:t>
      </w:r>
    </w:p>
    <w:p w:rsidR="006E5D75" w:rsidRDefault="006E5D75" w:rsidP="006E5D75">
      <w:pPr>
        <w:pStyle w:val="NormalWeb"/>
        <w:spacing w:after="0"/>
        <w:jc w:val="both"/>
        <w:textAlignment w:val="baseline"/>
      </w:pPr>
    </w:p>
    <w:p w:rsidR="006E5D75" w:rsidRDefault="006E5D75" w:rsidP="006E5D75">
      <w:pPr>
        <w:pStyle w:val="NormalWeb"/>
        <w:spacing w:after="0"/>
        <w:jc w:val="both"/>
        <w:textAlignment w:val="baseline"/>
      </w:pPr>
    </w:p>
    <w:p w:rsidR="006E5D75" w:rsidRDefault="006E5D75" w:rsidP="006E5D75">
      <w:pPr>
        <w:pStyle w:val="NormalWeb"/>
        <w:spacing w:after="0"/>
        <w:jc w:val="both"/>
        <w:textAlignment w:val="baseline"/>
      </w:pPr>
      <w:r>
        <w:rPr>
          <w:noProof/>
          <w:lang w:val="en-GB" w:eastAsia="zh-CN"/>
        </w:rPr>
        <w:lastRenderedPageBreak/>
        <w:drawing>
          <wp:inline distT="0" distB="0" distL="0" distR="0">
            <wp:extent cx="4679577" cy="8774206"/>
            <wp:effectExtent l="0" t="0" r="6985" b="8255"/>
            <wp:docPr id="61" name="Imagen 61"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3063" cy="8780742"/>
                    </a:xfrm>
                    <a:prstGeom prst="rect">
                      <a:avLst/>
                    </a:prstGeom>
                    <a:noFill/>
                    <a:ln>
                      <a:noFill/>
                    </a:ln>
                  </pic:spPr>
                </pic:pic>
              </a:graphicData>
            </a:graphic>
          </wp:inline>
        </w:drawing>
      </w:r>
    </w:p>
    <w:p w:rsidR="006E5D75" w:rsidRPr="009E1A0D" w:rsidRDefault="006E5D75" w:rsidP="006E5D75">
      <w:pPr>
        <w:pStyle w:val="NormalWeb"/>
        <w:spacing w:after="0"/>
        <w:jc w:val="both"/>
        <w:textAlignment w:val="baseline"/>
      </w:pPr>
      <w:r w:rsidRPr="009E1A0D">
        <w:rPr>
          <w:b/>
        </w:rPr>
        <w:lastRenderedPageBreak/>
        <w:t>Nota:</w:t>
      </w:r>
      <w:r w:rsidRPr="009E1A0D">
        <w:t xml:space="preserve">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está dispuesto a jugar con fuego.</w:t>
      </w:r>
    </w:p>
    <w:p w:rsidR="006E5D75" w:rsidRPr="009E1A0D" w:rsidRDefault="006E5D75" w:rsidP="006E5D75">
      <w:pPr>
        <w:pStyle w:val="NormalWeb"/>
        <w:spacing w:after="0"/>
        <w:jc w:val="both"/>
        <w:textAlignment w:val="baseline"/>
      </w:pPr>
      <w:r w:rsidRPr="009E1A0D">
        <w:t>La consecuencia es obvia. Ni EEUU está en condiciones de salvar Europa, como sucedió en 1945, entre otros motivos, porque ya no necesita al viejo continente p</w:t>
      </w:r>
      <w:r>
        <w:t>ara frenar a la URSS, ni China -</w:t>
      </w:r>
      <w:r w:rsidRPr="009E1A0D">
        <w:t>con una tasa de crecimiento raquíti</w:t>
      </w:r>
      <w:r>
        <w:t>co este año equivalente al 1,2%-</w:t>
      </w:r>
      <w:r w:rsidRPr="009E1A0D">
        <w:t xml:space="preserve"> volverá a ser la misma. El turismo chino, de alto poder adquisitivo y que compra coches europeos, tardará en volver al mundo. Se imponen las restricciones y la propia China deberá atender las demandas de una clase media creciente que desde finales de los años setenta ha visto que todo era crecimiento y prosperidad.</w:t>
      </w:r>
    </w:p>
    <w:p w:rsidR="006E5D75" w:rsidRPr="009E1A0D" w:rsidRDefault="006E5D75" w:rsidP="006E5D75">
      <w:pPr>
        <w:pStyle w:val="NormalWeb"/>
        <w:spacing w:after="0"/>
        <w:jc w:val="both"/>
        <w:textAlignment w:val="baseline"/>
      </w:pPr>
      <w:r w:rsidRPr="009E1A0D">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6E5D75" w:rsidRPr="009E1A0D" w:rsidRDefault="006E5D75" w:rsidP="006E5D75">
      <w:pPr>
        <w:pStyle w:val="NormalWeb"/>
        <w:spacing w:after="0"/>
        <w:jc w:val="both"/>
        <w:textAlignment w:val="baseline"/>
      </w:pPr>
      <w:r w:rsidRPr="009E1A0D">
        <w:t>Toca, por lo tanto, mirar hacia dentro. Como aseguró este martes Gita Gopinath, la economista jefa del FMI, Europa sufrirá más porque es más vulnerable al comercio exterior, y eso significa que hay que volver a mirar hacia la demanda interna y sus tres componentes: consumo privado, público e inversiones. Ahí estará la clave de la recuperación. En la medida en que España sea capaz de regenerar su maltrecho sector industrial, las probabilidades de salir del agujero serán mayores. La industria, de hecho, es la única salvación a medio plazo para la España despoblada, aunque se trate de bienes de tecnología media o baja. Los nuevos mercados están dentro. No solo fuera.</w:t>
      </w:r>
    </w:p>
    <w:p w:rsidR="006E5D75" w:rsidRPr="00127D44" w:rsidRDefault="006E5D75" w:rsidP="006E5D75">
      <w:pPr>
        <w:pStyle w:val="NormalWeb"/>
        <w:spacing w:after="0"/>
        <w:jc w:val="both"/>
        <w:textAlignment w:val="baseline"/>
        <w:rPr>
          <w:color w:val="FF0000"/>
        </w:rPr>
      </w:pPr>
      <w:r>
        <w:t xml:space="preserve">- </w:t>
      </w:r>
      <w:r w:rsidRPr="000F2777">
        <w:rPr>
          <w:u w:val="single"/>
        </w:rPr>
        <w:t>El coronavirus amenaza a 59 millones de empleos en Europa, según McKinsey</w:t>
      </w:r>
      <w:r>
        <w:t xml:space="preserve"> (Expansión - </w:t>
      </w:r>
      <w:r w:rsidRPr="000F2777">
        <w:rPr>
          <w:b/>
        </w:rPr>
        <w:t>20/4/20</w:t>
      </w:r>
      <w:r>
        <w:t xml:space="preserve">)          </w:t>
      </w:r>
    </w:p>
    <w:p w:rsidR="006E5D75" w:rsidRPr="00E95E02" w:rsidRDefault="006E5D75" w:rsidP="006E5D75">
      <w:pPr>
        <w:pStyle w:val="NormalWeb"/>
        <w:spacing w:after="0"/>
        <w:jc w:val="both"/>
        <w:textAlignment w:val="baseline"/>
        <w:rPr>
          <w:color w:val="FF0000"/>
          <w:u w:val="single"/>
        </w:rPr>
      </w:pPr>
      <w:r w:rsidRPr="00E95E02">
        <w:rPr>
          <w:color w:val="FF0000"/>
          <w:u w:val="single"/>
        </w:rPr>
        <w:t>El mercado laboral europeo sufrirá un fuerte shock por la crisis del coronavirus. Así lo estima la consultora McKinsey en un informe en el que advierte de que la pandemia amenaza con llevarse por delante 59 millones de empleos en Europa, así como la reducción de salarios y horas de trabajo.</w:t>
      </w:r>
    </w:p>
    <w:p w:rsidR="006E5D75" w:rsidRPr="002A587D" w:rsidRDefault="006E5D75" w:rsidP="006E5D75">
      <w:pPr>
        <w:pStyle w:val="NormalWeb"/>
        <w:spacing w:after="0"/>
        <w:jc w:val="both"/>
        <w:textAlignment w:val="baseline"/>
        <w:rPr>
          <w:color w:val="FF0000"/>
          <w:u w:val="single"/>
        </w:rPr>
      </w:pPr>
      <w:r w:rsidRPr="00E95E02">
        <w:rPr>
          <w:color w:val="FF0000"/>
          <w:u w:val="single"/>
        </w:rPr>
        <w:t xml:space="preserve">Además, el informe estima que la tasa de paro de la Unión Europea podría dispararse hasta casi duplicarse por el impacto económico del coronavirus. En el peor escenario que maneja, la consultora ve la tasa de paro en el 11,2%, con una recuperación de los </w:t>
      </w:r>
      <w:r>
        <w:rPr>
          <w:color w:val="FF0000"/>
          <w:u w:val="single"/>
        </w:rPr>
        <w:t xml:space="preserve">niveles de 2019 en el año 2024. </w:t>
      </w:r>
      <w:r w:rsidRPr="00E95E02">
        <w:rPr>
          <w:u w:val="single"/>
        </w:rPr>
        <w:t>No obstante, el escenario más probable que pronostica la firma es que la tasa de paro europea escalará hasta el 7,6% este año, para regresar a niveles pre-crisis del 6,3% a finales del año que viene.</w:t>
      </w:r>
    </w:p>
    <w:p w:rsidR="006E5D75" w:rsidRDefault="006E5D75" w:rsidP="006E5D75">
      <w:pPr>
        <w:pStyle w:val="NormalWeb"/>
        <w:spacing w:after="0"/>
        <w:jc w:val="both"/>
        <w:textAlignment w:val="baseline"/>
      </w:pPr>
      <w:r>
        <w:t>“Europa debe evitar la subida significante del desempleo que se produjo durante la crisis financiera de 2008-2009 cuando la tasa de paro creció un 28% en la Unión Europea”, ha señalado McKinsey que ha alertado de que “la pérdida de empleos podría ser muy dolorosa desde una perspectiva económica”, señala McKinsey.</w:t>
      </w:r>
    </w:p>
    <w:p w:rsidR="006E5D75" w:rsidRPr="00E95E02" w:rsidRDefault="006E5D75" w:rsidP="006E5D75">
      <w:pPr>
        <w:pStyle w:val="NormalWeb"/>
        <w:spacing w:after="0"/>
        <w:jc w:val="both"/>
        <w:textAlignment w:val="baseline"/>
        <w:rPr>
          <w:color w:val="FF0000"/>
          <w:u w:val="single"/>
        </w:rPr>
      </w:pPr>
      <w:r w:rsidRPr="00E95E02">
        <w:rPr>
          <w:color w:val="FF0000"/>
          <w:u w:val="single"/>
        </w:rPr>
        <w:t xml:space="preserve">La firma prevé que el 50% de todos los trabajos que están en riesgo en Europa se concentran en servicio al cliente y ventas, servicios de alimentos y la construcción.Por categorías, la </w:t>
      </w:r>
      <w:r w:rsidRPr="00E95E02">
        <w:rPr>
          <w:color w:val="FF0000"/>
          <w:u w:val="single"/>
        </w:rPr>
        <w:lastRenderedPageBreak/>
        <w:t>consultora señala que el sector hotelero y de la alimentación aparece como el más amenazado por la fuerte escalada del desempleo. McKinsey calcula que el 74% del empleo en estos sectores de la actividad económica está en riesgo, lo que equivale a unos 8,4 millo</w:t>
      </w:r>
      <w:r>
        <w:rPr>
          <w:color w:val="FF0000"/>
          <w:u w:val="single"/>
        </w:rPr>
        <w:t xml:space="preserve">nes de empleo en toda la Unión. </w:t>
      </w:r>
      <w:r w:rsidRPr="00E95E02">
        <w:rPr>
          <w:color w:val="FF0000"/>
          <w:u w:val="single"/>
        </w:rPr>
        <w:t>A su vez, la firma agrega también que el 50% de los empleos en el sector del entretenimiento y las artes</w:t>
      </w:r>
      <w:r w:rsidR="006F3112">
        <w:rPr>
          <w:color w:val="FF0000"/>
          <w:u w:val="single"/>
        </w:rPr>
        <w:t>,</w:t>
      </w:r>
      <w:r w:rsidRPr="00E95E02">
        <w:rPr>
          <w:color w:val="FF0000"/>
          <w:u w:val="single"/>
        </w:rPr>
        <w:t xml:space="preserve"> también se ven amenazados por la pandemia. Por el contrario, el sector TI y comunicaciones aparece como el menos amenazado con un 8% del empleo en riesgo.</w:t>
      </w:r>
    </w:p>
    <w:p w:rsidR="006E5D75" w:rsidRDefault="006E5D75" w:rsidP="006E5D75">
      <w:pPr>
        <w:pStyle w:val="NormalWeb"/>
        <w:spacing w:after="0"/>
        <w:jc w:val="both"/>
        <w:textAlignment w:val="baseline"/>
      </w:pPr>
      <w:r>
        <w:t>La Comisión Europea presentó a comienzos de abril un nuevo programa para movilizar unos 100.000 millones de euros para ayudar al empleo. El objetivo del plan de Bruselas es subvencionar las reducciones de jornada para que las empresas puedan sobrevivir sin realizar despidos masivos.</w:t>
      </w:r>
    </w:p>
    <w:p w:rsidR="006E5D75" w:rsidRDefault="006E5D75" w:rsidP="006E5D75">
      <w:pPr>
        <w:pStyle w:val="NormalWeb"/>
        <w:spacing w:after="0"/>
        <w:jc w:val="both"/>
        <w:textAlignment w:val="baseline"/>
      </w:pPr>
      <w:r>
        <w:t>El Banco de España calcula que la tasa de paro en nuestro país se disparara este año entre el 18,3% y el 21,7% este año por el parón de la economía provocado por el coronavirus.</w:t>
      </w:r>
    </w:p>
    <w:p w:rsidR="006E5D75" w:rsidRPr="00724BDC" w:rsidRDefault="006E5D75" w:rsidP="006E5D75">
      <w:pPr>
        <w:pStyle w:val="NormalWeb"/>
        <w:spacing w:after="360"/>
        <w:jc w:val="both"/>
        <w:rPr>
          <w:color w:val="000000"/>
        </w:rPr>
      </w:pPr>
      <w:r>
        <w:rPr>
          <w:color w:val="000000"/>
        </w:rPr>
        <w:t xml:space="preserve">- </w:t>
      </w:r>
      <w:r>
        <w:rPr>
          <w:color w:val="000000"/>
          <w:u w:val="single"/>
        </w:rPr>
        <w:t>La “Mayor Depresión”</w:t>
      </w:r>
      <w:r w:rsidRPr="00724BDC">
        <w:rPr>
          <w:color w:val="000000"/>
          <w:u w:val="single"/>
        </w:rPr>
        <w:t xml:space="preserve"> que viene con la década de 2020</w:t>
      </w:r>
      <w:r>
        <w:rPr>
          <w:color w:val="000000"/>
        </w:rPr>
        <w:t xml:space="preserve"> (Project Syndicate - </w:t>
      </w:r>
      <w:r w:rsidRPr="00724BDC">
        <w:rPr>
          <w:b/>
          <w:color w:val="000000"/>
        </w:rPr>
        <w:t>28/4/20</w:t>
      </w:r>
      <w:r>
        <w:rPr>
          <w:color w:val="000000"/>
        </w:rPr>
        <w:t>)</w:t>
      </w:r>
    </w:p>
    <w:p w:rsidR="006E5D75" w:rsidRPr="00DF5DFD" w:rsidRDefault="006E5D75" w:rsidP="006E5D75">
      <w:pPr>
        <w:pStyle w:val="NormalWeb"/>
        <w:spacing w:after="360"/>
        <w:jc w:val="both"/>
        <w:rPr>
          <w:color w:val="FF0000"/>
          <w:u w:val="single"/>
        </w:rPr>
      </w:pPr>
      <w:r>
        <w:rPr>
          <w:color w:val="000000"/>
        </w:rPr>
        <w:t>Nueva York.-</w:t>
      </w:r>
      <w:r w:rsidRPr="00DF5DFD">
        <w:rPr>
          <w:color w:val="FF0000"/>
          <w:u w:val="single"/>
        </w:rPr>
        <w:t>Después de la crisis financiera de 2007</w:t>
      </w:r>
      <w:r w:rsidRPr="00DF5DFD">
        <w:rPr>
          <w:rFonts w:ascii="Cambria Math" w:hAnsi="Cambria Math" w:cs="Cambria Math"/>
          <w:color w:val="FF0000"/>
          <w:u w:val="single"/>
        </w:rPr>
        <w:t>‑</w:t>
      </w:r>
      <w:r w:rsidRPr="00DF5DFD">
        <w:rPr>
          <w:color w:val="FF0000"/>
          <w:u w:val="single"/>
        </w:rPr>
        <w:t>09, pol</w:t>
      </w:r>
      <w:r w:rsidRPr="00DF5DFD">
        <w:rPr>
          <w:rFonts w:ascii="Calibri" w:hAnsi="Calibri" w:cs="Calibri"/>
          <w:color w:val="FF0000"/>
          <w:u w:val="single"/>
        </w:rPr>
        <w:t>í</w:t>
      </w:r>
      <w:r w:rsidRPr="00DF5DFD">
        <w:rPr>
          <w:color w:val="FF0000"/>
          <w:u w:val="single"/>
        </w:rPr>
        <w:t>ticas desacertadas agravaron desequilibrios y riesgos muy extendidos en la economía global. Así pues, en vez de encarar los problemas estructurales revelados por el derrumbe financiero y la posterior recesión, los gobiernos en general los patearon para adelante; esto creó grandes riesgos a la baja que hicieron inevitable el surgimiento de otra crisis. Y ahora que se produjo, los riesgos se agravan cada vez más. Por desgracia, incluso si el resultado de la “Mayor Recesión” de este año fuera una deslucida recuperación en forma de U, diez ominosas y peligrosas tendencias indican que en algún momento de esta década habrá una “Mayor Depresión” en forma de L.</w:t>
      </w:r>
    </w:p>
    <w:p w:rsidR="006E5D75" w:rsidRPr="00724BDC" w:rsidRDefault="006E5D75" w:rsidP="006E5D75">
      <w:pPr>
        <w:pStyle w:val="NormalWeb"/>
        <w:spacing w:after="360"/>
        <w:jc w:val="both"/>
        <w:rPr>
          <w:color w:val="000000"/>
        </w:rPr>
      </w:pPr>
      <w:r w:rsidRPr="00DF5DFD">
        <w:rPr>
          <w:color w:val="FF0000"/>
          <w:u w:val="single"/>
        </w:rPr>
        <w:t>La primera tendencia tiene que ver con el déficit y sus riesgos derivados: la deuda y el default</w:t>
      </w:r>
      <w:r w:rsidRPr="00724BDC">
        <w:rPr>
          <w:color w:val="000000"/>
        </w:rPr>
        <w:t>. La respuesta oficial a la crisis de la COVID</w:t>
      </w:r>
      <w:r w:rsidRPr="00724BDC">
        <w:rPr>
          <w:rFonts w:ascii="Cambria Math" w:hAnsi="Cambria Math" w:cs="Cambria Math"/>
          <w:color w:val="000000"/>
        </w:rPr>
        <w:t>‑</w:t>
      </w:r>
      <w:r w:rsidRPr="00724BDC">
        <w:rPr>
          <w:color w:val="000000"/>
        </w:rPr>
        <w:t>19 implica un aumento enorme del d</w:t>
      </w:r>
      <w:r w:rsidRPr="00724BDC">
        <w:rPr>
          <w:rFonts w:ascii="Calibri" w:hAnsi="Calibri" w:cs="Calibri"/>
          <w:color w:val="000000"/>
        </w:rPr>
        <w:t>é</w:t>
      </w:r>
      <w:r w:rsidRPr="00724BDC">
        <w:rPr>
          <w:color w:val="000000"/>
        </w:rPr>
        <w:t>ficit fiscal, del orden del 10% del PIB o más, en un momento en que los niveles de deuda pública en muchos países ya eran</w:t>
      </w:r>
      <w:r>
        <w:rPr>
          <w:color w:val="000000"/>
        </w:rPr>
        <w:t xml:space="preserve"> altos e incluso insostenibles.</w:t>
      </w:r>
    </w:p>
    <w:p w:rsidR="006E5D75" w:rsidRPr="00724BDC" w:rsidRDefault="006E5D75" w:rsidP="006E5D75">
      <w:pPr>
        <w:pStyle w:val="NormalWeb"/>
        <w:spacing w:after="360"/>
        <w:jc w:val="both"/>
        <w:rPr>
          <w:color w:val="000000"/>
        </w:rPr>
      </w:pPr>
      <w:r w:rsidRPr="00724BDC">
        <w:rPr>
          <w:color w:val="000000"/>
        </w:rPr>
        <w:t>Para peor, la pérdida de ingresos de muchos hogares y empresas implica que los niveles de deuda del sector privado también se volverán insostenibles, lo que puede llevar a una catarata de impagos y quiebras. Sumado al aumento de los niveles de deuda pública, esto es garantía casi segura de una recuperación más anémica que la que siguió a la Gran Recesión d</w:t>
      </w:r>
      <w:r>
        <w:rPr>
          <w:color w:val="000000"/>
        </w:rPr>
        <w:t>e hace una década.</w:t>
      </w:r>
    </w:p>
    <w:p w:rsidR="006E5D75" w:rsidRPr="00724BDC" w:rsidRDefault="006E5D75" w:rsidP="006E5D75">
      <w:pPr>
        <w:pStyle w:val="NormalWeb"/>
        <w:spacing w:after="360"/>
        <w:jc w:val="both"/>
        <w:rPr>
          <w:color w:val="000000"/>
        </w:rPr>
      </w:pPr>
      <w:r w:rsidRPr="00DF5DFD">
        <w:rPr>
          <w:color w:val="FF0000"/>
          <w:u w:val="single"/>
        </w:rPr>
        <w:t>Un segundo factor es la bomba de tiempo demográfica en las economías avanzadas</w:t>
      </w:r>
      <w:r w:rsidRPr="00724BDC">
        <w:rPr>
          <w:color w:val="000000"/>
        </w:rPr>
        <w:t>. La crisis de la COVID</w:t>
      </w:r>
      <w:r w:rsidRPr="00724BDC">
        <w:rPr>
          <w:rFonts w:ascii="Cambria Math" w:hAnsi="Cambria Math" w:cs="Cambria Math"/>
          <w:color w:val="000000"/>
        </w:rPr>
        <w:t>‑</w:t>
      </w:r>
      <w:r w:rsidRPr="00724BDC">
        <w:rPr>
          <w:color w:val="000000"/>
        </w:rPr>
        <w:t>19 muestra que es necesario asignar mucho m</w:t>
      </w:r>
      <w:r w:rsidRPr="00724BDC">
        <w:rPr>
          <w:rFonts w:ascii="Calibri" w:hAnsi="Calibri" w:cs="Calibri"/>
          <w:color w:val="000000"/>
        </w:rPr>
        <w:t>á</w:t>
      </w:r>
      <w:r w:rsidRPr="00724BDC">
        <w:rPr>
          <w:color w:val="000000"/>
        </w:rPr>
        <w:t>s gasto p</w:t>
      </w:r>
      <w:r w:rsidRPr="00724BDC">
        <w:rPr>
          <w:rFonts w:ascii="Calibri" w:hAnsi="Calibri" w:cs="Calibri"/>
          <w:color w:val="000000"/>
        </w:rPr>
        <w:t>ú</w:t>
      </w:r>
      <w:r w:rsidRPr="00724BDC">
        <w:rPr>
          <w:color w:val="000000"/>
        </w:rPr>
        <w:t>blico a los sistemas sanitarios, y que la atenci</w:t>
      </w:r>
      <w:r w:rsidRPr="00724BDC">
        <w:rPr>
          <w:rFonts w:ascii="Calibri" w:hAnsi="Calibri" w:cs="Calibri"/>
          <w:color w:val="000000"/>
        </w:rPr>
        <w:t>ó</w:t>
      </w:r>
      <w:r w:rsidRPr="00724BDC">
        <w:rPr>
          <w:color w:val="000000"/>
        </w:rPr>
        <w:t>n m</w:t>
      </w:r>
      <w:r w:rsidRPr="00724BDC">
        <w:rPr>
          <w:rFonts w:ascii="Calibri" w:hAnsi="Calibri" w:cs="Calibri"/>
          <w:color w:val="000000"/>
        </w:rPr>
        <w:t>é</w:t>
      </w:r>
      <w:r w:rsidRPr="00724BDC">
        <w:rPr>
          <w:color w:val="000000"/>
        </w:rPr>
        <w:t>dica universal y otros bienes públicos relevantes son necesidades, no lujos. Sin embargo, por el envejecimiento poblacional de la mayoría de los países desarrollados, la financiación futura de esos desembolsos aumentará todavía más las deudas implícitas de los sistemas de salud y seguridad socia</w:t>
      </w:r>
      <w:r>
        <w:rPr>
          <w:color w:val="000000"/>
        </w:rPr>
        <w:t>l, que ya están desfinanciados.</w:t>
      </w:r>
    </w:p>
    <w:p w:rsidR="006E5D75" w:rsidRPr="00724BDC" w:rsidRDefault="006E5D75" w:rsidP="006E5D75">
      <w:pPr>
        <w:pStyle w:val="NormalWeb"/>
        <w:spacing w:after="360"/>
        <w:jc w:val="both"/>
        <w:rPr>
          <w:color w:val="000000"/>
        </w:rPr>
      </w:pPr>
      <w:r w:rsidRPr="00B22656">
        <w:rPr>
          <w:color w:val="FF0000"/>
          <w:u w:val="single"/>
        </w:rPr>
        <w:t>El tercer elemento es el riesgo creciente de deflación</w:t>
      </w:r>
      <w:r w:rsidRPr="00724BDC">
        <w:rPr>
          <w:color w:val="000000"/>
        </w:rPr>
        <w:t xml:space="preserve">. Además de causar una recesión profunda, la crisis también está creando un inmenso excedente en los mercados de bienes (máquinas y capacidad productiva no utilizados) y mano de obra (desempleo a gran escala), además de impulsar un derrumbe de precios de materias primas como el petróleo y los </w:t>
      </w:r>
      <w:r w:rsidRPr="00724BDC">
        <w:rPr>
          <w:color w:val="000000"/>
        </w:rPr>
        <w:lastRenderedPageBreak/>
        <w:t>metales industriales. Eso hace probable una deflación de deudas, lo que au</w:t>
      </w:r>
      <w:r>
        <w:rPr>
          <w:color w:val="000000"/>
        </w:rPr>
        <w:t>menta el riesgo de insolvencia.</w:t>
      </w:r>
    </w:p>
    <w:p w:rsidR="006E5D75" w:rsidRPr="00724BDC" w:rsidRDefault="006E5D75" w:rsidP="006E5D75">
      <w:pPr>
        <w:pStyle w:val="NormalWeb"/>
        <w:spacing w:after="360"/>
        <w:jc w:val="both"/>
        <w:rPr>
          <w:color w:val="000000"/>
        </w:rPr>
      </w:pPr>
      <w:r w:rsidRPr="00B22656">
        <w:rPr>
          <w:color w:val="FF0000"/>
          <w:u w:val="single"/>
        </w:rPr>
        <w:t>Un cuarto factor (relacionado) será la pérdida de valor de la moneda</w:t>
      </w:r>
      <w:r w:rsidRPr="00724BDC">
        <w:rPr>
          <w:color w:val="000000"/>
        </w:rPr>
        <w:t>. Los intentos de los bancos centrales de combatir la deflación y anticiparse al riesgo de una suba de tipos de interés (como resultado de la inmensa acumulación de deudas) llevarán a políticas monetarias todavía más heterodoxas y extensivas. En lo inmediato, para evitar la depresión y la deflación, los gobiernos deberán apelar al déficit fiscal monetizado. Pero con el tiempo, los shocks negativos permanentes del lado de la oferta</w:t>
      </w:r>
      <w:r>
        <w:rPr>
          <w:color w:val="000000"/>
        </w:rPr>
        <w:t>,</w:t>
      </w:r>
      <w:r w:rsidRPr="00724BDC">
        <w:rPr>
          <w:color w:val="000000"/>
        </w:rPr>
        <w:t xml:space="preserve"> resultantes de la desglobalización acelerada y del renovado proteccionismo harán casi inevitable la estanflación.</w:t>
      </w:r>
    </w:p>
    <w:p w:rsidR="006E5D75" w:rsidRPr="00724BDC" w:rsidRDefault="006E5D75" w:rsidP="006E5D75">
      <w:pPr>
        <w:pStyle w:val="NormalWeb"/>
        <w:spacing w:after="360"/>
        <w:jc w:val="both"/>
        <w:rPr>
          <w:color w:val="000000"/>
        </w:rPr>
      </w:pPr>
      <w:r w:rsidRPr="00B22656">
        <w:rPr>
          <w:color w:val="FF0000"/>
          <w:u w:val="single"/>
        </w:rPr>
        <w:t>Una quinta cuestión es la disrupción digital de la economía en general</w:t>
      </w:r>
      <w:r w:rsidRPr="00724BDC">
        <w:rPr>
          <w:color w:val="000000"/>
        </w:rPr>
        <w:t xml:space="preserve">. Con millones de personas que perderán el empleo o trabajarán y ganarán menos, las disparidades de ingresos y riqueza de la economía del siglo XXI se profundizarán. Para protegerse de futuras perturbaciones en las cadenas de suministro, las empresas en las economías avanzadas repatriarán producción de regiones de bajo costo a mercados locales más costosos. Pero en vez de favorecer a los trabajadores locales, esta tendencia acelerará la automatización, lo que generará presiones bajistas sobre los salarios y dará más sustento al populismo, </w:t>
      </w:r>
      <w:r>
        <w:rPr>
          <w:color w:val="000000"/>
        </w:rPr>
        <w:t>el nacionalismo y la xenofobia.</w:t>
      </w:r>
    </w:p>
    <w:p w:rsidR="006E5D75" w:rsidRPr="00724BDC" w:rsidRDefault="006E5D75" w:rsidP="006E5D75">
      <w:pPr>
        <w:pStyle w:val="NormalWeb"/>
        <w:spacing w:after="360"/>
        <w:jc w:val="both"/>
        <w:rPr>
          <w:color w:val="000000"/>
        </w:rPr>
      </w:pPr>
      <w:r w:rsidRPr="00B22656">
        <w:rPr>
          <w:color w:val="FF0000"/>
          <w:u w:val="single"/>
        </w:rPr>
        <w:t>Esto nos lleva al sexto factor importante: la desglobalización</w:t>
      </w:r>
      <w:r w:rsidRPr="00724BDC">
        <w:rPr>
          <w:color w:val="000000"/>
        </w:rPr>
        <w:t>. La pandemia está acelerando tendencias ya muy avanzadas hacia la balcanización y la fragmentación. El desacople entre Estados Unidos y China se acentuará, y la mayoría de los países responderán con políticas todavía más proteccionistas para blindar a empresas y trabajadores locales contra disrupciones internacionales. El mundo posterior a la pandemia se caracterizará por restricciones más estrictas al movimiento de bienes, servicios, capital, mano de obra, tecnología, datos e información. Ya está sucediendo en los sectores farmacéutico, de equipamiento médico y de los alimentos, donde en respuesta a la crisis los gobiernos han comenzado a imponer restricciones a las exportaciones y</w:t>
      </w:r>
      <w:r>
        <w:rPr>
          <w:color w:val="000000"/>
        </w:rPr>
        <w:t xml:space="preserve"> otras medidas proteccionistas.</w:t>
      </w:r>
    </w:p>
    <w:p w:rsidR="006E5D75" w:rsidRPr="00724BDC" w:rsidRDefault="006E5D75" w:rsidP="006E5D75">
      <w:pPr>
        <w:pStyle w:val="NormalWeb"/>
        <w:spacing w:after="360"/>
        <w:jc w:val="both"/>
        <w:rPr>
          <w:color w:val="000000"/>
        </w:rPr>
      </w:pPr>
      <w:r w:rsidRPr="00724BDC">
        <w:rPr>
          <w:color w:val="000000"/>
        </w:rPr>
        <w:t>La avanzada antidemocrática reforzará esta tendencia. Los líderes populistas suelen sacar provecho de la debilidad económica, el desempleo a gran escala y el aumento de la desigualdad. En condiciones de mayor incertidumbre económica, habrá un fuerte impulso a echar la culpa de la crisis a los extranjeros. Los trabajadores industriales y grandes franjas de la clase media se volverán más permeables a la retórica populista, en particular en lo referido a restringir</w:t>
      </w:r>
      <w:r>
        <w:rPr>
          <w:color w:val="000000"/>
        </w:rPr>
        <w:t xml:space="preserve"> las migraciones y el comercio.</w:t>
      </w:r>
    </w:p>
    <w:p w:rsidR="006E5D75" w:rsidRPr="00724BDC" w:rsidRDefault="006E5D75" w:rsidP="006E5D75">
      <w:pPr>
        <w:pStyle w:val="NormalWeb"/>
        <w:spacing w:after="360"/>
        <w:jc w:val="both"/>
        <w:rPr>
          <w:color w:val="000000"/>
        </w:rPr>
      </w:pPr>
      <w:r w:rsidRPr="00B22656">
        <w:rPr>
          <w:color w:val="FF0000"/>
          <w:u w:val="single"/>
        </w:rPr>
        <w:t>Esto nos trae a un octavo factor: el enfrentamiento geoestratégico entre Estados Unidos y China</w:t>
      </w:r>
      <w:r w:rsidRPr="00724BDC">
        <w:rPr>
          <w:color w:val="000000"/>
        </w:rPr>
        <w:t>. Con el gobierno de Trump empeñado en culpar a China por la pandemia, el régimen del presidente chino Xi Jinping insistirá en afirmar que Estados Unidos conspira para impedir el ascenso pacífico de China. El desacople sinoestadounidense en comercio, tecnología, inversiones, datos y acuerd</w:t>
      </w:r>
      <w:r>
        <w:rPr>
          <w:color w:val="000000"/>
        </w:rPr>
        <w:t>os monetarios se intensificará.</w:t>
      </w:r>
    </w:p>
    <w:p w:rsidR="006E5D75" w:rsidRPr="00724BDC" w:rsidRDefault="006E5D75" w:rsidP="006E5D75">
      <w:pPr>
        <w:pStyle w:val="NormalWeb"/>
        <w:spacing w:after="360"/>
        <w:jc w:val="both"/>
        <w:rPr>
          <w:color w:val="000000"/>
        </w:rPr>
      </w:pPr>
      <w:r w:rsidRPr="00724BDC">
        <w:rPr>
          <w:color w:val="000000"/>
        </w:rPr>
        <w:t>Para peor, esta ruptura diplomática creará condiciones para una nueva guerra fría entre Estados Unidos y sus rivales, no sólo China, sino también Rusia, Irán y Corea del Norte. Con la cercanía de una elección presidencial en Estados Unidos, sobran motivos para esperar un incremento de acciones ciberbélicas clandestinas, que pueden llevar incluso a conflictos militares convencionales. Y como la tecnología es el arma clave en la lucha por el control de las industrias del futuro y en el combate a la pandemia, el sector privado estadounidense quedará cada vez más ligado al complejo in</w:t>
      </w:r>
      <w:r>
        <w:rPr>
          <w:color w:val="000000"/>
        </w:rPr>
        <w:t>dustrial/de seguridad nacional.</w:t>
      </w:r>
    </w:p>
    <w:p w:rsidR="006E5D75" w:rsidRPr="00724BDC" w:rsidRDefault="006E5D75" w:rsidP="006E5D75">
      <w:pPr>
        <w:pStyle w:val="NormalWeb"/>
        <w:spacing w:after="360"/>
        <w:jc w:val="both"/>
        <w:rPr>
          <w:color w:val="000000"/>
        </w:rPr>
      </w:pPr>
      <w:r w:rsidRPr="00B22656">
        <w:rPr>
          <w:color w:val="FF0000"/>
          <w:u w:val="single"/>
        </w:rPr>
        <w:lastRenderedPageBreak/>
        <w:t>Un último riesgo que no es posible pasar por alto es la disrupción medioambiental, que como muestra la crisis de la COVID</w:t>
      </w:r>
      <w:r w:rsidRPr="00B22656">
        <w:rPr>
          <w:rFonts w:ascii="Cambria Math" w:hAnsi="Cambria Math" w:cs="Cambria Math"/>
          <w:color w:val="FF0000"/>
          <w:u w:val="single"/>
        </w:rPr>
        <w:t>‑</w:t>
      </w:r>
      <w:r w:rsidRPr="00B22656">
        <w:rPr>
          <w:color w:val="FF0000"/>
          <w:u w:val="single"/>
        </w:rPr>
        <w:t>19, puede causar mucho m</w:t>
      </w:r>
      <w:r w:rsidRPr="00B22656">
        <w:rPr>
          <w:rFonts w:ascii="Calibri" w:hAnsi="Calibri" w:cs="Calibri"/>
          <w:color w:val="FF0000"/>
          <w:u w:val="single"/>
        </w:rPr>
        <w:t>á</w:t>
      </w:r>
      <w:r w:rsidRPr="00B22656">
        <w:rPr>
          <w:color w:val="FF0000"/>
          <w:u w:val="single"/>
        </w:rPr>
        <w:t>s da</w:t>
      </w:r>
      <w:r w:rsidRPr="00B22656">
        <w:rPr>
          <w:rFonts w:ascii="Calibri" w:hAnsi="Calibri" w:cs="Calibri"/>
          <w:color w:val="FF0000"/>
          <w:u w:val="single"/>
        </w:rPr>
        <w:t>ñ</w:t>
      </w:r>
      <w:r w:rsidRPr="00B22656">
        <w:rPr>
          <w:color w:val="FF0000"/>
          <w:u w:val="single"/>
        </w:rPr>
        <w:t>o econ</w:t>
      </w:r>
      <w:r w:rsidRPr="00B22656">
        <w:rPr>
          <w:rFonts w:ascii="Calibri" w:hAnsi="Calibri" w:cs="Calibri"/>
          <w:color w:val="FF0000"/>
          <w:u w:val="single"/>
        </w:rPr>
        <w:t>ó</w:t>
      </w:r>
      <w:r w:rsidRPr="00B22656">
        <w:rPr>
          <w:color w:val="FF0000"/>
          <w:u w:val="single"/>
        </w:rPr>
        <w:t>mico que una crisis financiera</w:t>
      </w:r>
      <w:r w:rsidRPr="00724BDC">
        <w:rPr>
          <w:color w:val="000000"/>
        </w:rPr>
        <w:t xml:space="preserve">. Las sucesivas epidemias (el VIH desde los ochenta, el SARS en 2003, el H1N1 en 2009, el MERS en 2011, el </w:t>
      </w:r>
      <w:r w:rsidRPr="00302642">
        <w:rPr>
          <w:color w:val="000000"/>
        </w:rPr>
        <w:t>ébola</w:t>
      </w:r>
      <w:r w:rsidRPr="00724BDC">
        <w:rPr>
          <w:color w:val="000000"/>
        </w:rPr>
        <w:t xml:space="preserve"> en 2014</w:t>
      </w:r>
      <w:r w:rsidRPr="00724BDC">
        <w:rPr>
          <w:rFonts w:ascii="Cambria Math" w:hAnsi="Cambria Math" w:cs="Cambria Math"/>
          <w:color w:val="000000"/>
        </w:rPr>
        <w:t>‑</w:t>
      </w:r>
      <w:r w:rsidRPr="00724BDC">
        <w:rPr>
          <w:color w:val="000000"/>
        </w:rPr>
        <w:t>16) son, como el cambio clim</w:t>
      </w:r>
      <w:r w:rsidRPr="00724BDC">
        <w:rPr>
          <w:rFonts w:ascii="Calibri" w:hAnsi="Calibri" w:cs="Calibri"/>
          <w:color w:val="000000"/>
        </w:rPr>
        <w:t>á</w:t>
      </w:r>
      <w:r w:rsidRPr="00724BDC">
        <w:rPr>
          <w:color w:val="000000"/>
        </w:rPr>
        <w:t>tico, desastres creados básicamente por la acción humana, derivados de malas condiciones sanitarias, el abuso de los sistemas naturales y la creciente interconectividad de un mundo globalizado. En los años venideros, las pandemias y los numerosos síntomas mórbidos del cambio climático se volverán más frecuentes, graves y costosos.</w:t>
      </w:r>
    </w:p>
    <w:p w:rsidR="006E5D75" w:rsidRPr="00B22656" w:rsidRDefault="006E5D75" w:rsidP="006E5D75">
      <w:pPr>
        <w:pStyle w:val="NormalWeb"/>
        <w:spacing w:after="360"/>
        <w:jc w:val="both"/>
        <w:rPr>
          <w:color w:val="FF0000"/>
          <w:u w:val="single"/>
        </w:rPr>
      </w:pPr>
      <w:r w:rsidRPr="00B22656">
        <w:rPr>
          <w:color w:val="FF0000"/>
          <w:u w:val="single"/>
        </w:rPr>
        <w:t>Estos diez riesgos, que ya eran grandes antes de la COVID</w:t>
      </w:r>
      <w:r w:rsidRPr="00B22656">
        <w:rPr>
          <w:rFonts w:ascii="Cambria Math" w:hAnsi="Cambria Math" w:cs="Cambria Math"/>
          <w:color w:val="FF0000"/>
          <w:u w:val="single"/>
        </w:rPr>
        <w:t>‑</w:t>
      </w:r>
      <w:r w:rsidRPr="00B22656">
        <w:rPr>
          <w:color w:val="FF0000"/>
          <w:u w:val="single"/>
        </w:rPr>
        <w:t>19, ahora amenazan con impulsar una tormenta perfecta capaz de hundir a toda la econom</w:t>
      </w:r>
      <w:r w:rsidRPr="00B22656">
        <w:rPr>
          <w:rFonts w:ascii="Calibri" w:hAnsi="Calibri" w:cs="Calibri"/>
          <w:color w:val="FF0000"/>
          <w:u w:val="single"/>
        </w:rPr>
        <w:t>í</w:t>
      </w:r>
      <w:r w:rsidRPr="00B22656">
        <w:rPr>
          <w:color w:val="FF0000"/>
          <w:u w:val="single"/>
        </w:rPr>
        <w:t>a mundial en una d</w:t>
      </w:r>
      <w:r w:rsidRPr="00B22656">
        <w:rPr>
          <w:rFonts w:ascii="Calibri" w:hAnsi="Calibri" w:cs="Calibri"/>
          <w:color w:val="FF0000"/>
          <w:u w:val="single"/>
        </w:rPr>
        <w:t>é</w:t>
      </w:r>
      <w:r w:rsidRPr="00B22656">
        <w:rPr>
          <w:color w:val="FF0000"/>
          <w:u w:val="single"/>
        </w:rPr>
        <w:t>cada de desesperaci</w:t>
      </w:r>
      <w:r w:rsidRPr="00B22656">
        <w:rPr>
          <w:rFonts w:ascii="Calibri" w:hAnsi="Calibri" w:cs="Calibri"/>
          <w:color w:val="FF0000"/>
          <w:u w:val="single"/>
        </w:rPr>
        <w:t>ó</w:t>
      </w:r>
      <w:r w:rsidRPr="00B22656">
        <w:rPr>
          <w:color w:val="FF0000"/>
          <w:u w:val="single"/>
        </w:rPr>
        <w:t>n. Tal vez cuando lleguen los años treinta, la tecnología y un liderazgo político más competente puedan reducir, resolver o minimizar muchos de estos problemas y producir un orden internacional más inclusivo, cooperativo y estable. Pero el final feliz depende de hallar un modo de sobrevivir a la inminente Mayor Depresión.</w:t>
      </w:r>
    </w:p>
    <w:p w:rsidR="006E5D75" w:rsidRPr="00775512" w:rsidRDefault="006E5D75" w:rsidP="006E5D75">
      <w:pPr>
        <w:pStyle w:val="NormalWeb"/>
        <w:spacing w:before="0" w:beforeAutospacing="0" w:after="360" w:afterAutospacing="0"/>
        <w:jc w:val="both"/>
        <w:rPr>
          <w:color w:val="000000"/>
          <w:lang w:val="en-US"/>
        </w:rPr>
      </w:pPr>
      <w:r>
        <w:rPr>
          <w:color w:val="000000"/>
          <w:lang w:val="en-US"/>
        </w:rPr>
        <w:t>(</w:t>
      </w:r>
      <w:r w:rsidRPr="00724BDC">
        <w:rPr>
          <w:color w:val="000000"/>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Pr>
          <w:color w:val="000000"/>
          <w:lang w:val="en-US"/>
        </w:rPr>
        <w:t>al Reserve, and the World Bank</w:t>
      </w:r>
      <w:r w:rsidRPr="00775512">
        <w:rPr>
          <w:color w:val="000000"/>
          <w:lang w:val="en-US"/>
        </w:rPr>
        <w:t>)</w:t>
      </w:r>
    </w:p>
    <w:p w:rsidR="006E5D75" w:rsidRPr="00B22656" w:rsidRDefault="006E5D75" w:rsidP="006E5D75">
      <w:pPr>
        <w:pStyle w:val="NormalWeb"/>
        <w:spacing w:before="0" w:beforeAutospacing="0" w:after="360" w:afterAutospacing="0"/>
        <w:jc w:val="both"/>
        <w:rPr>
          <w:color w:val="000000"/>
        </w:rPr>
      </w:pPr>
      <w:r w:rsidRPr="007233D7">
        <w:rPr>
          <w:b/>
        </w:rPr>
        <w:t>La “ta</w:t>
      </w:r>
      <w:r>
        <w:rPr>
          <w:b/>
        </w:rPr>
        <w:t xml:space="preserve">nguedia” del petróleo: </w:t>
      </w:r>
      <w:r w:rsidRPr="007233D7">
        <w:rPr>
          <w:b/>
        </w:rPr>
        <w:t>éramos pocos,</w:t>
      </w:r>
      <w:r>
        <w:rPr>
          <w:b/>
        </w:rPr>
        <w:t xml:space="preserve"> y</w:t>
      </w:r>
      <w:r w:rsidRPr="007233D7">
        <w:rPr>
          <w:b/>
        </w:rPr>
        <w:t xml:space="preserve"> parió la abuela </w:t>
      </w:r>
    </w:p>
    <w:p w:rsidR="006E5D75" w:rsidRPr="003B31F4" w:rsidRDefault="006E5D75" w:rsidP="006E5D75">
      <w:pPr>
        <w:pStyle w:val="NormalWeb"/>
        <w:spacing w:after="0"/>
        <w:jc w:val="both"/>
        <w:textAlignment w:val="baseline"/>
        <w:rPr>
          <w:lang w:val="en-US"/>
        </w:rPr>
      </w:pPr>
      <w:r>
        <w:rPr>
          <w:lang w:val="en-US"/>
        </w:rPr>
        <w:t xml:space="preserve">- </w:t>
      </w:r>
      <w:r w:rsidRPr="003B31F4">
        <w:rPr>
          <w:u w:val="single"/>
          <w:lang w:val="en-US"/>
        </w:rPr>
        <w:t>Oil Takes Historic Dive Below Zero as Demand Collapses</w:t>
      </w:r>
      <w:r>
        <w:rPr>
          <w:lang w:val="en-US"/>
        </w:rPr>
        <w:t xml:space="preserve"> (WSJ - </w:t>
      </w:r>
      <w:r w:rsidRPr="003B31F4">
        <w:rPr>
          <w:b/>
          <w:lang w:val="en-US"/>
        </w:rPr>
        <w:t>20/4/20</w:t>
      </w:r>
      <w:r>
        <w:rPr>
          <w:lang w:val="en-US"/>
        </w:rPr>
        <w:t>)</w:t>
      </w:r>
    </w:p>
    <w:p w:rsidR="006E5D75" w:rsidRDefault="006E5D75" w:rsidP="006E5D75">
      <w:pPr>
        <w:pStyle w:val="NormalWeb"/>
        <w:spacing w:after="0"/>
        <w:jc w:val="both"/>
        <w:textAlignment w:val="baseline"/>
        <w:rPr>
          <w:lang w:val="en-US"/>
        </w:rPr>
      </w:pPr>
      <w:r w:rsidRPr="003B31F4">
        <w:rPr>
          <w:lang w:val="en-US"/>
        </w:rPr>
        <w:t>The price of a barrel of West Texas Intermediate crude to be delivered in May ended at negative $</w:t>
      </w:r>
      <w:r w:rsidR="00302642">
        <w:rPr>
          <w:lang w:val="en-US"/>
        </w:rPr>
        <w:t>37,</w:t>
      </w:r>
      <w:r w:rsidRPr="003B31F4">
        <w:rPr>
          <w:lang w:val="en-US"/>
        </w:rPr>
        <w:t>63, a chaotic demonstration of the dwindling capacity to store all the oil that the world’s stalled economy would otherwise be using.</w:t>
      </w:r>
    </w:p>
    <w:p w:rsidR="006E5D75" w:rsidRPr="003823DA" w:rsidRDefault="006E5D75" w:rsidP="006E5D75">
      <w:pPr>
        <w:pStyle w:val="NormalWeb"/>
        <w:spacing w:after="0"/>
        <w:jc w:val="both"/>
        <w:textAlignment w:val="baseline"/>
      </w:pPr>
      <w:r>
        <w:t xml:space="preserve">- </w:t>
      </w:r>
      <w:r w:rsidRPr="003823DA">
        <w:rPr>
          <w:u w:val="single"/>
        </w:rPr>
        <w:t>Caída del precio del petróleo: 3 razones por las que el precio del crudo estadounidense WTI se vendió a precio negativo y cómo afecta a América Latina</w:t>
      </w:r>
      <w:r>
        <w:t xml:space="preserve"> (BBCMundo - </w:t>
      </w:r>
      <w:r w:rsidRPr="003823DA">
        <w:rPr>
          <w:b/>
        </w:rPr>
        <w:t>20/4/20</w:t>
      </w:r>
      <w:r>
        <w:t>)</w:t>
      </w:r>
    </w:p>
    <w:p w:rsidR="006E5D75" w:rsidRPr="003823DA" w:rsidRDefault="006E5D75" w:rsidP="006E5D75">
      <w:pPr>
        <w:pStyle w:val="NormalWeb"/>
        <w:spacing w:after="0"/>
        <w:jc w:val="both"/>
        <w:textAlignment w:val="baseline"/>
      </w:pPr>
      <w:r>
        <w:t>(Por Ángel Bermúdez</w:t>
      </w:r>
      <w:r w:rsidRPr="003823DA">
        <w:t>)</w:t>
      </w:r>
    </w:p>
    <w:p w:rsidR="006E5D75" w:rsidRDefault="006E5D75" w:rsidP="006E5D75">
      <w:pPr>
        <w:pStyle w:val="NormalWeb"/>
        <w:spacing w:after="0"/>
        <w:jc w:val="both"/>
        <w:textAlignment w:val="baseline"/>
      </w:pPr>
      <w:r>
        <w:t xml:space="preserve">No lo quieren ni regalado. El precio futuro del petróleo estadounidense West Texas Intermediate (WTI) para entrega en mayo sufrió este lunes una caída tan estrepitosa que pasó de cotizarse a US$ 18 por barril al inicio del </w:t>
      </w:r>
      <w:r w:rsidR="008935E0">
        <w:t xml:space="preserve">día a un precio negativo de US$ </w:t>
      </w:r>
      <w:r>
        <w:t>-35,22 al cierre de la jornada.</w:t>
      </w:r>
    </w:p>
    <w:p w:rsidR="006E5D75" w:rsidRDefault="006E5D75" w:rsidP="006E5D75">
      <w:pPr>
        <w:pStyle w:val="NormalWeb"/>
        <w:spacing w:after="0"/>
        <w:jc w:val="both"/>
        <w:textAlignment w:val="baseline"/>
      </w:pPr>
      <w:r>
        <w:t>Por primera vez en la historia este crudo estadounidense de referencia para los mercados se cotizó a un valor negativo, generando gran conmoción en el mercado energético. El desplome refleja las dificultades que ha estado experimentando el negocio petrolero mundial debido al exceso de producción y al frenazo de la demanda como consecuencia de la pandemia de coronavirus.</w:t>
      </w:r>
    </w:p>
    <w:p w:rsidR="006E5D75" w:rsidRDefault="006E5D75" w:rsidP="006E5D75">
      <w:pPr>
        <w:pStyle w:val="NormalWeb"/>
        <w:spacing w:after="0"/>
        <w:jc w:val="both"/>
        <w:textAlignment w:val="baseline"/>
      </w:pPr>
      <w:r>
        <w:t xml:space="preserve">La sacudida en Estados Unidos también afectó el precio del crudo Brent, de referencia en Europa y en el resto del mundo, cuyo valor a futuro para entrega en junio disminuyó este lunes un 8,90% hasta los US$ 25,58. </w:t>
      </w:r>
      <w:r w:rsidRPr="003823DA">
        <w:t xml:space="preserve">Además de las condiciones adversas del negocio </w:t>
      </w:r>
      <w:r w:rsidRPr="003823DA">
        <w:lastRenderedPageBreak/>
        <w:t>petrolero mundial, la caída del WTI registrada este lunes tiene fuerte relación con algunos aspectos concretos de los mercados a futuro de crudo en Estados Unidos.</w:t>
      </w:r>
    </w:p>
    <w:p w:rsidR="006E5D75" w:rsidRDefault="006E5D75" w:rsidP="006E5D75">
      <w:pPr>
        <w:pStyle w:val="NormalWeb"/>
        <w:spacing w:after="0"/>
        <w:jc w:val="both"/>
        <w:textAlignment w:val="baseline"/>
      </w:pPr>
      <w:r>
        <w:t>BBC Mundo te explica cuáles son los principales factores que incidieron en este desplome:</w:t>
      </w:r>
    </w:p>
    <w:p w:rsidR="006E5D75" w:rsidRDefault="006E5D75" w:rsidP="006E5D75">
      <w:pPr>
        <w:pStyle w:val="NormalWeb"/>
        <w:spacing w:after="0"/>
        <w:jc w:val="both"/>
        <w:textAlignment w:val="baseline"/>
      </w:pPr>
      <w:r>
        <w:t>1. Backwardation</w:t>
      </w:r>
    </w:p>
    <w:p w:rsidR="006E5D75" w:rsidRDefault="006E5D75" w:rsidP="006E5D75">
      <w:pPr>
        <w:pStyle w:val="NormalWeb"/>
        <w:spacing w:after="0"/>
        <w:jc w:val="both"/>
        <w:textAlignment w:val="baseline"/>
      </w:pPr>
      <w:r>
        <w:t xml:space="preserve">Uno de los elementos que jugó un papel más destacado en lo ocurrido con el WTI este lunes tiene que ver con que este martes culmina en Estados Unidos el plazo para el cierre de los contratos de petróleo para entrega en mayo. Eso quiere decir que, para entonces, quien tenga vigente un contrato de este tipo tendrá que honrarlo y hacerse cargo del crudo que le entregarán el próximo mes. Sin embargo, este lunes los compradores parecían desesperados por deshacerse de esos contratos y entregárselo a alguien que quisiera tomar posesión física de esos barriles. </w:t>
      </w:r>
    </w:p>
    <w:p w:rsidR="006E5D75" w:rsidRDefault="006E5D75" w:rsidP="006E5D75">
      <w:pPr>
        <w:pStyle w:val="NormalWeb"/>
        <w:spacing w:after="0"/>
        <w:jc w:val="both"/>
        <w:textAlignment w:val="baseline"/>
      </w:pPr>
      <w:r>
        <w:t>“Ellos no tienen dónde vender ese petróleo y, ante la caída de los precios, el costo de almacenarlo terminaría siendo más alto que el propio precio del petróleo, por lo que están dispuestos a pagar para que no les entreguen ese crudo”, señala el economista petrolero José Toro Hardy, quien fue miembro de la junta directiva de la estatal venezolana PDVSA. El experto explica que en estos momentos los compradores creen que se vive una situación conocida como “Backwardation”, lo que quiere decir que los precios en el futuro inmediato van a ser más bajos que los actuales lo que elimina todo incentivo para comprar ahora.</w:t>
      </w:r>
    </w:p>
    <w:p w:rsidR="006E5D75" w:rsidRDefault="006E5D75" w:rsidP="006E5D75">
      <w:pPr>
        <w:pStyle w:val="NormalWeb"/>
        <w:spacing w:after="0"/>
        <w:jc w:val="both"/>
        <w:textAlignment w:val="baseline"/>
      </w:pPr>
      <w:r>
        <w:t>2. Los depósitos en Cushing</w:t>
      </w:r>
    </w:p>
    <w:p w:rsidR="006E5D75" w:rsidRDefault="006E5D75" w:rsidP="006E5D75">
      <w:pPr>
        <w:pStyle w:val="NormalWeb"/>
        <w:spacing w:after="0"/>
        <w:jc w:val="both"/>
        <w:textAlignment w:val="baseline"/>
      </w:pPr>
      <w:r>
        <w:t>El segundo elemento que incidió en el desplome del WTI tiene que ver con que la capacidad física de almacenamiento de crudo en Estados Unidos está bastante reducida debido a la acumulación de inventarios. Quienes negocian con petróleo en Estados Unidos suelen guardar el crudo que adquieren en depósitos ubicados en la localidad de Cushing (Oklahoma) para sacarlo luego a la venta cuando surgen en los mercados a futuro precios más altos. Sin embargo, la capacidad de almacenamiento allí parece estar llegando a su tope a gran velocidad. Citando un informe de la consultora Genscape, analistas petroleros indicaron que los inventarios en Cushing crecieron 9% en la semana que culminó el pasado 17 de abril.</w:t>
      </w:r>
    </w:p>
    <w:p w:rsidR="006E5D75" w:rsidRDefault="006E5D75" w:rsidP="006E5D75">
      <w:pPr>
        <w:pStyle w:val="NormalWeb"/>
        <w:spacing w:after="0"/>
        <w:jc w:val="both"/>
        <w:textAlignment w:val="baseline"/>
      </w:pPr>
      <w:r>
        <w:t>“La capacidad de almacenamiento está demasiado limitada como para que los especuladores quieran comprar esos contratos y las refinerías están procesando poco porque en la mayor parte de los estados (de Estados Unidos) se mantienen las órdenes de confinamiento”, señaló Phil Flynn, analista de Price Futures Group, a la agencia Reuters. Así, mientras más llenos están los tanques y menos perspectivas hay de un aumento de precios, conservar los contratos de futuro para WTI significaba para muchos compradores sumar pérdidas y dolores de cabeza.</w:t>
      </w:r>
    </w:p>
    <w:p w:rsidR="006E5D75" w:rsidRDefault="006E5D75" w:rsidP="006E5D75">
      <w:pPr>
        <w:pStyle w:val="NormalWeb"/>
        <w:spacing w:after="0"/>
        <w:jc w:val="both"/>
        <w:textAlignment w:val="baseline"/>
      </w:pPr>
      <w:r>
        <w:t>3. Un mercado saturado y sin demanda</w:t>
      </w:r>
    </w:p>
    <w:p w:rsidR="006E5D75" w:rsidRDefault="006E5D75" w:rsidP="006E5D75">
      <w:pPr>
        <w:pStyle w:val="NormalWeb"/>
        <w:spacing w:after="0"/>
        <w:jc w:val="both"/>
        <w:textAlignment w:val="baseline"/>
      </w:pPr>
      <w:r>
        <w:t>La acumulación de inventarios y la caída de los precios del crudo son, a su vez, consecuencia de la deriva que en los últimos meses ha tomado el mercado petrolero mundial golpeado por el doble efecto de un exceso de producción y de un frenazo de la demanda. Desde inicios del año, los precios del petróleo venían descendiendo como consecuencia de un exceso de producción y de la caída de la demanda en China, que tuvo que ralentizar su actividad económica para hacer frente a la crisis del coronavirus.</w:t>
      </w:r>
    </w:p>
    <w:p w:rsidR="006E5D75" w:rsidRDefault="006E5D75" w:rsidP="006E5D75">
      <w:pPr>
        <w:pStyle w:val="NormalWeb"/>
        <w:spacing w:after="0"/>
        <w:jc w:val="both"/>
        <w:textAlignment w:val="baseline"/>
      </w:pPr>
      <w:r>
        <w:lastRenderedPageBreak/>
        <w:t>Esta situación se agravó en marzo, cuando Rusia se negó a acceder a una propuesta de Arabia Saudita en el marco del grupo conocido como OPEP+ (conformado por los países de la OPEP más otros productores no miembros) para reducir la producción en 1,5 millones de barriles al día para intentar apuntalar los precios. La guerra de precios entre Arabia Saudita y Rusia que hundió el valor del petróleo y las bolsas en medio de la crisis por el coronavirus Tras el fracaso de esas negociaciones, Riad inició una guerra de precios contra Moscú y anunció un aumento de su producción, iniciando una guerra de precios. Luego de una mediación del gobierno de Donald Trump, el 12 de abril los países de OPEP+ acordaron reducir en 10% la producción mundial de crudo a partir del 1 de mayo. Este recorte enorme -estimado en unos 9,6 millones de barriles diarios- corre el riesgo de llegar tarde y de ser insuficiente para la situación actual del mercado, según muchos analistas, pues es claramente menor que la caída de la demanda que se ha producido en torno a 30%.</w:t>
      </w:r>
    </w:p>
    <w:p w:rsidR="006E5D75" w:rsidRDefault="006E5D75" w:rsidP="006E5D75">
      <w:pPr>
        <w:pStyle w:val="NormalWeb"/>
        <w:spacing w:after="0"/>
        <w:jc w:val="both"/>
        <w:textAlignment w:val="baseline"/>
      </w:pPr>
      <w:r>
        <w:t>“En este momento, prácticamente todo el planeta está en cuarentena. No hay consumo de gasolina en los autos, en los aviones, en los buques. La caída de la demanda ha sido tan brusca que se presentan distorsiones muy fuertes”, señala Toro Hardy, al apuntar que tras los confinamientos en China, la epidemia de coronavirus llevó también a la paralización de Europa y Estados Unidos, grandes consumidores de petróleo. El experto considera que progresivamente oferta y demanda de crudo se irán encontrando pero advierte que no se puede predecir cuándo ocurrirá dependerá de la evolución del coronavirus. Destaca que, por lo pronto, los precios de futuro del WTI -que sirve de referencia para todo el crudo estadounidense- para junio se ubican en terreno positivo (este lunes cerraron en torno a US$ 20,43), por la esperanza de los mercados en que para entonces ya se haya iniciado la reactivación de la economía. Toro Hardy advierte, sin embargo, que la situación actual golpeará muy duro a los productores y sacará del mercado a aquellos que son más ineficientes o cuyos costos de producción son muy elevados…</w:t>
      </w:r>
    </w:p>
    <w:p w:rsidR="006E5D75" w:rsidRDefault="006E5D75" w:rsidP="006E5D75">
      <w:pPr>
        <w:pStyle w:val="NormalWeb"/>
        <w:spacing w:after="0"/>
        <w:jc w:val="both"/>
        <w:textAlignment w:val="baseline"/>
      </w:pPr>
      <w:r>
        <w:t xml:space="preserve">- </w:t>
      </w:r>
      <w:r>
        <w:rPr>
          <w:u w:val="single"/>
        </w:rPr>
        <w:t>Cuánto durará el “supercontango”</w:t>
      </w:r>
      <w:r w:rsidRPr="000F2777">
        <w:rPr>
          <w:u w:val="single"/>
        </w:rPr>
        <w:t xml:space="preserve"> en el petróleo</w:t>
      </w:r>
      <w:r>
        <w:t xml:space="preserve"> (Expansión - </w:t>
      </w:r>
      <w:r w:rsidRPr="000F2777">
        <w:rPr>
          <w:b/>
        </w:rPr>
        <w:t>21/4/20</w:t>
      </w:r>
      <w:r>
        <w:t>)</w:t>
      </w:r>
    </w:p>
    <w:p w:rsidR="006E5D75" w:rsidRDefault="006E5D75" w:rsidP="006E5D75">
      <w:pPr>
        <w:pStyle w:val="NormalWeb"/>
        <w:spacing w:after="0"/>
        <w:jc w:val="both"/>
        <w:textAlignment w:val="baseline"/>
      </w:pPr>
      <w:r>
        <w:t>Más allá del desequilibrio entre oferta y demanda, el mercado del petróleo afronta otro desequilibrio que agrava el colapso al más corto plazo. El contango, la situación en la que el precio al contado es inferior al precio a futuro, se dispara a cifras récord que multiplican más de 100 veces el nivel habitual. Las diferencias a un mes vista alcanzaron ayer los 58 dólares.</w:t>
      </w:r>
    </w:p>
    <w:p w:rsidR="006E5D75" w:rsidRDefault="006E5D75" w:rsidP="006E5D75">
      <w:pPr>
        <w:pStyle w:val="NormalWeb"/>
        <w:spacing w:after="0"/>
        <w:jc w:val="both"/>
        <w:textAlignment w:val="baseline"/>
      </w:pPr>
      <w:r>
        <w:t>Los analistas lo venían advirtiendo durante las últimas semanas: el descuento histórico con el que cotiza el petróleo en EEUU respecto a los contratos a futuro supone un estímulo añadido para el almacenamiento de crudo, justo cuando el mayor riesgo que afronta en la actualidad el mercado es que los almacenes se vean desbordados por el excedente récord de crudo. El mercado del petróleo no había vivido una caída tan abrupta de la demanda, y de ahí el “agujero” del que advierten algunos analistas. En otras crisis el descenso de la demanda es más progresivo. En esta ocasión, debido a las medidas de confinamiento, la magnitud del desplome es muy superior.</w:t>
      </w:r>
    </w:p>
    <w:p w:rsidR="006E5D75" w:rsidRDefault="006E5D75" w:rsidP="006E5D75">
      <w:pPr>
        <w:pStyle w:val="NormalWeb"/>
        <w:spacing w:after="0"/>
        <w:jc w:val="both"/>
        <w:textAlignment w:val="baseline"/>
      </w:pPr>
      <w:r>
        <w:t>Como señalan desde Rabobank, “si la demanda baja un 30% y la OPEP reduce el suministro un 10%, todavía existe una gran diferencia”. El recorte histórico de la denominada OPEP+ (los países de la OPEP más aliados como Rusia) pierde todo efecto cuando el desplome de la demanda es muy superior, como apuntaban los analistas de Julius Baer.</w:t>
      </w:r>
    </w:p>
    <w:p w:rsidR="006E5D75" w:rsidRDefault="006E5D75" w:rsidP="006E5D75">
      <w:pPr>
        <w:pStyle w:val="NormalWeb"/>
        <w:spacing w:after="0"/>
        <w:jc w:val="both"/>
        <w:textAlignment w:val="baseline"/>
      </w:pPr>
      <w:r>
        <w:t xml:space="preserve">El contexto es el ideal para desencadenar un “supercontango”, como lo califican desde Citigroup. La dificultad para encontrar compradores de petróleo en un mes en el que la </w:t>
      </w:r>
      <w:r>
        <w:lastRenderedPageBreak/>
        <w:t>demanda podría desplomarse un 30% provoca precios de saldo para intentar dar salida a la producción. Los recortes en el bombeo acordados por la OPEP+, además, no entrarán en vigor hasta mayo, y podrían no tocar suelo hasta junio.</w:t>
      </w:r>
    </w:p>
    <w:p w:rsidR="006E5D75" w:rsidRDefault="006E5D75" w:rsidP="006E5D75">
      <w:pPr>
        <w:pStyle w:val="NormalWeb"/>
        <w:spacing w:after="0"/>
        <w:jc w:val="both"/>
        <w:textAlignment w:val="baseline"/>
      </w:pPr>
      <w:r>
        <w:t>El desplome adicional en el precio de los contratos de mayo del barril tipo West Texas se han agravado a medida que se ha acercado la fecha de hoy, en la que expira su vigencia. Según ING, los inversores han deshecho posiciones de manera acelerada para “pasarse” al contrato de junio.</w:t>
      </w:r>
    </w:p>
    <w:p w:rsidR="006E5D75" w:rsidRDefault="006E5D75" w:rsidP="006E5D75">
      <w:pPr>
        <w:pStyle w:val="NormalWeb"/>
        <w:spacing w:after="0"/>
        <w:jc w:val="both"/>
        <w:textAlignment w:val="baseline"/>
      </w:pPr>
      <w:r>
        <w:t>La curva del “supercontango”</w:t>
      </w:r>
    </w:p>
    <w:p w:rsidR="006E5D75" w:rsidRDefault="006E5D75" w:rsidP="006E5D75">
      <w:pPr>
        <w:pStyle w:val="NormalWeb"/>
        <w:spacing w:after="0"/>
        <w:jc w:val="both"/>
        <w:textAlignment w:val="baseline"/>
      </w:pPr>
      <w:r>
        <w:t>Cuando la demanda sufre un desplome histórico y el contrato de mayo del West Texas se ha derrumbado en un crash histórico a precios negativos, hasta los -37 dólares al cierre de ayer, el diferencial respeto al precio del contrato de junio (21 dólares al cierre de ayer) se dispara a 58 dólares. Con esta diferencia el aliciente para no vender y esperar precios más atractivos es evidente. El diferencial actual supone multiplicar por más de 100 el margen de 0,40-0,50 dólares predominante entre contratos a un mes vista en mercados “normales”, sin el desequilibrio actual provocado por el derrumbe de la demanda a causa de la paralización de las economías por el coronavirus.</w:t>
      </w:r>
    </w:p>
    <w:p w:rsidR="006E5D75" w:rsidRDefault="006E5D75" w:rsidP="006E5D75">
      <w:pPr>
        <w:pStyle w:val="NormalWeb"/>
        <w:spacing w:after="0"/>
        <w:jc w:val="both"/>
        <w:textAlignment w:val="baseline"/>
      </w:pPr>
      <w:r>
        <w:t>Este “supercontango”, como señalan desde Citigroup, no se limita ni mucho menos al más corto plazo. El diferencial de precios entre el contrato de mayo, que expira hoy, y el de julio se amplía a 64 dólares. La cuantía se eleva a 66 dólares respecto al contrato de agosto, y se dispara al borde de los 70 dólares frente al contrato de diciembre. Esta curva tan pronunciada de precios, sin precedentes, va acorde con el diferencial extremo en los retornos esperados si la venta se materializara en meses venideros.</w:t>
      </w:r>
    </w:p>
    <w:p w:rsidR="006E5D75" w:rsidRDefault="006E5D75" w:rsidP="006E5D75">
      <w:pPr>
        <w:pStyle w:val="NormalWeb"/>
        <w:spacing w:after="0"/>
        <w:jc w:val="both"/>
        <w:textAlignment w:val="baseline"/>
      </w:pPr>
      <w:r>
        <w:t>De acuerdo con los analistas de Citigroup, la curva de precios podría no aplanarse hasta el tercer trimestre del año, y tomando como referencia lo sucedido en 1998-2000 y en la crisis de 2008, apuntan que serían necesarios otros 3-6 meses para que el mercado diera un vuelco y el “supercontango” dejara paso a un “superbackwardation”, la situación en la que el precio al contado es superior al de los precios a futuro.</w:t>
      </w:r>
    </w:p>
    <w:p w:rsidR="006E5D75" w:rsidRDefault="006E5D75" w:rsidP="006E5D75">
      <w:pPr>
        <w:pStyle w:val="NormalWeb"/>
        <w:spacing w:after="0"/>
        <w:jc w:val="both"/>
        <w:textAlignment w:val="baseline"/>
      </w:pPr>
      <w:r>
        <w:t>Detrás de este vuelco estaría el giro esperado en las cifras de inventarios de crudo. Citi prevé un aumento récord de las reservas en el segundo trimestre, debido al derrumbe de la demanda. Pero también vaticina un descenso récord de los inventarios en el tercer trimestre del año al reflejar tanto la reactivación de la demanda como la materialización de los recortes previstos en la producción. Los acordados por la denominada OPEP+ entrarán en vigor a partir del 1 de mayo. La magnitud del desequilibrio del mercado en el segundo trimestre, con las alertas centradas en la capacidad de almacenamiento del excedente previsto, daría paso a un periodo de seis trimestres consecutivos de caída en los stocks, según las estimaciones barajadas por Citigroup. A la espera de la confirmación de estas previsiones, los niveles actuales de contango añaden más presión al mercado del petróleo en su peor mes de la historia, según lo reconoció la OPEP. Queda por ver si esta situación extrema acaba corroborando las predicciones más extremas surgidas hace un mes, y que auguraban una eventual caída del petróleo a cero dólares.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hacerla corta (la verdad de la milanesa): con la crisis del Covid 19, nos vamos todos a la mierda (económicamente hablando), pero lo peor, es que la mierda no va a alcanzar para todos (socialmente hablando). O sea.</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Hasta aquí, lo publicado en el Paper anterior, ahora agrego nueva información:</w:t>
      </w:r>
    </w:p>
    <w:p w:rsidR="006E5D75" w:rsidRPr="002C51B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51B5">
        <w:rPr>
          <w:rFonts w:ascii="Times New Roman" w:hAnsi="Times New Roman" w:cs="Times New Roman"/>
          <w:sz w:val="24"/>
          <w:szCs w:val="24"/>
          <w:u w:val="single"/>
        </w:rPr>
        <w:t>Estados Unidos debe prepararse para una epidemia de quiebras</w:t>
      </w:r>
      <w:r>
        <w:rPr>
          <w:rFonts w:ascii="Times New Roman" w:hAnsi="Times New Roman" w:cs="Times New Roman"/>
          <w:sz w:val="24"/>
          <w:szCs w:val="24"/>
        </w:rPr>
        <w:t xml:space="preserve"> (Project Syndicate - </w:t>
      </w:r>
      <w:r w:rsidRPr="002C51B5">
        <w:rPr>
          <w:rFonts w:ascii="Times New Roman" w:hAnsi="Times New Roman" w:cs="Times New Roman"/>
          <w:b/>
          <w:sz w:val="24"/>
          <w:szCs w:val="24"/>
        </w:rPr>
        <w:t>5/5/20</w:t>
      </w:r>
      <w:r>
        <w:rPr>
          <w:rFonts w:ascii="Times New Roman" w:hAnsi="Times New Roman" w:cs="Times New Roman"/>
          <w:sz w:val="24"/>
          <w:szCs w:val="24"/>
        </w:rPr>
        <w:t>)</w:t>
      </w:r>
    </w:p>
    <w:p w:rsidR="006E5D75" w:rsidRPr="00E200F7" w:rsidRDefault="006E5D75" w:rsidP="006E5D75">
      <w:pPr>
        <w:spacing w:line="240" w:lineRule="auto"/>
        <w:jc w:val="both"/>
        <w:rPr>
          <w:rFonts w:ascii="Times New Roman" w:hAnsi="Times New Roman" w:cs="Times New Roman"/>
          <w:color w:val="FF0000"/>
          <w:sz w:val="24"/>
          <w:szCs w:val="24"/>
          <w:u w:val="single"/>
        </w:rPr>
      </w:pPr>
      <w:r w:rsidRPr="002C51B5">
        <w:rPr>
          <w:rFonts w:ascii="Times New Roman" w:hAnsi="Times New Roman" w:cs="Times New Roman"/>
          <w:sz w:val="24"/>
          <w:szCs w:val="24"/>
        </w:rPr>
        <w:t>P</w:t>
      </w:r>
      <w:r>
        <w:rPr>
          <w:rFonts w:ascii="Times New Roman" w:hAnsi="Times New Roman" w:cs="Times New Roman"/>
          <w:sz w:val="24"/>
          <w:szCs w:val="24"/>
        </w:rPr>
        <w:t xml:space="preserve">rovo/Cambridge.- </w:t>
      </w:r>
      <w:r w:rsidRPr="00E200F7">
        <w:rPr>
          <w:rFonts w:ascii="Times New Roman" w:hAnsi="Times New Roman" w:cs="Times New Roman"/>
          <w:color w:val="FF0000"/>
          <w:sz w:val="24"/>
          <w:szCs w:val="24"/>
          <w:u w:val="single"/>
        </w:rPr>
        <w:t>Hace poco, Neiman Marcus y J. C. Penney, dos grandes cadenas minoristas estadounidenses, incumplieron el pago de intereses de sus deudas</w:t>
      </w:r>
      <w:r w:rsidRPr="002C51B5">
        <w:rPr>
          <w:rFonts w:ascii="Times New Roman" w:hAnsi="Times New Roman" w:cs="Times New Roman"/>
          <w:sz w:val="24"/>
          <w:szCs w:val="24"/>
        </w:rPr>
        <w:t xml:space="preserve">. </w:t>
      </w:r>
      <w:r w:rsidRPr="00E200F7">
        <w:rPr>
          <w:rFonts w:ascii="Times New Roman" w:hAnsi="Times New Roman" w:cs="Times New Roman"/>
          <w:sz w:val="24"/>
          <w:szCs w:val="24"/>
          <w:u w:val="single"/>
        </w:rPr>
        <w:t>Es de prever que una de las dos empresas o ambas iniciarán en breve el procedimiento concursal; será un preanuncio de una ola de quiebras en Estados Unidos por la pandemia de COVID‑19</w:t>
      </w:r>
      <w:r w:rsidRPr="002C51B5">
        <w:rPr>
          <w:rFonts w:ascii="Times New Roman" w:hAnsi="Times New Roman" w:cs="Times New Roman"/>
          <w:sz w:val="24"/>
          <w:szCs w:val="24"/>
        </w:rPr>
        <w:t xml:space="preserve">. Y como </w:t>
      </w:r>
      <w:r w:rsidRPr="00E200F7">
        <w:rPr>
          <w:rFonts w:ascii="Times New Roman" w:hAnsi="Times New Roman" w:cs="Times New Roman"/>
          <w:color w:val="FF0000"/>
          <w:sz w:val="24"/>
          <w:szCs w:val="24"/>
          <w:u w:val="single"/>
        </w:rPr>
        <w:t>la mayoría de los hogares estadounidenses hoy carecen de efectivo para pagar tres meses de gastos, también se declararán en bancarrota muchas familias y personas.</w:t>
      </w:r>
    </w:p>
    <w:p w:rsidR="006E5D75" w:rsidRPr="00E200F7" w:rsidRDefault="006E5D75" w:rsidP="006E5D75">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Puede que antes de que pase mucho tiempo, Estados Unidos enfrente una tríada de millones de consumidores insolventes, miles de quiebras de pequeñas empresas y numerosas bancarrotas de grandes empresas que cotizan en bolsa, con industrias enteras quebrando al unísono.</w:t>
      </w:r>
    </w:p>
    <w:p w:rsidR="006E5D75" w:rsidRPr="00E200F7" w:rsidRDefault="006E5D75" w:rsidP="006E5D75">
      <w:pPr>
        <w:spacing w:line="240" w:lineRule="auto"/>
        <w:jc w:val="both"/>
        <w:rPr>
          <w:rFonts w:ascii="Times New Roman" w:hAnsi="Times New Roman" w:cs="Times New Roman"/>
          <w:sz w:val="24"/>
          <w:szCs w:val="24"/>
          <w:u w:val="single"/>
        </w:rPr>
      </w:pPr>
      <w:r w:rsidRPr="002C51B5">
        <w:rPr>
          <w:rFonts w:ascii="Times New Roman" w:hAnsi="Times New Roman" w:cs="Times New Roman"/>
          <w:sz w:val="24"/>
          <w:szCs w:val="24"/>
        </w:rPr>
        <w:t xml:space="preserve">La historia de los Estados Unidos muestra que los procedimientos de quiebra alcanzan un máximo algunos meses después de un gran aumento del desempleo. Y hoy </w:t>
      </w:r>
      <w:r w:rsidRPr="00E200F7">
        <w:rPr>
          <w:rFonts w:ascii="Times New Roman" w:hAnsi="Times New Roman" w:cs="Times New Roman"/>
          <w:sz w:val="24"/>
          <w:szCs w:val="24"/>
          <w:u w:val="single"/>
        </w:rPr>
        <w:t>el desempleo en Estados Unidos está creciendo a un ritmo inédito; en las últimas seis semanas se presentaron más de 30 millones de pedidos de ayuda por desempleo. Si la pauta histórica se mantiene en los meses venideros, puede que el sistema judicial estadounidense experimente la mayor ola de bancarrotas de su historia.</w:t>
      </w:r>
    </w:p>
    <w:p w:rsidR="006E5D75" w:rsidRPr="002C51B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276" cy="3449170"/>
            <wp:effectExtent l="0" t="0" r="3175" b="0"/>
            <wp:docPr id="4" name="Imagen 4" descr="https://webapi.project-syndicate.org/library/2b93e7699c606c1f7cfffb85ae7921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ebapi.project-syndicate.org/library/2b93e7699c606c1f7cfffb85ae79215e.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49311"/>
                    </a:xfrm>
                    <a:prstGeom prst="rect">
                      <a:avLst/>
                    </a:prstGeom>
                    <a:noFill/>
                    <a:ln>
                      <a:noFill/>
                    </a:ln>
                  </pic:spPr>
                </pic:pic>
              </a:graphicData>
            </a:graphic>
          </wp:inline>
        </w:drawing>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En tiempos normales, los procedimientos de quiebra son bastante ágiles y eficaces, en particular en lo referido a la reestructuración de grandes empresas que cotizan en bolsa. Pero no sucederá lo mismo (y la economía resultará perjudicada) si se produce una sobrecarga del sistema y las empresas quedan atasc</w:t>
      </w:r>
      <w:r>
        <w:rPr>
          <w:rFonts w:ascii="Times New Roman" w:hAnsi="Times New Roman" w:cs="Times New Roman"/>
          <w:sz w:val="24"/>
          <w:szCs w:val="24"/>
        </w:rPr>
        <w:t>adas en procedimientos legales.</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 xml:space="preserve">Si hubiera una ola de quiebras como la que ocurrió después de la crisis financiera de 2008‑10, calculamos entonces, sobre la base del tiempo que lleva cada caso, que los jueces concursales estadounidenses tendrán que trabajar alrededor de 50 horas por semana para </w:t>
      </w:r>
      <w:r w:rsidRPr="002C51B5">
        <w:rPr>
          <w:rFonts w:ascii="Times New Roman" w:hAnsi="Times New Roman" w:cs="Times New Roman"/>
          <w:sz w:val="24"/>
          <w:szCs w:val="24"/>
        </w:rPr>
        <w:lastRenderedPageBreak/>
        <w:t xml:space="preserve">seguir el ritmo. </w:t>
      </w:r>
      <w:r w:rsidRPr="00E200F7">
        <w:rPr>
          <w:rFonts w:ascii="Times New Roman" w:hAnsi="Times New Roman" w:cs="Times New Roman"/>
          <w:color w:val="FF0000"/>
          <w:sz w:val="24"/>
          <w:szCs w:val="24"/>
          <w:u w:val="single"/>
        </w:rPr>
        <w:t>En la práctica, puesto que la economía ya está experimentando una contracción más marcada que durante el derrumbe financiero de 2008, es posible que la ola de quiebras duplique a la de 2010. Incluso si se declarara en bancarrota un minúsculo 0,9% de los 30 millones de nuevos desempleados, habría más casos que en el pico de 2010</w:t>
      </w:r>
      <w:r w:rsidRPr="002C51B5">
        <w:rPr>
          <w:rFonts w:ascii="Times New Roman" w:hAnsi="Times New Roman" w:cs="Times New Roman"/>
          <w:sz w:val="24"/>
          <w:szCs w:val="24"/>
        </w:rPr>
        <w:t>. No podemos esperar que los jueces concursales trabajen 100 horas por semana. Tendrán que abreviar y priorizar algunos casos descuidando otros.</w:t>
      </w:r>
    </w:p>
    <w:p w:rsidR="006E5D75" w:rsidRPr="008B1366" w:rsidRDefault="006E5D75" w:rsidP="006E5D75">
      <w:pPr>
        <w:spacing w:line="240" w:lineRule="auto"/>
        <w:jc w:val="both"/>
        <w:rPr>
          <w:rFonts w:ascii="Times New Roman" w:hAnsi="Times New Roman" w:cs="Times New Roman"/>
          <w:sz w:val="24"/>
          <w:szCs w:val="24"/>
          <w:u w:val="single"/>
        </w:rPr>
      </w:pPr>
      <w:r w:rsidRPr="00E200F7">
        <w:rPr>
          <w:rFonts w:ascii="Times New Roman" w:hAnsi="Times New Roman" w:cs="Times New Roman"/>
          <w:sz w:val="24"/>
          <w:szCs w:val="24"/>
          <w:u w:val="single"/>
        </w:rPr>
        <w:t>En lo inmediato, algunas quiebras en Estados Unidos se evitarán gracias al apoyo estatal conforme a la Ley de Ayuda, Alivio y Seguridad Económica ante el Coronavirus (CARES). Pero muchas empresas seguirán teniendo problemas para cumplir sus obligaciones con acreedores, empleados y proveedores. Y luego seguirán siendo incapaces de pagar sus deudas, lo mismo que Neiman Marcus, J. C. Penney y buena parte de la industria petrolera. En la crisis de 2008‑10 un aumento sustancial de la ayuda económica del gobierno no lo</w:t>
      </w:r>
      <w:r>
        <w:rPr>
          <w:rFonts w:ascii="Times New Roman" w:hAnsi="Times New Roman" w:cs="Times New Roman"/>
          <w:sz w:val="24"/>
          <w:szCs w:val="24"/>
          <w:u w:val="single"/>
        </w:rPr>
        <w:t>gró evitar una ola de quiebras.</w:t>
      </w:r>
    </w:p>
    <w:p w:rsidR="006E5D75" w:rsidRPr="00E200F7" w:rsidRDefault="006E5D75" w:rsidP="006E5D75">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Contra lo que muchos piensan, la quiebra no es el final, sobre todo para las empresas con un modelo de negocios subyacente viable que cotizan en bolsa. Mientras la empresa pueda hacer dinero, la quiebra no es sinónimo de cierre y liquidación. Si hay recursos adecuados, los jueces concursales son muy capaces de reestructurar las empresas para hacerlas viables y competitivas. Por ejemplo, en las últimas décadas, la mayoría de las aerolíneas estadounidenses quebraron, se reestructuraron, y salieron de ello en buen estado. Además, la quiebra permite a los dueños de pequeñas empresas (por ejemplo, restoranes) que fracasan dejar las deudas atrás y empezar de nuevo. De modo que mantener un funcionamiento eficaz del sistema concursal es importante para el buen estado de la economía estadounidense.</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La saturación de los tribunales concursales tendrá un efecto de retroalimentación negativo sobre la economía. Para empezar, se necesitan procedimientos especiales para que las empresas quebradas paguen a los proveedores cruciales y, a veces, a los empleados. Si los tribunales se retrasan, estos pagos se demorarán, y los efectos se extenderán a lo larg</w:t>
      </w:r>
      <w:r>
        <w:rPr>
          <w:rFonts w:ascii="Times New Roman" w:hAnsi="Times New Roman" w:cs="Times New Roman"/>
          <w:sz w:val="24"/>
          <w:szCs w:val="24"/>
        </w:rPr>
        <w:t>o de las cadenas de suministro.</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Además, en los procedimientos de quiebra hay algunas decisiones que se deben tomar casi de inmediato, para que las empresas puedan reunir y conservar dinero suficiente para sobrevivir al próximo pago de sueldos. Uno de los autores publicó hace poco un estudio donde muestra que cuando los tribunales concursales se saturan, la resolución de los casos lleva más tiempo, demasiadas empresas pequeñas terminan liquidadas, y los acreedores recuperan una parte</w:t>
      </w:r>
      <w:r>
        <w:rPr>
          <w:rFonts w:ascii="Times New Roman" w:hAnsi="Times New Roman" w:cs="Times New Roman"/>
          <w:sz w:val="24"/>
          <w:szCs w:val="24"/>
        </w:rPr>
        <w:t xml:space="preserve"> menor de lo que se les adeuda.</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Para colmo, las empresas que estén al borde de la bancarrota en unos pocos meses estarán demasiado endeudadas para funcionar en forma efectiva. En esas condiciones, es común que las empresas no quieran o no puedan encarar proyectos comerciales por ventajosos que sean, lo que reducirá todavía más sus niveles de contratación e inversión. Ahora esas empresas sobreendeudadas pueden declararse en quiebra y reestructurarse rápidamente; pero de aquí a seis meses eso no será posible si los t</w:t>
      </w:r>
      <w:r>
        <w:rPr>
          <w:rFonts w:ascii="Times New Roman" w:hAnsi="Times New Roman" w:cs="Times New Roman"/>
          <w:sz w:val="24"/>
          <w:szCs w:val="24"/>
        </w:rPr>
        <w:t>ribunales estuvieran saturados.</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Encima, el 65% de los jueces concursales estadounidenses tienen más de 60 años. Como el coronavirus les dará motivos para teletrabajar, prescindirán de las reuniones «a puertas cerradas» donde es común que se llegue a un acuer</w:t>
      </w:r>
      <w:r>
        <w:rPr>
          <w:rFonts w:ascii="Times New Roman" w:hAnsi="Times New Roman" w:cs="Times New Roman"/>
          <w:sz w:val="24"/>
          <w:szCs w:val="24"/>
        </w:rPr>
        <w:t>do entre deudores y acreedores.</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Es un panorama sombrío, pero si la pauta histórica se mantiene y los pedidos de quiebra alcanzan un máximo varios meses después del inicio de una recesión, todavía hay una ventana para la acción. Si esta vez el pico de quiebras llega a</w:t>
      </w:r>
      <w:r>
        <w:rPr>
          <w:rFonts w:ascii="Times New Roman" w:hAnsi="Times New Roman" w:cs="Times New Roman"/>
          <w:sz w:val="24"/>
          <w:szCs w:val="24"/>
        </w:rPr>
        <w:t>ntes, no hay tiempo que perder.</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lastRenderedPageBreak/>
        <w:t>El Congreso de los Estados Unidos debe duplicar la cantidad de jueces concursales y su correspondiente personal auxiliar. En particular, los legisladores deben crear nuevos juzgados temporales, reasignar otros jueces federales y trasladar jueces concursales de tribunales menos atareados a otros lugares do</w:t>
      </w:r>
      <w:r>
        <w:rPr>
          <w:rFonts w:ascii="Times New Roman" w:hAnsi="Times New Roman" w:cs="Times New Roman"/>
          <w:sz w:val="24"/>
          <w:szCs w:val="24"/>
        </w:rPr>
        <w:t>nde se los necesite más.</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Son medidas poco costosas y muy rendidoras. Aunque la naturaleza cada vez más partidista de las nominaciones judiciales puede provocar algunas vacilaciones en el Congreso, la designación de jueces concursales es competencia de los tribunales de apelación federales, no del presidente, y no depende de la aprobación del Senado. El partidismo no debe impedir una ampliación de la capacidad</w:t>
      </w:r>
      <w:r>
        <w:rPr>
          <w:rFonts w:ascii="Times New Roman" w:hAnsi="Times New Roman" w:cs="Times New Roman"/>
          <w:sz w:val="24"/>
          <w:szCs w:val="24"/>
        </w:rPr>
        <w:t xml:space="preserve"> de los tribunales concursales.</w:t>
      </w:r>
    </w:p>
    <w:p w:rsidR="006E5D75" w:rsidRPr="002C51B5" w:rsidRDefault="006E5D75" w:rsidP="006E5D75">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Tenemos que reforzar esa capacidad ahora, así como quisiéramos haber incrementado la capacidad del sistema sanitario para enfrentar la COVID‑19 hace meses. Aunque la mejor solución para la amenaza de una sobrecarga de bancarrotas es que la crisis sanitaria termine lo antes posible y haya una recuperación económica rápida, no podemos depender de eso. Todavía tenemos tiempo de ventaja para asegurar el equivalente empresarial de los kits de testeo y respiradores que faltan: no repitamos el error de desaprovecharlo.</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2C51B5">
        <w:rPr>
          <w:rFonts w:ascii="Times New Roman" w:hAnsi="Times New Roman" w:cs="Times New Roman"/>
          <w:sz w:val="24"/>
          <w:szCs w:val="24"/>
          <w:lang w:val="en-US"/>
        </w:rPr>
        <w:t>Ben Iverson is a profess</w:t>
      </w:r>
      <w:r>
        <w:rPr>
          <w:rFonts w:ascii="Times New Roman" w:hAnsi="Times New Roman" w:cs="Times New Roman"/>
          <w:sz w:val="24"/>
          <w:szCs w:val="24"/>
          <w:lang w:val="en-US"/>
        </w:rPr>
        <w:t xml:space="preserve">or at Brigham Young University. </w:t>
      </w:r>
      <w:r w:rsidRPr="002C51B5">
        <w:rPr>
          <w:rFonts w:ascii="Times New Roman" w:hAnsi="Times New Roman" w:cs="Times New Roman"/>
          <w:sz w:val="24"/>
          <w:szCs w:val="24"/>
          <w:lang w:val="en-US"/>
        </w:rPr>
        <w:t>Mark Roe is a professor at Harvard Law School. He is the author of studies of the impact of politics on corporate organization and corporate governance in the Uni</w:t>
      </w:r>
      <w:r>
        <w:rPr>
          <w:rFonts w:ascii="Times New Roman" w:hAnsi="Times New Roman" w:cs="Times New Roman"/>
          <w:sz w:val="24"/>
          <w:szCs w:val="24"/>
          <w:lang w:val="en-US"/>
        </w:rPr>
        <w:t>ted States and around the world)</w:t>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B7099E">
        <w:rPr>
          <w:rFonts w:ascii="Times New Roman" w:hAnsi="Times New Roman" w:cs="Times New Roman"/>
          <w:noProof/>
          <w:color w:val="FF0000"/>
          <w:sz w:val="24"/>
          <w:szCs w:val="24"/>
          <w:lang w:val="en-GB" w:eastAsia="zh-CN"/>
        </w:rPr>
        <w:drawing>
          <wp:inline distT="0" distB="0" distL="0" distR="0">
            <wp:extent cx="5731510" cy="4028440"/>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028440"/>
                    </a:xfrm>
                    <a:prstGeom prst="rect">
                      <a:avLst/>
                    </a:prstGeom>
                  </pic:spPr>
                </pic:pic>
              </a:graphicData>
            </a:graphic>
          </wp:inline>
        </w:drawing>
      </w:r>
    </w:p>
    <w:p w:rsidR="006E5D75" w:rsidRPr="00344F06" w:rsidRDefault="006E5D75" w:rsidP="006E5D75">
      <w:pPr>
        <w:spacing w:line="240" w:lineRule="auto"/>
        <w:jc w:val="both"/>
        <w:rPr>
          <w:rFonts w:ascii="Times New Roman" w:hAnsi="Times New Roman" w:cs="Times New Roman"/>
          <w:sz w:val="24"/>
          <w:szCs w:val="24"/>
          <w:lang w:val="en-US"/>
        </w:rPr>
      </w:pPr>
      <w:r w:rsidRPr="00B7099E">
        <w:rPr>
          <w:rFonts w:ascii="Times New Roman" w:hAnsi="Times New Roman" w:cs="Times New Roman"/>
          <w:sz w:val="24"/>
          <w:szCs w:val="24"/>
          <w:lang w:val="en-US"/>
        </w:rPr>
        <w:t xml:space="preserve">(Fuente: The Wall Street Journal </w:t>
      </w:r>
      <w:r>
        <w:rPr>
          <w:rFonts w:ascii="Times New Roman" w:hAnsi="Times New Roman" w:cs="Times New Roman"/>
          <w:sz w:val="24"/>
          <w:szCs w:val="24"/>
          <w:lang w:val="en-US"/>
        </w:rPr>
        <w:t>-</w:t>
      </w:r>
      <w:r w:rsidRPr="00B7099E">
        <w:rPr>
          <w:rFonts w:ascii="Times New Roman" w:hAnsi="Times New Roman" w:cs="Times New Roman"/>
          <w:b/>
          <w:sz w:val="24"/>
          <w:szCs w:val="24"/>
          <w:lang w:val="en-US"/>
        </w:rPr>
        <w:t>9/5/20</w:t>
      </w:r>
      <w:r>
        <w:rPr>
          <w:rFonts w:ascii="Times New Roman" w:hAnsi="Times New Roman" w:cs="Times New Roman"/>
          <w:sz w:val="24"/>
          <w:szCs w:val="24"/>
          <w:lang w:val="en-US"/>
        </w:rPr>
        <w:t>)</w:t>
      </w:r>
    </w:p>
    <w:p w:rsidR="006E5D75" w:rsidRPr="008B1366" w:rsidRDefault="006E5D75" w:rsidP="006E5D75">
      <w:pPr>
        <w:spacing w:line="240" w:lineRule="auto"/>
        <w:jc w:val="both"/>
        <w:rPr>
          <w:rFonts w:ascii="Times New Roman" w:hAnsi="Times New Roman" w:cs="Times New Roman"/>
          <w:b/>
          <w:sz w:val="24"/>
          <w:szCs w:val="24"/>
        </w:rPr>
      </w:pPr>
      <w:r>
        <w:rPr>
          <w:noProof/>
          <w:lang w:val="en-GB" w:eastAsia="zh-CN"/>
        </w:rPr>
        <w:lastRenderedPageBreak/>
        <w:drawing>
          <wp:inline distT="0" distB="0" distL="0" distR="0">
            <wp:extent cx="5731510" cy="5731510"/>
            <wp:effectExtent l="0" t="0" r="2540" b="2540"/>
            <wp:docPr id="3" name="Imagen 3" descr="https://s03.s3c.es/imag/_v0/770x770/3/6/0/070520-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70/3/6/0/070520-europa.gif"/>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5731510"/>
                    </a:xfrm>
                    <a:prstGeom prst="rect">
                      <a:avLst/>
                    </a:prstGeom>
                    <a:noFill/>
                    <a:ln>
                      <a:noFill/>
                    </a:ln>
                  </pic:spPr>
                </pic:pic>
              </a:graphicData>
            </a:graphic>
          </wp:inline>
        </w:drawing>
      </w:r>
      <w:r>
        <w:rPr>
          <w:rFonts w:ascii="Times New Roman" w:hAnsi="Times New Roman" w:cs="Times New Roman"/>
          <w:sz w:val="24"/>
          <w:szCs w:val="24"/>
        </w:rPr>
        <w:t xml:space="preserve">(Fuente: El Economista - </w:t>
      </w:r>
      <w:r w:rsidRPr="001E2439">
        <w:rPr>
          <w:rFonts w:ascii="Times New Roman" w:hAnsi="Times New Roman" w:cs="Times New Roman"/>
          <w:b/>
          <w:sz w:val="24"/>
          <w:szCs w:val="24"/>
        </w:rPr>
        <w:t>5/5/20</w:t>
      </w:r>
      <w:r>
        <w:rPr>
          <w:rFonts w:ascii="Times New Roman" w:hAnsi="Times New Roman" w:cs="Times New Roman"/>
          <w:b/>
          <w:sz w:val="24"/>
          <w:szCs w:val="24"/>
        </w:rPr>
        <w:t>)</w:t>
      </w:r>
    </w:p>
    <w:p w:rsidR="006E5D75" w:rsidRPr="008B56EF" w:rsidRDefault="006E5D75" w:rsidP="006E5D75">
      <w:pPr>
        <w:spacing w:line="240" w:lineRule="auto"/>
        <w:jc w:val="both"/>
        <w:rPr>
          <w:rFonts w:ascii="Times New Roman" w:hAnsi="Times New Roman" w:cs="Times New Roman"/>
          <w:sz w:val="24"/>
          <w:szCs w:val="24"/>
          <w:lang w:val="es-ES_tradnl"/>
        </w:rPr>
      </w:pPr>
      <w:r>
        <w:rPr>
          <w:rFonts w:ascii="Times New Roman" w:hAnsi="Times New Roman" w:cs="Times New Roman"/>
          <w:sz w:val="24"/>
          <w:szCs w:val="24"/>
        </w:rPr>
        <w:t xml:space="preserve">- </w:t>
      </w:r>
      <w:r w:rsidRPr="00B9473F">
        <w:rPr>
          <w:rFonts w:ascii="Times New Roman" w:hAnsi="Times New Roman" w:cs="Times New Roman"/>
          <w:sz w:val="24"/>
          <w:szCs w:val="24"/>
          <w:u w:val="single"/>
        </w:rPr>
        <w:t>Covid-19 vs. Gran Depresión: ¿cuál será peor</w:t>
      </w:r>
      <w:proofErr w:type="gramStart"/>
      <w:r w:rsidRPr="00B9473F">
        <w:rPr>
          <w:rFonts w:ascii="Times New Roman" w:hAnsi="Times New Roman" w:cs="Times New Roman"/>
          <w:sz w:val="24"/>
          <w:szCs w:val="24"/>
          <w:u w:val="single"/>
        </w:rPr>
        <w:t>?</w:t>
      </w:r>
      <w:r w:rsidRPr="008B56EF">
        <w:rPr>
          <w:rFonts w:ascii="Times New Roman" w:hAnsi="Times New Roman" w:cs="Times New Roman"/>
          <w:sz w:val="24"/>
          <w:szCs w:val="24"/>
          <w:lang w:val="es-ES_tradnl"/>
        </w:rPr>
        <w:t>(</w:t>
      </w:r>
      <w:proofErr w:type="spellStart"/>
      <w:proofErr w:type="gramEnd"/>
      <w:r w:rsidRPr="008B56EF">
        <w:rPr>
          <w:rFonts w:ascii="Times New Roman" w:hAnsi="Times New Roman" w:cs="Times New Roman"/>
          <w:sz w:val="24"/>
          <w:szCs w:val="24"/>
          <w:lang w:val="es-ES_tradnl"/>
        </w:rPr>
        <w:t>The</w:t>
      </w:r>
      <w:proofErr w:type="spellEnd"/>
      <w:r w:rsidRPr="008B56EF">
        <w:rPr>
          <w:rFonts w:ascii="Times New Roman" w:hAnsi="Times New Roman" w:cs="Times New Roman"/>
          <w:sz w:val="24"/>
          <w:szCs w:val="24"/>
          <w:lang w:val="es-ES_tradnl"/>
        </w:rPr>
        <w:t xml:space="preserve"> Wall </w:t>
      </w:r>
      <w:proofErr w:type="spellStart"/>
      <w:r w:rsidRPr="008B56EF">
        <w:rPr>
          <w:rFonts w:ascii="Times New Roman" w:hAnsi="Times New Roman" w:cs="Times New Roman"/>
          <w:sz w:val="24"/>
          <w:szCs w:val="24"/>
          <w:lang w:val="es-ES_tradnl"/>
        </w:rPr>
        <w:t>Street</w:t>
      </w:r>
      <w:proofErr w:type="spellEnd"/>
      <w:r w:rsidRPr="008B56EF">
        <w:rPr>
          <w:rFonts w:ascii="Times New Roman" w:hAnsi="Times New Roman" w:cs="Times New Roman"/>
          <w:sz w:val="24"/>
          <w:szCs w:val="24"/>
          <w:lang w:val="es-ES_tradnl"/>
        </w:rPr>
        <w:t xml:space="preserve"> </w:t>
      </w:r>
      <w:proofErr w:type="spellStart"/>
      <w:r w:rsidRPr="008B56EF">
        <w:rPr>
          <w:rFonts w:ascii="Times New Roman" w:hAnsi="Times New Roman" w:cs="Times New Roman"/>
          <w:sz w:val="24"/>
          <w:szCs w:val="24"/>
          <w:lang w:val="es-ES_tradnl"/>
        </w:rPr>
        <w:t>Journal</w:t>
      </w:r>
      <w:proofErr w:type="spellEnd"/>
      <w:r w:rsidRPr="008B56EF">
        <w:rPr>
          <w:rFonts w:ascii="Times New Roman" w:hAnsi="Times New Roman" w:cs="Times New Roman"/>
          <w:sz w:val="24"/>
          <w:szCs w:val="24"/>
          <w:lang w:val="es-ES_tradnl"/>
        </w:rPr>
        <w:t xml:space="preserve"> - El Confidencial - </w:t>
      </w:r>
      <w:r w:rsidRPr="008B56EF">
        <w:rPr>
          <w:rFonts w:ascii="Times New Roman" w:hAnsi="Times New Roman" w:cs="Times New Roman"/>
          <w:b/>
          <w:sz w:val="24"/>
          <w:szCs w:val="24"/>
          <w:lang w:val="es-ES_tradnl"/>
        </w:rPr>
        <w:t>12/5/20</w:t>
      </w:r>
      <w:r w:rsidRPr="008B56EF">
        <w:rPr>
          <w:rFonts w:ascii="Times New Roman" w:hAnsi="Times New Roman" w:cs="Times New Roman"/>
          <w:sz w:val="24"/>
          <w:szCs w:val="24"/>
          <w:lang w:val="es-ES_tradnl"/>
        </w:rPr>
        <w:t>)</w:t>
      </w:r>
    </w:p>
    <w:p w:rsidR="006E5D75" w:rsidRPr="00D644FE" w:rsidRDefault="006E5D75" w:rsidP="006E5D75">
      <w:pPr>
        <w:spacing w:line="240" w:lineRule="auto"/>
        <w:jc w:val="both"/>
        <w:rPr>
          <w:rFonts w:ascii="Times New Roman" w:hAnsi="Times New Roman" w:cs="Times New Roman"/>
          <w:color w:val="FF0000"/>
          <w:sz w:val="24"/>
          <w:szCs w:val="24"/>
        </w:rPr>
      </w:pPr>
      <w:r w:rsidRPr="00D644FE">
        <w:rPr>
          <w:rFonts w:ascii="Times New Roman" w:hAnsi="Times New Roman" w:cs="Times New Roman"/>
          <w:color w:val="FF0000"/>
          <w:sz w:val="24"/>
          <w:szCs w:val="24"/>
        </w:rPr>
        <w:t>La crisis actual es comparable en escala a la que vivió la economía durante los años treinta, pero probablemente no será tan dañina ni tan duradera. Al menos, eso es lo que esperan los expertos</w:t>
      </w:r>
    </w:p>
    <w:p w:rsidR="006E5D75" w:rsidRPr="00D644FE" w:rsidRDefault="006E5D75" w:rsidP="006E5D75">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Cada día nuevas noticias inciden en que el coronavirus está provocando la peor crisis económica desde la Gran Depresión.</w:t>
      </w:r>
    </w:p>
    <w:p w:rsidR="006E5D75" w:rsidRPr="00D644FE" w:rsidRDefault="006E5D75" w:rsidP="006E5D75">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Probablemente es cierto. Pero, para muchos, la comparación asusta más que describe.</w:t>
      </w:r>
      <w:r w:rsidRPr="00B9473F">
        <w:rPr>
          <w:rFonts w:ascii="Times New Roman" w:hAnsi="Times New Roman" w:cs="Times New Roman"/>
          <w:sz w:val="24"/>
          <w:szCs w:val="24"/>
        </w:rPr>
        <w:t xml:space="preserve"> Los economistas consideran que hay una gran diferencia entre la peor recesión desde la Gran Depresión y un contexto tan malo como el de la Gran Depresión. </w:t>
      </w: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No veo que las comparaciones entre el momento actual y la Gra</w:t>
      </w:r>
      <w:r>
        <w:rPr>
          <w:rFonts w:ascii="Times New Roman" w:hAnsi="Times New Roman" w:cs="Times New Roman"/>
          <w:color w:val="FF0000"/>
          <w:sz w:val="24"/>
          <w:szCs w:val="24"/>
          <w:u w:val="single"/>
        </w:rPr>
        <w:t>n Depresión sean de mucha ayuda”</w:t>
      </w:r>
      <w:r w:rsidRPr="00D644FE">
        <w:rPr>
          <w:rFonts w:ascii="Times New Roman" w:hAnsi="Times New Roman" w:cs="Times New Roman"/>
          <w:color w:val="FF0000"/>
          <w:sz w:val="24"/>
          <w:szCs w:val="24"/>
          <w:u w:val="single"/>
        </w:rPr>
        <w:t>, explica Ben Bernanke, expresidente de la Reserva Federal, que ha estudiado los años treinta</w:t>
      </w:r>
      <w:r w:rsidRPr="00B9473F">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 xml:space="preserve">La duración prevista es mucho menor </w:t>
      </w:r>
      <w:r>
        <w:rPr>
          <w:rFonts w:ascii="Times New Roman" w:hAnsi="Times New Roman" w:cs="Times New Roman"/>
          <w:color w:val="FF0000"/>
          <w:sz w:val="24"/>
          <w:szCs w:val="24"/>
          <w:u w:val="single"/>
        </w:rPr>
        <w:t>y las causas son muy diferentes”</w:t>
      </w:r>
      <w:r w:rsidRPr="00D644FE">
        <w:rPr>
          <w:rFonts w:ascii="Times New Roman" w:hAnsi="Times New Roman" w:cs="Times New Roman"/>
          <w:color w:val="FF0000"/>
          <w:sz w:val="24"/>
          <w:szCs w:val="24"/>
          <w:u w:val="single"/>
        </w:rPr>
        <w:t>, dice</w:t>
      </w:r>
      <w:r w:rsidRPr="00B9473F">
        <w:rPr>
          <w:rFonts w:ascii="Times New Roman" w:hAnsi="Times New Roman" w:cs="Times New Roman"/>
          <w:sz w:val="24"/>
          <w:szCs w:val="24"/>
        </w:rPr>
        <w:t xml:space="preserve">. El rumbo de la </w:t>
      </w:r>
      <w:r w:rsidRPr="00B9473F">
        <w:rPr>
          <w:rFonts w:ascii="Times New Roman" w:hAnsi="Times New Roman" w:cs="Times New Roman"/>
          <w:sz w:val="24"/>
          <w:szCs w:val="24"/>
        </w:rPr>
        <w:lastRenderedPageBreak/>
        <w:t xml:space="preserve">pandemia y de la economía sigue siendo desconocido. Cómo de rápido se pueda contener la crisis sanitaria, cómo de grande es la colaboración ciudadana y cuáles son las políticas para estimular la recuperación siguen siendo misterios. </w:t>
      </w:r>
      <w:r w:rsidRPr="00D644FE">
        <w:rPr>
          <w:rFonts w:ascii="Times New Roman" w:hAnsi="Times New Roman" w:cs="Times New Roman"/>
          <w:sz w:val="24"/>
          <w:szCs w:val="24"/>
          <w:u w:val="single"/>
        </w:rPr>
        <w:t>Incluso en estas condiciones, muchos economistas consideran que es difícil de imaginar un escenario similar al de la Gran Depresión tanto en duración como en severidad.</w:t>
      </w:r>
    </w:p>
    <w:p w:rsidR="006E5D75" w:rsidRPr="00D644FE"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La crisis del sistema financiero fue la causa principal tanto de la Gran Depresión como de la recesión de 2007-2009. Hoy, los bancos son más fuer</w:t>
      </w:r>
      <w:r>
        <w:rPr>
          <w:rFonts w:ascii="Times New Roman" w:hAnsi="Times New Roman" w:cs="Times New Roman"/>
          <w:color w:val="FF0000"/>
          <w:sz w:val="24"/>
          <w:szCs w:val="24"/>
          <w:u w:val="single"/>
        </w:rPr>
        <w:t>tes y están mejor capitalizados”</w:t>
      </w:r>
      <w:r w:rsidRPr="00D644FE">
        <w:rPr>
          <w:rFonts w:ascii="Times New Roman" w:hAnsi="Times New Roman" w:cs="Times New Roman"/>
          <w:color w:val="FF0000"/>
          <w:sz w:val="24"/>
          <w:szCs w:val="24"/>
          <w:u w:val="single"/>
        </w:rPr>
        <w:t>, dice Bernanke</w:t>
      </w:r>
      <w:r w:rsidRPr="00B9473F">
        <w:rPr>
          <w:rFonts w:ascii="Times New Roman" w:hAnsi="Times New Roman" w:cs="Times New Roman"/>
          <w:sz w:val="24"/>
          <w:szCs w:val="24"/>
        </w:rPr>
        <w:t xml:space="preserve">. </w:t>
      </w:r>
      <w:r w:rsidRPr="00D644FE">
        <w:rPr>
          <w:rFonts w:ascii="Times New Roman" w:hAnsi="Times New Roman" w:cs="Times New Roman"/>
          <w:color w:val="FF0000"/>
          <w:sz w:val="24"/>
          <w:szCs w:val="24"/>
          <w:u w:val="single"/>
        </w:rPr>
        <w:t>Según las estimaciones de expertos, la crisis actual es más comparable en escala y duración a la de principios de los ochenta y los dos mil</w:t>
      </w:r>
      <w:r w:rsidRPr="00B9473F">
        <w:rPr>
          <w:rFonts w:ascii="Times New Roman" w:hAnsi="Times New Roman" w:cs="Times New Roman"/>
          <w:sz w:val="24"/>
          <w:szCs w:val="24"/>
        </w:rPr>
        <w:t xml:space="preserve">. Las similitudes con la Gran Depresión son más complejas, porque muchos de los datos que ahora manejamos ni existían en 1930. Pero ciertas métricas sí están disponibles, como el volumen de comercio de los miembros de la Liga de Naciones, las del sector industrial que recogía la Fed o los datos de empleo de la Works Progress Administration estadounidense. </w:t>
      </w:r>
      <w:r w:rsidRPr="00D644FE">
        <w:rPr>
          <w:rFonts w:ascii="Times New Roman" w:hAnsi="Times New Roman" w:cs="Times New Roman"/>
          <w:color w:val="FF0000"/>
          <w:sz w:val="24"/>
          <w:szCs w:val="24"/>
          <w:u w:val="single"/>
        </w:rPr>
        <w:t>En los años treinta, la producción industrial se desplomó a la mitad. Poco a poco fue recuperándose durante cuatro años, para volver a caer con fuerza en 1937-1938. Por comparar, la producción retrocedió un 15% entre 2007 y 2009 y un 10% a principios de los ochenta.</w:t>
      </w:r>
    </w:p>
    <w:p w:rsidR="006E5D75" w:rsidRPr="00734EDD" w:rsidRDefault="006E5D75" w:rsidP="006E5D75">
      <w:pPr>
        <w:spacing w:line="240" w:lineRule="auto"/>
        <w:jc w:val="both"/>
        <w:rPr>
          <w:rFonts w:ascii="Times New Roman" w:hAnsi="Times New Roman" w:cs="Times New Roman"/>
          <w:color w:val="FF0000"/>
          <w:sz w:val="24"/>
          <w:szCs w:val="24"/>
          <w:u w:val="single"/>
        </w:rPr>
      </w:pPr>
      <w:r w:rsidRPr="00D644FE">
        <w:rPr>
          <w:rFonts w:ascii="Times New Roman" w:hAnsi="Times New Roman" w:cs="Times New Roman"/>
          <w:color w:val="FF0000"/>
          <w:sz w:val="24"/>
          <w:szCs w:val="24"/>
          <w:u w:val="single"/>
        </w:rPr>
        <w:t>Cuando comenzó la pandemia, la producción industrial ya estaba ralentizándose por culpa de las tensiones comerciales. Muchas fábricas han tenido que cerrar y la demanda de los consumidores se ha hundido, pero hay algunas que ya están retomando la actividad.</w:t>
      </w:r>
      <w:r w:rsidRPr="00B9473F">
        <w:rPr>
          <w:rFonts w:ascii="Times New Roman" w:hAnsi="Times New Roman" w:cs="Times New Roman"/>
          <w:sz w:val="24"/>
          <w:szCs w:val="24"/>
        </w:rPr>
        <w:t xml:space="preserve">Fabricantes de coches como General Motors o Ford, por ejemplo, han pivotado su actividad para hacer ventiladores. Las compañías de productos sanitarios no dan abasto. </w:t>
      </w:r>
      <w:r w:rsidRPr="00734EDD">
        <w:rPr>
          <w:rFonts w:ascii="Times New Roman" w:hAnsi="Times New Roman" w:cs="Times New Roman"/>
          <w:color w:val="FF0000"/>
          <w:sz w:val="24"/>
          <w:szCs w:val="24"/>
          <w:u w:val="single"/>
        </w:rPr>
        <w:t>Entre 1929 y 1933, la economía retrocedió durante 43 meses consecutivos. El desempleo escaló hasta rozar el 25% antes de descender poco a poco para estabilizarse por encima del 10% durante una década</w:t>
      </w:r>
      <w:r w:rsidRPr="00B9473F">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Por contra, a principios de los ochenta y entre 2007 y 2009, la contracción fue de 16 y 18 meses respectivamente. Esta vez, muchos economistas creen que el rebote podría empezar este año o a comienzos del próximo si logramos contener el virus. Aunque el desempleo en EEUU ya ha tocado el 14,7% en abril, y es muy probable que siga subiendo, el golpe se ha suavizado gracias a los programas y a los subsidios.</w:t>
      </w:r>
    </w:p>
    <w:p w:rsidR="006E5D75" w:rsidRPr="00734EDD"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734EDD">
        <w:rPr>
          <w:rFonts w:ascii="Times New Roman" w:hAnsi="Times New Roman" w:cs="Times New Roman"/>
          <w:color w:val="FF0000"/>
          <w:sz w:val="24"/>
          <w:szCs w:val="24"/>
          <w:u w:val="single"/>
        </w:rPr>
        <w:t xml:space="preserve">Hay mucha gente sufriendo y la economía no se va a recuperar en uno o dos trimestres. Pero si conseguimos un razonable control sobre el virus, la economía verá una revitalización sustancial y esta crisis debería ser mucho </w:t>
      </w:r>
      <w:r>
        <w:rPr>
          <w:rFonts w:ascii="Times New Roman" w:hAnsi="Times New Roman" w:cs="Times New Roman"/>
          <w:color w:val="FF0000"/>
          <w:sz w:val="24"/>
          <w:szCs w:val="24"/>
          <w:u w:val="single"/>
        </w:rPr>
        <w:t>más corta que la Gran Depresión”</w:t>
      </w:r>
      <w:r w:rsidRPr="00734EDD">
        <w:rPr>
          <w:rFonts w:ascii="Times New Roman" w:hAnsi="Times New Roman" w:cs="Times New Roman"/>
          <w:color w:val="FF0000"/>
          <w:sz w:val="24"/>
          <w:szCs w:val="24"/>
          <w:u w:val="single"/>
        </w:rPr>
        <w:t>, dice Bernanke.El segundo trimestre de 2020 será probablemente el peor de la historia para muchas economías. La media de las estimaciones d</w:t>
      </w:r>
      <w:r>
        <w:rPr>
          <w:rFonts w:ascii="Times New Roman" w:hAnsi="Times New Roman" w:cs="Times New Roman"/>
          <w:color w:val="FF0000"/>
          <w:sz w:val="24"/>
          <w:szCs w:val="24"/>
          <w:u w:val="single"/>
        </w:rPr>
        <w:t>e los expertos consultados por “The Wall Street Journal”</w:t>
      </w:r>
      <w:r w:rsidRPr="00734EDD">
        <w:rPr>
          <w:rFonts w:ascii="Times New Roman" w:hAnsi="Times New Roman" w:cs="Times New Roman"/>
          <w:color w:val="FF0000"/>
          <w:sz w:val="24"/>
          <w:szCs w:val="24"/>
          <w:u w:val="single"/>
        </w:rPr>
        <w:t xml:space="preserve"> sitúa el desplome en el 25%, y algunos apuntan al 50%. Pero los datos anualizados pueden ser engañosos. Asumen que el ritmo de un trimestre se mantendrá durante todo el año. Si el 10% de la economía hiberna durante tres meses, entonces la cifra anual se situará en el 40%.</w:t>
      </w:r>
    </w:p>
    <w:p w:rsidR="006E5D75" w:rsidRPr="00734EDD"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734EDD">
        <w:rPr>
          <w:rFonts w:ascii="Times New Roman" w:hAnsi="Times New Roman" w:cs="Times New Roman"/>
          <w:color w:val="FF0000"/>
          <w:sz w:val="24"/>
          <w:szCs w:val="24"/>
          <w:u w:val="single"/>
        </w:rPr>
        <w:t>Hemos sufrido una inmediata reducción de la actividad muy abrupta y muy profunda, provocada por el confinamiento. Y precisamente por ser tan abrupt</w:t>
      </w:r>
      <w:r>
        <w:rPr>
          <w:rFonts w:ascii="Times New Roman" w:hAnsi="Times New Roman" w:cs="Times New Roman"/>
          <w:color w:val="FF0000"/>
          <w:sz w:val="24"/>
          <w:szCs w:val="24"/>
          <w:u w:val="single"/>
        </w:rPr>
        <w:t>a, los números son astronómicos”</w:t>
      </w:r>
      <w:r w:rsidRPr="00734EDD">
        <w:rPr>
          <w:rFonts w:ascii="Times New Roman" w:hAnsi="Times New Roman" w:cs="Times New Roman"/>
          <w:color w:val="FF0000"/>
          <w:sz w:val="24"/>
          <w:szCs w:val="24"/>
          <w:u w:val="single"/>
        </w:rPr>
        <w:t>, explica Douglas Irwin, profesor en la Universidad de Dartmouth y experto en política comercial durante la Gran Depresión</w:t>
      </w:r>
      <w:r>
        <w:rPr>
          <w:rFonts w:ascii="Times New Roman" w:hAnsi="Times New Roman" w:cs="Times New Roman"/>
          <w:color w:val="FF0000"/>
          <w:sz w:val="24"/>
          <w:szCs w:val="24"/>
          <w:u w:val="single"/>
        </w:rPr>
        <w:t>. Además, considera que “</w:t>
      </w:r>
      <w:r w:rsidRPr="00734EDD">
        <w:rPr>
          <w:rFonts w:ascii="Times New Roman" w:hAnsi="Times New Roman" w:cs="Times New Roman"/>
          <w:color w:val="FF0000"/>
          <w:sz w:val="24"/>
          <w:szCs w:val="24"/>
          <w:u w:val="single"/>
        </w:rPr>
        <w:t>la forma en que el mundo se sumió en la Gran Depresión fue provocada por una caída lenta y continuada. Fue un estran</w:t>
      </w:r>
      <w:r>
        <w:rPr>
          <w:rFonts w:ascii="Times New Roman" w:hAnsi="Times New Roman" w:cs="Times New Roman"/>
          <w:color w:val="FF0000"/>
          <w:sz w:val="24"/>
          <w:szCs w:val="24"/>
          <w:u w:val="single"/>
        </w:rPr>
        <w:t>gulamiento lento de la economía”</w:t>
      </w:r>
      <w:r w:rsidRPr="00734EDD">
        <w:rPr>
          <w:rFonts w:ascii="Times New Roman" w:hAnsi="Times New Roman" w:cs="Times New Roman"/>
          <w:color w:val="FF0000"/>
          <w:sz w:val="24"/>
          <w:szCs w:val="24"/>
          <w:u w:val="single"/>
        </w:rPr>
        <w:t>.</w:t>
      </w:r>
    </w:p>
    <w:p w:rsidR="006E5D75" w:rsidRPr="00734EDD" w:rsidRDefault="006E5D75" w:rsidP="006E5D75">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 xml:space="preserve">Como pasó entonces, el colapso actual es global. Pero la escala es mucho más pequeña, según explicó Gita Gopinath, economista jefa del FMI, en su comparecencia del mes pasado. La entidad estima que la economía mundial se hundió un 10% durante la Gran Depresión, frente </w:t>
      </w:r>
      <w:r w:rsidRPr="00734EDD">
        <w:rPr>
          <w:rFonts w:ascii="Times New Roman" w:hAnsi="Times New Roman" w:cs="Times New Roman"/>
          <w:color w:val="FF0000"/>
          <w:sz w:val="24"/>
          <w:szCs w:val="24"/>
          <w:u w:val="single"/>
        </w:rPr>
        <w:lastRenderedPageBreak/>
        <w:t>a una previsión del 3% para este año y una vuelta al crecimiento el próximo. Las economías más desarrolladas se desplomaron un 16% en la Depresión, frente al 6% pronosticado para 2020. Una serie de gruesos errores regulatorios provocaron que la Gran Depresión fuera más larga y más severa. Los bancos centrales se arrojaron en brazos del patrón oro, que ya no existe. El resultado fue una profunda deflación, lo que elevó el valor de las deudas y redujo los salarios.</w:t>
      </w:r>
    </w:p>
    <w:p w:rsidR="006E5D75" w:rsidRPr="00734EDD" w:rsidRDefault="006E5D75" w:rsidP="006E5D75">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Los gobiernos también recortaron el gasto como reacción a una reducción en los ingresos. Según las economías se deterioraban, los países levantaron barreras comerciales en un esfuerzo por proteger las industrias domésticas. El resultado fue una contracción global de la demanda, lo que hizo más profunda la depresión.</w:t>
      </w:r>
    </w:p>
    <w:p w:rsidR="006E5D75" w:rsidRDefault="006E5D75" w:rsidP="006E5D75">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Esta vez, los bancos centrales de todo el mundo recortaron rápidamente los tipos de interés y desplegaron programas para facilitar el crédito a los mercados. Los Gobiernos aprobaron medidas de gasto masivas, incluyendo los dos billones de la Fed para mantener a flote las empresas y proteger los empleos. Y no ha habido ninguna barrera comercial en respuesta a la pandemia. "No voy a decir que todo lo que han hecho los reguladores esté bien, pero hemos entendido que cualquier retraso en la toma de decisiones empeora el rumbo de la economía", afirma Catherine Mann, economista jefa de Citigroup.</w:t>
      </w:r>
    </w:p>
    <w:p w:rsidR="006E5D75" w:rsidRDefault="006E5D75" w:rsidP="006E5D75">
      <w:pPr>
        <w:spacing w:line="240" w:lineRule="auto"/>
        <w:jc w:val="both"/>
        <w:rPr>
          <w:rFonts w:ascii="Times New Roman" w:hAnsi="Times New Roman" w:cs="Times New Roman"/>
          <w:color w:val="FF0000"/>
          <w:sz w:val="24"/>
          <w:szCs w:val="24"/>
          <w:u w:val="single"/>
        </w:rPr>
      </w:pPr>
    </w:p>
    <w:p w:rsidR="006E5D75" w:rsidRPr="00734EDD" w:rsidRDefault="006E5D75" w:rsidP="006E5D75">
      <w:pPr>
        <w:spacing w:line="240" w:lineRule="auto"/>
        <w:jc w:val="both"/>
        <w:rPr>
          <w:rFonts w:ascii="Times New Roman" w:hAnsi="Times New Roman" w:cs="Times New Roman"/>
          <w:color w:val="FF0000"/>
          <w:sz w:val="24"/>
          <w:szCs w:val="24"/>
          <w:u w:val="single"/>
        </w:rPr>
      </w:pPr>
      <w:r w:rsidRPr="001738B3">
        <w:rPr>
          <w:rFonts w:ascii="Times New Roman" w:eastAsia="Times New Roman" w:hAnsi="Times New Roman" w:cs="Times New Roman"/>
          <w:noProof/>
          <w:sz w:val="24"/>
          <w:szCs w:val="24"/>
          <w:lang w:val="en-GB" w:eastAsia="zh-CN"/>
        </w:rPr>
        <w:drawing>
          <wp:inline distT="0" distB="0" distL="0" distR="0">
            <wp:extent cx="5688105" cy="4061011"/>
            <wp:effectExtent l="0" t="0" r="8255" b="0"/>
            <wp:docPr id="191" name="Imagen 191" descr="https://webapi.project-syndicate.org/library/94a69353e398f9c9974eb9fee41a19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4a69353e398f9c9974eb9fee41a193e.jp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7960" cy="4060908"/>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p>
    <w:p w:rsidR="006E5D75" w:rsidRDefault="006E5D75" w:rsidP="006E5D75">
      <w:pPr>
        <w:spacing w:line="240" w:lineRule="auto"/>
        <w:jc w:val="both"/>
        <w:rPr>
          <w:rFonts w:ascii="Times New Roman" w:hAnsi="Times New Roman" w:cs="Times New Roman"/>
          <w:b/>
          <w:sz w:val="24"/>
          <w:szCs w:val="24"/>
        </w:rPr>
      </w:pPr>
      <w:r w:rsidRPr="001738B3">
        <w:rPr>
          <w:rFonts w:ascii="Times New Roman" w:eastAsia="Times New Roman" w:hAnsi="Times New Roman" w:cs="Times New Roman"/>
          <w:noProof/>
          <w:sz w:val="24"/>
          <w:szCs w:val="24"/>
          <w:lang w:val="en-GB" w:eastAsia="zh-CN"/>
        </w:rPr>
        <w:lastRenderedPageBreak/>
        <w:drawing>
          <wp:inline distT="0" distB="0" distL="0" distR="0">
            <wp:extent cx="5694829" cy="3039035"/>
            <wp:effectExtent l="0" t="0" r="1270" b="9525"/>
            <wp:docPr id="256" name="Imagen 256" descr="https://webapi.project-syndicate.org/library/472405dd25ea739a47fc16dc9ca41d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472405dd25ea739a47fc16dc9ca41dd0.jpg"/>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4635" cy="3038931"/>
                    </a:xfrm>
                    <a:prstGeom prst="rect">
                      <a:avLst/>
                    </a:prstGeom>
                    <a:noFill/>
                    <a:ln>
                      <a:noFill/>
                    </a:ln>
                  </pic:spPr>
                </pic:pic>
              </a:graphicData>
            </a:graphic>
          </wp:inline>
        </w:drawing>
      </w:r>
    </w:p>
    <w:p w:rsidR="006E5D75" w:rsidRPr="00032C2A" w:rsidRDefault="006E5D75" w:rsidP="006E5D75">
      <w:pPr>
        <w:shd w:val="clear" w:color="auto" w:fill="FCFCFC"/>
        <w:spacing w:before="100" w:beforeAutospacing="1" w:after="100" w:afterAutospacing="1" w:line="240" w:lineRule="auto"/>
        <w:jc w:val="both"/>
        <w:outlineLvl w:val="0"/>
        <w:rPr>
          <w:rFonts w:ascii="Times New Roman" w:eastAsia="Times New Roman" w:hAnsi="Times New Roman" w:cs="Times New Roman"/>
          <w:spacing w:val="8"/>
          <w:kern w:val="36"/>
          <w:sz w:val="24"/>
          <w:szCs w:val="24"/>
        </w:rPr>
      </w:pPr>
      <w:r w:rsidRPr="00032C2A">
        <w:rPr>
          <w:rFonts w:ascii="Times New Roman" w:eastAsia="Times New Roman" w:hAnsi="Times New Roman" w:cs="Times New Roman"/>
          <w:spacing w:val="8"/>
          <w:kern w:val="36"/>
          <w:sz w:val="24"/>
          <w:szCs w:val="24"/>
        </w:rPr>
        <w:t xml:space="preserve">(Fuente: Project Syndicate - </w:t>
      </w:r>
      <w:r w:rsidRPr="00032C2A">
        <w:rPr>
          <w:rFonts w:ascii="Times New Roman" w:eastAsia="Times New Roman" w:hAnsi="Times New Roman" w:cs="Times New Roman"/>
          <w:b/>
          <w:spacing w:val="8"/>
          <w:kern w:val="36"/>
          <w:sz w:val="24"/>
          <w:szCs w:val="24"/>
        </w:rPr>
        <w:t>15/5/20</w:t>
      </w:r>
      <w:r w:rsidRPr="00032C2A">
        <w:rPr>
          <w:rFonts w:ascii="Times New Roman" w:eastAsia="Times New Roman" w:hAnsi="Times New Roman" w:cs="Times New Roman"/>
          <w:spacing w:val="8"/>
          <w:kern w:val="36"/>
          <w:sz w:val="24"/>
          <w:szCs w:val="24"/>
        </w:rPr>
        <w:t>)</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C41">
        <w:rPr>
          <w:rFonts w:ascii="Times New Roman" w:hAnsi="Times New Roman" w:cs="Times New Roman"/>
          <w:sz w:val="24"/>
          <w:szCs w:val="24"/>
          <w:u w:val="single"/>
        </w:rPr>
        <w:t>La economía europea perdería hasta un 22,7% de su valor si se frena o desmantela la UE por el coronavirus</w:t>
      </w:r>
      <w:r>
        <w:rPr>
          <w:rFonts w:ascii="Times New Roman" w:hAnsi="Times New Roman" w:cs="Times New Roman"/>
          <w:sz w:val="24"/>
          <w:szCs w:val="24"/>
        </w:rPr>
        <w:t xml:space="preserve"> (Expansión - </w:t>
      </w:r>
      <w:r w:rsidRPr="00B71C41">
        <w:rPr>
          <w:rFonts w:ascii="Times New Roman" w:hAnsi="Times New Roman" w:cs="Times New Roman"/>
          <w:b/>
          <w:sz w:val="24"/>
          <w:szCs w:val="24"/>
        </w:rPr>
        <w:t>16/5/20</w:t>
      </w:r>
      <w:r>
        <w:rPr>
          <w:rFonts w:ascii="Times New Roman" w:hAnsi="Times New Roman" w:cs="Times New Roman"/>
          <w:sz w:val="24"/>
          <w:szCs w:val="24"/>
        </w:rPr>
        <w:t>)</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El Parlamento Europeo apuesta por una m</w:t>
      </w:r>
      <w:r>
        <w:rPr>
          <w:rFonts w:ascii="Times New Roman" w:hAnsi="Times New Roman" w:cs="Times New Roman"/>
          <w:sz w:val="24"/>
          <w:szCs w:val="24"/>
        </w:rPr>
        <w:t>ayor integración para fomentar “</w:t>
      </w:r>
      <w:r w:rsidRPr="00B71C41">
        <w:rPr>
          <w:rFonts w:ascii="Times New Roman" w:hAnsi="Times New Roman" w:cs="Times New Roman"/>
          <w:sz w:val="24"/>
          <w:szCs w:val="24"/>
        </w:rPr>
        <w:t>una recuperación más rápida, más sostenib</w:t>
      </w:r>
      <w:r>
        <w:rPr>
          <w:rFonts w:ascii="Times New Roman" w:hAnsi="Times New Roman" w:cs="Times New Roman"/>
          <w:sz w:val="24"/>
          <w:szCs w:val="24"/>
        </w:rPr>
        <w:t>le y verdaderamente inclusiva”.</w:t>
      </w:r>
    </w:p>
    <w:p w:rsidR="006E5D75" w:rsidRPr="00352BAC" w:rsidRDefault="006E5D75" w:rsidP="006E5D75">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El valor conjunto de la economía de la Unión Europea (UE) podría reducirse hasta entre un 17% y un 22,7% en el caso de que se desmantelara el mercado único y no se avanza en los distintos programas y acciones comunes que podría desarrollar la UE en los próximos años como consecuencia de la crisis del Covid-19, según recoge un informe elaborado por el Parlamento Europeo</w:t>
      </w:r>
    </w:p>
    <w:p w:rsidR="006E5D75" w:rsidRPr="00B71C4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En el informe “</w:t>
      </w:r>
      <w:r w:rsidRPr="00B71C41">
        <w:rPr>
          <w:rFonts w:ascii="Times New Roman" w:hAnsi="Times New Roman" w:cs="Times New Roman"/>
          <w:sz w:val="24"/>
          <w:szCs w:val="24"/>
        </w:rPr>
        <w:t>Coronavirus</w:t>
      </w:r>
      <w:r>
        <w:rPr>
          <w:rFonts w:ascii="Times New Roman" w:hAnsi="Times New Roman" w:cs="Times New Roman"/>
          <w:sz w:val="24"/>
          <w:szCs w:val="24"/>
        </w:rPr>
        <w:t xml:space="preserve"> and the cost of non-Europe”</w:t>
      </w:r>
      <w:r w:rsidRPr="00B71C41">
        <w:rPr>
          <w:rFonts w:ascii="Times New Roman" w:hAnsi="Times New Roman" w:cs="Times New Roman"/>
          <w:sz w:val="24"/>
          <w:szCs w:val="24"/>
        </w:rPr>
        <w:t xml:space="preserve">, el Parlamento Europeo analiza los beneficios económicos que ha producido la Unión Europea y qué efectos negativos tendría, de cara a la futura recuperación económica post-Covid-19, si se parara o revertiera el </w:t>
      </w:r>
      <w:r>
        <w:rPr>
          <w:rFonts w:ascii="Times New Roman" w:hAnsi="Times New Roman" w:cs="Times New Roman"/>
          <w:sz w:val="24"/>
          <w:szCs w:val="24"/>
        </w:rPr>
        <w:t xml:space="preserve">proceso de integración europeo.                                                                                                     </w:t>
      </w:r>
    </w:p>
    <w:p w:rsidR="006E5D75" w:rsidRPr="00352BAC" w:rsidRDefault="006E5D75" w:rsidP="006E5D75">
      <w:pPr>
        <w:spacing w:line="240" w:lineRule="auto"/>
        <w:jc w:val="both"/>
        <w:rPr>
          <w:rFonts w:ascii="Times New Roman" w:hAnsi="Times New Roman" w:cs="Times New Roman"/>
          <w:sz w:val="24"/>
          <w:szCs w:val="24"/>
          <w:u w:val="single"/>
        </w:rPr>
      </w:pPr>
      <w:r w:rsidRPr="00352BAC">
        <w:rPr>
          <w:rFonts w:ascii="Times New Roman" w:hAnsi="Times New Roman" w:cs="Times New Roman"/>
          <w:sz w:val="24"/>
          <w:szCs w:val="24"/>
          <w:u w:val="single"/>
        </w:rPr>
        <w:t>El informe señala que es difícil dar una estimación clara de lo que implicaría exactamente el desmantelamiento de la UE, ya que los efectos dependerían de qué, cómo, cuándo y en qué medida se desarmarían las distintas partes del proyecto europeo.</w:t>
      </w:r>
    </w:p>
    <w:p w:rsidR="006E5D75" w:rsidRPr="00352BAC" w:rsidRDefault="006E5D75" w:rsidP="006E5D75">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Sin embargo, detalla que las estimaciones más prudentes sugieren que desmantelar el mercado único europeo costaría a la economía de la región entre 480.000 millones y 1,38 billones de euros al año, lo que representa entre el 3% y el 8,7% del PIB conjunto de todos los países.</w:t>
      </w:r>
    </w:p>
    <w:p w:rsidR="006E5D75" w:rsidRPr="00352BAC" w:rsidRDefault="006E5D75" w:rsidP="006E5D75">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el coste potencial que tendría que no se adoptaran políticas comunes en 50 campos distintos identificados en el estudio sería de alrededor de 2,2 billones de euros, lo que equivale al 14% del PIB de la Unión Europea de 2017.</w:t>
      </w:r>
    </w:p>
    <w:p w:rsidR="006E5D75" w:rsidRPr="009B368E" w:rsidRDefault="006E5D75" w:rsidP="006E5D7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lastRenderedPageBreak/>
        <w:t>“</w:t>
      </w:r>
      <w:r w:rsidRPr="00352BAC">
        <w:rPr>
          <w:rFonts w:ascii="Times New Roman" w:hAnsi="Times New Roman" w:cs="Times New Roman"/>
          <w:b/>
          <w:color w:val="FF0000"/>
          <w:sz w:val="24"/>
          <w:szCs w:val="24"/>
          <w:u w:val="single"/>
        </w:rPr>
        <w:t xml:space="preserve">Si ambos problemas se desarrollan al mismo tiempo, la economía de la Unión Europea sería entre un 17% y un 22,7% inferior a lo que podría </w:t>
      </w:r>
      <w:r>
        <w:rPr>
          <w:rFonts w:ascii="Times New Roman" w:hAnsi="Times New Roman" w:cs="Times New Roman"/>
          <w:b/>
          <w:color w:val="FF0000"/>
          <w:sz w:val="24"/>
          <w:szCs w:val="24"/>
          <w:u w:val="single"/>
        </w:rPr>
        <w:t>ser”</w:t>
      </w:r>
      <w:r w:rsidRPr="00352BAC">
        <w:rPr>
          <w:rFonts w:ascii="Times New Roman" w:hAnsi="Times New Roman" w:cs="Times New Roman"/>
          <w:b/>
          <w:color w:val="FF0000"/>
          <w:sz w:val="24"/>
          <w:szCs w:val="24"/>
          <w:u w:val="single"/>
        </w:rPr>
        <w:t>, según el informe del Parlamento, que calcula que esto equivale a ent</w:t>
      </w:r>
      <w:r>
        <w:rPr>
          <w:rFonts w:ascii="Times New Roman" w:hAnsi="Times New Roman" w:cs="Times New Roman"/>
          <w:b/>
          <w:color w:val="FF0000"/>
          <w:sz w:val="24"/>
          <w:szCs w:val="24"/>
          <w:u w:val="single"/>
        </w:rPr>
        <w:t>re 2,7 y 3,6 billones de euros.</w:t>
      </w:r>
    </w:p>
    <w:p w:rsidR="006E5D75" w:rsidRPr="00352BAC" w:rsidRDefault="006E5D75" w:rsidP="006E5D75">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Asimismo, añade a que a esto habría que sumar cualquier tipo de contracción directa que se produzca como consecuencia de la propia crisis del coronavirus, y que según distintos estudios podría rondar los 160.000 millones de euros en 2020 (el 7,5% del PIB).</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Impacto de las políticas comunes</w:t>
      </w:r>
    </w:p>
    <w:p w:rsidR="006E5D75" w:rsidRPr="00352BAC" w:rsidRDefault="006E5D75" w:rsidP="006E5D75">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En el caso de los beneficios económicos que se alcanzarían si se avanzara en políticas comunes en distintos campos, el informe señala que los mayores procederían de nuevas medidas para completar el mercado único (713.000 millones de euros).</w:t>
      </w:r>
    </w:p>
    <w:p w:rsidR="006E5D75" w:rsidRPr="00352BAC" w:rsidRDefault="006E5D75" w:rsidP="006E5D75">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también tendrían un impacto positivo de unos 502.000 millones de euros medidas para hacer frente a los desafíos medioambientales, la eficiencia energética y la integración del mercado energético, así como unas mayores inversiones en investigación, innovación, robótica e Inteligencia Artificial (IA).</w:t>
      </w:r>
    </w:p>
    <w:p w:rsidR="006E5D75" w:rsidRPr="00352BAC" w:rsidRDefault="006E5D75" w:rsidP="006E5D75">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completar la unión económica y monetaria aportaría al conjunto de la UE alrededor de 322.000 millones de euros, reforzar las políticas europeas de justicia y asuntos internos unos 180.000 millones de euros y completar el mercado único digital alrededor de 178.000 millones de euros.</w:t>
      </w:r>
    </w:p>
    <w:p w:rsidR="006E5D75" w:rsidRPr="00B71C4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C41">
        <w:rPr>
          <w:rFonts w:ascii="Times New Roman" w:hAnsi="Times New Roman" w:cs="Times New Roman"/>
          <w:sz w:val="24"/>
          <w:szCs w:val="24"/>
        </w:rPr>
        <w:t>Si se hubieran adoptado antes estas medidas, habría mejorado la capacidad de la Unión Europea para responder de forma más coherente y efect</w:t>
      </w:r>
      <w:r>
        <w:rPr>
          <w:rFonts w:ascii="Times New Roman" w:hAnsi="Times New Roman" w:cs="Times New Roman"/>
          <w:sz w:val="24"/>
          <w:szCs w:val="24"/>
        </w:rPr>
        <w:t>iva a la crisis del coronavirus”, incide el Parlamento Europeo.</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En concreto, apunta que un sistema económico europeo más resistente habría ayudado a proporcionar el nivel adecuado de respuesta fiscal, mientras que un mer</w:t>
      </w:r>
      <w:r>
        <w:rPr>
          <w:rFonts w:ascii="Times New Roman" w:hAnsi="Times New Roman" w:cs="Times New Roman"/>
          <w:sz w:val="24"/>
          <w:szCs w:val="24"/>
        </w:rPr>
        <w:t>cado único más integrado es un “instrumento clave”</w:t>
      </w:r>
      <w:r w:rsidRPr="00B71C41">
        <w:rPr>
          <w:rFonts w:ascii="Times New Roman" w:hAnsi="Times New Roman" w:cs="Times New Roman"/>
          <w:sz w:val="24"/>
          <w:szCs w:val="24"/>
        </w:rPr>
        <w:t xml:space="preserve"> para garantizar el suministro ininterrumpido de bienes esenciales y la renovación a tiempo de suminis</w:t>
      </w:r>
      <w:r>
        <w:rPr>
          <w:rFonts w:ascii="Times New Roman" w:hAnsi="Times New Roman" w:cs="Times New Roman"/>
          <w:sz w:val="24"/>
          <w:szCs w:val="24"/>
        </w:rPr>
        <w:t>tros médicos y equipos médicos.</w:t>
      </w:r>
    </w:p>
    <w:p w:rsidR="006E5D75" w:rsidRPr="00352BAC" w:rsidRDefault="006E5D75" w:rsidP="006E5D75">
      <w:pPr>
        <w:spacing w:line="240" w:lineRule="auto"/>
        <w:jc w:val="both"/>
        <w:rPr>
          <w:rFonts w:ascii="Times New Roman" w:hAnsi="Times New Roman" w:cs="Times New Roman"/>
          <w:sz w:val="24"/>
          <w:szCs w:val="24"/>
          <w:u w:val="single"/>
        </w:rPr>
      </w:pPr>
      <w:r w:rsidRPr="00B71C41">
        <w:rPr>
          <w:rFonts w:ascii="Times New Roman" w:hAnsi="Times New Roman" w:cs="Times New Roman"/>
          <w:sz w:val="24"/>
          <w:szCs w:val="24"/>
        </w:rPr>
        <w:t xml:space="preserve">En esta línea, </w:t>
      </w:r>
      <w:r w:rsidRPr="00352BAC">
        <w:rPr>
          <w:rFonts w:ascii="Times New Roman" w:hAnsi="Times New Roman" w:cs="Times New Roman"/>
          <w:sz w:val="24"/>
          <w:szCs w:val="24"/>
          <w:u w:val="single"/>
        </w:rPr>
        <w:t>una mayor integración en la economía digital, los mercados de capitales y la unión bancaria, así como en las áreas, social, de empleo, y</w:t>
      </w:r>
      <w:r w:rsidR="00302642">
        <w:rPr>
          <w:rFonts w:ascii="Times New Roman" w:hAnsi="Times New Roman" w:cs="Times New Roman"/>
          <w:sz w:val="24"/>
          <w:szCs w:val="24"/>
          <w:u w:val="single"/>
        </w:rPr>
        <w:t xml:space="preserve"> de salud, habría dado a la UE “</w:t>
      </w:r>
      <w:r w:rsidRPr="00352BAC">
        <w:rPr>
          <w:rFonts w:ascii="Times New Roman" w:hAnsi="Times New Roman" w:cs="Times New Roman"/>
          <w:sz w:val="24"/>
          <w:szCs w:val="24"/>
          <w:u w:val="single"/>
        </w:rPr>
        <w:t>herramientas adicionales para enfrentar la crisis actual de manera má</w:t>
      </w:r>
      <w:r w:rsidR="00302642">
        <w:rPr>
          <w:rFonts w:ascii="Times New Roman" w:hAnsi="Times New Roman" w:cs="Times New Roman"/>
          <w:sz w:val="24"/>
          <w:szCs w:val="24"/>
          <w:u w:val="single"/>
        </w:rPr>
        <w:t>s efectiva”</w:t>
      </w:r>
      <w:r w:rsidRPr="00352BAC">
        <w:rPr>
          <w:rFonts w:ascii="Times New Roman" w:hAnsi="Times New Roman" w:cs="Times New Roman"/>
          <w:sz w:val="24"/>
          <w:szCs w:val="24"/>
          <w:u w:val="single"/>
        </w:rPr>
        <w:t>.</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Sin embargo, también añade que, pese a que algunas oportunidades se han perdido por no estar completa la integración, el proyecto europeo ha a</w:t>
      </w:r>
      <w:r>
        <w:rPr>
          <w:rFonts w:ascii="Times New Roman" w:hAnsi="Times New Roman" w:cs="Times New Roman"/>
          <w:sz w:val="24"/>
          <w:szCs w:val="24"/>
        </w:rPr>
        <w:t>portado a los estados miembros “una gran suma adicional de PIB”, colocándoles en una “</w:t>
      </w:r>
      <w:r w:rsidRPr="00B71C41">
        <w:rPr>
          <w:rFonts w:ascii="Times New Roman" w:hAnsi="Times New Roman" w:cs="Times New Roman"/>
          <w:sz w:val="24"/>
          <w:szCs w:val="24"/>
        </w:rPr>
        <w:t>posición mucho más fuerte para lidiar con la actual crisis en comparación con un escenario en el</w:t>
      </w:r>
      <w:r>
        <w:rPr>
          <w:rFonts w:ascii="Times New Roman" w:hAnsi="Times New Roman" w:cs="Times New Roman"/>
          <w:sz w:val="24"/>
          <w:szCs w:val="24"/>
        </w:rPr>
        <w:t xml:space="preserve"> que nunca hubiera existido la UE”.</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Acción común</w:t>
      </w:r>
    </w:p>
    <w:p w:rsidR="006E5D75" w:rsidRPr="00B71C4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C41">
        <w:rPr>
          <w:rFonts w:ascii="Times New Roman" w:hAnsi="Times New Roman" w:cs="Times New Roman"/>
          <w:sz w:val="24"/>
          <w:szCs w:val="24"/>
        </w:rPr>
        <w:t>Los resultados de este estudio confirman que cuando está unida, Europa puede ofrecer más y de manera más efectiva y más eficiente, ya que la acción común proporciona un nivel de profundidad estratégica que ningún Estado miembro individual o un grupo aislado de Estados miem</w:t>
      </w:r>
      <w:r>
        <w:rPr>
          <w:rFonts w:ascii="Times New Roman" w:hAnsi="Times New Roman" w:cs="Times New Roman"/>
          <w:sz w:val="24"/>
          <w:szCs w:val="24"/>
        </w:rPr>
        <w:t>bros podría alcanzar”, remarca.</w:t>
      </w:r>
    </w:p>
    <w:p w:rsidR="006E5D75" w:rsidRPr="00B71C41" w:rsidRDefault="006E5D75" w:rsidP="006E5D75">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Por este motivo, el Parlament</w:t>
      </w:r>
      <w:r>
        <w:rPr>
          <w:rFonts w:ascii="Times New Roman" w:hAnsi="Times New Roman" w:cs="Times New Roman"/>
          <w:sz w:val="24"/>
          <w:szCs w:val="24"/>
        </w:rPr>
        <w:t>o Europeo defiende que haya un “</w:t>
      </w:r>
      <w:r w:rsidRPr="00B71C41">
        <w:rPr>
          <w:rFonts w:ascii="Times New Roman" w:hAnsi="Times New Roman" w:cs="Times New Roman"/>
          <w:sz w:val="24"/>
          <w:szCs w:val="24"/>
        </w:rPr>
        <w:t>movimiento decid</w:t>
      </w:r>
      <w:r>
        <w:rPr>
          <w:rFonts w:ascii="Times New Roman" w:hAnsi="Times New Roman" w:cs="Times New Roman"/>
          <w:sz w:val="24"/>
          <w:szCs w:val="24"/>
        </w:rPr>
        <w:t>ido”</w:t>
      </w:r>
      <w:r w:rsidRPr="00B71C41">
        <w:rPr>
          <w:rFonts w:ascii="Times New Roman" w:hAnsi="Times New Roman" w:cs="Times New Roman"/>
          <w:sz w:val="24"/>
          <w:szCs w:val="24"/>
        </w:rPr>
        <w:t xml:space="preserve"> hacia una mayor acción de política</w:t>
      </w:r>
      <w:r>
        <w:rPr>
          <w:rFonts w:ascii="Times New Roman" w:hAnsi="Times New Roman" w:cs="Times New Roman"/>
          <w:sz w:val="24"/>
          <w:szCs w:val="24"/>
        </w:rPr>
        <w:t xml:space="preserve"> común, ya que podría fomentar “</w:t>
      </w:r>
      <w:r w:rsidRPr="00B71C41">
        <w:rPr>
          <w:rFonts w:ascii="Times New Roman" w:hAnsi="Times New Roman" w:cs="Times New Roman"/>
          <w:sz w:val="24"/>
          <w:szCs w:val="24"/>
        </w:rPr>
        <w:t>una recuperación más rápida, más sosten</w:t>
      </w:r>
      <w:r>
        <w:rPr>
          <w:rFonts w:ascii="Times New Roman" w:hAnsi="Times New Roman" w:cs="Times New Roman"/>
          <w:sz w:val="24"/>
          <w:szCs w:val="24"/>
        </w:rPr>
        <w:t>ible y verdaderamente inclusiva”</w:t>
      </w:r>
      <w:r w:rsidRPr="00B71C41">
        <w:rPr>
          <w:rFonts w:ascii="Times New Roman" w:hAnsi="Times New Roman" w:cs="Times New Roman"/>
          <w:sz w:val="24"/>
          <w:szCs w:val="24"/>
        </w:rPr>
        <w:t>.</w:t>
      </w:r>
    </w:p>
    <w:p w:rsidR="006E5D75" w:rsidRPr="00B71C4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B71C41">
        <w:rPr>
          <w:rFonts w:ascii="Times New Roman" w:hAnsi="Times New Roman" w:cs="Times New Roman"/>
          <w:sz w:val="24"/>
          <w:szCs w:val="24"/>
        </w:rPr>
        <w:t>Las respuestas de los Estados miembros y las intervenciones económicas deben coordinarse, ya que de lo contrario podrían terminar creando una mayor divergencia a medio plazo, poniendo en riesgo la recuperación, en particular en los E</w:t>
      </w:r>
      <w:r>
        <w:rPr>
          <w:rFonts w:ascii="Times New Roman" w:hAnsi="Times New Roman" w:cs="Times New Roman"/>
          <w:sz w:val="24"/>
          <w:szCs w:val="24"/>
        </w:rPr>
        <w:t>stados miembros más vulnerables”</w:t>
      </w:r>
      <w:r w:rsidRPr="00B71C41">
        <w:rPr>
          <w:rFonts w:ascii="Times New Roman" w:hAnsi="Times New Roman" w:cs="Times New Roman"/>
          <w:sz w:val="24"/>
          <w:szCs w:val="24"/>
        </w:rPr>
        <w:t>, incide.</w:t>
      </w:r>
    </w:p>
    <w:p w:rsidR="006E5D75" w:rsidRPr="00FD25A1"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48F5">
        <w:rPr>
          <w:rFonts w:ascii="Times New Roman" w:hAnsi="Times New Roman" w:cs="Times New Roman"/>
          <w:sz w:val="24"/>
          <w:szCs w:val="24"/>
          <w:u w:val="single"/>
        </w:rPr>
        <w:t>Los dividendos mundiales caerán un 35% este año si se da el peor de los escenarios</w:t>
      </w:r>
      <w:r>
        <w:rPr>
          <w:rFonts w:ascii="Times New Roman" w:hAnsi="Times New Roman" w:cs="Times New Roman"/>
          <w:sz w:val="24"/>
          <w:szCs w:val="24"/>
        </w:rPr>
        <w:t xml:space="preserve"> (Cinco Días - </w:t>
      </w:r>
      <w:r w:rsidRPr="002C48F5">
        <w:rPr>
          <w:rFonts w:ascii="Times New Roman" w:hAnsi="Times New Roman" w:cs="Times New Roman"/>
          <w:b/>
          <w:sz w:val="24"/>
          <w:szCs w:val="24"/>
        </w:rPr>
        <w:t>17/5/20</w:t>
      </w:r>
      <w:r>
        <w:rPr>
          <w:rFonts w:ascii="Times New Roman" w:hAnsi="Times New Roman" w:cs="Times New Roman"/>
          <w:sz w:val="24"/>
          <w:szCs w:val="24"/>
        </w:rPr>
        <w:t>)</w:t>
      </w:r>
    </w:p>
    <w:p w:rsidR="006E5D75" w:rsidRPr="00FD25A1" w:rsidRDefault="006E5D75" w:rsidP="006E5D75">
      <w:pPr>
        <w:spacing w:line="240" w:lineRule="auto"/>
        <w:jc w:val="both"/>
        <w:rPr>
          <w:rFonts w:ascii="Times New Roman" w:hAnsi="Times New Roman" w:cs="Times New Roman"/>
          <w:sz w:val="24"/>
          <w:szCs w:val="24"/>
        </w:rPr>
      </w:pPr>
      <w:r w:rsidRPr="00FD25A1">
        <w:rPr>
          <w:rFonts w:ascii="Times New Roman" w:hAnsi="Times New Roman" w:cs="Times New Roman"/>
          <w:sz w:val="24"/>
          <w:szCs w:val="24"/>
        </w:rPr>
        <w:t>Janus Henderson cree que Europa se llevará la peor parte frente a Norteamérica y Asia</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25A1">
        <w:rPr>
          <w:rFonts w:ascii="Times New Roman" w:hAnsi="Times New Roman" w:cs="Times New Roman"/>
          <w:sz w:val="24"/>
          <w:szCs w:val="24"/>
        </w:rPr>
        <w:t>Virginia Gómez Jiménez</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2853275"/>
            <wp:effectExtent l="0" t="0" r="2540" b="4445"/>
            <wp:docPr id="27" name="Imagen 27" descr="Dividendos anu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videndos anuales"/>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53275"/>
                    </a:xfrm>
                    <a:prstGeom prst="rect">
                      <a:avLst/>
                    </a:prstGeom>
                    <a:noFill/>
                    <a:ln>
                      <a:noFill/>
                    </a:ln>
                  </pic:spPr>
                </pic:pic>
              </a:graphicData>
            </a:graphic>
          </wp:inline>
        </w:drawing>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Los dividendos repartidos en los tres primeros meses del año a nivel mundial marcaron récord al alcanzar los 275.400 millones de dólares (254.469 millones de euros), lo que supone un aumento del 3,6% de forma general respecto al primer trimestre de 2019, según los últimos datos del Global Dividend Index de Janus Henderson. Los pagos de cupón por tanto no se vieron afectados por la pandemia de la Covid-19 hasta marzo, pero durante el resto del año el impacto será importante.</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Tanto será así que Janus Henderson ha hecho unas nuevas previsiones para 2020 en las que contempla varios escenarios de cara al ejercicio completo y parte de 2021. En el más optimista, la caída prevista en los pagos mundiales será del 15%, 213.000 millones de dólares (196.812 millones de euros), has</w:t>
      </w:r>
      <w:r>
        <w:rPr>
          <w:rFonts w:ascii="Times New Roman" w:hAnsi="Times New Roman" w:cs="Times New Roman"/>
          <w:sz w:val="24"/>
          <w:szCs w:val="24"/>
        </w:rPr>
        <w:t xml:space="preserve">ta los 1,21 billones de euros. </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Sin embargo, en el peor escenario, es decir en el que el nivel de endeudamiento de las empresas empeore- algunas de las cuales tienen demasiada deuda para hacer frente a una contracción económica tan repentina e inesperada- la caída de los pagos de dividendos este año sería del 35%, bajando hasta los 933.000 millones de dólares (862.092 millones de euros</w:t>
      </w:r>
      <w:r>
        <w:rPr>
          <w:rFonts w:ascii="Times New Roman" w:hAnsi="Times New Roman" w:cs="Times New Roman"/>
          <w:sz w:val="24"/>
          <w:szCs w:val="24"/>
        </w:rPr>
        <w:t>), prevé Janus Henderson.</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“La amplitud del intervalo se debe a la rápida evolución de la crisis y la probabilidad de que muchas empresas simplemente reduzcan sus dividendos en lugar de suspenderlos totalmente, ya que buscan conservar su liquidez y reforzar sus balances”, explican en el informe.</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lastRenderedPageBreak/>
        <w:t>La caída no afectará por igual ni a todos los sectore</w:t>
      </w:r>
      <w:r>
        <w:rPr>
          <w:rFonts w:ascii="Times New Roman" w:hAnsi="Times New Roman" w:cs="Times New Roman"/>
          <w:sz w:val="24"/>
          <w:szCs w:val="24"/>
        </w:rPr>
        <w:t>s ni a los países. Janus Henders</w:t>
      </w:r>
      <w:r w:rsidRPr="002C48F5">
        <w:rPr>
          <w:rFonts w:ascii="Times New Roman" w:hAnsi="Times New Roman" w:cs="Times New Roman"/>
          <w:sz w:val="24"/>
          <w:szCs w:val="24"/>
        </w:rPr>
        <w:t>on cree que por diferentes motivos, Norteamérica y Asia serán probablemente las regiones menos afectadas. La primera tiene una diversidad sectorial favorable y citan como ejemplo el gran número de empresas tecnológicas y los esfuerzos de las empresas para preservar su liquidez se centrarán principalmente en la reducción de las recompras de accio</w:t>
      </w:r>
      <w:r>
        <w:rPr>
          <w:rFonts w:ascii="Times New Roman" w:hAnsi="Times New Roman" w:cs="Times New Roman"/>
          <w:sz w:val="24"/>
          <w:szCs w:val="24"/>
        </w:rPr>
        <w:t>nes, más que en los dividendos.</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Europa y Reino Unido</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En China y el resto de Asia, las empresas ya han estipulado sus repartos de dividendos en 2020 de acuerdo con los beneficios de 2019, por lo que el impacto probablemente será mayor en 2021. Europa y el Reino Unido serán los peor parados, según Janus Henderson que recuerda que los  reguladores han obligado a los bancos a suspender dividendos y las grandes petroleras, así como otras grandes empresas, y</w:t>
      </w:r>
      <w:r>
        <w:rPr>
          <w:rFonts w:ascii="Times New Roman" w:hAnsi="Times New Roman" w:cs="Times New Roman"/>
          <w:sz w:val="24"/>
          <w:szCs w:val="24"/>
        </w:rPr>
        <w:t>a han recortado sus dividendos.</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Desde el punto de vista sectorial, bancos, consumo discrecional y algunas industrias y sectores, como el aeroespacial, son los que corren más riesgo. Los sectores del petróleo y minería, finanzas en general y construcción son especialmente débiles, mientras que las compañías tecnológicas y los sectores defensivos, como salud, alimentación y la mayoría del consumo básico (excepto el sector de bebidas, muy dependientes del negocio de bares y restauran</w:t>
      </w:r>
      <w:r>
        <w:rPr>
          <w:rFonts w:ascii="Times New Roman" w:hAnsi="Times New Roman" w:cs="Times New Roman"/>
          <w:sz w:val="24"/>
          <w:szCs w:val="24"/>
        </w:rPr>
        <w:t>tes) son relativamente seguros.</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Janus Henderson explica que la amplitud del interval</w:t>
      </w:r>
      <w:r>
        <w:rPr>
          <w:rFonts w:ascii="Times New Roman" w:hAnsi="Times New Roman" w:cs="Times New Roman"/>
          <w:sz w:val="24"/>
          <w:szCs w:val="24"/>
        </w:rPr>
        <w:t>o de las previsiones se debe a “</w:t>
      </w:r>
      <w:r w:rsidRPr="002C48F5">
        <w:rPr>
          <w:rFonts w:ascii="Times New Roman" w:hAnsi="Times New Roman" w:cs="Times New Roman"/>
          <w:sz w:val="24"/>
          <w:szCs w:val="24"/>
        </w:rPr>
        <w:t>la rápida evolución de la crisis y la probabilidad de que muchas empresas simplemente reduzcan sus dividendos en lugar de suspenderlos totalmente, ya que buscan conservar su liq</w:t>
      </w:r>
      <w:r>
        <w:rPr>
          <w:rFonts w:ascii="Times New Roman" w:hAnsi="Times New Roman" w:cs="Times New Roman"/>
          <w:sz w:val="24"/>
          <w:szCs w:val="24"/>
        </w:rPr>
        <w:t>uidez y reforzar sus balances”.</w:t>
      </w:r>
    </w:p>
    <w:p w:rsidR="006E5D75" w:rsidRPr="002C48F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Además, estos expertos adelantan que, a su juicio, el impacto se prolongará en parte hasta 2021, cuando los pagos de dividendos probablemente serán inferiores a los e</w:t>
      </w:r>
      <w:r>
        <w:rPr>
          <w:rFonts w:ascii="Times New Roman" w:hAnsi="Times New Roman" w:cs="Times New Roman"/>
          <w:sz w:val="24"/>
          <w:szCs w:val="24"/>
        </w:rPr>
        <w:t>sperados antes de la pandemia. “</w:t>
      </w:r>
      <w:r w:rsidRPr="002C48F5">
        <w:rPr>
          <w:rFonts w:ascii="Times New Roman" w:hAnsi="Times New Roman" w:cs="Times New Roman"/>
          <w:sz w:val="24"/>
          <w:szCs w:val="24"/>
        </w:rPr>
        <w:t>Varios sectores podrían retomar el pago de dividendos en 2021, siempre y cuando el crecimiento de casos alcance su pico, los confinamientos actuales impuestos por los gobiernos finalicen y la economía global empi</w:t>
      </w:r>
      <w:r>
        <w:rPr>
          <w:rFonts w:ascii="Times New Roman" w:hAnsi="Times New Roman" w:cs="Times New Roman"/>
          <w:sz w:val="24"/>
          <w:szCs w:val="24"/>
        </w:rPr>
        <w:t>ece a funcionar y a recuperarse”</w:t>
      </w:r>
      <w:r w:rsidRPr="002C48F5">
        <w:rPr>
          <w:rFonts w:ascii="Times New Roman" w:hAnsi="Times New Roman" w:cs="Times New Roman"/>
          <w:sz w:val="24"/>
          <w:szCs w:val="24"/>
        </w:rPr>
        <w:t>, explican.</w:t>
      </w:r>
    </w:p>
    <w:p w:rsidR="006E5D75" w:rsidRPr="002C48F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Pagos por regiones</w:t>
      </w:r>
    </w:p>
    <w:p w:rsidR="006E5D75" w:rsidRDefault="006E5D75" w:rsidP="006E5D7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Durante el primer trimestre de 2020, la región de Norteamérica es la que ha r</w:t>
      </w:r>
      <w:r>
        <w:rPr>
          <w:rFonts w:ascii="Times New Roman" w:hAnsi="Times New Roman" w:cs="Times New Roman"/>
          <w:sz w:val="24"/>
          <w:szCs w:val="24"/>
        </w:rPr>
        <w:t>epartido m</w:t>
      </w:r>
      <w:r w:rsidRPr="002C48F5">
        <w:rPr>
          <w:rFonts w:ascii="Times New Roman" w:hAnsi="Times New Roman" w:cs="Times New Roman"/>
          <w:sz w:val="24"/>
          <w:szCs w:val="24"/>
        </w:rPr>
        <w:t>ás dividendos. Concretame</w:t>
      </w:r>
      <w:r>
        <w:rPr>
          <w:rFonts w:ascii="Times New Roman" w:hAnsi="Times New Roman" w:cs="Times New Roman"/>
          <w:sz w:val="24"/>
          <w:szCs w:val="24"/>
        </w:rPr>
        <w:t>nte, las cotizadas de EE</w:t>
      </w:r>
      <w:r w:rsidRPr="002C48F5">
        <w:rPr>
          <w:rFonts w:ascii="Times New Roman" w:hAnsi="Times New Roman" w:cs="Times New Roman"/>
          <w:sz w:val="24"/>
          <w:szCs w:val="24"/>
        </w:rPr>
        <w:t>UU y Canadá desembolsaro</w:t>
      </w:r>
      <w:r>
        <w:rPr>
          <w:rFonts w:ascii="Times New Roman" w:hAnsi="Times New Roman" w:cs="Times New Roman"/>
          <w:sz w:val="24"/>
          <w:szCs w:val="24"/>
        </w:rPr>
        <w:t>n 151.400 millones de dólares (</w:t>
      </w:r>
      <w:r w:rsidRPr="002C48F5">
        <w:rPr>
          <w:rFonts w:ascii="Times New Roman" w:hAnsi="Times New Roman" w:cs="Times New Roman"/>
          <w:sz w:val="24"/>
          <w:szCs w:val="24"/>
        </w:rPr>
        <w:t>139.636 millones de euros), lo que supone una mejora del 13% respecto al mismo período de 2019. El segundo puesto es para Europa que desembolsó 36.000 millones de dólares (33.202 millones de euros) en retribuir al accionista, un 10% menos que en el primer trimestre de 2019. En tercer lugar, se colocan las cotizadas de Reino Unido, que repartieron 18.600 millones de dólares (17.154 millones de euros), un 10,4% menos que un año antes.</w:t>
      </w:r>
    </w:p>
    <w:p w:rsidR="006E5D75" w:rsidRDefault="006E5D75" w:rsidP="006E5D75">
      <w:pPr>
        <w:spacing w:line="240" w:lineRule="auto"/>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val="en-GB" w:eastAsia="zh-CN"/>
        </w:rPr>
        <w:lastRenderedPageBreak/>
        <w:drawing>
          <wp:inline distT="0" distB="0" distL="0" distR="0">
            <wp:extent cx="5732906" cy="3294529"/>
            <wp:effectExtent l="0" t="0" r="127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29372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p>
    <w:p w:rsidR="006E5D75" w:rsidRDefault="006E5D75" w:rsidP="006E5D75">
      <w:pPr>
        <w:spacing w:line="240" w:lineRule="auto"/>
        <w:jc w:val="both"/>
        <w:rPr>
          <w:rFonts w:ascii="Times New Roman" w:hAnsi="Times New Roman" w:cs="Times New Roman"/>
          <w:b/>
          <w:sz w:val="24"/>
          <w:szCs w:val="24"/>
        </w:rPr>
      </w:pPr>
      <w:r w:rsidRPr="00FD25A1">
        <w:rPr>
          <w:rFonts w:ascii="Times New Roman" w:eastAsia="Times New Roman" w:hAnsi="Times New Roman" w:cs="Times New Roman"/>
          <w:noProof/>
          <w:sz w:val="24"/>
          <w:szCs w:val="24"/>
          <w:lang w:val="en-GB" w:eastAsia="zh-CN"/>
        </w:rPr>
        <w:drawing>
          <wp:inline distT="0" distB="0" distL="0" distR="0">
            <wp:extent cx="5734309" cy="4188759"/>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4186715"/>
                    </a:xfrm>
                    <a:prstGeom prst="rect">
                      <a:avLst/>
                    </a:prstGeom>
                  </pic:spPr>
                </pic:pic>
              </a:graphicData>
            </a:graphic>
          </wp:inline>
        </w:drawing>
      </w:r>
    </w:p>
    <w:p w:rsidR="006E5D75" w:rsidRPr="001B4A1E" w:rsidRDefault="006E5D75" w:rsidP="006E5D75">
      <w:pPr>
        <w:spacing w:line="240" w:lineRule="auto"/>
        <w:jc w:val="both"/>
        <w:rPr>
          <w:rFonts w:ascii="Times New Roman" w:hAnsi="Times New Roman" w:cs="Times New Roman"/>
          <w:sz w:val="24"/>
          <w:szCs w:val="24"/>
          <w:lang w:val="en-US"/>
        </w:rPr>
      </w:pPr>
      <w:r w:rsidRPr="001B4A1E">
        <w:rPr>
          <w:rFonts w:ascii="Times New Roman" w:hAnsi="Times New Roman" w:cs="Times New Roman"/>
          <w:sz w:val="24"/>
          <w:szCs w:val="24"/>
          <w:lang w:val="en-US"/>
        </w:rPr>
        <w:t xml:space="preserve">(Fuente: BBCMundo - </w:t>
      </w:r>
      <w:r w:rsidRPr="00951729">
        <w:rPr>
          <w:rFonts w:ascii="Times New Roman" w:hAnsi="Times New Roman" w:cs="Times New Roman"/>
          <w:b/>
          <w:sz w:val="24"/>
          <w:szCs w:val="24"/>
          <w:lang w:val="en-US"/>
        </w:rPr>
        <w:t>19/5/20</w:t>
      </w:r>
      <w:r w:rsidRPr="001B4A1E">
        <w:rPr>
          <w:rFonts w:ascii="Times New Roman" w:hAnsi="Times New Roman" w:cs="Times New Roman"/>
          <w:sz w:val="24"/>
          <w:szCs w:val="24"/>
          <w:lang w:val="en-US"/>
        </w:rPr>
        <w:t>)</w:t>
      </w:r>
    </w:p>
    <w:p w:rsidR="006E5D75" w:rsidRDefault="006E5D75" w:rsidP="006E5D75">
      <w:pPr>
        <w:spacing w:line="240" w:lineRule="auto"/>
        <w:jc w:val="both"/>
        <w:rPr>
          <w:rFonts w:ascii="Times New Roman" w:hAnsi="Times New Roman" w:cs="Times New Roman"/>
          <w:sz w:val="24"/>
          <w:szCs w:val="24"/>
          <w:lang w:val="en-US"/>
        </w:rPr>
      </w:pPr>
    </w:p>
    <w:p w:rsidR="006E5D75" w:rsidRPr="0051622F"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51622F">
        <w:rPr>
          <w:rFonts w:ascii="Times New Roman" w:hAnsi="Times New Roman" w:cs="Times New Roman"/>
          <w:sz w:val="24"/>
          <w:szCs w:val="24"/>
          <w:u w:val="single"/>
          <w:lang w:val="en-US"/>
        </w:rPr>
        <w:t>COVID-19 Risks Outlook: A Preliminary Mapping and its Implications</w:t>
      </w:r>
      <w:r w:rsidRPr="0051622F">
        <w:rPr>
          <w:rFonts w:ascii="Times New Roman" w:hAnsi="Times New Roman" w:cs="Times New Roman"/>
          <w:sz w:val="24"/>
          <w:szCs w:val="24"/>
          <w:lang w:val="en-US"/>
        </w:rPr>
        <w:t xml:space="preserve">(World Economic Forum </w:t>
      </w:r>
      <w:r>
        <w:rPr>
          <w:rFonts w:ascii="Times New Roman" w:hAnsi="Times New Roman" w:cs="Times New Roman"/>
          <w:sz w:val="24"/>
          <w:szCs w:val="24"/>
          <w:lang w:val="en-US"/>
        </w:rPr>
        <w:t>-</w:t>
      </w:r>
      <w:r w:rsidRPr="0051622F">
        <w:rPr>
          <w:rFonts w:ascii="Times New Roman" w:hAnsi="Times New Roman" w:cs="Times New Roman"/>
          <w:b/>
          <w:sz w:val="24"/>
          <w:szCs w:val="24"/>
          <w:lang w:val="en-US"/>
        </w:rPr>
        <w:t>19/5/20</w:t>
      </w:r>
      <w:r w:rsidRPr="0051622F">
        <w:rPr>
          <w:rFonts w:ascii="Times New Roman" w:hAnsi="Times New Roman" w:cs="Times New Roman"/>
          <w:sz w:val="24"/>
          <w:szCs w:val="24"/>
          <w:lang w:val="en-US"/>
        </w:rPr>
        <w:t>)</w:t>
      </w:r>
    </w:p>
    <w:p w:rsidR="006E5D75" w:rsidRDefault="006E5D75" w:rsidP="006E5D75">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val="en-GB" w:eastAsia="zh-CN"/>
        </w:rPr>
        <w:drawing>
          <wp:inline distT="0" distB="0" distL="0" distR="0">
            <wp:extent cx="5728113" cy="2474258"/>
            <wp:effectExtent l="0" t="0" r="6350" b="254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47572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val="en-GB" w:eastAsia="zh-CN"/>
        </w:rPr>
        <w:drawing>
          <wp:inline distT="0" distB="0" distL="0" distR="0">
            <wp:extent cx="5732536" cy="2669242"/>
            <wp:effectExtent l="0" t="0" r="190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266876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val="en-GB" w:eastAsia="zh-CN"/>
        </w:rPr>
        <w:drawing>
          <wp:inline distT="0" distB="0" distL="0" distR="0">
            <wp:extent cx="5732411" cy="2615453"/>
            <wp:effectExtent l="0" t="0" r="190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15042"/>
                    </a:xfrm>
                    <a:prstGeom prst="rect">
                      <a:avLst/>
                    </a:prstGeom>
                  </pic:spPr>
                </pic:pic>
              </a:graphicData>
            </a:graphic>
          </wp:inline>
        </w:drawing>
      </w:r>
    </w:p>
    <w:p w:rsidR="006E5D75" w:rsidRPr="00E4582B" w:rsidRDefault="006E5D75" w:rsidP="006E5D75">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val="en-GB" w:eastAsia="zh-CN"/>
        </w:rPr>
        <w:lastRenderedPageBreak/>
        <w:drawing>
          <wp:inline distT="0" distB="0" distL="0" distR="0">
            <wp:extent cx="2749923" cy="3065929"/>
            <wp:effectExtent l="0" t="0" r="0" b="127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749923" cy="3065929"/>
                    </a:xfrm>
                    <a:prstGeom prst="rect">
                      <a:avLst/>
                    </a:prstGeom>
                  </pic:spPr>
                </pic:pic>
              </a:graphicData>
            </a:graphic>
          </wp:inline>
        </w:drawing>
      </w:r>
      <w:r w:rsidRPr="00E4582B">
        <w:rPr>
          <w:rFonts w:ascii="Times New Roman" w:hAnsi="Times New Roman" w:cs="Times New Roman"/>
          <w:noProof/>
          <w:sz w:val="24"/>
          <w:szCs w:val="24"/>
          <w:lang w:val="en-GB" w:eastAsia="zh-CN"/>
        </w:rPr>
        <w:drawing>
          <wp:inline distT="0" distB="0" distL="0" distR="0">
            <wp:extent cx="2869871" cy="3065929"/>
            <wp:effectExtent l="0" t="0" r="6985"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871348" cy="306750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val="en-GB" w:eastAsia="zh-CN"/>
        </w:rPr>
        <w:drawing>
          <wp:inline distT="0" distB="0" distL="0" distR="0">
            <wp:extent cx="5479676" cy="2568389"/>
            <wp:effectExtent l="0" t="0" r="6985" b="381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77640" cy="256743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val="en-GB" w:eastAsia="zh-CN"/>
        </w:rPr>
        <w:drawing>
          <wp:inline distT="0" distB="0" distL="0" distR="0">
            <wp:extent cx="5572961" cy="2884394"/>
            <wp:effectExtent l="0" t="0" r="889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572903" cy="2884364"/>
                    </a:xfrm>
                    <a:prstGeom prst="rect">
                      <a:avLst/>
                    </a:prstGeom>
                  </pic:spPr>
                </pic:pic>
              </a:graphicData>
            </a:graphic>
          </wp:inline>
        </w:drawing>
      </w:r>
    </w:p>
    <w:p w:rsidR="006E5D75" w:rsidRPr="0051622F" w:rsidRDefault="006E5D75" w:rsidP="006E5D75">
      <w:pPr>
        <w:spacing w:line="240" w:lineRule="auto"/>
        <w:jc w:val="both"/>
        <w:rPr>
          <w:rFonts w:ascii="Times New Roman" w:hAnsi="Times New Roman" w:cs="Times New Roman"/>
          <w:b/>
          <w:sz w:val="24"/>
          <w:szCs w:val="24"/>
          <w:lang w:val="en-US"/>
        </w:rPr>
      </w:pPr>
      <w:r w:rsidRPr="0051622F">
        <w:rPr>
          <w:rFonts w:ascii="Times New Roman" w:hAnsi="Times New Roman" w:cs="Times New Roman"/>
          <w:b/>
          <w:sz w:val="24"/>
          <w:szCs w:val="24"/>
          <w:lang w:val="en-US"/>
        </w:rPr>
        <w:lastRenderedPageBreak/>
        <w:t>A pandemic in (some) numbers</w:t>
      </w:r>
    </w:p>
    <w:p w:rsidR="006E5D75" w:rsidRPr="00951729"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500m    </w:t>
      </w:r>
      <w:r w:rsidRPr="0051622F">
        <w:rPr>
          <w:rFonts w:ascii="Times New Roman" w:hAnsi="Times New Roman" w:cs="Times New Roman"/>
          <w:b/>
          <w:bCs/>
          <w:color w:val="141414"/>
          <w:sz w:val="24"/>
          <w:szCs w:val="24"/>
          <w:lang w:val="en-US"/>
        </w:rPr>
        <w:t>People at risk of falling into poverty</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3%        </w:t>
      </w:r>
      <w:r w:rsidRPr="0051622F">
        <w:rPr>
          <w:rFonts w:ascii="Times New Roman" w:hAnsi="Times New Roman" w:cs="Times New Roman"/>
          <w:b/>
          <w:bCs/>
          <w:color w:val="141414"/>
          <w:sz w:val="24"/>
          <w:szCs w:val="24"/>
          <w:lang w:val="en-US"/>
        </w:rPr>
        <w:t>Expected drop in world output</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13-32% </w:t>
      </w:r>
      <w:r w:rsidRPr="0051622F">
        <w:rPr>
          <w:rFonts w:ascii="Times New Roman" w:hAnsi="Times New Roman" w:cs="Times New Roman"/>
          <w:b/>
          <w:bCs/>
          <w:color w:val="141414"/>
          <w:sz w:val="24"/>
          <w:szCs w:val="24"/>
          <w:lang w:val="en-US"/>
        </w:rPr>
        <w:t>Anticipated fall in global trade</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rPr>
      </w:pPr>
      <w:r w:rsidRPr="0051622F">
        <w:rPr>
          <w:rFonts w:ascii="Times New Roman" w:hAnsi="Times New Roman" w:cs="Times New Roman"/>
          <w:b/>
          <w:color w:val="0070BE"/>
          <w:sz w:val="24"/>
          <w:szCs w:val="24"/>
        </w:rPr>
        <w:t xml:space="preserve">30-40% </w:t>
      </w:r>
      <w:r w:rsidRPr="0051622F">
        <w:rPr>
          <w:rFonts w:ascii="Times New Roman" w:hAnsi="Times New Roman" w:cs="Times New Roman"/>
          <w:b/>
          <w:bCs/>
          <w:color w:val="141414"/>
          <w:sz w:val="24"/>
          <w:szCs w:val="24"/>
        </w:rPr>
        <w:t>Estimated drop in FDI</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80%      </w:t>
      </w:r>
      <w:r w:rsidRPr="0051622F">
        <w:rPr>
          <w:rFonts w:ascii="Times New Roman" w:hAnsi="Times New Roman" w:cs="Times New Roman"/>
          <w:b/>
          <w:bCs/>
          <w:color w:val="141414"/>
          <w:sz w:val="24"/>
          <w:szCs w:val="24"/>
          <w:lang w:val="en-US"/>
        </w:rPr>
        <w:t>Students worldwide (1.6bn) out of school in March 2020</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34%     </w:t>
      </w:r>
      <w:r w:rsidRPr="0051622F">
        <w:rPr>
          <w:rFonts w:ascii="Times New Roman" w:hAnsi="Times New Roman" w:cs="Times New Roman"/>
          <w:b/>
          <w:bCs/>
          <w:color w:val="141414"/>
          <w:sz w:val="24"/>
          <w:szCs w:val="24"/>
          <w:lang w:val="en-US"/>
        </w:rPr>
        <w:t>Adults feeling adverse effects on their mental health during lockdown</w:t>
      </w:r>
    </w:p>
    <w:p w:rsidR="006E5D75" w:rsidRPr="0051622F" w:rsidRDefault="006E5D75" w:rsidP="006E5D75">
      <w:pPr>
        <w:numPr>
          <w:ilvl w:val="0"/>
          <w:numId w:val="9"/>
        </w:numPr>
        <w:spacing w:after="100" w:afterAutospacing="1" w:line="240" w:lineRule="auto"/>
        <w:ind w:left="0"/>
        <w:jc w:val="both"/>
        <w:rPr>
          <w:rFonts w:ascii="Times New Roman" w:hAnsi="Times New Roman" w:cs="Times New Roman"/>
          <w:color w:val="0070BE"/>
          <w:sz w:val="24"/>
          <w:szCs w:val="24"/>
          <w:lang w:val="en-US"/>
        </w:rPr>
      </w:pPr>
      <w:r w:rsidRPr="0051622F">
        <w:rPr>
          <w:rFonts w:ascii="Times New Roman" w:hAnsi="Times New Roman" w:cs="Times New Roman"/>
          <w:b/>
          <w:color w:val="0070BE"/>
          <w:sz w:val="24"/>
          <w:szCs w:val="24"/>
          <w:lang w:val="en-US"/>
        </w:rPr>
        <w:t>1%</w:t>
      </w:r>
      <w:r w:rsidRPr="0051622F">
        <w:rPr>
          <w:rFonts w:ascii="Times New Roman" w:hAnsi="Times New Roman" w:cs="Times New Roman"/>
          <w:b/>
          <w:bCs/>
          <w:color w:val="141414"/>
          <w:sz w:val="24"/>
          <w:szCs w:val="24"/>
          <w:lang w:val="en-US"/>
        </w:rPr>
        <w:t>Increase in unemployment results in 2% increase in chronic illness</w:t>
      </w:r>
    </w:p>
    <w:p w:rsidR="006E5D75" w:rsidRPr="00FB04E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04EB">
        <w:rPr>
          <w:rFonts w:ascii="Times New Roman" w:hAnsi="Times New Roman" w:cs="Times New Roman"/>
          <w:sz w:val="24"/>
          <w:szCs w:val="24"/>
          <w:u w:val="single"/>
        </w:rPr>
        <w:t>Las locomotoras del sur se quedan atrás en la recuperación de Europa</w:t>
      </w:r>
      <w:r>
        <w:rPr>
          <w:rFonts w:ascii="Times New Roman" w:hAnsi="Times New Roman" w:cs="Times New Roman"/>
          <w:sz w:val="24"/>
          <w:szCs w:val="24"/>
        </w:rPr>
        <w:t xml:space="preserve"> (El Economista - </w:t>
      </w:r>
      <w:r w:rsidRPr="00FB04EB">
        <w:rPr>
          <w:rFonts w:ascii="Times New Roman" w:hAnsi="Times New Roman" w:cs="Times New Roman"/>
          <w:b/>
          <w:sz w:val="24"/>
          <w:szCs w:val="24"/>
        </w:rPr>
        <w:t>20/5/20</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5170" cy="3234018"/>
            <wp:effectExtent l="0" t="0" r="0" b="5080"/>
            <wp:docPr id="7" name="Imagen 7" descr="https://s03.s3c.es/imag/_v0/770x450/5/f/f/200520-Tren-EuroStox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50/5/f/f/200520-Tren-EuroStoxx.gif"/>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31954"/>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5169" cy="2770094"/>
            <wp:effectExtent l="0" t="0" r="0" b="0"/>
            <wp:docPr id="23" name="Imagen 23" descr="https://s03.s3c.es/imag/_v0/770x392/3/b/8/oro-euros-pre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92/3/b/8/oro-euros-precio.jpg"/>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68326"/>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FB04EB">
        <w:rPr>
          <w:rFonts w:ascii="Times New Roman" w:hAnsi="Times New Roman" w:cs="Times New Roman"/>
          <w:sz w:val="24"/>
          <w:szCs w:val="24"/>
        </w:rPr>
        <w:t xml:space="preserve">(Fuente: El Economista - </w:t>
      </w:r>
      <w:r w:rsidRPr="00951729">
        <w:rPr>
          <w:rFonts w:ascii="Times New Roman" w:hAnsi="Times New Roman" w:cs="Times New Roman"/>
          <w:b/>
          <w:sz w:val="24"/>
          <w:szCs w:val="24"/>
        </w:rPr>
        <w:t>20/5/20</w:t>
      </w:r>
      <w:r w:rsidRPr="00FB04EB">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w:t>
      </w:r>
      <w:r>
        <w:rPr>
          <w:rFonts w:ascii="Times New Roman" w:hAnsi="Times New Roman" w:cs="Times New Roman"/>
          <w:sz w:val="24"/>
          <w:szCs w:val="24"/>
          <w:u w:val="single"/>
          <w:shd w:val="clear" w:color="auto" w:fill="FFFFFF"/>
        </w:rPr>
        <w:t>Qué forma tendrá la salida de la crisis? Las nueve opciones que estudian los líderes</w:t>
      </w:r>
      <w:r>
        <w:rPr>
          <w:rFonts w:ascii="Times New Roman" w:hAnsi="Times New Roman" w:cs="Times New Roman"/>
          <w:sz w:val="24"/>
          <w:szCs w:val="24"/>
          <w:shd w:val="clear" w:color="auto" w:fill="FFFFFF"/>
        </w:rPr>
        <w:t xml:space="preserve"> (El Español - </w:t>
      </w:r>
      <w:r>
        <w:rPr>
          <w:rFonts w:ascii="Times New Roman" w:hAnsi="Times New Roman" w:cs="Times New Roman"/>
          <w:b/>
          <w:sz w:val="24"/>
          <w:szCs w:val="24"/>
          <w:shd w:val="clear" w:color="auto" w:fill="FFFFFF"/>
        </w:rPr>
        <w:t>24/5/20</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Acaba la emergencia sanitaria. El Covid-19 empieza a remitir y comienza la desescalada económica. Llega el momento de hacer balance de daños y de pensar en lo que está por venir. Hacer planes, mirar al futuro y decidir qué medidas hay que adoptar para garantizar la continuidad de la empresa</w:t>
      </w:r>
      <w:r>
        <w:rPr>
          <w:rFonts w:ascii="Times New Roman" w:hAnsi="Times New Roman" w:cs="Times New Roman"/>
          <w:sz w:val="24"/>
          <w:szCs w:val="24"/>
          <w:shd w:val="clear" w:color="auto" w:fill="FFFFFF"/>
        </w:rPr>
        <w:t xml:space="preserve">. Algo para lo que será esencial conocer cómo será la recuperación económica de España, Europa y de las principales regiones económicas.  </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sz w:val="24"/>
          <w:szCs w:val="24"/>
          <w:shd w:val="clear" w:color="auto" w:fill="FFFFFF"/>
        </w:rPr>
        <w:t xml:space="preserve">Este es el ejercicio que están haciendo estos días los consejos de administración de las empresas de todo el mundo. Unas reuniones en las que circula </w:t>
      </w:r>
      <w:r>
        <w:rPr>
          <w:rFonts w:ascii="Times New Roman" w:hAnsi="Times New Roman" w:cs="Times New Roman"/>
          <w:color w:val="FF0000"/>
          <w:sz w:val="24"/>
          <w:szCs w:val="24"/>
          <w:u w:val="single"/>
          <w:shd w:val="clear" w:color="auto" w:fill="FFFFFF"/>
        </w:rPr>
        <w:t xml:space="preserve">una encuesta a nivel global elaborada por McKinsey en la que más de 2.000 directivos muestran cuáles son sus vaticinios para los próximos meses. </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¿Y qué dicen? Básicamente se muestran prudentes y estiman que habrá una recuperación en forma de logotipo de Nike (figura A1 en el gráfico). Es decir, que habrá una caída profunda que poco a poco se irá recuperando.</w:t>
      </w:r>
    </w:p>
    <w:p w:rsidR="006E5D75" w:rsidRDefault="006E5D75" w:rsidP="006E5D75">
      <w:pPr>
        <w:spacing w:line="240" w:lineRule="auto"/>
        <w:jc w:val="both"/>
        <w:rPr>
          <w:rFonts w:ascii="Times New Roman" w:hAnsi="Times New Roman" w:cs="Times New Roman"/>
          <w:sz w:val="24"/>
          <w:szCs w:val="24"/>
          <w:shd w:val="clear" w:color="auto" w:fill="FFFFFF"/>
        </w:rPr>
      </w:pPr>
      <w:r>
        <w:rPr>
          <w:noProof/>
          <w:lang w:val="en-GB" w:eastAsia="zh-CN"/>
        </w:rPr>
        <w:drawing>
          <wp:inline distT="0" distB="0" distL="0" distR="0">
            <wp:extent cx="5735171" cy="2595283"/>
            <wp:effectExtent l="0" t="0" r="0" b="0"/>
            <wp:docPr id="223" name="Imagen 223" descr="Escenarios planteados por McKine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Escenarios planteados por McKinesey."/>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5171" cy="2595283"/>
                    </a:xfrm>
                    <a:prstGeom prst="rect">
                      <a:avLst/>
                    </a:prstGeom>
                    <a:noFill/>
                    <a:ln>
                      <a:noFill/>
                    </a:ln>
                  </pic:spPr>
                </pic:pic>
              </a:graphicData>
            </a:graphic>
          </wp:inline>
        </w:drawing>
      </w:r>
      <w:r>
        <w:rPr>
          <w:rFonts w:ascii="Times New Roman" w:hAnsi="Times New Roman" w:cs="Times New Roman"/>
          <w:sz w:val="24"/>
          <w:szCs w:val="24"/>
          <w:shd w:val="clear" w:color="auto" w:fill="FFFFFF"/>
        </w:rPr>
        <w:t>Escenarios planteados por McKinsey.</w:t>
      </w:r>
    </w:p>
    <w:p w:rsidR="006E5D75" w:rsidRDefault="006E5D75" w:rsidP="006E5D75">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 xml:space="preserve">Se da por descontado que habrá rebrotes del virus a nivel regional que obligarán a adoptar medidas sanitarias y de distanciamiento social después del verano. </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Un escenario en el que las políticas económicas responderán parcialmente a los daños producidos en la economía, y la</w:t>
      </w:r>
      <w:r w:rsidR="008935E0">
        <w:rPr>
          <w:rFonts w:ascii="Times New Roman" w:hAnsi="Times New Roman" w:cs="Times New Roman"/>
          <w:color w:val="FF0000"/>
          <w:sz w:val="24"/>
          <w:szCs w:val="24"/>
          <w:u w:val="single"/>
          <w:shd w:val="clear" w:color="auto" w:fill="FFFFFF"/>
        </w:rPr>
        <w:t xml:space="preserve"> crisis bancaria está descartado</w:t>
      </w:r>
      <w:r>
        <w:rPr>
          <w:rFonts w:ascii="Times New Roman" w:hAnsi="Times New Roman" w:cs="Times New Roman"/>
          <w:color w:val="FF0000"/>
          <w:sz w:val="24"/>
          <w:szCs w:val="24"/>
          <w:u w:val="single"/>
          <w:shd w:val="clear" w:color="auto" w:fill="FFFFFF"/>
        </w:rPr>
        <w:t>. Pese a todo habrá unos niveles de crecimiento bastante bajos. Es decir, que costará volver a la situación de partida.Tanto que, según la propia consultora, no será hasta septiembre de 2022 cuando vuelvan los niveles de PIB previos al coronavirus.</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Dicen los ejecutivos que en este escenario las políticas económicas podrían fallar a la hora de frenar un gran aumento del paro y de cierre de empresas, lo que generaría una recuperación muy lenta, incluso cuando el virus esté bajo control. </w:t>
      </w:r>
    </w:p>
    <w:p w:rsidR="006E5D75" w:rsidRDefault="006E5D75" w:rsidP="006E5D75">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 xml:space="preserve">Para este año (2020) se estima una recesión del -6,5% global que llegará al -11,1% en Europa y al -8,1% en EEUU. ¿Cuándo saldrán definitivamente de la crisis? Pues entre el primer y el tercer trimestre del ejercicio 2023.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FF0000"/>
          <w:sz w:val="24"/>
          <w:szCs w:val="24"/>
          <w:u w:val="single"/>
          <w:shd w:val="clear" w:color="auto" w:fill="FFFFFF"/>
        </w:rPr>
        <w:lastRenderedPageBreak/>
        <w:t>El documento de McKinsey, titulado Respuesta global a la crisis sanitaria y económica, detalla el otro escenario favorito de los directivos. Es más optimista que el anterior y sería parecido a la famosa V asimétrica (gráfico A3)</w:t>
      </w:r>
      <w:r w:rsidRPr="00032C2A">
        <w:rPr>
          <w:rFonts w:ascii="Times New Roman" w:hAnsi="Times New Roman" w:cs="Times New Roman"/>
          <w:color w:val="FF0000"/>
          <w:sz w:val="24"/>
          <w:szCs w:val="24"/>
          <w:shd w:val="clear" w:color="auto" w:fill="FFFFFF"/>
        </w:rPr>
        <w:t>…</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 xml:space="preserve">Esta opción es la favorita para el 16% de los directivos, y es mucho más optimista que el primer escenario. ¿Por qué? Básicamente porque estima que el coronavirus estará controlado en China antes del verano, y que en Europa y EEUU (tras un cierre de dos meses de la economía) las cosas habrán mejorado en junio gracias a la respuesta sanitaria y la estacionalidad del virus. </w:t>
      </w:r>
    </w:p>
    <w:p w:rsidR="006E5D75" w:rsidRDefault="006E5D75" w:rsidP="006E5D75">
      <w:pPr>
        <w:spacing w:line="240" w:lineRule="auto"/>
        <w:jc w:val="both"/>
        <w:rPr>
          <w:rFonts w:ascii="Times New Roman" w:hAnsi="Times New Roman" w:cs="Times New Roman"/>
          <w:sz w:val="24"/>
          <w:szCs w:val="24"/>
          <w:shd w:val="clear" w:color="auto" w:fill="FFFFFF"/>
        </w:rPr>
      </w:pPr>
      <w:r>
        <w:rPr>
          <w:noProof/>
          <w:lang w:val="en-GB" w:eastAsia="zh-CN"/>
        </w:rPr>
        <w:drawing>
          <wp:inline distT="0" distB="0" distL="0" distR="0">
            <wp:extent cx="5734049" cy="2120900"/>
            <wp:effectExtent l="0" t="0" r="635" b="0"/>
            <wp:docPr id="35" name="Imagen 35" descr="Previsión de los escenarios elegidos por los ejecutivos encuestados por 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Previsión de los escenarios elegidos por los ejecutivos encuestados por McKinsey."/>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5320" cy="2121370"/>
                    </a:xfrm>
                    <a:prstGeom prst="rect">
                      <a:avLst/>
                    </a:prstGeom>
                    <a:noFill/>
                    <a:ln>
                      <a:noFill/>
                    </a:ln>
                  </pic:spPr>
                </pic:pic>
              </a:graphicData>
            </a:graphic>
          </wp:inline>
        </w:drawing>
      </w:r>
      <w:r>
        <w:rPr>
          <w:rFonts w:ascii="Times New Roman" w:hAnsi="Times New Roman" w:cs="Times New Roman"/>
          <w:sz w:val="24"/>
          <w:szCs w:val="24"/>
          <w:shd w:val="clear" w:color="auto" w:fill="FFFFFF"/>
        </w:rPr>
        <w:t>Previsión de los escenarios elegidos por los ejecutivos encuestados por McKinsey.</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 xml:space="preserve">China y EEUU verán cerrar 2020 con el PIB en el -2% y el -2,5%, respectivamente. Sin embargo, la Eurozona tendrá que esperar a marzo del año siguiente y ver cómo la caída de la economía alcanza el -5,2%. A nivel mundial, la recuperación llegará al tiempo que en la Unión Europea, aunque el PIB descenderá al -2,7% este año. </w:t>
      </w:r>
    </w:p>
    <w:p w:rsidR="006E5D75" w:rsidRPr="00032C2A"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color w:val="FF0000"/>
          <w:sz w:val="24"/>
          <w:szCs w:val="24"/>
          <w:u w:val="single"/>
          <w:shd w:val="clear" w:color="auto" w:fill="FFFFFF"/>
        </w:rPr>
        <w:t>En esta recuperación la más beneficiada será la economía China, que tras una rápida desaceleración verá un fuerte rebrote llevándole a niveles precrisis. Sin embargo, en Europa y EEUU la política fiscal y monetaria mitigará parcialmente los daños provocados por la pandemia, aunque tardará tiempo en surtir efecto. Eso hará que haya un fuerte rebote a partir del tercer trimestre de este año. Advierte, eso sí, de que la mayor parte de los países verán una caída del PIB en el segundo trimestre del año que no tendrá precedentes desde la II Guerra Mundia</w:t>
      </w:r>
      <w:r w:rsidRPr="00B30422">
        <w:rPr>
          <w:rFonts w:ascii="Times New Roman" w:hAnsi="Times New Roman" w:cs="Times New Roman"/>
          <w:color w:val="FF0000"/>
          <w:sz w:val="24"/>
          <w:szCs w:val="24"/>
          <w:u w:val="single"/>
          <w:shd w:val="clear" w:color="auto" w:fill="FFFFFF"/>
        </w:rPr>
        <w:t>l</w:t>
      </w:r>
      <w:r w:rsidRPr="00B30422">
        <w:rPr>
          <w:rFonts w:ascii="Times New Roman" w:hAnsi="Times New Roman" w:cs="Times New Roman"/>
          <w:b/>
          <w:color w:val="FF0000"/>
          <w:sz w:val="24"/>
          <w:szCs w:val="24"/>
          <w:shd w:val="clear" w:color="auto" w:fill="FFFFFF"/>
        </w:rPr>
        <w:t xml:space="preserve">.   </w:t>
      </w:r>
    </w:p>
    <w:p w:rsidR="006E5D75" w:rsidRDefault="006E5D75" w:rsidP="006E5D75">
      <w:pPr>
        <w:spacing w:line="240" w:lineRule="auto"/>
        <w:jc w:val="both"/>
        <w:rPr>
          <w:rFonts w:ascii="Times New Roman" w:hAnsi="Times New Roman" w:cs="Times New Roman"/>
          <w:sz w:val="24"/>
          <w:szCs w:val="24"/>
          <w:shd w:val="clear" w:color="auto" w:fill="FFFFFF"/>
          <w:lang w:val="en-US"/>
        </w:rPr>
      </w:pPr>
      <w:r>
        <w:rPr>
          <w:noProof/>
          <w:lang w:val="en-GB" w:eastAsia="zh-CN"/>
        </w:rPr>
        <w:drawing>
          <wp:inline distT="0" distB="0" distL="0" distR="0">
            <wp:extent cx="5731510" cy="2452740"/>
            <wp:effectExtent l="0" t="0" r="2540" b="5080"/>
            <wp:docPr id="62" name="Imagen 62" descr="El mercado empuja a la Fed y al Banco de Inglaterra hacia los tipos nega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ercado empuja a la Fed y al Banco de Inglaterra hacia los tipos negativos"/>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52740"/>
                    </a:xfrm>
                    <a:prstGeom prst="rect">
                      <a:avLst/>
                    </a:prstGeom>
                    <a:noFill/>
                    <a:ln>
                      <a:noFill/>
                    </a:ln>
                  </pic:spPr>
                </pic:pic>
              </a:graphicData>
            </a:graphic>
          </wp:inline>
        </w:drawing>
      </w:r>
    </w:p>
    <w:p w:rsidR="006E5D75" w:rsidRPr="00536F20"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DD5436">
        <w:rPr>
          <w:rFonts w:ascii="Times New Roman" w:hAnsi="Times New Roman" w:cs="Times New Roman"/>
          <w:sz w:val="24"/>
          <w:szCs w:val="24"/>
          <w:u w:val="single"/>
          <w:shd w:val="clear" w:color="auto" w:fill="FFFFFF"/>
        </w:rPr>
        <w:t>La OCDE constata que 2020 arranca con el peor trimestre desde el apogeo de la crisis financiera</w:t>
      </w:r>
      <w:r>
        <w:rPr>
          <w:rFonts w:ascii="Times New Roman" w:hAnsi="Times New Roman" w:cs="Times New Roman"/>
          <w:sz w:val="24"/>
          <w:szCs w:val="24"/>
          <w:shd w:val="clear" w:color="auto" w:fill="FFFFFF"/>
        </w:rPr>
        <w:t xml:space="preserve"> (Cinco Días - </w:t>
      </w:r>
      <w:r w:rsidRPr="00DD5436">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Los países desarrollados sufren un retroceso del 1,8% que oscila según las medidas de confinamiento entre el -5,8% de Francia,</w:t>
      </w:r>
      <w:r>
        <w:rPr>
          <w:rFonts w:ascii="Times New Roman" w:hAnsi="Times New Roman" w:cs="Times New Roman"/>
          <w:sz w:val="24"/>
          <w:szCs w:val="24"/>
          <w:shd w:val="clear" w:color="auto" w:fill="FFFFFF"/>
        </w:rPr>
        <w:t xml:space="preserve"> el -3,8% de la zona euro y el -</w:t>
      </w:r>
      <w:r w:rsidRPr="00536F20">
        <w:rPr>
          <w:rFonts w:ascii="Times New Roman" w:hAnsi="Times New Roman" w:cs="Times New Roman"/>
          <w:sz w:val="24"/>
          <w:szCs w:val="24"/>
          <w:shd w:val="clear" w:color="auto" w:fill="FFFFFF"/>
        </w:rPr>
        <w:t>0,9% de Japón</w:t>
      </w:r>
    </w:p>
    <w:p w:rsidR="006E5D75" w:rsidRPr="00536F20"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Las economías desarrolladas sufrieron una caída media del 1,8% entre enero y marzo de 2020 como consecuencia de la propagación de la pandemia de coronavirus, lo que supone el peor trimestre desde el apogeo de la Gran Recesión, que tuvo lugar en el arranque de 2009 como consec</w:t>
      </w:r>
      <w:r>
        <w:rPr>
          <w:rFonts w:ascii="Times New Roman" w:hAnsi="Times New Roman" w:cs="Times New Roman"/>
          <w:sz w:val="24"/>
          <w:szCs w:val="24"/>
          <w:shd w:val="clear" w:color="auto" w:fill="FFFFFF"/>
        </w:rPr>
        <w:t>uencia de la crisis financiera.</w:t>
      </w:r>
    </w:p>
    <w:p w:rsidR="006E5D75"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Así lo ha constatado este martes la Organización para la Cooperación y el Desarrollo Económico (OCDE) en un informe que subrayas las fuertes oscilaciones que provoca, dentro del retroceso generalizado, el grado de severidad de las medidas de confinamiento adoptadas en cada país para hacer frente a la pandemia del Covid-19.</w:t>
      </w:r>
    </w:p>
    <w:p w:rsidR="006E5D75"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Así, en países donde las medidas de confinamiento y cierre de comercios </w:t>
      </w:r>
      <w:r>
        <w:rPr>
          <w:rFonts w:ascii="Times New Roman" w:hAnsi="Times New Roman" w:cs="Times New Roman"/>
          <w:sz w:val="24"/>
          <w:szCs w:val="24"/>
          <w:shd w:val="clear" w:color="auto" w:fill="FFFFFF"/>
        </w:rPr>
        <w:t>fueron más estricto</w:t>
      </w:r>
      <w:r w:rsidRPr="00536F20">
        <w:rPr>
          <w:rFonts w:ascii="Times New Roman" w:hAnsi="Times New Roman" w:cs="Times New Roman"/>
          <w:sz w:val="24"/>
          <w:szCs w:val="24"/>
          <w:shd w:val="clear" w:color="auto" w:fill="FFFFFF"/>
        </w:rPr>
        <w:t>s, las caídas de PIB fueron más acusadas. Es el caso de Francia, que cede un 5,8% tras la caída del 0,1% del último trimestre de 2019, o de Italia, que cae un 4,7% frente al -0,3% del periodo de octubre a diciembre del año pasado, según los datos provisionales manejados por la OCDE.</w:t>
      </w:r>
    </w:p>
    <w:p w:rsidR="006E5D75" w:rsidRPr="00536F20" w:rsidRDefault="006E5D75" w:rsidP="006E5D75">
      <w:pPr>
        <w:spacing w:line="240" w:lineRule="auto"/>
        <w:jc w:val="both"/>
        <w:rPr>
          <w:rFonts w:ascii="Times New Roman" w:hAnsi="Times New Roman" w:cs="Times New Roman"/>
          <w:sz w:val="24"/>
          <w:szCs w:val="24"/>
          <w:shd w:val="clear" w:color="auto" w:fill="FFFFFF"/>
        </w:rPr>
      </w:pPr>
      <w:r>
        <w:rPr>
          <w:noProof/>
          <w:lang w:val="en-GB" w:eastAsia="zh-CN"/>
        </w:rPr>
        <w:drawing>
          <wp:inline distT="0" distB="0" distL="0" distR="0">
            <wp:extent cx="5728447" cy="3502959"/>
            <wp:effectExtent l="0" t="0" r="5715" b="2540"/>
            <wp:docPr id="66" name="Imagen 66" descr="La OCDE constata que 2020 arranca con el peor trimestre desde el apogeo de la crisis financ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OCDE constata que 2020 arranca con el peor trimestre desde el apogeo de la crisis financiera"/>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04832"/>
                    </a:xfrm>
                    <a:prstGeom prst="rect">
                      <a:avLst/>
                    </a:prstGeom>
                    <a:noFill/>
                    <a:ln>
                      <a:noFill/>
                    </a:ln>
                  </pic:spPr>
                </pic:pic>
              </a:graphicData>
            </a:graphic>
          </wp:inline>
        </w:drawing>
      </w:r>
    </w:p>
    <w:p w:rsidR="006E5D75" w:rsidRPr="00536F20" w:rsidRDefault="006E5D75" w:rsidP="006E5D75">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u w:val="single"/>
          <w:shd w:val="clear" w:color="auto" w:fill="FFFFFF"/>
        </w:rPr>
        <w:t>El mercado empuja a la Fed y al Banco de Inglaterra hacia los tipos negativos</w:t>
      </w:r>
      <w:r w:rsidRPr="00DD5436">
        <w:rPr>
          <w:rFonts w:ascii="Times New Roman" w:hAnsi="Times New Roman" w:cs="Times New Roman"/>
          <w:sz w:val="24"/>
          <w:szCs w:val="24"/>
          <w:shd w:val="clear" w:color="auto" w:fill="FFFFFF"/>
        </w:rPr>
        <w:t xml:space="preserve">(Cinco Días - </w:t>
      </w:r>
      <w:r w:rsidRPr="00DD5436">
        <w:rPr>
          <w:rFonts w:ascii="Times New Roman" w:hAnsi="Times New Roman" w:cs="Times New Roman"/>
          <w:b/>
          <w:sz w:val="24"/>
          <w:szCs w:val="24"/>
          <w:shd w:val="clear" w:color="auto" w:fill="FFFFFF"/>
        </w:rPr>
        <w:t>27/5/20</w:t>
      </w:r>
      <w:r w:rsidRPr="00DD5436">
        <w:rPr>
          <w:rFonts w:ascii="Times New Roman" w:hAnsi="Times New Roman" w:cs="Times New Roman"/>
          <w:sz w:val="24"/>
          <w:szCs w:val="24"/>
          <w:shd w:val="clear" w:color="auto" w:fill="FFFFFF"/>
        </w:rPr>
        <w:t>)</w:t>
      </w:r>
    </w:p>
    <w:p w:rsidR="006E5D75" w:rsidRPr="00DD5436"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Ambos bancos centrales se resisten pese a la dureza de la crisis. </w:t>
      </w:r>
      <w:r w:rsidRPr="00DD5436">
        <w:rPr>
          <w:rFonts w:ascii="Times New Roman" w:hAnsi="Times New Roman" w:cs="Times New Roman"/>
          <w:sz w:val="24"/>
          <w:szCs w:val="24"/>
          <w:shd w:val="clear" w:color="auto" w:fill="FFFFFF"/>
        </w:rPr>
        <w:t>Los expertos prevén más estímulos monetarios</w:t>
      </w:r>
    </w:p>
    <w:p w:rsidR="006E5D75" w:rsidRPr="00536F20"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El mercado está empujando a la deuda soberana de Estados Unidos y Reino Unido hacia un terreno desconocido al que la Reserva Federal y el Banco de Inglaterra se resisten. Los rendimientos están cayendo en picado, no solo ante las drásticas rebajas de tipos de interés </w:t>
      </w:r>
      <w:r w:rsidRPr="00536F20">
        <w:rPr>
          <w:rFonts w:ascii="Times New Roman" w:hAnsi="Times New Roman" w:cs="Times New Roman"/>
          <w:sz w:val="24"/>
          <w:szCs w:val="24"/>
          <w:shd w:val="clear" w:color="auto" w:fill="FFFFFF"/>
        </w:rPr>
        <w:lastRenderedPageBreak/>
        <w:t xml:space="preserve">con las que se respondió en marzo al impacto económico de la pandemia y que han dejado el precio del dinero al cero en Estados Unidos y al 0,1% en Reino Unido, sino ante la gravedad de una crisis </w:t>
      </w:r>
      <w:r>
        <w:rPr>
          <w:rFonts w:ascii="Times New Roman" w:hAnsi="Times New Roman" w:cs="Times New Roman"/>
          <w:sz w:val="24"/>
          <w:szCs w:val="24"/>
          <w:shd w:val="clear" w:color="auto" w:fill="FFFFFF"/>
        </w:rPr>
        <w:t>que avanza a pasos agigantados.</w:t>
      </w:r>
    </w:p>
    <w:p w:rsidR="006E5D75" w:rsidRDefault="006E5D75" w:rsidP="006E5D7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 profundidad del derrumbe económico es tal que los bancos centrales han disparado con una intensidad sin precedentes toda su artillería monetaria. Pero aún se espera más, una nueva oleada de compras de deuda y también, como medida extraordinaria donde las haya, tipos de referencia en negativo</w:t>
      </w:r>
      <w:r>
        <w:rPr>
          <w:rFonts w:ascii="Times New Roman" w:hAnsi="Times New Roman" w:cs="Times New Roman"/>
          <w:sz w:val="24"/>
          <w:szCs w:val="24"/>
          <w:shd w:val="clear" w:color="auto" w:fill="FFFFFF"/>
        </w:rPr>
        <w:t>…</w:t>
      </w:r>
    </w:p>
    <w:p w:rsidR="006E5D75" w:rsidRPr="00622FD3" w:rsidRDefault="006E5D75" w:rsidP="006E5D75">
      <w:pPr>
        <w:spacing w:line="240" w:lineRule="auto"/>
        <w:jc w:val="both"/>
        <w:rPr>
          <w:rFonts w:ascii="Times New Roman" w:hAnsi="Times New Roman" w:cs="Times New Roman"/>
          <w:color w:val="FF0000"/>
          <w:sz w:val="24"/>
          <w:szCs w:val="24"/>
          <w:shd w:val="clear" w:color="auto" w:fill="FFFFFF"/>
        </w:rPr>
      </w:pPr>
      <w:r w:rsidRPr="006400F4">
        <w:rPr>
          <w:rFonts w:ascii="Times New Roman" w:hAnsi="Times New Roman" w:cs="Times New Roman"/>
          <w:sz w:val="24"/>
          <w:szCs w:val="24"/>
          <w:shd w:val="clear" w:color="auto" w:fill="FFFFFF"/>
        </w:rPr>
        <w:t xml:space="preserve">- </w:t>
      </w:r>
      <w:r w:rsidRPr="006400F4">
        <w:rPr>
          <w:rFonts w:ascii="Times New Roman" w:hAnsi="Times New Roman" w:cs="Times New Roman"/>
          <w:sz w:val="24"/>
          <w:szCs w:val="24"/>
          <w:u w:val="single"/>
          <w:shd w:val="clear" w:color="auto" w:fill="FFFFFF"/>
        </w:rPr>
        <w:t>Una bazuca sin precedentes que rescata sectores zombis</w:t>
      </w:r>
      <w:r w:rsidRPr="006400F4">
        <w:rPr>
          <w:rFonts w:ascii="Times New Roman" w:hAnsi="Times New Roman" w:cs="Times New Roman"/>
          <w:sz w:val="24"/>
          <w:szCs w:val="24"/>
          <w:shd w:val="clear" w:color="auto" w:fill="FFFFFF"/>
        </w:rPr>
        <w:t xml:space="preserve"> (El Español - </w:t>
      </w:r>
      <w:r w:rsidRPr="006400F4">
        <w:rPr>
          <w:rFonts w:ascii="Times New Roman" w:hAnsi="Times New Roman" w:cs="Times New Roman"/>
          <w:b/>
          <w:sz w:val="24"/>
          <w:szCs w:val="24"/>
          <w:shd w:val="clear" w:color="auto" w:fill="FFFFFF"/>
        </w:rPr>
        <w:t>27/5/20</w:t>
      </w:r>
      <w:r w:rsidRPr="006400F4">
        <w:rPr>
          <w:rFonts w:ascii="Times New Roman" w:hAnsi="Times New Roman" w:cs="Times New Roman"/>
          <w:sz w:val="24"/>
          <w:szCs w:val="24"/>
          <w:shd w:val="clear" w:color="auto" w:fill="FFFFFF"/>
        </w:rPr>
        <w:t>)</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 (Por Daniel Lacalle)  </w:t>
      </w:r>
    </w:p>
    <w:p w:rsidR="006E5D75" w:rsidRPr="00A0773B" w:rsidRDefault="006E5D75" w:rsidP="006E5D75">
      <w:pPr>
        <w:spacing w:line="240" w:lineRule="auto"/>
        <w:jc w:val="both"/>
        <w:rPr>
          <w:rFonts w:ascii="Times New Roman" w:hAnsi="Times New Roman" w:cs="Times New Roman"/>
          <w:b/>
          <w:color w:val="FF0000"/>
          <w:sz w:val="24"/>
          <w:szCs w:val="24"/>
          <w:u w:val="single"/>
          <w:shd w:val="clear" w:color="auto" w:fill="FFFFFF"/>
        </w:rPr>
      </w:pPr>
      <w:r w:rsidRPr="00A0773B">
        <w:rPr>
          <w:rFonts w:ascii="Times New Roman" w:hAnsi="Times New Roman" w:cs="Times New Roman"/>
          <w:b/>
          <w:color w:val="FF0000"/>
          <w:sz w:val="24"/>
          <w:szCs w:val="24"/>
          <w:u w:val="single"/>
          <w:shd w:val="clear" w:color="auto" w:fill="FFFFFF"/>
        </w:rPr>
        <w:t>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 el PIB y masa monetaria global.</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Esta enorme inyección de liquidez, préstamos y gasto gubernamental ha sido suficiente para relanzar los mercados a niveles en los que se ha recuperado gran parte de la caída con la crisis del Covid-19.</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Las preguntas fundamentales son: ¿es suficiente? y ¿funcionará? </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 xml:space="preserve">El exceso de optimismo de los mercados ante las inyecciones de liquidez y políticas de demanda tienen lógica: </w:t>
      </w:r>
      <w:r w:rsidRPr="00A0773B">
        <w:rPr>
          <w:rFonts w:ascii="Times New Roman" w:hAnsi="Times New Roman" w:cs="Times New Roman"/>
          <w:color w:val="FF0000"/>
          <w:sz w:val="24"/>
          <w:szCs w:val="24"/>
          <w:u w:val="single"/>
          <w:shd w:val="clear" w:color="auto" w:fill="FFFFFF"/>
        </w:rPr>
        <w:t>se está rescatando a casi todo a cualquier precio</w:t>
      </w:r>
      <w:r w:rsidRPr="00A0773B">
        <w:rPr>
          <w:rFonts w:ascii="Times New Roman" w:hAnsi="Times New Roman" w:cs="Times New Roman"/>
          <w:sz w:val="24"/>
          <w:szCs w:val="24"/>
          <w:u w:val="single"/>
          <w:shd w:val="clear" w:color="auto" w:fill="FFFFFF"/>
        </w:rPr>
        <w:t>… Sobre todo, a sectores que ya estaban excesivamente endeudados, empresas que ya tenían importantes retos estratégicos y pobres resultados y márgenes antes del Covid-19.</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Adicionalmente, se mantiene a toda costa la burbuja de bonos soberanos y vemos cómo países que están sin liquidez y al borde de no poder pagar sus compromisos de junio se financian a tipos reales negativos…</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noProof/>
          <w:lang w:val="en-GB" w:eastAsia="zh-CN"/>
        </w:rPr>
        <w:drawing>
          <wp:inline distT="0" distB="0" distL="0" distR="0">
            <wp:extent cx="5728447" cy="3227294"/>
            <wp:effectExtent l="0" t="0" r="5715" b="0"/>
            <wp:docPr id="67" name="Imagen 67" descr="Nivel de endeudamiento de los 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ivel de endeudamiento de los Bancos Centrales."/>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8447" cy="3227294"/>
                    </a:xfrm>
                    <a:prstGeom prst="rect">
                      <a:avLst/>
                    </a:prstGeom>
                    <a:noFill/>
                    <a:ln>
                      <a:noFill/>
                    </a:ln>
                  </pic:spPr>
                </pic:pic>
              </a:graphicData>
            </a:graphic>
          </wp:inline>
        </w:drawing>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lastRenderedPageBreak/>
        <w:t>Sin embargo, la demanda de riesgo por parte de inversores reales está cayendo. El flujo de fondos hacia renta variable se ha reducido a pesar de la recuperación de las bolsas, empresas con amplia historia de existencia como Hertz se ven obligadas a hacer impago y reestructurar la deuda, Argentina se va a su noveno impago.</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Los gobiernos y bancos centrales están ahogando a la economía en un mar de liquidez y deuda.</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¿Cómo puede ser esto? Porque un problema de solvencia y el desastre del desempleo y cierre de empresas creado por el cierre forzoso de la economía no se soluciona dando acceso a crédito y liquidez a empresas que no podrán pagar esos préstamos ante el desplome de caja, márgenes y estimaciones de futuro.</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6400F4">
        <w:rPr>
          <w:rFonts w:ascii="Times New Roman" w:hAnsi="Times New Roman" w:cs="Times New Roman"/>
          <w:sz w:val="24"/>
          <w:szCs w:val="24"/>
          <w:shd w:val="clear" w:color="auto" w:fill="FFFFFF"/>
        </w:rPr>
        <w:t xml:space="preserve">Adicionalmente, toda esa cantidad de medidas están orientadas a ayudar a endeudarse para pagar impuestos a empresas que ya tenían acceso a crédito y con activos mobiliarios. Es decir, </w:t>
      </w:r>
      <w:r w:rsidRPr="00A0773B">
        <w:rPr>
          <w:rFonts w:ascii="Times New Roman" w:hAnsi="Times New Roman" w:cs="Times New Roman"/>
          <w:color w:val="FF0000"/>
          <w:sz w:val="24"/>
          <w:szCs w:val="24"/>
          <w:u w:val="single"/>
          <w:shd w:val="clear" w:color="auto" w:fill="FFFFFF"/>
        </w:rPr>
        <w:t>se rescata fundamentalmente a quien ya tenía posibilidad de endeudarse.</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Los gobiernos y bancos centrales están ahogando a la economía en un mar de liquidez y deuda.</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Sin embargo, las empresas que están cayendo como moscas son las que no tienen locales en propiedad, no tienen activos mobiliarios, aquellas que vivían de mes en mes tirando para poder pagar impuestos y pagarle un salario al emprendedor y sus pocos empleados.</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La inmensa mayoría de esas empresas son las que están cayendo día tras día y destruyendo empleo mientras se rescata con enormes recompras de bonos a conglomerados que ya tenían acceso a deuda y enorme capacidad financiera y a estados que ya absorbían más de un 40% de la riqueza de los países.</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El efecto redistributivo y fortalecedor de las políticas de demanda en un shock de oferta y una crisis provocada por el cierre forzoso de la economía es bajísimo. Primero, porque esas enormes inyecciones y políticas de estímulo ya estaban mostrando su bajísima efectividad en 2019, con unas economías ya en ralentización en toda la eurozona y muchos países emergentes.</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Segundo, porque la poca demanda que van a incentivar va a darse en sectores que ya tenían sobrecapacidad y baja productividad, generando muy poco empleo adicional. Y, tercero, porque esa enorme inyección de políticas de demanda no va a venir aco</w:t>
      </w:r>
      <w:r w:rsidR="00A63634">
        <w:rPr>
          <w:rFonts w:ascii="Times New Roman" w:hAnsi="Times New Roman" w:cs="Times New Roman"/>
          <w:color w:val="FF0000"/>
          <w:sz w:val="24"/>
          <w:szCs w:val="24"/>
          <w:u w:val="single"/>
          <w:shd w:val="clear" w:color="auto" w:fill="FFFFFF"/>
        </w:rPr>
        <w:t>mpañada de la oferta cuando el “output gap”</w:t>
      </w:r>
      <w:r w:rsidRPr="00A0773B">
        <w:rPr>
          <w:rFonts w:ascii="Times New Roman" w:hAnsi="Times New Roman" w:cs="Times New Roman"/>
          <w:color w:val="FF0000"/>
          <w:sz w:val="24"/>
          <w:szCs w:val="24"/>
          <w:u w:val="single"/>
          <w:shd w:val="clear" w:color="auto" w:fill="FFFFFF"/>
        </w:rPr>
        <w:t xml:space="preserve"> de la economía se ha ensanchado enormemente.</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6400F4">
        <w:rPr>
          <w:rFonts w:ascii="Times New Roman" w:hAnsi="Times New Roman" w:cs="Times New Roman"/>
          <w:sz w:val="24"/>
          <w:szCs w:val="24"/>
          <w:shd w:val="clear" w:color="auto" w:fill="FFFFFF"/>
        </w:rPr>
        <w:t xml:space="preserve">No se va a invertir y contratar mucho más en los sectores beneficiados por las enormes inyecciones de liquidez porque ya estaban en proceso de ralentización antes del Covid-19 y, sin embargo, aquellos que lo han hecho bien, que no se han endeudado y que vivían de lo que producían mes a mes, esos están cayendo en picado y los que sobrevivan </w:t>
      </w:r>
      <w:r w:rsidRPr="00A0773B">
        <w:rPr>
          <w:rFonts w:ascii="Times New Roman" w:hAnsi="Times New Roman" w:cs="Times New Roman"/>
          <w:sz w:val="24"/>
          <w:szCs w:val="24"/>
          <w:u w:val="single"/>
          <w:shd w:val="clear" w:color="auto" w:fill="FFFFFF"/>
        </w:rPr>
        <w:t>van a sufrir la brutal subida de impuestos o inflación (el impuesto de los pobres) que viene tras la generosidad sin límites con el dinero de los demás.</w:t>
      </w:r>
    </w:p>
    <w:p w:rsidR="006E5D75" w:rsidRPr="00A0773B" w:rsidRDefault="006E5D75" w:rsidP="006E5D75">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Se está rescatando el pasado para dejar morir el futuro. Se va a rescatar todo lo que estaba en proceso de lenta obsolescencia porque “es estratégico” mientras la inversión en innovación, en tecnologías disruptivas y cambio real, van a ser diezmadas vía fiscal y penalización impositiva.</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lastRenderedPageBreak/>
        <w:t>Este shock debería haber venido acompañado de una reducción inmediata de gasto innecesario por parte de los estados para acomodar el aumento de costes sanitarios y estabilizadores automáticos. Debería haber venido acompañado de una exoneración de impuestos durante el cierre forzoso, y de un plan serio de reducción de déficits y gasto en 2021.</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No se va a invertir y contratar mucho más en los sectores beneficiados por las enormes inyecciones de liquidez porque ya estaban en proceso de ralentización antes del Covid-19</w:t>
      </w:r>
    </w:p>
    <w:p w:rsidR="006E5D75" w:rsidRPr="00A0773B"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Lo único que se ha hecho es añadir a una burbuja de deuda más deuda pero orientada a perpetuar el exceso previo de unas administraciones que no han reducido ningún presupuesto y, a la vez, crear un enorme aumento de deuda a empresas para que paguen impuestos ante una recuperación que, cada día más, se presenta en forma de L más que otra cosa.</w:t>
      </w:r>
    </w:p>
    <w:p w:rsidR="006E5D75" w:rsidRPr="00622FD3" w:rsidRDefault="006E5D75" w:rsidP="006E5D75">
      <w:pPr>
        <w:spacing w:line="240" w:lineRule="auto"/>
        <w:jc w:val="both"/>
        <w:rPr>
          <w:rFonts w:ascii="Times New Roman" w:hAnsi="Times New Roman" w:cs="Times New Roman"/>
          <w:b/>
          <w:color w:val="FF0000"/>
          <w:sz w:val="24"/>
          <w:szCs w:val="24"/>
          <w:u w:val="single"/>
          <w:shd w:val="clear" w:color="auto" w:fill="FFFFFF"/>
        </w:rPr>
      </w:pPr>
      <w:r w:rsidRPr="00622FD3">
        <w:rPr>
          <w:rFonts w:ascii="Times New Roman" w:hAnsi="Times New Roman" w:cs="Times New Roman"/>
          <w:b/>
          <w:color w:val="FF0000"/>
          <w:sz w:val="24"/>
          <w:szCs w:val="24"/>
          <w:u w:val="single"/>
          <w:shd w:val="clear" w:color="auto" w:fill="FFFFFF"/>
        </w:rPr>
        <w:t>Nos intentan convencer de que todo lo tiene que hacer el Estado porque no hay otra solución. Y es falsa. La capacidad productiva, el talento, la capacidad inversora y la tecnología, están casi intactas. Pero es más fácil cerrar la economía por decreto, crear una crisis, luego poner escollos a la inversión internacional y a la recapitalización y decir que “el estado tiene que hacer mucho más”</w:t>
      </w:r>
      <w:r w:rsidRPr="0016515D">
        <w:rPr>
          <w:rFonts w:ascii="Times New Roman" w:hAnsi="Times New Roman" w:cs="Times New Roman"/>
          <w:b/>
          <w:color w:val="FF0000"/>
          <w:sz w:val="24"/>
          <w:szCs w:val="24"/>
          <w:shd w:val="clear" w:color="auto" w:fill="FFFFFF"/>
        </w:rPr>
        <w:t>…</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Para conseguirlo se aumenta</w:t>
      </w:r>
      <w:r>
        <w:rPr>
          <w:rFonts w:ascii="Times New Roman" w:hAnsi="Times New Roman" w:cs="Times New Roman"/>
          <w:sz w:val="24"/>
          <w:szCs w:val="24"/>
          <w:shd w:val="clear" w:color="auto" w:fill="FFFFFF"/>
        </w:rPr>
        <w:t xml:space="preserve"> la</w:t>
      </w:r>
      <w:r w:rsidRPr="006400F4">
        <w:rPr>
          <w:rFonts w:ascii="Times New Roman" w:hAnsi="Times New Roman" w:cs="Times New Roman"/>
          <w:sz w:val="24"/>
          <w:szCs w:val="24"/>
          <w:shd w:val="clear" w:color="auto" w:fill="FFFFFF"/>
        </w:rPr>
        <w:t xml:space="preserve"> masa monetaria creada de la nada que genera reducción del poder adquisitivo y extracción de rentas salariales reales y ahorros y enormes planes de estímulo que lo único que estimulan es lo que ya estaba más que estimulado. Mientras mueren cientos de miles de empresas al mes ahogadas en un mar de liquidez que se dedica a perpetuar la obsolescencia y la burocracia. Y cuando falla, repetir.</w:t>
      </w:r>
    </w:p>
    <w:p w:rsidR="006E5D75" w:rsidRPr="00622FD3"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622FD3">
        <w:rPr>
          <w:rFonts w:ascii="Times New Roman" w:hAnsi="Times New Roman" w:cs="Times New Roman"/>
          <w:color w:val="FF0000"/>
          <w:sz w:val="24"/>
          <w:szCs w:val="24"/>
          <w:u w:val="single"/>
          <w:shd w:val="clear" w:color="auto" w:fill="FFFFFF"/>
        </w:rPr>
        <w:t>El enorme apalancamiento al ciclo y absorción de recursos de los estados para pagar gasto corriente y rescatar sectores que, en muchos casos, ya eran zombis, generará probablemente un problema mucho mayor de deuda a medio plazo, caída de la productividad y empeoramiento de la velocidad del dinero, menor inversión y pobre crecimiento de salarios reales</w:t>
      </w:r>
      <w:r w:rsidRPr="0016515D">
        <w:rPr>
          <w:rFonts w:ascii="Times New Roman" w:hAnsi="Times New Roman" w:cs="Times New Roman"/>
          <w:color w:val="FF0000"/>
          <w:sz w:val="24"/>
          <w:szCs w:val="24"/>
          <w:shd w:val="clear" w:color="auto" w:fill="FFFFFF"/>
        </w:rPr>
        <w:t>…</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Volverán a aumentar gasto innecesario en bonanza y en crisis también. Nos volverán a decir que, en la próxima recesión, “es el Estado el que tiene que gastar”. Hasta que no quede a quién exprimir más. </w:t>
      </w:r>
    </w:p>
    <w:p w:rsidR="006E5D75" w:rsidRPr="006400F4" w:rsidRDefault="006E5D75" w:rsidP="006E5D75">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Y a toda esta enorme transferencia de riqueza de los sectores productivos y ahorradores hacia los gobiernos y sectores más cercanos a los mismos lo llamarán “errores del capitalismo”. Anda ya.</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754D">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sidRPr="006A754D">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A España le corresponderían unos 140.000 millones del fondo de reconstrucción entre subvenciones y préstamos, el equivalente al 11% del PIB</w:t>
      </w:r>
    </w:p>
    <w:p w:rsidR="006E5D75" w:rsidRPr="0038551C"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 xml:space="preserve">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w:t>
      </w:r>
      <w:r w:rsidRPr="0038551C">
        <w:rPr>
          <w:rFonts w:ascii="Times New Roman" w:hAnsi="Times New Roman" w:cs="Times New Roman"/>
          <w:color w:val="FF0000"/>
          <w:sz w:val="24"/>
          <w:szCs w:val="24"/>
          <w:u w:val="single"/>
          <w:shd w:val="clear" w:color="auto" w:fill="FFFFFF"/>
        </w:rPr>
        <w:lastRenderedPageBreak/>
        <w:t>beneficiados por las ayudas. Los 250.000 millones restantes corresponden a préstamos reembolsables. El fondo, por su parte, se incluye en la propuesta de presupuesto comunitario para el marco 2021-2027, que Bruselas eleva en su borrador a los 1,85 billones de euros en total.</w:t>
      </w:r>
    </w:p>
    <w:p w:rsidR="006E5D75" w:rsidRPr="0038551C" w:rsidRDefault="006E5D75" w:rsidP="006E5D75">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Junto al acceso al fondo, los socios tendrán que adoptar reformas en línea con las prioridades comunitarias. Queda por ver, entre otros detalles, el criterio exacto de reparto entre los países.</w:t>
      </w:r>
      <w:r w:rsidRPr="006A754D">
        <w:rPr>
          <w:rFonts w:ascii="Times New Roman" w:hAnsi="Times New Roman" w:cs="Times New Roman"/>
          <w:sz w:val="24"/>
          <w:szCs w:val="24"/>
          <w:shd w:val="clear" w:color="auto" w:fill="FFFFFF"/>
        </w:rPr>
        <w:t xml:space="preserve">El borrador de la Comisión fija para España unos 77.000 millones en subsidios y transferencias directas (el 15% del total) y unos 63.000 millones en préstamos. </w:t>
      </w:r>
      <w:r w:rsidRPr="0038551C">
        <w:rPr>
          <w:rFonts w:ascii="Times New Roman" w:hAnsi="Times New Roman" w:cs="Times New Roman"/>
          <w:sz w:val="24"/>
          <w:szCs w:val="24"/>
          <w:u w:val="single"/>
          <w:shd w:val="clear" w:color="auto" w:fill="FFFFFF"/>
        </w:rPr>
        <w:t>El país recibiría, por lo tanto, unos 140.000 millones en total, el equivalente al 11% del PIB.</w:t>
      </w:r>
    </w:p>
    <w:p w:rsidR="006E5D75" w:rsidRPr="0038551C" w:rsidRDefault="006E5D75" w:rsidP="006E5D75">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Italia, el socio europeo más castigado por la pandemia, sería el que más fondos recibiría, con casi 82.000 millones en subvenciones y 90.000 millones en préstamos (unos 172.000 millones en total). Francia y Polonia recibirían casi 40.000 millones respectivamente solo en transferencias. A Alemania llegarían unos 28.000 millones en subsidios y Grecia, por su parte, obtendría algo más de 22.000 millones en transferencias.</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Tras conocer la propuesta en firme, el Gobierno de España, explican portavoces del Ejecutivo, acoge positi</w:t>
      </w:r>
      <w:r>
        <w:rPr>
          <w:rFonts w:ascii="Times New Roman" w:hAnsi="Times New Roman" w:cs="Times New Roman"/>
          <w:sz w:val="24"/>
          <w:szCs w:val="24"/>
          <w:shd w:val="clear" w:color="auto" w:fill="FFFFFF"/>
        </w:rPr>
        <w:t xml:space="preserve">vamente el paquete financiero, </w:t>
      </w:r>
      <w:r w:rsidRPr="006A754D">
        <w:rPr>
          <w:rFonts w:ascii="Times New Roman" w:hAnsi="Times New Roman" w:cs="Times New Roman"/>
          <w:sz w:val="24"/>
          <w:szCs w:val="24"/>
          <w:shd w:val="clear" w:color="auto" w:fill="FFFFFF"/>
        </w:rPr>
        <w:t>que recoge muchas de las demandas que se han planteado desde España. Moncloa considera que hay</w:t>
      </w:r>
      <w:r>
        <w:rPr>
          <w:rFonts w:ascii="Times New Roman" w:hAnsi="Times New Roman" w:cs="Times New Roman"/>
          <w:sz w:val="24"/>
          <w:szCs w:val="24"/>
          <w:shd w:val="clear" w:color="auto" w:fill="FFFFFF"/>
        </w:rPr>
        <w:t xml:space="preserve"> una base para la negociación. “</w:t>
      </w:r>
      <w:r w:rsidRPr="006A754D">
        <w:rPr>
          <w:rFonts w:ascii="Times New Roman" w:hAnsi="Times New Roman" w:cs="Times New Roman"/>
          <w:sz w:val="24"/>
          <w:szCs w:val="24"/>
          <w:shd w:val="clear" w:color="auto" w:fill="FFFFFF"/>
        </w:rPr>
        <w:t>El Gobierno confía en que el presidente del Consejo inicie consultas con los líderes para convocar una reunión del Consejo Europeo en las próximas semanas, que permita alcan</w:t>
      </w:r>
      <w:r>
        <w:rPr>
          <w:rFonts w:ascii="Times New Roman" w:hAnsi="Times New Roman" w:cs="Times New Roman"/>
          <w:sz w:val="24"/>
          <w:szCs w:val="24"/>
          <w:shd w:val="clear" w:color="auto" w:fill="FFFFFF"/>
        </w:rPr>
        <w:t>zar un acuerdo lo antes posible”</w:t>
      </w:r>
      <w:r w:rsidRPr="006A754D">
        <w:rPr>
          <w:rFonts w:ascii="Times New Roman" w:hAnsi="Times New Roman" w:cs="Times New Roman"/>
          <w:sz w:val="24"/>
          <w:szCs w:val="24"/>
          <w:shd w:val="clear" w:color="auto" w:fill="FFFFFF"/>
        </w:rPr>
        <w:t>. Por su parte, el jefe del Consejo, Charles Michel, señala que el</w:t>
      </w:r>
      <w:r>
        <w:rPr>
          <w:rFonts w:ascii="Times New Roman" w:hAnsi="Times New Roman" w:cs="Times New Roman"/>
          <w:sz w:val="24"/>
          <w:szCs w:val="24"/>
          <w:shd w:val="clear" w:color="auto" w:fill="FFFFFF"/>
        </w:rPr>
        <w:t xml:space="preserve"> objetivo es lograr un acuerdo “</w:t>
      </w:r>
      <w:r w:rsidRPr="006A754D">
        <w:rPr>
          <w:rFonts w:ascii="Times New Roman" w:hAnsi="Times New Roman" w:cs="Times New Roman"/>
          <w:sz w:val="24"/>
          <w:szCs w:val="24"/>
          <w:shd w:val="clear" w:color="auto" w:fill="FFFFFF"/>
        </w:rPr>
        <w:t>antes d</w:t>
      </w:r>
      <w:r>
        <w:rPr>
          <w:rFonts w:ascii="Times New Roman" w:hAnsi="Times New Roman" w:cs="Times New Roman"/>
          <w:sz w:val="24"/>
          <w:szCs w:val="24"/>
          <w:shd w:val="clear" w:color="auto" w:fill="FFFFFF"/>
        </w:rPr>
        <w:t>e las vacaciones de verano”</w:t>
      </w:r>
      <w:r w:rsidRPr="006A754D">
        <w:rPr>
          <w:rFonts w:ascii="Times New Roman" w:hAnsi="Times New Roman" w:cs="Times New Roman"/>
          <w:sz w:val="24"/>
          <w:szCs w:val="24"/>
          <w:shd w:val="clear" w:color="auto" w:fill="FFFFFF"/>
        </w:rPr>
        <w:t>. Los jefes de Estado debatirán en la cumbre el próximo 19 de junio.</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El comisario de Economía, Paolo Gentiloni, ha avanzado la cifra del fondo en la red social Twitter, donde h</w:t>
      </w:r>
      <w:r>
        <w:rPr>
          <w:rFonts w:ascii="Times New Roman" w:hAnsi="Times New Roman" w:cs="Times New Roman"/>
          <w:sz w:val="24"/>
          <w:szCs w:val="24"/>
          <w:shd w:val="clear" w:color="auto" w:fill="FFFFFF"/>
        </w:rPr>
        <w:t>a destacado que se trata de un “</w:t>
      </w:r>
      <w:r w:rsidRPr="006A754D">
        <w:rPr>
          <w:rFonts w:ascii="Times New Roman" w:hAnsi="Times New Roman" w:cs="Times New Roman"/>
          <w:sz w:val="24"/>
          <w:szCs w:val="24"/>
          <w:shd w:val="clear" w:color="auto" w:fill="FFFFFF"/>
        </w:rPr>
        <w:t>punto de inflexión europeo para enfrentar</w:t>
      </w:r>
      <w:r>
        <w:rPr>
          <w:rFonts w:ascii="Times New Roman" w:hAnsi="Times New Roman" w:cs="Times New Roman"/>
          <w:sz w:val="24"/>
          <w:szCs w:val="24"/>
          <w:shd w:val="clear" w:color="auto" w:fill="FFFFFF"/>
        </w:rPr>
        <w:t>se a una crisis sin precedentes”</w:t>
      </w:r>
      <w:r w:rsidRPr="006A754D">
        <w:rPr>
          <w:rFonts w:ascii="Times New Roman" w:hAnsi="Times New Roman" w:cs="Times New Roman"/>
          <w:sz w:val="24"/>
          <w:szCs w:val="24"/>
          <w:shd w:val="clear" w:color="auto" w:fill="FFFFFF"/>
        </w:rPr>
        <w:t>.</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sz w:val="24"/>
          <w:szCs w:val="24"/>
          <w:u w:val="single"/>
          <w:shd w:val="clear" w:color="auto" w:fill="FFFFFF"/>
        </w:rPr>
        <w:t>Con este paso, Bruselas abrirá la puerta a las negociaciones entre los Estados miembros y el Parlamento Europeo para cerrar en los próximos meses un acuerdo sobre este fondo de reconstrucción y sobre el presupuesto de la UE para el periodo 2021-2027, al que estará vinculado la herramienta de reconstitución. Los márgenes temporales para la negociación de este presupuesto son limitados, y se prevé una pugna entre los dos bloques principales. Por un lado están los países más ortodoxos, los conocidos como frugales (Holanda, Austria, Suecia y Dinamarca), que se decantan por los préstamos reembolsables. Al otro lado están los socios más castigados por la pandemia, que insisten en el carácter simétrico de la crisis y prefieren subvenciones a fondo perdido. El acuerdo final debe ser validado por el conjunto de los socios</w:t>
      </w:r>
      <w:r>
        <w:rPr>
          <w:rFonts w:ascii="Times New Roman" w:hAnsi="Times New Roman" w:cs="Times New Roman"/>
          <w:sz w:val="24"/>
          <w:szCs w:val="24"/>
          <w:shd w:val="clear" w:color="auto" w:fill="FFFFFF"/>
        </w:rPr>
        <w:t>.</w:t>
      </w:r>
    </w:p>
    <w:p w:rsidR="006E5D75" w:rsidRPr="0038551C"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La jefa del Ejecutivo comunitario, Ursula von der Leyen, planteará a los socios un aumento sustancial y temporal en el techo de gasto del presupuesto comunitario. A día de hoy, este límite se sitúa en el 1,2% de la renta nacional bruta (RNB) de la Unión, y el objetivo de Von der Leyen es elevarlo hasta el 2% de la RNB, doblando así las partidas actuales: el límite fijado por los socios llega al 1,2%, pero el presupuesto actual equivale al 0,904% de la RNB. De aprobarse, este sería el mayor presupuesto del club hasta la fecha, y con ese excedente se podría emitir deuda por valor de entre 500.000 millones y 750.000 millones, con la Comisión como órgano emisor.</w:t>
      </w:r>
    </w:p>
    <w:p w:rsidR="006E5D75" w:rsidRPr="0038551C" w:rsidRDefault="006E5D75" w:rsidP="006E5D75">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 xml:space="preserve">La Comisión ha ideado un híbrido entre transferencias y préstamos para intentar contentar en la medida de lo posible a los dos principales bloques. También vinculará el </w:t>
      </w:r>
      <w:r w:rsidRPr="0038551C">
        <w:rPr>
          <w:rFonts w:ascii="Times New Roman" w:hAnsi="Times New Roman" w:cs="Times New Roman"/>
          <w:b/>
          <w:color w:val="FF0000"/>
          <w:sz w:val="24"/>
          <w:szCs w:val="24"/>
          <w:u w:val="single"/>
          <w:shd w:val="clear" w:color="auto" w:fill="FFFFFF"/>
        </w:rPr>
        <w:lastRenderedPageBreak/>
        <w:t>fondo de recuperación a ciertas reformas de carácter macroeconómico aún por detallar. Además, ya está descartado que los bonos europeos carezcan de vencimiento, como propuso el Gobierno español con el concepto de deuda perpetua. Se habla, por lo tanto, de un vencimiento a 20 o 30 años.</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80% para la cohesión y la reconstrucción</w:t>
      </w:r>
    </w:p>
    <w:p w:rsidR="006E5D75" w:rsidRPr="0038551C" w:rsidRDefault="006E5D75" w:rsidP="006E5D75">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El plan de Von der Leyen recogerá que aproximadamente el 80% del dinero captado en los mercados sea transferido a los Estados miembros a través de una herramienta llamada Facilidad para la Resiliencia y la Reconstrucción (RRF) y de una dotación adicional a la Política de Cohesión que se distribuirá entre los socios europeos con una clave de reparto distinta a la tradicional y relacionada con el impacto de la pandemia. No obstante, el instrumento, vinculado al llamado Semestre Europeo, supondrá para las socios la obligación de llevar a cabo reformas.</w:t>
      </w:r>
    </w:p>
    <w:p w:rsidR="006E5D75" w:rsidRPr="0038551C" w:rsidRDefault="006E5D75" w:rsidP="006E5D75">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La segunda columna del plan aglutinará entorno al 15% del fondo, y centrará su atención en el sector privado y en las empresas golpeadas por la pandemia. Por último, el tercer pilar del fondo de recuperación (el 5%) incluirá un nuevo programa europeo centrado en el sector sanitario.</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Presupuesto europeo</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b/>
          <w:color w:val="FF0000"/>
          <w:sz w:val="24"/>
          <w:szCs w:val="24"/>
          <w:u w:val="single"/>
          <w:shd w:val="clear" w:color="auto" w:fill="FFFFFF"/>
        </w:rPr>
        <w:t>El fondo de recuperación estará integrado en el presupuesto comunitario, vinculado al Marco Financiero Plurianual (MFP) de 2021-2027. La propuesta de la Comisión pasa por elevar este marco a los 1,85 billones de euros en total, incluyendo los 750.000 millones del fondo</w:t>
      </w:r>
      <w:r w:rsidRPr="006A754D">
        <w:rPr>
          <w:rFonts w:ascii="Times New Roman" w:hAnsi="Times New Roman" w:cs="Times New Roman"/>
          <w:sz w:val="24"/>
          <w:szCs w:val="24"/>
          <w:shd w:val="clear" w:color="auto" w:fill="FFFFFF"/>
        </w:rPr>
        <w:t>. Las partidas del presupuesto comunitario se reparten entre los diferentes socios y los propios organismos europeos. Estas cantidades son las que financian las diferentes políticas de tinte comunitario, como la PAC y la cohesión, dos de las más tradicionales y de las que más fondos reciben. En el nuevo marco, no obstante, se le quiere dar más peso a otros aspectos como la digitalización, la descarbonización y transición ecológica o la seguridad.</w:t>
      </w:r>
    </w:p>
    <w:p w:rsidR="006E5D75" w:rsidRPr="006A754D" w:rsidRDefault="006E5D75" w:rsidP="006E5D75">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Plan a largo plazo</w:t>
      </w:r>
    </w:p>
    <w:p w:rsidR="006E5D75" w:rsidRPr="0038551C" w:rsidRDefault="006E5D75" w:rsidP="006E5D75">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La propuesta de Von der Leyen, integrada en el presupuesto europeo, supone la respuesta de la Unión ante la pandemia con vistas al largo plazo. Previamente, los socios, a través del Eurogrupo y el Consejo, han conseguido poner en marcha la conocida como Triple Red de Seguridad para estados, empresas y trabajadores, que movilizará unos 540.000 millones de euros. Por un lado se encuentran los 240.000 millones del MEDE (el fondo de rescate europeo), a los que se le unen otros 200.000 del Banco Europeo de Inversiones (BEI) y otros 100.000 del mecanismo para costear los ERTE y mecanismos similares, bautizado como SURE.</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168C2">
        <w:rPr>
          <w:rFonts w:ascii="Times New Roman" w:hAnsi="Times New Roman" w:cs="Times New Roman"/>
          <w:sz w:val="24"/>
          <w:szCs w:val="24"/>
          <w:u w:val="single"/>
          <w:shd w:val="clear" w:color="auto" w:fill="FFFFFF"/>
        </w:rPr>
        <w:t>Así impacta la crisis en Europa por países y en los principales sectores</w:t>
      </w:r>
      <w:r>
        <w:rPr>
          <w:rFonts w:ascii="Times New Roman" w:hAnsi="Times New Roman" w:cs="Times New Roman"/>
          <w:sz w:val="24"/>
          <w:szCs w:val="24"/>
          <w:shd w:val="clear" w:color="auto" w:fill="FFFFFF"/>
        </w:rPr>
        <w:t xml:space="preserve"> (Expansión - </w:t>
      </w:r>
      <w:r w:rsidRPr="00D168C2">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La hostelería, el transporte, la construcción, la distribución y la industria automovilística son las más perjudicadas por la paralización de la actividad. España es, además, el país más afectado de la eurozona</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El coronavirus ha provocado un terremoto sobre la economía, al provocar la paralización de numerosas actividades, lo que conlleva cuantiosas pérdidas y ci</w:t>
      </w:r>
      <w:r>
        <w:rPr>
          <w:rFonts w:ascii="Times New Roman" w:hAnsi="Times New Roman" w:cs="Times New Roman"/>
          <w:sz w:val="24"/>
          <w:szCs w:val="24"/>
          <w:shd w:val="clear" w:color="auto" w:fill="FFFFFF"/>
        </w:rPr>
        <w:t>entos de miles de despidos…</w:t>
      </w:r>
    </w:p>
    <w:p w:rsidR="006E5D75" w:rsidRDefault="006E5D75" w:rsidP="006E5D75">
      <w:pPr>
        <w:spacing w:line="240" w:lineRule="auto"/>
        <w:jc w:val="both"/>
        <w:rPr>
          <w:rFonts w:ascii="Times New Roman" w:hAnsi="Times New Roman" w:cs="Times New Roman"/>
          <w:sz w:val="24"/>
          <w:szCs w:val="24"/>
          <w:shd w:val="clear" w:color="auto" w:fill="FFFFFF"/>
        </w:rPr>
      </w:pPr>
      <w:r>
        <w:rPr>
          <w:noProof/>
          <w:lang w:val="en-GB" w:eastAsia="zh-CN"/>
        </w:rPr>
        <w:lastRenderedPageBreak/>
        <w:drawing>
          <wp:inline distT="0" distB="0" distL="0" distR="0">
            <wp:extent cx="5731510" cy="4255557"/>
            <wp:effectExtent l="0" t="0" r="2540" b="0"/>
            <wp:docPr id="70" name="Imagen 70" descr="https://e00-expansion.uecdn.es/assets/multimedia/imagenes/2020/05/27/1590612259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5/27/15906122594691.jp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255557"/>
                    </a:xfrm>
                    <a:prstGeom prst="rect">
                      <a:avLst/>
                    </a:prstGeom>
                    <a:noFill/>
                    <a:ln>
                      <a:noFill/>
                    </a:ln>
                  </pic:spPr>
                </pic:pic>
              </a:graphicData>
            </a:graphic>
          </wp:inline>
        </w:drawing>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D06C6">
        <w:rPr>
          <w:rFonts w:ascii="Times New Roman" w:hAnsi="Times New Roman" w:cs="Times New Roman"/>
          <w:sz w:val="24"/>
          <w:szCs w:val="24"/>
          <w:u w:val="single"/>
          <w:shd w:val="clear" w:color="auto" w:fill="FFFFFF"/>
        </w:rPr>
        <w:t>Roubini alerta de que la cri</w:t>
      </w:r>
      <w:r>
        <w:rPr>
          <w:rFonts w:ascii="Times New Roman" w:hAnsi="Times New Roman" w:cs="Times New Roman"/>
          <w:sz w:val="24"/>
          <w:szCs w:val="24"/>
          <w:u w:val="single"/>
          <w:shd w:val="clear" w:color="auto" w:fill="FFFFFF"/>
        </w:rPr>
        <w:t>sis del coronavirus ocasionará “</w:t>
      </w:r>
      <w:r w:rsidRPr="002D06C6">
        <w:rPr>
          <w:rFonts w:ascii="Times New Roman" w:hAnsi="Times New Roman" w:cs="Times New Roman"/>
          <w:sz w:val="24"/>
          <w:szCs w:val="24"/>
          <w:u w:val="single"/>
          <w:shd w:val="clear" w:color="auto" w:fill="FFFFFF"/>
        </w:rPr>
        <w:t>una década de desesperación</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28</w:t>
      </w:r>
      <w:r w:rsidRPr="002D06C6">
        <w:rPr>
          <w:rFonts w:ascii="Times New Roman" w:hAnsi="Times New Roman" w:cs="Times New Roman"/>
          <w:b/>
          <w:sz w:val="24"/>
          <w:szCs w:val="24"/>
          <w:shd w:val="clear" w:color="auto" w:fill="FFFFFF"/>
        </w:rPr>
        <w:t>/5/20</w:t>
      </w:r>
      <w:r>
        <w:rPr>
          <w:rFonts w:ascii="Times New Roman" w:hAnsi="Times New Roman" w:cs="Times New Roman"/>
          <w:sz w:val="24"/>
          <w:szCs w:val="24"/>
          <w:shd w:val="clear" w:color="auto" w:fill="FFFFFF"/>
        </w:rPr>
        <w:t>)</w:t>
      </w:r>
    </w:p>
    <w:p w:rsidR="006E5D75" w:rsidRPr="009E1478" w:rsidRDefault="006E5D75" w:rsidP="006E5D7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Muchos países tendrán que tomar partido entre EEUU y China, vaticina</w:t>
      </w:r>
    </w:p>
    <w:p w:rsidR="006E5D75" w:rsidRPr="009E1478" w:rsidRDefault="006E5D75" w:rsidP="006E5D7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El famoso economista considera que la recupe</w:t>
      </w:r>
      <w:r w:rsidR="0016515D">
        <w:rPr>
          <w:rFonts w:ascii="Times New Roman" w:hAnsi="Times New Roman" w:cs="Times New Roman"/>
          <w:color w:val="FF0000"/>
          <w:sz w:val="24"/>
          <w:szCs w:val="24"/>
          <w:shd w:val="clear" w:color="auto" w:fill="FFFFFF"/>
        </w:rPr>
        <w:t>ración económica este año será “anémica”</w:t>
      </w:r>
    </w:p>
    <w:p w:rsidR="006E5D75" w:rsidRPr="009E1478" w:rsidRDefault="006E5D75" w:rsidP="006E5D75">
      <w:pPr>
        <w:spacing w:line="240" w:lineRule="auto"/>
        <w:jc w:val="both"/>
        <w:rPr>
          <w:rFonts w:ascii="Times New Roman" w:hAnsi="Times New Roman" w:cs="Times New Roman"/>
          <w:b/>
          <w:color w:val="FF0000"/>
          <w:sz w:val="24"/>
          <w:szCs w:val="24"/>
          <w:u w:val="single"/>
          <w:shd w:val="clear" w:color="auto" w:fill="FFFFFF"/>
        </w:rPr>
      </w:pPr>
      <w:r w:rsidRPr="009E1478">
        <w:rPr>
          <w:rFonts w:ascii="Times New Roman" w:hAnsi="Times New Roman" w:cs="Times New Roman"/>
          <w:b/>
          <w:color w:val="FF0000"/>
          <w:sz w:val="24"/>
          <w:szCs w:val="24"/>
          <w:u w:val="single"/>
          <w:shd w:val="clear" w:color="auto" w:fill="FFFFFF"/>
        </w:rPr>
        <w:t>La profunda e histórica crisis económica que ya ha causado la pand</w:t>
      </w:r>
      <w:r>
        <w:rPr>
          <w:rFonts w:ascii="Times New Roman" w:hAnsi="Times New Roman" w:cs="Times New Roman"/>
          <w:b/>
          <w:color w:val="FF0000"/>
          <w:sz w:val="24"/>
          <w:szCs w:val="24"/>
          <w:u w:val="single"/>
          <w:shd w:val="clear" w:color="auto" w:fill="FFFFFF"/>
        </w:rPr>
        <w:t>emia del coronavirus provocará “una década de desesperación” en un mundo “más dividido”</w:t>
      </w:r>
      <w:r w:rsidRPr="009E1478">
        <w:rPr>
          <w:rFonts w:ascii="Times New Roman" w:hAnsi="Times New Roman" w:cs="Times New Roman"/>
          <w:b/>
          <w:color w:val="FF0000"/>
          <w:sz w:val="24"/>
          <w:szCs w:val="24"/>
          <w:u w:val="single"/>
          <w:shd w:val="clear" w:color="auto" w:fill="FFFFFF"/>
        </w:rPr>
        <w:t>. Así lo cree el economista Nouriel Roubini, conocido por sus predicciones pesimistas, pero en muchos casos certeras. En esta ocasión, el experto considera que la enorme deuda hará que</w:t>
      </w:r>
      <w:r>
        <w:rPr>
          <w:rFonts w:ascii="Times New Roman" w:hAnsi="Times New Roman" w:cs="Times New Roman"/>
          <w:b/>
          <w:color w:val="FF0000"/>
          <w:sz w:val="24"/>
          <w:szCs w:val="24"/>
          <w:u w:val="single"/>
          <w:shd w:val="clear" w:color="auto" w:fill="FFFFFF"/>
        </w:rPr>
        <w:t xml:space="preserve"> la recuperación económica sea “anémica”</w:t>
      </w:r>
      <w:r w:rsidRPr="009E1478">
        <w:rPr>
          <w:rFonts w:ascii="Times New Roman" w:hAnsi="Times New Roman" w:cs="Times New Roman"/>
          <w:b/>
          <w:color w:val="FF0000"/>
          <w:sz w:val="24"/>
          <w:szCs w:val="24"/>
          <w:u w:val="single"/>
          <w:shd w:val="clear" w:color="auto" w:fill="FFFFFF"/>
        </w:rPr>
        <w:t>. Además, predice que las tensiones entre Estados Unidos y China irán a más, por lo que muchos países tendrán que tomar partido entre las dos mayores potencias del mundo.</w:t>
      </w:r>
    </w:p>
    <w:p w:rsidR="006E5D75" w:rsidRPr="009E1478" w:rsidRDefault="006E5D75" w:rsidP="006E5D75">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Cada una de ell</w:t>
      </w:r>
      <w:r>
        <w:rPr>
          <w:rFonts w:ascii="Times New Roman" w:hAnsi="Times New Roman" w:cs="Times New Roman"/>
          <w:b/>
          <w:color w:val="FF0000"/>
          <w:sz w:val="24"/>
          <w:szCs w:val="24"/>
          <w:u w:val="single"/>
          <w:shd w:val="clear" w:color="auto" w:fill="FFFFFF"/>
        </w:rPr>
        <w:t>as le dirá al resto del mundo: “</w:t>
      </w:r>
      <w:r w:rsidRPr="009E1478">
        <w:rPr>
          <w:rFonts w:ascii="Times New Roman" w:hAnsi="Times New Roman" w:cs="Times New Roman"/>
          <w:b/>
          <w:color w:val="FF0000"/>
          <w:sz w:val="24"/>
          <w:szCs w:val="24"/>
          <w:u w:val="single"/>
          <w:shd w:val="clear" w:color="auto" w:fill="FFFFFF"/>
        </w:rPr>
        <w:t>o estás</w:t>
      </w:r>
      <w:r>
        <w:rPr>
          <w:rFonts w:ascii="Times New Roman" w:hAnsi="Times New Roman" w:cs="Times New Roman"/>
          <w:b/>
          <w:color w:val="FF0000"/>
          <w:sz w:val="24"/>
          <w:szCs w:val="24"/>
          <w:u w:val="single"/>
          <w:shd w:val="clear" w:color="auto" w:fill="FFFFFF"/>
        </w:rPr>
        <w:t xml:space="preserve"> con nosotros o contra nosotros”</w:t>
      </w:r>
      <w:r w:rsidRPr="009E1478">
        <w:rPr>
          <w:rFonts w:ascii="Times New Roman" w:hAnsi="Times New Roman" w:cs="Times New Roman"/>
          <w:b/>
          <w:color w:val="FF0000"/>
          <w:sz w:val="24"/>
          <w:szCs w:val="24"/>
          <w:u w:val="single"/>
          <w:shd w:val="clear" w:color="auto" w:fill="FFFFFF"/>
        </w:rPr>
        <w:t xml:space="preserve">. </w:t>
      </w: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O usas mis sistemas de inteligencia artificial, mi 5G, mis tecnologías, mi robótica</w:t>
      </w:r>
      <w:r>
        <w:rPr>
          <w:rFonts w:ascii="Times New Roman" w:hAnsi="Times New Roman" w:cs="Times New Roman"/>
          <w:b/>
          <w:color w:val="FF0000"/>
          <w:sz w:val="24"/>
          <w:szCs w:val="24"/>
          <w:u w:val="single"/>
          <w:shd w:val="clear" w:color="auto" w:fill="FFFFFF"/>
        </w:rPr>
        <w:t>… o utilizas las de mis rivales”</w:t>
      </w:r>
      <w:r w:rsidRPr="009E1478">
        <w:rPr>
          <w:rFonts w:ascii="Times New Roman" w:hAnsi="Times New Roman" w:cs="Times New Roman"/>
          <w:b/>
          <w:color w:val="FF0000"/>
          <w:sz w:val="24"/>
          <w:szCs w:val="24"/>
          <w:u w:val="single"/>
          <w:shd w:val="clear" w:color="auto" w:fill="FFFFFF"/>
        </w:rPr>
        <w:t>, auguró el profesor de Economía y Finanzas en la Universidad de Nueva York en</w:t>
      </w:r>
      <w:r>
        <w:rPr>
          <w:rFonts w:ascii="Times New Roman" w:hAnsi="Times New Roman" w:cs="Times New Roman"/>
          <w:b/>
          <w:color w:val="FF0000"/>
          <w:sz w:val="24"/>
          <w:szCs w:val="24"/>
          <w:u w:val="single"/>
          <w:shd w:val="clear" w:color="auto" w:fill="FFFFFF"/>
        </w:rPr>
        <w:t xml:space="preserve"> una entrevista en el programa “Talking Asia” de la BBC. “Por tanto”, añadió “</w:t>
      </w:r>
      <w:r w:rsidRPr="009E1478">
        <w:rPr>
          <w:rFonts w:ascii="Times New Roman" w:hAnsi="Times New Roman" w:cs="Times New Roman"/>
          <w:b/>
          <w:color w:val="FF0000"/>
          <w:sz w:val="24"/>
          <w:szCs w:val="24"/>
          <w:u w:val="single"/>
          <w:shd w:val="clear" w:color="auto" w:fill="FFFFFF"/>
        </w:rPr>
        <w:t>v</w:t>
      </w:r>
      <w:r>
        <w:rPr>
          <w:rFonts w:ascii="Times New Roman" w:hAnsi="Times New Roman" w:cs="Times New Roman"/>
          <w:b/>
          <w:color w:val="FF0000"/>
          <w:sz w:val="24"/>
          <w:szCs w:val="24"/>
          <w:u w:val="single"/>
          <w:shd w:val="clear" w:color="auto" w:fill="FFFFFF"/>
        </w:rPr>
        <w:t>a a haber un mundo más dividido”</w:t>
      </w:r>
      <w:r w:rsidRPr="009E1478">
        <w:rPr>
          <w:rFonts w:ascii="Times New Roman" w:hAnsi="Times New Roman" w:cs="Times New Roman"/>
          <w:b/>
          <w:color w:val="FF0000"/>
          <w:sz w:val="24"/>
          <w:szCs w:val="24"/>
          <w:u w:val="single"/>
          <w:shd w:val="clear" w:color="auto" w:fill="FFFFFF"/>
        </w:rPr>
        <w:t>.</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Renovadas (viejas) tensiones </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La crisis sanitaria por la COVID-19, originada en la ciudad de Wuhan, en la región china de Hubei, ha tensado las relaciones diplomáticas de por sí complicadas entre Pekín y Washington. En más de una ocasión, el presidente de Estados Unidos, Donald Trump, ha </w:t>
      </w:r>
      <w:r w:rsidRPr="002D06C6">
        <w:rPr>
          <w:rFonts w:ascii="Times New Roman" w:hAnsi="Times New Roman" w:cs="Times New Roman"/>
          <w:sz w:val="24"/>
          <w:szCs w:val="24"/>
          <w:shd w:val="clear" w:color="auto" w:fill="FFFFFF"/>
        </w:rPr>
        <w:lastRenderedPageBreak/>
        <w:t>criticado la gestión hecha por China de la pandemia, aseg</w:t>
      </w:r>
      <w:r>
        <w:rPr>
          <w:rFonts w:ascii="Times New Roman" w:hAnsi="Times New Roman" w:cs="Times New Roman"/>
          <w:sz w:val="24"/>
          <w:szCs w:val="24"/>
          <w:shd w:val="clear" w:color="auto" w:fill="FFFFFF"/>
        </w:rPr>
        <w:t>urando incluso que no controló “la plaga”</w:t>
      </w:r>
      <w:r w:rsidRPr="002D06C6">
        <w:rPr>
          <w:rFonts w:ascii="Times New Roman" w:hAnsi="Times New Roman" w:cs="Times New Roman"/>
          <w:sz w:val="24"/>
          <w:szCs w:val="24"/>
          <w:shd w:val="clear" w:color="auto" w:fill="FFFFFF"/>
        </w:rPr>
        <w:t xml:space="preserve"> qu</w:t>
      </w:r>
      <w:r>
        <w:rPr>
          <w:rFonts w:ascii="Times New Roman" w:hAnsi="Times New Roman" w:cs="Times New Roman"/>
          <w:sz w:val="24"/>
          <w:szCs w:val="24"/>
          <w:shd w:val="clear" w:color="auto" w:fill="FFFFFF"/>
        </w:rPr>
        <w:t>e “extendió por todo el mundo”.</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9E1478">
        <w:rPr>
          <w:rFonts w:ascii="Times New Roman" w:hAnsi="Times New Roman" w:cs="Times New Roman"/>
          <w:color w:val="FF0000"/>
          <w:sz w:val="24"/>
          <w:szCs w:val="24"/>
          <w:u w:val="single"/>
          <w:shd w:val="clear" w:color="auto" w:fill="FFFFFF"/>
        </w:rPr>
        <w:t>Como consecuencia del brote vírico, el producto interior bruto (PIB) norteamericano sufrió una fuerte contracción del 5% en el primer trimestre del año, y cabe esperar un golpe mayor entre abril y junio</w:t>
      </w:r>
      <w:r w:rsidRPr="002D06C6">
        <w:rPr>
          <w:rFonts w:ascii="Times New Roman" w:hAnsi="Times New Roman" w:cs="Times New Roman"/>
          <w:sz w:val="24"/>
          <w:szCs w:val="24"/>
          <w:shd w:val="clear" w:color="auto" w:fill="FFFFFF"/>
        </w:rPr>
        <w:t>. Ello en un año crucial para Trump, ya que aspira a la reelección en las presidenciales de noviembre y la buena marcha de la economía de EEUU era su mayor baza (hasta la aparición del coronavirus).</w:t>
      </w:r>
    </w:p>
    <w:p w:rsidR="006E5D75" w:rsidRPr="009E1478" w:rsidRDefault="006E5D75" w:rsidP="006E5D75">
      <w:pPr>
        <w:spacing w:line="240" w:lineRule="auto"/>
        <w:jc w:val="both"/>
        <w:rPr>
          <w:rFonts w:ascii="Times New Roman" w:hAnsi="Times New Roman" w:cs="Times New Roman"/>
          <w:sz w:val="24"/>
          <w:szCs w:val="24"/>
          <w:u w:val="single"/>
          <w:shd w:val="clear" w:color="auto" w:fill="FFFFFF"/>
        </w:rPr>
      </w:pPr>
      <w:r w:rsidRPr="009E1478">
        <w:rPr>
          <w:rFonts w:ascii="Times New Roman" w:hAnsi="Times New Roman" w:cs="Times New Roman"/>
          <w:sz w:val="24"/>
          <w:szCs w:val="24"/>
          <w:u w:val="single"/>
          <w:shd w:val="clear" w:color="auto" w:fill="FFFFFF"/>
        </w:rPr>
        <w:t>El revés económico en China también ha sido duro. De hecho, el Gobierno ha rechazado marcarse un objetivo de crecimiento para este año, como es tradición. Entre enero y marzo su PIB cayó un 6,8%.</w:t>
      </w:r>
    </w:p>
    <w:p w:rsidR="006E5D75" w:rsidRPr="009E1478" w:rsidRDefault="006E5D75" w:rsidP="006E5D75">
      <w:pPr>
        <w:spacing w:line="240" w:lineRule="auto"/>
        <w:jc w:val="both"/>
        <w:rPr>
          <w:rFonts w:ascii="Times New Roman" w:hAnsi="Times New Roman" w:cs="Times New Roman"/>
          <w:sz w:val="24"/>
          <w:szCs w:val="24"/>
          <w:u w:val="single"/>
          <w:shd w:val="clear" w:color="auto" w:fill="FFFFFF"/>
        </w:rPr>
      </w:pPr>
      <w:r w:rsidRPr="009E1478">
        <w:rPr>
          <w:rFonts w:ascii="Times New Roman" w:hAnsi="Times New Roman" w:cs="Times New Roman"/>
          <w:sz w:val="24"/>
          <w:szCs w:val="24"/>
          <w:u w:val="single"/>
          <w:shd w:val="clear" w:color="auto" w:fill="FFFFFF"/>
        </w:rPr>
        <w:t xml:space="preserve">Pese </w:t>
      </w:r>
      <w:r>
        <w:rPr>
          <w:rFonts w:ascii="Times New Roman" w:hAnsi="Times New Roman" w:cs="Times New Roman"/>
          <w:sz w:val="24"/>
          <w:szCs w:val="24"/>
          <w:u w:val="single"/>
          <w:shd w:val="clear" w:color="auto" w:fill="FFFFFF"/>
        </w:rPr>
        <w:t>a los “roces”</w:t>
      </w:r>
      <w:r w:rsidRPr="009E1478">
        <w:rPr>
          <w:rFonts w:ascii="Times New Roman" w:hAnsi="Times New Roman" w:cs="Times New Roman"/>
          <w:sz w:val="24"/>
          <w:szCs w:val="24"/>
          <w:u w:val="single"/>
          <w:shd w:val="clear" w:color="auto" w:fill="FFFFFF"/>
        </w:rPr>
        <w:t>, ambas naciones se comprometieron a principios de est</w:t>
      </w:r>
      <w:r>
        <w:rPr>
          <w:rFonts w:ascii="Times New Roman" w:hAnsi="Times New Roman" w:cs="Times New Roman"/>
          <w:sz w:val="24"/>
          <w:szCs w:val="24"/>
          <w:u w:val="single"/>
          <w:shd w:val="clear" w:color="auto" w:fill="FFFFFF"/>
        </w:rPr>
        <w:t>e mes a seguir adelante con la “primera parte”</w:t>
      </w:r>
      <w:r w:rsidRPr="009E1478">
        <w:rPr>
          <w:rFonts w:ascii="Times New Roman" w:hAnsi="Times New Roman" w:cs="Times New Roman"/>
          <w:sz w:val="24"/>
          <w:szCs w:val="24"/>
          <w:u w:val="single"/>
          <w:shd w:val="clear" w:color="auto" w:fill="FFFFFF"/>
        </w:rPr>
        <w:t xml:space="preserve"> del acuerdo comercial que firmaron en enero. Pero cada vez son menos lo que creen que eso llegue a materializarse realmente, y mucho menos que</w:t>
      </w:r>
      <w:r>
        <w:rPr>
          <w:rFonts w:ascii="Times New Roman" w:hAnsi="Times New Roman" w:cs="Times New Roman"/>
          <w:sz w:val="24"/>
          <w:szCs w:val="24"/>
          <w:u w:val="single"/>
          <w:shd w:val="clear" w:color="auto" w:fill="FFFFFF"/>
        </w:rPr>
        <w:t xml:space="preserve"> las negociaciones para la “Fase 2”</w:t>
      </w:r>
      <w:r w:rsidRPr="009E1478">
        <w:rPr>
          <w:rFonts w:ascii="Times New Roman" w:hAnsi="Times New Roman" w:cs="Times New Roman"/>
          <w:sz w:val="24"/>
          <w:szCs w:val="24"/>
          <w:u w:val="single"/>
          <w:shd w:val="clear" w:color="auto" w:fill="FFFFFF"/>
        </w:rPr>
        <w:t xml:space="preserve"> lleguen a producirse.</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Trump ha asegurado que esta misma semana podría anunciar nuevas sanciones a China por la ley de seguridad nacional que quiere imponer en el territorio semiautónomo de Hong Kong, donde se han producido numerosas protestas en lo</w:t>
      </w:r>
      <w:r>
        <w:rPr>
          <w:rFonts w:ascii="Times New Roman" w:hAnsi="Times New Roman" w:cs="Times New Roman"/>
          <w:sz w:val="24"/>
          <w:szCs w:val="24"/>
          <w:shd w:val="clear" w:color="auto" w:fill="FFFFFF"/>
        </w:rPr>
        <w:t>s últimos días por este motivo.</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Una recuperación “anémica”</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Además de la mayor división que experimentará el mundo entero, Roubini avisó en la entrevista con la BBC de que la recuperación económica que pueda producirse este año s</w:t>
      </w:r>
      <w:r>
        <w:rPr>
          <w:rFonts w:ascii="Times New Roman" w:hAnsi="Times New Roman" w:cs="Times New Roman"/>
          <w:color w:val="FF0000"/>
          <w:sz w:val="24"/>
          <w:szCs w:val="24"/>
          <w:u w:val="single"/>
          <w:shd w:val="clear" w:color="auto" w:fill="FFFFFF"/>
        </w:rPr>
        <w:t>erá “anémica”</w:t>
      </w:r>
      <w:r w:rsidRPr="009E1478">
        <w:rPr>
          <w:rFonts w:ascii="Times New Roman" w:hAnsi="Times New Roman" w:cs="Times New Roman"/>
          <w:color w:val="FF0000"/>
          <w:sz w:val="24"/>
          <w:szCs w:val="24"/>
          <w:u w:val="single"/>
          <w:shd w:val="clear" w:color="auto" w:fill="FFFFFF"/>
        </w:rPr>
        <w:t>.</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En un artículo del mes pasado publicado en Project Syndi</w:t>
      </w:r>
      <w:r>
        <w:rPr>
          <w:rFonts w:ascii="Times New Roman" w:hAnsi="Times New Roman" w:cs="Times New Roman"/>
          <w:color w:val="FF0000"/>
          <w:sz w:val="24"/>
          <w:szCs w:val="24"/>
          <w:u w:val="single"/>
          <w:shd w:val="clear" w:color="auto" w:fill="FFFFFF"/>
        </w:rPr>
        <w:t>cate, el economista auguró una “una década de desesperación”</w:t>
      </w:r>
      <w:r w:rsidRPr="009E1478">
        <w:rPr>
          <w:rFonts w:ascii="Times New Roman" w:hAnsi="Times New Roman" w:cs="Times New Roman"/>
          <w:color w:val="FF0000"/>
          <w:sz w:val="24"/>
          <w:szCs w:val="24"/>
          <w:u w:val="single"/>
          <w:shd w:val="clear" w:color="auto" w:fill="FFFFFF"/>
        </w:rPr>
        <w:t xml:space="preserve"> para para la economía mundial. Un periodo que ha bautizado ya como la Gran Depresión.</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Como en anteriores ocasiones, el economista afirmó en l</w:t>
      </w:r>
      <w:r>
        <w:rPr>
          <w:rFonts w:ascii="Times New Roman" w:hAnsi="Times New Roman" w:cs="Times New Roman"/>
          <w:color w:val="FF0000"/>
          <w:sz w:val="24"/>
          <w:szCs w:val="24"/>
          <w:u w:val="single"/>
          <w:shd w:val="clear" w:color="auto" w:fill="FFFFFF"/>
        </w:rPr>
        <w:t>a BBC que esta es una recesión “sin precedentes”</w:t>
      </w:r>
      <w:r w:rsidRPr="009E1478">
        <w:rPr>
          <w:rFonts w:ascii="Times New Roman" w:hAnsi="Times New Roman" w:cs="Times New Roman"/>
          <w:color w:val="FF0000"/>
          <w:sz w:val="24"/>
          <w:szCs w:val="24"/>
          <w:u w:val="single"/>
          <w:shd w:val="clear" w:color="auto" w:fill="FFFFFF"/>
        </w:rPr>
        <w:t>. Una visión generalizada, que comparten distintos representantes de instituciones políticas y monetarias, como el presidente de la Reserva Federal de EEUU (Fed), Jerome Powell.</w:t>
      </w:r>
    </w:p>
    <w:p w:rsidR="006E5D75" w:rsidRPr="009E1478" w:rsidRDefault="006E5D75" w:rsidP="006E5D75">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En la crisis financiera mundial (de 2008) pasaron unos tres años hasta que la producción cayó bruscamente. En esta ocasión no han hecho falta tres años, ni siquiera tres meses. En tres semanas hubo una</w:t>
      </w:r>
      <w:r>
        <w:rPr>
          <w:rFonts w:ascii="Times New Roman" w:hAnsi="Times New Roman" w:cs="Times New Roman"/>
          <w:b/>
          <w:color w:val="FF0000"/>
          <w:sz w:val="24"/>
          <w:szCs w:val="24"/>
          <w:u w:val="single"/>
          <w:shd w:val="clear" w:color="auto" w:fill="FFFFFF"/>
        </w:rPr>
        <w:t xml:space="preserve"> caída libre de cada componente”</w:t>
      </w:r>
      <w:r w:rsidRPr="009E1478">
        <w:rPr>
          <w:rFonts w:ascii="Times New Roman" w:hAnsi="Times New Roman" w:cs="Times New Roman"/>
          <w:b/>
          <w:color w:val="FF0000"/>
          <w:sz w:val="24"/>
          <w:szCs w:val="24"/>
          <w:u w:val="single"/>
          <w:shd w:val="clear" w:color="auto" w:fill="FFFFFF"/>
        </w:rPr>
        <w:t>, argumentó el profesor universitario.</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Por ello, Nouriel Roubini insistió en que la recuperación de la econo</w:t>
      </w:r>
      <w:r>
        <w:rPr>
          <w:rFonts w:ascii="Times New Roman" w:hAnsi="Times New Roman" w:cs="Times New Roman"/>
          <w:color w:val="FF0000"/>
          <w:sz w:val="24"/>
          <w:szCs w:val="24"/>
          <w:u w:val="single"/>
          <w:shd w:val="clear" w:color="auto" w:fill="FFFFFF"/>
        </w:rPr>
        <w:t>mía global no será en forma de “U”, “ni nada parecido a una “L””</w:t>
      </w:r>
      <w:r w:rsidRPr="009E1478">
        <w:rPr>
          <w:rFonts w:ascii="Times New Roman" w:hAnsi="Times New Roman" w:cs="Times New Roman"/>
          <w:color w:val="FF0000"/>
          <w:sz w:val="24"/>
          <w:szCs w:val="24"/>
          <w:u w:val="single"/>
          <w:shd w:val="clear" w:color="auto" w:fill="FFFFFF"/>
        </w:rPr>
        <w:t>.</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 xml:space="preserve">La principal causa, según explicó el experto en </w:t>
      </w:r>
      <w:r>
        <w:rPr>
          <w:rFonts w:ascii="Times New Roman" w:hAnsi="Times New Roman" w:cs="Times New Roman"/>
          <w:color w:val="FF0000"/>
          <w:sz w:val="24"/>
          <w:szCs w:val="24"/>
          <w:u w:val="single"/>
          <w:shd w:val="clear" w:color="auto" w:fill="FFFFFF"/>
        </w:rPr>
        <w:t>su artículo del mes pasado, es “</w:t>
      </w:r>
      <w:r w:rsidRPr="009E1478">
        <w:rPr>
          <w:rFonts w:ascii="Times New Roman" w:hAnsi="Times New Roman" w:cs="Times New Roman"/>
          <w:color w:val="FF0000"/>
          <w:sz w:val="24"/>
          <w:szCs w:val="24"/>
          <w:u w:val="single"/>
          <w:shd w:val="clear" w:color="auto" w:fill="FFFFFF"/>
        </w:rPr>
        <w:t>el déficit y sus riesgos derivados: l</w:t>
      </w:r>
      <w:r>
        <w:rPr>
          <w:rFonts w:ascii="Times New Roman" w:hAnsi="Times New Roman" w:cs="Times New Roman"/>
          <w:color w:val="FF0000"/>
          <w:sz w:val="24"/>
          <w:szCs w:val="24"/>
          <w:u w:val="single"/>
          <w:shd w:val="clear" w:color="auto" w:fill="FFFFFF"/>
        </w:rPr>
        <w:t>a deuda y el default”. “</w:t>
      </w:r>
      <w:r w:rsidRPr="009E1478">
        <w:rPr>
          <w:rFonts w:ascii="Times New Roman" w:hAnsi="Times New Roman" w:cs="Times New Roman"/>
          <w:color w:val="FF0000"/>
          <w:sz w:val="24"/>
          <w:szCs w:val="24"/>
          <w:u w:val="single"/>
          <w:shd w:val="clear" w:color="auto" w:fill="FFFFFF"/>
        </w:rPr>
        <w:t>La respuesta oficial a la crisis de la COVID?19 implica un aumento enorme del déficit fiscal, del orden del 10% del PIB o más, en un momento en que los niveles de deuda pública en muchos países ya era</w:t>
      </w:r>
      <w:r>
        <w:rPr>
          <w:rFonts w:ascii="Times New Roman" w:hAnsi="Times New Roman" w:cs="Times New Roman"/>
          <w:color w:val="FF0000"/>
          <w:sz w:val="24"/>
          <w:szCs w:val="24"/>
          <w:u w:val="single"/>
          <w:shd w:val="clear" w:color="auto" w:fill="FFFFFF"/>
        </w:rPr>
        <w:t>n altos e incluso insostenibles”</w:t>
      </w:r>
      <w:r w:rsidRPr="009E1478">
        <w:rPr>
          <w:rFonts w:ascii="Times New Roman" w:hAnsi="Times New Roman" w:cs="Times New Roman"/>
          <w:color w:val="FF0000"/>
          <w:sz w:val="24"/>
          <w:szCs w:val="24"/>
          <w:u w:val="single"/>
          <w:shd w:val="clear" w:color="auto" w:fill="FFFFFF"/>
        </w:rPr>
        <w:t>, apuntó.</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Además,</w:t>
      </w:r>
      <w:r>
        <w:rPr>
          <w:rFonts w:ascii="Times New Roman" w:hAnsi="Times New Roman" w:cs="Times New Roman"/>
          <w:color w:val="FF0000"/>
          <w:sz w:val="24"/>
          <w:szCs w:val="24"/>
          <w:u w:val="single"/>
          <w:shd w:val="clear" w:color="auto" w:fill="FFFFFF"/>
        </w:rPr>
        <w:t xml:space="preserve"> es previsible que se produzca “</w:t>
      </w:r>
      <w:r w:rsidRPr="009E1478">
        <w:rPr>
          <w:rFonts w:ascii="Times New Roman" w:hAnsi="Times New Roman" w:cs="Times New Roman"/>
          <w:color w:val="FF0000"/>
          <w:sz w:val="24"/>
          <w:szCs w:val="24"/>
          <w:u w:val="single"/>
          <w:shd w:val="clear" w:color="auto" w:fill="FFFFFF"/>
        </w:rPr>
        <w:t>una</w:t>
      </w:r>
      <w:r>
        <w:rPr>
          <w:rFonts w:ascii="Times New Roman" w:hAnsi="Times New Roman" w:cs="Times New Roman"/>
          <w:color w:val="FF0000"/>
          <w:sz w:val="24"/>
          <w:szCs w:val="24"/>
          <w:u w:val="single"/>
          <w:shd w:val="clear" w:color="auto" w:fill="FFFFFF"/>
        </w:rPr>
        <w:t xml:space="preserve"> catarata de impagos y quiebras”</w:t>
      </w:r>
      <w:r w:rsidRPr="009E1478">
        <w:rPr>
          <w:rFonts w:ascii="Times New Roman" w:hAnsi="Times New Roman" w:cs="Times New Roman"/>
          <w:color w:val="FF0000"/>
          <w:sz w:val="24"/>
          <w:szCs w:val="24"/>
          <w:u w:val="single"/>
          <w:shd w:val="clear" w:color="auto" w:fill="FFFFFF"/>
        </w:rPr>
        <w:t xml:space="preserve"> ante la caída de los i</w:t>
      </w:r>
      <w:r>
        <w:rPr>
          <w:rFonts w:ascii="Times New Roman" w:hAnsi="Times New Roman" w:cs="Times New Roman"/>
          <w:color w:val="FF0000"/>
          <w:sz w:val="24"/>
          <w:szCs w:val="24"/>
          <w:u w:val="single"/>
          <w:shd w:val="clear" w:color="auto" w:fill="FFFFFF"/>
        </w:rPr>
        <w:t>ngresos en hogares y empresas. “</w:t>
      </w:r>
      <w:r w:rsidRPr="009E1478">
        <w:rPr>
          <w:rFonts w:ascii="Times New Roman" w:hAnsi="Times New Roman" w:cs="Times New Roman"/>
          <w:color w:val="FF0000"/>
          <w:sz w:val="24"/>
          <w:szCs w:val="24"/>
          <w:u w:val="single"/>
          <w:shd w:val="clear" w:color="auto" w:fill="FFFFFF"/>
        </w:rPr>
        <w:t xml:space="preserve">Sumado al aumento de los niveles de deuda pública, </w:t>
      </w:r>
      <w:r w:rsidRPr="009E1478">
        <w:rPr>
          <w:rFonts w:ascii="Times New Roman" w:hAnsi="Times New Roman" w:cs="Times New Roman"/>
          <w:color w:val="FF0000"/>
          <w:sz w:val="24"/>
          <w:szCs w:val="24"/>
          <w:u w:val="single"/>
          <w:shd w:val="clear" w:color="auto" w:fill="FFFFFF"/>
        </w:rPr>
        <w:lastRenderedPageBreak/>
        <w:t>esto es garantía casi segura de una recuperación más anémica que la que siguió a la G</w:t>
      </w:r>
      <w:r>
        <w:rPr>
          <w:rFonts w:ascii="Times New Roman" w:hAnsi="Times New Roman" w:cs="Times New Roman"/>
          <w:color w:val="FF0000"/>
          <w:sz w:val="24"/>
          <w:szCs w:val="24"/>
          <w:u w:val="single"/>
          <w:shd w:val="clear" w:color="auto" w:fill="FFFFFF"/>
        </w:rPr>
        <w:t>ran Recesión de hace una década”</w:t>
      </w:r>
      <w:r w:rsidRPr="009E1478">
        <w:rPr>
          <w:rFonts w:ascii="Times New Roman" w:hAnsi="Times New Roman" w:cs="Times New Roman"/>
          <w:color w:val="FF0000"/>
          <w:sz w:val="24"/>
          <w:szCs w:val="24"/>
          <w:u w:val="single"/>
          <w:shd w:val="clear" w:color="auto" w:fill="FFFFFF"/>
        </w:rPr>
        <w:t>, lamento Roubini.</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Por otro lado, Roubini apuntó en la cadena pública británica a la destrucción masiva de empleos tanto en países ricos como pobres como consecuencia de las medidas de confinamiento y paralización frente a la pandemia.</w:t>
      </w:r>
    </w:p>
    <w:p w:rsidR="006E5D75" w:rsidRPr="009E1478" w:rsidRDefault="006E5D75" w:rsidP="006E5D75">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Estos trabajos que se han ido van a volver solo en parte, con salarios más bajos, s</w:t>
      </w:r>
      <w:r>
        <w:rPr>
          <w:rFonts w:ascii="Times New Roman" w:hAnsi="Times New Roman" w:cs="Times New Roman"/>
          <w:b/>
          <w:color w:val="FF0000"/>
          <w:sz w:val="24"/>
          <w:szCs w:val="24"/>
          <w:u w:val="single"/>
          <w:shd w:val="clear" w:color="auto" w:fill="FFFFFF"/>
        </w:rPr>
        <w:t>in beneficios, a tiempo parcial”, anticipó. “</w:t>
      </w:r>
      <w:r w:rsidRPr="009E1478">
        <w:rPr>
          <w:rFonts w:ascii="Times New Roman" w:hAnsi="Times New Roman" w:cs="Times New Roman"/>
          <w:b/>
          <w:color w:val="FF0000"/>
          <w:sz w:val="24"/>
          <w:szCs w:val="24"/>
          <w:u w:val="single"/>
          <w:shd w:val="clear" w:color="auto" w:fill="FFFFFF"/>
        </w:rPr>
        <w:t>Habrá aún más inseguridad en los empleos, ingresos y salarios para la persona trabajadora promed</w:t>
      </w:r>
      <w:r>
        <w:rPr>
          <w:rFonts w:ascii="Times New Roman" w:hAnsi="Times New Roman" w:cs="Times New Roman"/>
          <w:b/>
          <w:color w:val="FF0000"/>
          <w:sz w:val="24"/>
          <w:szCs w:val="24"/>
          <w:u w:val="single"/>
          <w:shd w:val="clear" w:color="auto" w:fill="FFFFFF"/>
        </w:rPr>
        <w:t>io”</w:t>
      </w:r>
      <w:r w:rsidRPr="009E1478">
        <w:rPr>
          <w:rFonts w:ascii="Times New Roman" w:hAnsi="Times New Roman" w:cs="Times New Roman"/>
          <w:b/>
          <w:color w:val="FF0000"/>
          <w:sz w:val="24"/>
          <w:szCs w:val="24"/>
          <w:u w:val="single"/>
          <w:shd w:val="clear" w:color="auto" w:fill="FFFFFF"/>
        </w:rPr>
        <w:t>, concluyó.</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Roubini es conocido como “Dr. Maldición”</w:t>
      </w:r>
      <w:r w:rsidRPr="002D06C6">
        <w:rPr>
          <w:rFonts w:ascii="Times New Roman" w:hAnsi="Times New Roman" w:cs="Times New Roman"/>
          <w:sz w:val="24"/>
          <w:szCs w:val="24"/>
          <w:shd w:val="clear" w:color="auto" w:fill="FFFFFF"/>
        </w:rPr>
        <w:t xml:space="preserve"> (Dr. Doom) por sus negativas predicciones económicas que, no obstante, se adelantaron con precisión a la crisis financiera de 2007-2008 y sus consecuencias. Por ello, el experto se considera más bien </w:t>
      </w:r>
      <w:r>
        <w:rPr>
          <w:rFonts w:ascii="Times New Roman" w:hAnsi="Times New Roman" w:cs="Times New Roman"/>
          <w:sz w:val="24"/>
          <w:szCs w:val="24"/>
          <w:shd w:val="clear" w:color="auto" w:fill="FFFFFF"/>
        </w:rPr>
        <w:t>un “Dr. Realista”</w:t>
      </w:r>
      <w:r w:rsidRPr="002D06C6">
        <w:rPr>
          <w:rFonts w:ascii="Times New Roman" w:hAnsi="Times New Roman" w:cs="Times New Roman"/>
          <w:sz w:val="24"/>
          <w:szCs w:val="24"/>
          <w:shd w:val="clear" w:color="auto" w:fill="FFFFFF"/>
        </w:rPr>
        <w:t>.</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crisis del coronavirus “borra”</w:t>
      </w:r>
      <w:r w:rsidRPr="002D06C6">
        <w:rPr>
          <w:rFonts w:ascii="Times New Roman" w:hAnsi="Times New Roman" w:cs="Times New Roman"/>
          <w:sz w:val="24"/>
          <w:szCs w:val="24"/>
          <w:u w:val="single"/>
          <w:shd w:val="clear" w:color="auto" w:fill="FFFFFF"/>
        </w:rPr>
        <w:t xml:space="preserve"> 40 millones de empleos en diez semanas en EEUU</w:t>
      </w:r>
      <w:r>
        <w:rPr>
          <w:rFonts w:ascii="Times New Roman" w:hAnsi="Times New Roman" w:cs="Times New Roman"/>
          <w:sz w:val="24"/>
          <w:szCs w:val="24"/>
          <w:shd w:val="clear" w:color="auto" w:fill="FFFFFF"/>
        </w:rPr>
        <w:t xml:space="preserve"> (El Economista - </w:t>
      </w:r>
      <w:r w:rsidRPr="002D06C6">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6E5D75" w:rsidRPr="009E1478" w:rsidRDefault="006E5D75" w:rsidP="006E5D7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La tasa de paro podría seguir superando los dos dígitos en 2021</w:t>
      </w:r>
    </w:p>
    <w:p w:rsidR="006E5D75" w:rsidRPr="009E1478" w:rsidRDefault="006E5D75" w:rsidP="006E5D7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La velocidad de la recuperación dependerá en gran medida de las pymes</w:t>
      </w:r>
    </w:p>
    <w:p w:rsidR="006E5D75" w:rsidRPr="009E1478" w:rsidRDefault="006E5D75" w:rsidP="006E5D7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Estas empresas se debaten entre echar el cierre o reabrir si han aguantado</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Vicente Nieves)</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sz w:val="24"/>
          <w:szCs w:val="24"/>
          <w:u w:val="single"/>
          <w:shd w:val="clear" w:color="auto" w:fill="FFFFFF"/>
        </w:rPr>
        <w:t>Aunque lo peor de la crisis podría haber pasado ya (en términos de actividad y PIB), el impacto sobre el mercado laboral sigue siendo extraordinario</w:t>
      </w:r>
      <w:r w:rsidRPr="002D06C6">
        <w:rPr>
          <w:rFonts w:ascii="Times New Roman" w:hAnsi="Times New Roman" w:cs="Times New Roman"/>
          <w:sz w:val="24"/>
          <w:szCs w:val="24"/>
          <w:shd w:val="clear" w:color="auto" w:fill="FFFFFF"/>
        </w:rPr>
        <w:t xml:space="preserve">. </w:t>
      </w:r>
      <w:r w:rsidRPr="009E1478">
        <w:rPr>
          <w:rFonts w:ascii="Times New Roman" w:hAnsi="Times New Roman" w:cs="Times New Roman"/>
          <w:color w:val="FF0000"/>
          <w:sz w:val="24"/>
          <w:szCs w:val="24"/>
          <w:u w:val="single"/>
          <w:shd w:val="clear" w:color="auto" w:fill="FFFFFF"/>
        </w:rPr>
        <w:t xml:space="preserve">La peticiones iniciales de subsidio por desempleo han superado los dos millones por décima semana consecutiva, según ha publicado el Departamento de Trabajo de EEUU (2,123 millones). Este dato revela que </w:t>
      </w:r>
      <w:r w:rsidRPr="009E1478">
        <w:rPr>
          <w:rFonts w:ascii="Times New Roman" w:hAnsi="Times New Roman" w:cs="Times New Roman"/>
          <w:b/>
          <w:color w:val="FF0000"/>
          <w:sz w:val="24"/>
          <w:szCs w:val="24"/>
          <w:u w:val="single"/>
          <w:shd w:val="clear" w:color="auto" w:fill="FFFFFF"/>
        </w:rPr>
        <w:t>se han destruido 40 millones de empleos en las últimas diez semanas,</w:t>
      </w:r>
      <w:r w:rsidRPr="009E1478">
        <w:rPr>
          <w:rFonts w:ascii="Times New Roman" w:hAnsi="Times New Roman" w:cs="Times New Roman"/>
          <w:color w:val="FF0000"/>
          <w:sz w:val="24"/>
          <w:szCs w:val="24"/>
          <w:u w:val="single"/>
          <w:shd w:val="clear" w:color="auto" w:fill="FFFFFF"/>
        </w:rPr>
        <w:t xml:space="preserve"> pese a que la destrucción se ha ido moderando poco a poco, desde los 6,8 millones de la última semana de marzo a los 2,1 de este jueves, los datos siguen superando de forma abrumadora la media 215.000 peticiones semanales antes de la crisis.</w:t>
      </w:r>
    </w:p>
    <w:p w:rsidR="006E5D75" w:rsidRPr="009E1478"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EEUU ha decidido hacer frente a esta crisis ampliando la red de seguridad para sus ciudadanos (a través de nuevas prestaciones y subsidios), pero permitiendo que el</w:t>
      </w:r>
      <w:r>
        <w:rPr>
          <w:rFonts w:ascii="Times New Roman" w:hAnsi="Times New Roman" w:cs="Times New Roman"/>
          <w:color w:val="FF0000"/>
          <w:sz w:val="24"/>
          <w:szCs w:val="24"/>
          <w:u w:val="single"/>
          <w:shd w:val="clear" w:color="auto" w:fill="FFFFFF"/>
        </w:rPr>
        <w:t xml:space="preserve"> mercado laboral se ajuste por “cantidades”</w:t>
      </w:r>
      <w:r w:rsidRPr="009E1478">
        <w:rPr>
          <w:rFonts w:ascii="Times New Roman" w:hAnsi="Times New Roman" w:cs="Times New Roman"/>
          <w:color w:val="FF0000"/>
          <w:sz w:val="24"/>
          <w:szCs w:val="24"/>
          <w:u w:val="single"/>
          <w:shd w:val="clear" w:color="auto" w:fill="FFFFFF"/>
        </w:rPr>
        <w:t>, es decir, destruyendo millones de empleos. En Europa se ha abogado por un ajuste a través de las horas de trabajo y la suspensi</w:t>
      </w:r>
      <w:r w:rsidR="003E26FD">
        <w:rPr>
          <w:rFonts w:ascii="Times New Roman" w:hAnsi="Times New Roman" w:cs="Times New Roman"/>
          <w:color w:val="FF0000"/>
          <w:sz w:val="24"/>
          <w:szCs w:val="24"/>
          <w:u w:val="single"/>
          <w:shd w:val="clear" w:color="auto" w:fill="FFFFFF"/>
        </w:rPr>
        <w:t>ón temporal del empleo, lo que “maquilla”</w:t>
      </w:r>
      <w:r w:rsidRPr="009E1478">
        <w:rPr>
          <w:rFonts w:ascii="Times New Roman" w:hAnsi="Times New Roman" w:cs="Times New Roman"/>
          <w:color w:val="FF0000"/>
          <w:sz w:val="24"/>
          <w:szCs w:val="24"/>
          <w:u w:val="single"/>
          <w:shd w:val="clear" w:color="auto" w:fill="FFFFFF"/>
        </w:rPr>
        <w:t xml:space="preserve"> en gran medida los datos de paro. Por ahora, las personas que están recibiendo un seguro por desempleo (no son todas personas paradas ni mucho menos) superan los 21 millones, según el Departamento de Trabajo.</w:t>
      </w:r>
    </w:p>
    <w:p w:rsidR="006E5D75"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Los datos de desempleo son el reflejo de lo que ha estado ocurr</w:t>
      </w:r>
      <w:r>
        <w:rPr>
          <w:rFonts w:ascii="Times New Roman" w:hAnsi="Times New Roman" w:cs="Times New Roman"/>
          <w:sz w:val="24"/>
          <w:szCs w:val="24"/>
          <w:shd w:val="clear" w:color="auto" w:fill="FFFFFF"/>
        </w:rPr>
        <w:t>iendo en la economía del país. “</w:t>
      </w:r>
      <w:r w:rsidRPr="002D06C6">
        <w:rPr>
          <w:rFonts w:ascii="Times New Roman" w:hAnsi="Times New Roman" w:cs="Times New Roman"/>
          <w:sz w:val="24"/>
          <w:szCs w:val="24"/>
          <w:shd w:val="clear" w:color="auto" w:fill="FFFFFF"/>
        </w:rPr>
        <w:t>Todos los indicadores económicos de marzo y abril han sido terribles, pero estamos viendo algunos signos de mejora en los dat</w:t>
      </w:r>
      <w:r>
        <w:rPr>
          <w:rFonts w:ascii="Times New Roman" w:hAnsi="Times New Roman" w:cs="Times New Roman"/>
          <w:sz w:val="24"/>
          <w:szCs w:val="24"/>
          <w:shd w:val="clear" w:color="auto" w:fill="FFFFFF"/>
        </w:rPr>
        <w:t>os de alta frecuencia para mayo”</w:t>
      </w:r>
      <w:r w:rsidRPr="002D06C6">
        <w:rPr>
          <w:rFonts w:ascii="Times New Roman" w:hAnsi="Times New Roman" w:cs="Times New Roman"/>
          <w:sz w:val="24"/>
          <w:szCs w:val="24"/>
          <w:shd w:val="clear" w:color="auto" w:fill="FFFFFF"/>
        </w:rPr>
        <w:t xml:space="preserve">, explican desde Danske Bank. </w:t>
      </w:r>
      <w:r w:rsidRPr="009E1478">
        <w:rPr>
          <w:rFonts w:ascii="Times New Roman" w:hAnsi="Times New Roman" w:cs="Times New Roman"/>
          <w:color w:val="FF0000"/>
          <w:sz w:val="24"/>
          <w:szCs w:val="24"/>
          <w:u w:val="single"/>
          <w:shd w:val="clear" w:color="auto" w:fill="FFFFFF"/>
        </w:rPr>
        <w:t>Hoy Jueves también se ha publicado que el PIB se desplomó un 5% en el primer trimestre del año, un dato peor de lo esperado.</w:t>
      </w:r>
    </w:p>
    <w:p w:rsidR="006E5D75" w:rsidRDefault="006E5D75" w:rsidP="006E5D75">
      <w:pPr>
        <w:spacing w:line="240" w:lineRule="auto"/>
        <w:jc w:val="both"/>
        <w:rPr>
          <w:rFonts w:ascii="Times New Roman" w:hAnsi="Times New Roman" w:cs="Times New Roman"/>
          <w:sz w:val="24"/>
          <w:szCs w:val="24"/>
          <w:shd w:val="clear" w:color="auto" w:fill="FFFFFF"/>
        </w:rPr>
      </w:pPr>
      <w:r>
        <w:rPr>
          <w:noProof/>
          <w:lang w:val="en-GB" w:eastAsia="zh-CN"/>
        </w:rPr>
        <w:lastRenderedPageBreak/>
        <w:drawing>
          <wp:inline distT="0" distB="0" distL="0" distR="0">
            <wp:extent cx="5732888" cy="2958353"/>
            <wp:effectExtent l="0" t="0" r="1270" b="0"/>
            <wp:docPr id="74" name="Imagen 74" descr="https://s03.s3c.es/imag/_v0/770x572/7/3/9/eeuu-covid-empl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72/7/3/9/eeuu-covid-empleo.jpg"/>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2888" cy="2958353"/>
                    </a:xfrm>
                    <a:prstGeom prst="rect">
                      <a:avLst/>
                    </a:prstGeom>
                    <a:noFill/>
                    <a:ln>
                      <a:noFill/>
                    </a:ln>
                  </pic:spPr>
                </pic:pic>
              </a:graphicData>
            </a:graphic>
          </wp:inline>
        </w:drawing>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Aun así, desde la firma Jefferies se muestran sorprendidos porque su índice de datos de alta frecuencia en general, no muestra un repunte decisivo de la actividad ahora que la gran mayoría </w:t>
      </w:r>
      <w:r>
        <w:rPr>
          <w:rFonts w:ascii="Times New Roman" w:hAnsi="Times New Roman" w:cs="Times New Roman"/>
          <w:sz w:val="24"/>
          <w:szCs w:val="24"/>
          <w:shd w:val="clear" w:color="auto" w:fill="FFFFFF"/>
        </w:rPr>
        <w:t>de los estados han levantado la</w:t>
      </w:r>
      <w:r w:rsidRPr="002D06C6">
        <w:rPr>
          <w:rFonts w:ascii="Times New Roman" w:hAnsi="Times New Roman" w:cs="Times New Roman"/>
          <w:sz w:val="24"/>
          <w:szCs w:val="24"/>
          <w:shd w:val="clear" w:color="auto" w:fill="FFFFFF"/>
        </w:rPr>
        <w:t xml:space="preserve"> orden d</w:t>
      </w:r>
      <w:r>
        <w:rPr>
          <w:rFonts w:ascii="Times New Roman" w:hAnsi="Times New Roman" w:cs="Times New Roman"/>
          <w:sz w:val="24"/>
          <w:szCs w:val="24"/>
          <w:shd w:val="clear" w:color="auto" w:fill="FFFFFF"/>
        </w:rPr>
        <w:t>e quedarse en casa. Por ahora, “</w:t>
      </w:r>
      <w:r w:rsidRPr="002D06C6">
        <w:rPr>
          <w:rFonts w:ascii="Times New Roman" w:hAnsi="Times New Roman" w:cs="Times New Roman"/>
          <w:sz w:val="24"/>
          <w:szCs w:val="24"/>
          <w:shd w:val="clear" w:color="auto" w:fill="FFFFFF"/>
        </w:rPr>
        <w:t>suponemos que es cuestión de tiempo y seguiremos esperando a las próximas semanas. De hecho, vemos algunos puntos brillantes en varios otros indicadores en tiempo real que no están incluidos en nuestro í</w:t>
      </w:r>
      <w:r>
        <w:rPr>
          <w:rFonts w:ascii="Times New Roman" w:hAnsi="Times New Roman" w:cs="Times New Roman"/>
          <w:sz w:val="24"/>
          <w:szCs w:val="24"/>
          <w:shd w:val="clear" w:color="auto" w:fill="FFFFFF"/>
        </w:rPr>
        <w:t>ndice”, reconocen los expertos.</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habrá recuperación en “V”</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w:t>
      </w:r>
      <w:r w:rsidRPr="009E1478">
        <w:rPr>
          <w:rFonts w:ascii="Times New Roman" w:hAnsi="Times New Roman" w:cs="Times New Roman"/>
          <w:sz w:val="24"/>
          <w:szCs w:val="24"/>
          <w:u w:val="single"/>
          <w:shd w:val="clear" w:color="auto" w:fill="FFFFFF"/>
        </w:rPr>
        <w:t>Al menos los datos de alta frecuencia sugieren que la sangría se está deteniendo. Aun así, no hay signos de una recuperación en forma de V (solo mejora gradualmente), por lo que la herida está muy lejos de la curación</w:t>
      </w:r>
      <w:r w:rsidRPr="002D06C6">
        <w:rPr>
          <w:rFonts w:ascii="Times New Roman" w:hAnsi="Times New Roman" w:cs="Times New Roman"/>
          <w:sz w:val="24"/>
          <w:szCs w:val="24"/>
          <w:shd w:val="clear" w:color="auto" w:fill="FFFFFF"/>
        </w:rPr>
        <w:t xml:space="preserve">. Una de las señales positivas, al observar los datos transacciones diarias con tarjeta, es que el consumo en EEUU parece estar mejorando poco a poco. Otro aspecto positivo es que la mayoría de las pérdidas de empleo se consideran temporales (desafortunadamente pueden volverse permanentes con </w:t>
      </w:r>
      <w:r>
        <w:rPr>
          <w:rFonts w:ascii="Times New Roman" w:hAnsi="Times New Roman" w:cs="Times New Roman"/>
          <w:sz w:val="24"/>
          <w:szCs w:val="24"/>
          <w:shd w:val="clear" w:color="auto" w:fill="FFFFFF"/>
        </w:rPr>
        <w:t>el tiempo)”</w:t>
      </w:r>
      <w:r w:rsidRPr="002D06C6">
        <w:rPr>
          <w:rFonts w:ascii="Times New Roman" w:hAnsi="Times New Roman" w:cs="Times New Roman"/>
          <w:sz w:val="24"/>
          <w:szCs w:val="24"/>
          <w:shd w:val="clear" w:color="auto" w:fill="FFFFFF"/>
        </w:rPr>
        <w:t>, explican estos</w:t>
      </w:r>
      <w:r>
        <w:rPr>
          <w:rFonts w:ascii="Times New Roman" w:hAnsi="Times New Roman" w:cs="Times New Roman"/>
          <w:sz w:val="24"/>
          <w:szCs w:val="24"/>
          <w:shd w:val="clear" w:color="auto" w:fill="FFFFFF"/>
        </w:rPr>
        <w:t xml:space="preserve"> expertos.</w:t>
      </w:r>
    </w:p>
    <w:p w:rsidR="006E5D75" w:rsidRPr="002D06C6" w:rsidRDefault="006E5D75" w:rsidP="006E5D75">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Desde la propia Reserva Federal de EEUU publicaban en u</w:t>
      </w:r>
      <w:r>
        <w:rPr>
          <w:rFonts w:ascii="Times New Roman" w:hAnsi="Times New Roman" w:cs="Times New Roman"/>
          <w:sz w:val="24"/>
          <w:szCs w:val="24"/>
          <w:shd w:val="clear" w:color="auto" w:fill="FFFFFF"/>
        </w:rPr>
        <w:t>n estudio la semana pasada que “</w:t>
      </w:r>
      <w:r w:rsidRPr="002D06C6">
        <w:rPr>
          <w:rFonts w:ascii="Times New Roman" w:hAnsi="Times New Roman" w:cs="Times New Roman"/>
          <w:sz w:val="24"/>
          <w:szCs w:val="24"/>
          <w:shd w:val="clear" w:color="auto" w:fill="FFFFFF"/>
        </w:rPr>
        <w:t>la tremenda incertidumbre que rodea a las proyecciones para la trayectoria de la tasa de desempleo en los próximos años, no permite que ningún escenari</w:t>
      </w:r>
      <w:r>
        <w:rPr>
          <w:rFonts w:ascii="Times New Roman" w:hAnsi="Times New Roman" w:cs="Times New Roman"/>
          <w:sz w:val="24"/>
          <w:szCs w:val="24"/>
          <w:shd w:val="clear" w:color="auto" w:fill="FFFFFF"/>
        </w:rPr>
        <w:t>o específico se califique como “probable””</w:t>
      </w:r>
      <w:r w:rsidRPr="002D06C6">
        <w:rPr>
          <w:rFonts w:ascii="Times New Roman" w:hAnsi="Times New Roman" w:cs="Times New Roman"/>
          <w:sz w:val="24"/>
          <w:szCs w:val="24"/>
          <w:shd w:val="clear" w:color="auto" w:fill="FFFFFF"/>
        </w:rPr>
        <w:t>. Normalmente, los estudios de este tipo suelen contar con un escenario probable o base, ot</w:t>
      </w:r>
      <w:r>
        <w:rPr>
          <w:rFonts w:ascii="Times New Roman" w:hAnsi="Times New Roman" w:cs="Times New Roman"/>
          <w:sz w:val="24"/>
          <w:szCs w:val="24"/>
          <w:shd w:val="clear" w:color="auto" w:fill="FFFFFF"/>
        </w:rPr>
        <w:t xml:space="preserve">ro pesimista y otro optimista. </w:t>
      </w:r>
    </w:p>
    <w:p w:rsidR="006E5D75" w:rsidRPr="00F47E85" w:rsidRDefault="006E5D75" w:rsidP="006E5D75">
      <w:pPr>
        <w:spacing w:line="240" w:lineRule="auto"/>
        <w:jc w:val="both"/>
        <w:rPr>
          <w:rFonts w:ascii="Times New Roman" w:hAnsi="Times New Roman" w:cs="Times New Roman"/>
          <w:sz w:val="24"/>
          <w:szCs w:val="24"/>
          <w:u w:val="single"/>
          <w:shd w:val="clear" w:color="auto" w:fill="FFFFFF"/>
        </w:rPr>
      </w:pPr>
      <w:r w:rsidRPr="00F47E85">
        <w:rPr>
          <w:rFonts w:ascii="Times New Roman" w:hAnsi="Times New Roman" w:cs="Times New Roman"/>
          <w:sz w:val="24"/>
          <w:szCs w:val="24"/>
          <w:u w:val="single"/>
          <w:shd w:val="clear" w:color="auto" w:fill="FFFFFF"/>
        </w:rPr>
        <w:t>Sin embargo, estos economistas si han creado un modelo optimista y otro</w:t>
      </w:r>
      <w:r>
        <w:rPr>
          <w:rFonts w:ascii="Times New Roman" w:hAnsi="Times New Roman" w:cs="Times New Roman"/>
          <w:sz w:val="24"/>
          <w:szCs w:val="24"/>
          <w:u w:val="single"/>
          <w:shd w:val="clear" w:color="auto" w:fill="FFFFFF"/>
        </w:rPr>
        <w:t xml:space="preserve"> pesimista. “</w:t>
      </w:r>
      <w:r w:rsidRPr="00F47E85">
        <w:rPr>
          <w:rFonts w:ascii="Times New Roman" w:hAnsi="Times New Roman" w:cs="Times New Roman"/>
          <w:sz w:val="24"/>
          <w:szCs w:val="24"/>
          <w:u w:val="single"/>
          <w:shd w:val="clear" w:color="auto" w:fill="FFFFFF"/>
        </w:rPr>
        <w:t>En el lado pesimista, si no se produce una oleada de contrataciones sin precedentes a finales de este año y el próximo, la tasa de desempleo podría perma</w:t>
      </w:r>
      <w:r>
        <w:rPr>
          <w:rFonts w:ascii="Times New Roman" w:hAnsi="Times New Roman" w:cs="Times New Roman"/>
          <w:sz w:val="24"/>
          <w:szCs w:val="24"/>
          <w:u w:val="single"/>
          <w:shd w:val="clear" w:color="auto" w:fill="FFFFFF"/>
        </w:rPr>
        <w:t>necer en dos dígitos hasta 2021”</w:t>
      </w:r>
      <w:r w:rsidRPr="00F47E85">
        <w:rPr>
          <w:rFonts w:ascii="Times New Roman" w:hAnsi="Times New Roman" w:cs="Times New Roman"/>
          <w:sz w:val="24"/>
          <w:szCs w:val="24"/>
          <w:u w:val="single"/>
          <w:shd w:val="clear" w:color="auto" w:fill="FFFFFF"/>
        </w:rPr>
        <w:t>. Desde una perspectiva más optimista, si los cierres en respuesta al virus se levantan rápidamente, y los empresarios aumentan la contratación rápidamente, la tasa de desempleo podría volver a bajar cerca del nivel previo al virus a mediados de 2021, concluyen estos expertos.</w:t>
      </w:r>
    </w:p>
    <w:p w:rsidR="006E5D75" w:rsidRDefault="006E5D75" w:rsidP="006E5D75">
      <w:pPr>
        <w:spacing w:line="240" w:lineRule="auto"/>
        <w:jc w:val="both"/>
        <w:rPr>
          <w:rFonts w:ascii="Times New Roman" w:hAnsi="Times New Roman" w:cs="Times New Roman"/>
          <w:color w:val="FF0000"/>
          <w:sz w:val="24"/>
          <w:szCs w:val="24"/>
          <w:u w:val="single"/>
          <w:shd w:val="clear" w:color="auto" w:fill="FFFFFF"/>
        </w:rPr>
      </w:pPr>
      <w:r w:rsidRPr="002D06C6">
        <w:rPr>
          <w:rFonts w:ascii="Times New Roman" w:hAnsi="Times New Roman" w:cs="Times New Roman"/>
          <w:sz w:val="24"/>
          <w:szCs w:val="24"/>
          <w:shd w:val="clear" w:color="auto" w:fill="FFFFFF"/>
        </w:rPr>
        <w:t>Desde Jefferies apuntan a que la vuelta al crecimiento vigoroso dependerá en mayor medidas de las miles de pequeñas empresas que se debaten en</w:t>
      </w:r>
      <w:r>
        <w:rPr>
          <w:rFonts w:ascii="Times New Roman" w:hAnsi="Times New Roman" w:cs="Times New Roman"/>
          <w:sz w:val="24"/>
          <w:szCs w:val="24"/>
          <w:shd w:val="clear" w:color="auto" w:fill="FFFFFF"/>
        </w:rPr>
        <w:t xml:space="preserve">tre reabrir o echar el cierre: </w:t>
      </w:r>
      <w:r>
        <w:rPr>
          <w:rFonts w:ascii="Times New Roman" w:hAnsi="Times New Roman" w:cs="Times New Roman"/>
          <w:color w:val="FF0000"/>
          <w:sz w:val="24"/>
          <w:szCs w:val="24"/>
          <w:shd w:val="clear" w:color="auto" w:fill="FFFFFF"/>
        </w:rPr>
        <w:t>“</w:t>
      </w:r>
      <w:r w:rsidRPr="00F47E85">
        <w:rPr>
          <w:rFonts w:ascii="Times New Roman" w:hAnsi="Times New Roman" w:cs="Times New Roman"/>
          <w:color w:val="FF0000"/>
          <w:sz w:val="24"/>
          <w:szCs w:val="24"/>
          <w:u w:val="single"/>
          <w:shd w:val="clear" w:color="auto" w:fill="FFFFFF"/>
        </w:rPr>
        <w:t xml:space="preserve">Las pequeñas empresas, incluidos los restaurantes, se encontraban en el epicentro de la recesión </w:t>
      </w:r>
      <w:r w:rsidRPr="00F47E85">
        <w:rPr>
          <w:rFonts w:ascii="Times New Roman" w:hAnsi="Times New Roman" w:cs="Times New Roman"/>
          <w:color w:val="FF0000"/>
          <w:sz w:val="24"/>
          <w:szCs w:val="24"/>
          <w:u w:val="single"/>
          <w:shd w:val="clear" w:color="auto" w:fill="FFFFFF"/>
        </w:rPr>
        <w:lastRenderedPageBreak/>
        <w:t>del Covid-19, y su capacidad para volver determinará la velocid</w:t>
      </w:r>
      <w:r>
        <w:rPr>
          <w:rFonts w:ascii="Times New Roman" w:hAnsi="Times New Roman" w:cs="Times New Roman"/>
          <w:color w:val="FF0000"/>
          <w:sz w:val="24"/>
          <w:szCs w:val="24"/>
          <w:u w:val="single"/>
          <w:shd w:val="clear" w:color="auto" w:fill="FFFFFF"/>
        </w:rPr>
        <w:t>ad de la recuperación económica”</w:t>
      </w:r>
      <w:r w:rsidRPr="00F47E85">
        <w:rPr>
          <w:rFonts w:ascii="Times New Roman" w:hAnsi="Times New Roman" w:cs="Times New Roman"/>
          <w:color w:val="FF0000"/>
          <w:sz w:val="24"/>
          <w:szCs w:val="24"/>
          <w:u w:val="single"/>
          <w:shd w:val="clear" w:color="auto" w:fill="FFFFFF"/>
        </w:rPr>
        <w:t>.</w:t>
      </w:r>
    </w:p>
    <w:p w:rsidR="006E5D75" w:rsidRDefault="006E5D75" w:rsidP="006E5D75">
      <w:pPr>
        <w:pStyle w:val="NormalWeb"/>
        <w:spacing w:after="420"/>
        <w:jc w:val="both"/>
        <w:textAlignment w:val="baseline"/>
      </w:pPr>
      <w:r>
        <w:t xml:space="preserve">- </w:t>
      </w:r>
      <w:r w:rsidRPr="00775B06">
        <w:rPr>
          <w:u w:val="single"/>
        </w:rPr>
        <w:t>Los límites de la política monetaria extrema en épocas del COVID</w:t>
      </w:r>
      <w:r>
        <w:t xml:space="preserve"> (Project Syndicate - </w:t>
      </w:r>
      <w:r w:rsidRPr="00775B06">
        <w:rPr>
          <w:b/>
        </w:rPr>
        <w:t>29/5/20</w:t>
      </w:r>
      <w:r>
        <w:t>)</w:t>
      </w:r>
    </w:p>
    <w:p w:rsidR="006E5D75" w:rsidRPr="00BF6483" w:rsidRDefault="006E5D75" w:rsidP="006E5D75">
      <w:pPr>
        <w:pStyle w:val="NormalWeb"/>
        <w:spacing w:after="420"/>
        <w:jc w:val="both"/>
        <w:textAlignment w:val="baseline"/>
        <w:rPr>
          <w:color w:val="FF0000"/>
          <w:u w:val="single"/>
        </w:rPr>
      </w:pPr>
      <w:r>
        <w:t xml:space="preserve">Londres.- </w:t>
      </w:r>
      <w:r w:rsidRPr="00BF6483">
        <w:rPr>
          <w:color w:val="FF0000"/>
          <w:u w:val="single"/>
        </w:rPr>
        <w:t>En este momento en que la producción ha colapsado como resultado de la pandemia del COVID-19, muchos se preguntan hasta dónde se puede estirar la política monetaria para respaldar la economía. Para la Reserva Federal de Estados Unidos, las tasas de interés negativas parecen representar un límite efectivo, no porque una política así no sea técnicamente posible, sino porque sería políticamente inaceptable. Sin embargo, para el Banco Central Europeo, el Banco de Inglaterra y el Banco de Japón, parece no existir ningún límite.</w:t>
      </w:r>
    </w:p>
    <w:p w:rsidR="006E5D75" w:rsidRPr="00BF6483" w:rsidRDefault="006E5D75" w:rsidP="006E5D75">
      <w:pPr>
        <w:pStyle w:val="NormalWeb"/>
        <w:spacing w:after="420"/>
        <w:jc w:val="both"/>
        <w:textAlignment w:val="baseline"/>
        <w:rPr>
          <w:u w:val="single"/>
        </w:rPr>
      </w:pPr>
      <w:r w:rsidRPr="00BF6483">
        <w:rPr>
          <w:u w:val="single"/>
        </w:rPr>
        <w:t>El BCE ha recortado las tasas y las ha llevado a territorio negativo, y se dice que el gobernador del Banco de Inglaterra, Andrew Bailey, está “analizando muy detenidamente” esa opción para el Reino Unido. De la misma manera, el gobernador del Banco de Japón, Haruhiko Kuroda, a la vez que considera que la actual combinación de políticas del Banco de Japón es apropiada para las circunstancias actuales, no ha descartado una mayor flexibilización monetaria u otro incremento en las compras de activos.</w:t>
      </w:r>
    </w:p>
    <w:p w:rsidR="006E5D75" w:rsidRPr="00BF6483" w:rsidRDefault="006E5D75" w:rsidP="006E5D75">
      <w:pPr>
        <w:pStyle w:val="NormalWeb"/>
        <w:spacing w:after="420"/>
        <w:jc w:val="both"/>
        <w:textAlignment w:val="baseline"/>
        <w:rPr>
          <w:u w:val="single"/>
        </w:rPr>
      </w:pPr>
      <w:r>
        <w:t xml:space="preserve">El interrogante es si tiene sentido seguir transitando el camino de la política monetaria extrema. La famosa promesa del ex presidente del BCE Mario Draghi de hacer “lo que sea necesario” para respaldar al euro se ha vuelto el mantra para todos los responsables de políticas frente a la crisis actual. ¿Pero expandir la política fiscal no sería una mejor manera de cumplir con ese compromiso? </w:t>
      </w:r>
      <w:r w:rsidRPr="00BF6483">
        <w:rPr>
          <w:u w:val="single"/>
        </w:rPr>
        <w:t xml:space="preserve">Para parafrasear al presidente de la Fed, Jerome Powell, los bancos centrales tienen poder </w:t>
      </w:r>
      <w:r>
        <w:rPr>
          <w:u w:val="single"/>
        </w:rPr>
        <w:t>de préstamo, no poder de gasto -</w:t>
      </w:r>
      <w:r w:rsidRPr="00BF6483">
        <w:rPr>
          <w:u w:val="single"/>
        </w:rPr>
        <w:t>y gasto es lo que se necesita.</w:t>
      </w:r>
    </w:p>
    <w:p w:rsidR="006E5D75" w:rsidRDefault="006E5D75" w:rsidP="006E5D75">
      <w:pPr>
        <w:pStyle w:val="NormalWeb"/>
        <w:spacing w:after="420"/>
        <w:jc w:val="both"/>
        <w:textAlignment w:val="baseline"/>
      </w:pPr>
      <w:r>
        <w:t xml:space="preserve">En la crisis actual, es imperativo que el dinero llegue a quienes más lo necesitan, lo más rápido posible. </w:t>
      </w:r>
      <w:r w:rsidRPr="00BF6483">
        <w:rPr>
          <w:color w:val="FF0000"/>
          <w:u w:val="single"/>
        </w:rPr>
        <w:t>El desempleo está en u</w:t>
      </w:r>
      <w:r>
        <w:rPr>
          <w:color w:val="FF0000"/>
          <w:u w:val="single"/>
        </w:rPr>
        <w:t>n pico récord en muchos países -</w:t>
      </w:r>
      <w:r w:rsidRPr="00BF6483">
        <w:rPr>
          <w:color w:val="FF0000"/>
          <w:u w:val="single"/>
        </w:rPr>
        <w:t>más de 20 millones de personas en Estados Unidos perdieron su empleo sólo en abril, lo que llevó la tasa de desempleo de Estados Unidos al 14,7%, con la posibilidad de que alcance el 20-25% este año</w:t>
      </w:r>
      <w:r>
        <w:t xml:space="preserve">-. En estas condiciones, lo que </w:t>
      </w:r>
      <w:r w:rsidRPr="00BF6483">
        <w:rPr>
          <w:color w:val="FF0000"/>
          <w:u w:val="single"/>
        </w:rPr>
        <w:t>Estados Unidos y la mayoría de los países necesitan es un esfuerzo de política fiscal amplio y sostenido, en coordinación con la política monetaria</w:t>
      </w:r>
      <w:r>
        <w:t>. Sin eso, una recesión prolongada y un desempleo de largo plazo astronómico se volverán mucho más factibles.</w:t>
      </w:r>
    </w:p>
    <w:p w:rsidR="006E5D75" w:rsidRDefault="006E5D75" w:rsidP="006E5D75">
      <w:pPr>
        <w:pStyle w:val="NormalWeb"/>
        <w:spacing w:after="420"/>
        <w:jc w:val="both"/>
        <w:textAlignment w:val="baseline"/>
      </w:pPr>
      <w:r w:rsidRPr="00BF6483">
        <w:rPr>
          <w:color w:val="FF0000"/>
          <w:u w:val="single"/>
        </w:rPr>
        <w:t>Una expansión fiscal debería tener dos objetivos principales. Primero, debe ayudar a los individuos, a los hogares y a las empresas a capear la crisis</w:t>
      </w:r>
      <w:r>
        <w:t xml:space="preserve">. En este sentido, las medidas de política fiscal adoptadas en Estados Unidos y otras economías avanzadas han dado en la tecla. </w:t>
      </w:r>
      <w:r w:rsidRPr="00BF6483">
        <w:rPr>
          <w:b/>
          <w:color w:val="FF0000"/>
          <w:u w:val="single"/>
        </w:rPr>
        <w:t>A fines de marzo, el Congreso de Estados Unidos aprobó un paquete de estímulo de 2 billones de dólares para apoyar a los hogares, las empresas y los proveedores de atención sanitaria, y los demócratas en la Cámara de Representantes acaban de sancionar otro paquete que propone 3 billones de dólares de gasto adicional</w:t>
      </w:r>
      <w:r>
        <w:t>.</w:t>
      </w:r>
    </w:p>
    <w:p w:rsidR="006E5D75" w:rsidRPr="00BF6483" w:rsidRDefault="006E5D75" w:rsidP="006E5D75">
      <w:pPr>
        <w:pStyle w:val="NormalWeb"/>
        <w:spacing w:after="420"/>
        <w:jc w:val="both"/>
        <w:textAlignment w:val="baseline"/>
        <w:rPr>
          <w:b/>
          <w:color w:val="FF0000"/>
          <w:u w:val="single"/>
        </w:rPr>
      </w:pPr>
      <w:r w:rsidRPr="00BF6483">
        <w:rPr>
          <w:b/>
          <w:color w:val="FF0000"/>
          <w:u w:val="single"/>
        </w:rPr>
        <w:t>Mientras tanto, en la Unión Europea, se han suspendido las reglas presupuestarias, lo que les permite a los gobiernos de los estados miembro implementar medidas fiscales discrecionales más ambiciosas, desde incrementos del gasto y alivio fiscal hasta ayudas salariales y subsidios para pequeñas y medianas empresas.</w:t>
      </w:r>
    </w:p>
    <w:p w:rsidR="006E5D75" w:rsidRPr="00BF6483" w:rsidRDefault="006E5D75" w:rsidP="006E5D75">
      <w:pPr>
        <w:pStyle w:val="NormalWeb"/>
        <w:spacing w:after="420"/>
        <w:jc w:val="both"/>
        <w:textAlignment w:val="baseline"/>
        <w:rPr>
          <w:u w:val="single"/>
        </w:rPr>
      </w:pPr>
      <w:r w:rsidRPr="00BF6483">
        <w:rPr>
          <w:color w:val="FF0000"/>
          <w:u w:val="single"/>
        </w:rPr>
        <w:lastRenderedPageBreak/>
        <w:t>El segundo objetivo de expansión fiscal es impulsar la recuperación económica respaldando la demanda doméstica</w:t>
      </w:r>
      <w:r>
        <w:t xml:space="preserve">. En este punto, desafortunadamente, las políticas propuestas han sido insuficientes, lo que hizo </w:t>
      </w:r>
      <w:r w:rsidRPr="00BF6483">
        <w:rPr>
          <w:u w:val="single"/>
        </w:rPr>
        <w:t>aumentar el riesgo de que repitamos el error cometido después de la crisis financiera global de 2008, cuando se retiró el estímulo fiscal demasiado pronto.</w:t>
      </w:r>
    </w:p>
    <w:p w:rsidR="006E5D75" w:rsidRPr="00BF6483" w:rsidRDefault="006E5D75" w:rsidP="006E5D75">
      <w:pPr>
        <w:pStyle w:val="NormalWeb"/>
        <w:spacing w:after="420"/>
        <w:jc w:val="both"/>
        <w:textAlignment w:val="baseline"/>
        <w:rPr>
          <w:u w:val="single"/>
        </w:rPr>
      </w:pPr>
      <w:r w:rsidRPr="00BF6483">
        <w:rPr>
          <w:u w:val="single"/>
        </w:rPr>
        <w:t>En aquella ocasión, depender de la política fiscal para estimular la demanda se declaró políticamente inviable.</w:t>
      </w:r>
      <w:r>
        <w:t xml:space="preserve"> Si bien la crisis se consideraba lo suficientemente grande como para garantizar políticas monetarias excepcionalmente laxas, </w:t>
      </w:r>
      <w:r w:rsidRPr="00BF6483">
        <w:rPr>
          <w:u w:val="single"/>
        </w:rPr>
        <w:t>el establishment político en Estados Unidos, Gran Bretaña y gran parte de Europa se abroqueló en torno a la austeridad, asfixiando la recuperación desde el arranque y sentando las bases para una creciente desigualdad y descontento social.</w:t>
      </w:r>
    </w:p>
    <w:p w:rsidR="006E5D75" w:rsidRPr="00BF6483" w:rsidRDefault="006E5D75" w:rsidP="006E5D75">
      <w:pPr>
        <w:pStyle w:val="NormalWeb"/>
        <w:spacing w:after="420"/>
        <w:jc w:val="both"/>
        <w:textAlignment w:val="baseline"/>
        <w:rPr>
          <w:color w:val="FF0000"/>
          <w:u w:val="single"/>
        </w:rPr>
      </w:pPr>
      <w:r w:rsidRPr="00BF6483">
        <w:rPr>
          <w:color w:val="FF0000"/>
          <w:u w:val="single"/>
        </w:rPr>
        <w:t>Esta vez, los principales bancos centrales han venido exigiendo discretamente un “respaldo fiscal adicional” para “evitar un perjuicio económico de largo plazo” y generar una “recuperación más sólida”. Ese respaldo también es necesario para aliviar la presión sobre los bancos centrales. Mientras tanto, existen buenos motivos para no adoptar el camino de una política monetaria más extrema.</w:t>
      </w:r>
    </w:p>
    <w:p w:rsidR="006E5D75" w:rsidRPr="00BF6483" w:rsidRDefault="006E5D75" w:rsidP="006E5D75">
      <w:pPr>
        <w:pStyle w:val="NormalWeb"/>
        <w:spacing w:after="420"/>
        <w:jc w:val="both"/>
        <w:textAlignment w:val="baseline"/>
        <w:rPr>
          <w:color w:val="FF0000"/>
          <w:u w:val="single"/>
        </w:rPr>
      </w:pPr>
      <w:r w:rsidRPr="00BF6483">
        <w:rPr>
          <w:color w:val="FF0000"/>
          <w:u w:val="single"/>
        </w:rPr>
        <w:t>Por empezar, las políticas monetarias extremas tienden a limitar el alcance de la futura señalización de políticas y a reducir la efectividad de las tasas de interés que, en condiciones normales, son herramientas poderosas para influir en la producción y el empleo. Segundo, podrían exacerbar las vulnerabilidades previas a la pandemia que ya amenazaban a la economía mundial, sobre todo la acumulación de deuda, la mala asignación del crédito y el exceso de liquidez en el sector corporativo (donde son muchas las empresas que tienen balances problemáticos).</w:t>
      </w:r>
    </w:p>
    <w:p w:rsidR="006E5D75" w:rsidRDefault="006E5D75" w:rsidP="006E5D75">
      <w:pPr>
        <w:pStyle w:val="NormalWeb"/>
        <w:spacing w:after="420"/>
        <w:jc w:val="both"/>
        <w:textAlignment w:val="baseline"/>
      </w:pPr>
      <w:r w:rsidRPr="003874BA">
        <w:rPr>
          <w:color w:val="FF0000"/>
          <w:u w:val="single"/>
        </w:rPr>
        <w:t>Estas preocupaciones nos llevan al tercer punto: la mayor flexibilización de las condiciones de crédito y la expansión de los programas de crédito con respaldo público podrían endeudar más a empresas que no están en condiciones de convertir la deuda en valor. Las empresas “zombi” se mantendrían artificialmente con vida</w:t>
      </w:r>
      <w:r>
        <w:t xml:space="preserve">. </w:t>
      </w:r>
      <w:r w:rsidRPr="003874BA">
        <w:rPr>
          <w:color w:val="FF0000"/>
          <w:u w:val="single"/>
        </w:rPr>
        <w:t>Aún si estas medidas preservaran los empleos por ahora, eso no significa que sean el uso más efectivo de los recursos financieros.</w:t>
      </w:r>
      <w:r>
        <w:t>La “década perdida” de Japón debería servir como una advertencia. Cuanto más avancen a los tumbos las empresas zombi, mayores serán las pérdidas cuando terminen colapsando.</w:t>
      </w:r>
    </w:p>
    <w:p w:rsidR="006E5D75" w:rsidRPr="003874BA" w:rsidRDefault="006E5D75" w:rsidP="006E5D75">
      <w:pPr>
        <w:pStyle w:val="NormalWeb"/>
        <w:spacing w:after="420"/>
        <w:jc w:val="both"/>
        <w:textAlignment w:val="baseline"/>
        <w:rPr>
          <w:b/>
          <w:color w:val="FF0000"/>
          <w:u w:val="single"/>
        </w:rPr>
      </w:pPr>
      <w:r w:rsidRPr="003874BA">
        <w:rPr>
          <w:b/>
          <w:color w:val="FF0000"/>
          <w:u w:val="single"/>
        </w:rPr>
        <w:t>Finalmente, depender de la política monetaria cuando la política fiscal sería más apropiada amenaza con reforzar la preferencia excesiva de los inversores por la liquidez, profundizando así la trampa de liquidez. Está de más decir que las políticas monetarias extremas pueden generar consecuencias extremas e inesperadas. Aunque la política monetaria no convencional se ha vuelto la norma, todavía no estamos del todo seguros de cómo funciona o de cómo afecta las expectativas y el comportamiento de la gente.</w:t>
      </w:r>
    </w:p>
    <w:p w:rsidR="006E5D75" w:rsidRDefault="006E5D75" w:rsidP="006E5D75">
      <w:pPr>
        <w:pStyle w:val="NormalWeb"/>
        <w:spacing w:after="420"/>
        <w:jc w:val="both"/>
        <w:textAlignment w:val="baseline"/>
      </w:pPr>
      <w:r w:rsidRPr="003874BA">
        <w:rPr>
          <w:u w:val="single"/>
        </w:rPr>
        <w:t>Sin duda, si el alcance de la política monetaria es limitado, el espacio para la política fiscal también es estrecho</w:t>
      </w:r>
      <w:r>
        <w:t>. Pero la emergencia actual y la amenaza de una recesión profunda (o inclusive de una depresión) indudablemente exigen políticas fiscales audaces y “no convencionales” respaldadas con otras herramientas, como el fondo de recuperación europeo que propusieron recientemente Francia y Alemania, e instrumentos de mercados de capital innovadores como bonos perpetuos, que ya han sido propuestos para la UE.</w:t>
      </w:r>
    </w:p>
    <w:p w:rsidR="006E5D75" w:rsidRPr="003874BA" w:rsidRDefault="006E5D75" w:rsidP="006E5D75">
      <w:pPr>
        <w:pStyle w:val="NormalWeb"/>
        <w:spacing w:after="420"/>
        <w:jc w:val="both"/>
        <w:textAlignment w:val="baseline"/>
        <w:rPr>
          <w:color w:val="FF0000"/>
          <w:u w:val="single"/>
          <w:lang w:val="en-US"/>
        </w:rPr>
      </w:pPr>
      <w:r w:rsidRPr="003874BA">
        <w:rPr>
          <w:color w:val="FF0000"/>
          <w:u w:val="single"/>
        </w:rPr>
        <w:lastRenderedPageBreak/>
        <w:t xml:space="preserve">Los tiempos excepcionales exigen medidas excepcionales. Pero debemos evitar repetir el error cometido en 2010, cuando los gobiernos apretaron los frenos de la política fiscal y mantuvieron el motor de la política monetaria a toda marcha. Ahora más que nunca, es imperativo impedir que las desigualdades existentes sigan profundizándose. </w:t>
      </w:r>
      <w:r>
        <w:rPr>
          <w:color w:val="FF0000"/>
          <w:u w:val="single"/>
          <w:lang w:val="en-US"/>
        </w:rPr>
        <w:t>So</w:t>
      </w:r>
      <w:r w:rsidRPr="003874BA">
        <w:rPr>
          <w:color w:val="FF0000"/>
          <w:u w:val="single"/>
          <w:lang w:val="en-US"/>
        </w:rPr>
        <w:t xml:space="preserve">lo la </w:t>
      </w:r>
      <w:r>
        <w:rPr>
          <w:color w:val="FF0000"/>
          <w:u w:val="single"/>
          <w:lang w:val="en-US"/>
        </w:rPr>
        <w:t>política</w:t>
      </w:r>
      <w:r w:rsidRPr="003874BA">
        <w:rPr>
          <w:color w:val="FF0000"/>
          <w:u w:val="single"/>
          <w:lang w:val="en-US"/>
        </w:rPr>
        <w:t xml:space="preserve"> fiscal puede propiciar ese objetivo.</w:t>
      </w:r>
    </w:p>
    <w:p w:rsidR="006E5D75" w:rsidRDefault="006E5D75" w:rsidP="006E5D75">
      <w:pPr>
        <w:pStyle w:val="NormalWeb"/>
        <w:spacing w:after="420"/>
        <w:jc w:val="both"/>
        <w:textAlignment w:val="baseline"/>
        <w:rPr>
          <w:lang w:val="en-US"/>
        </w:rPr>
      </w:pPr>
      <w:r>
        <w:rPr>
          <w:lang w:val="en-US"/>
        </w:rPr>
        <w:t>(</w:t>
      </w:r>
      <w:r w:rsidRPr="00775B06">
        <w:rPr>
          <w:lang w:val="en-US"/>
        </w:rPr>
        <w:t>Paola Subacchi, Professor of International Economics at the University of London’s Queen Mary Global Policy Institute, is the author, most rece</w:t>
      </w:r>
      <w:r>
        <w:rPr>
          <w:lang w:val="en-US"/>
        </w:rPr>
        <w:t>ntly, of The Cost of Free Money)</w:t>
      </w:r>
    </w:p>
    <w:p w:rsidR="006E5D75" w:rsidRPr="0075751D" w:rsidRDefault="006E5D75" w:rsidP="006E5D75">
      <w:pPr>
        <w:rPr>
          <w:rFonts w:ascii="Times New Roman" w:hAnsi="Times New Roman" w:cs="Times New Roman"/>
          <w:sz w:val="24"/>
          <w:szCs w:val="24"/>
        </w:rPr>
      </w:pPr>
      <w:r>
        <w:rPr>
          <w:rFonts w:ascii="Times New Roman" w:hAnsi="Times New Roman" w:cs="Times New Roman"/>
          <w:sz w:val="24"/>
          <w:szCs w:val="24"/>
        </w:rPr>
        <w:t xml:space="preserve">- </w:t>
      </w:r>
      <w:r w:rsidRPr="0075751D">
        <w:rPr>
          <w:rFonts w:ascii="Times New Roman" w:hAnsi="Times New Roman" w:cs="Times New Roman"/>
          <w:sz w:val="24"/>
          <w:szCs w:val="24"/>
          <w:u w:val="single"/>
        </w:rPr>
        <w:t>La no hamiltoniana inercia de Europa</w:t>
      </w:r>
      <w:r>
        <w:rPr>
          <w:rFonts w:ascii="Times New Roman" w:hAnsi="Times New Roman" w:cs="Times New Roman"/>
          <w:sz w:val="24"/>
          <w:szCs w:val="24"/>
        </w:rPr>
        <w:t xml:space="preserve"> (Project Syndicate - </w:t>
      </w:r>
      <w:r w:rsidRPr="0075751D">
        <w:rPr>
          <w:rFonts w:ascii="Times New Roman" w:hAnsi="Times New Roman" w:cs="Times New Roman"/>
          <w:b/>
          <w:sz w:val="24"/>
          <w:szCs w:val="24"/>
        </w:rPr>
        <w:t>1/6/20</w:t>
      </w:r>
      <w:r>
        <w:rPr>
          <w:rFonts w:ascii="Times New Roman" w:hAnsi="Times New Roman" w:cs="Times New Roman"/>
          <w:sz w:val="24"/>
          <w:szCs w:val="24"/>
        </w:rPr>
        <w:t>)</w:t>
      </w:r>
    </w:p>
    <w:p w:rsidR="006E5D75" w:rsidRPr="00DE5DA7" w:rsidRDefault="006E5D75" w:rsidP="006E5D75">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Nueva York.-</w:t>
      </w:r>
      <w:r w:rsidRPr="00DE5DA7">
        <w:rPr>
          <w:rFonts w:ascii="Times New Roman" w:hAnsi="Times New Roman" w:cs="Times New Roman"/>
          <w:b/>
          <w:color w:val="FF0000"/>
          <w:sz w:val="24"/>
          <w:szCs w:val="24"/>
          <w:u w:val="single"/>
        </w:rPr>
        <w:t>La semana pasada, la Comisión Europea reveló un plan para ayudar a los países europeos a manejar el shock que (con una magnitud comparable a la Gran Depresión) ha generado la COVID‑19. Sobre la base de una reciente propuesta francoalemana, la Comisión propugna un fond</w:t>
      </w:r>
      <w:r>
        <w:rPr>
          <w:rFonts w:ascii="Times New Roman" w:hAnsi="Times New Roman" w:cs="Times New Roman"/>
          <w:b/>
          <w:color w:val="FF0000"/>
          <w:sz w:val="24"/>
          <w:szCs w:val="24"/>
          <w:u w:val="single"/>
        </w:rPr>
        <w:t>o de recuperación por 750.</w:t>
      </w:r>
      <w:r w:rsidRPr="00DE5DA7">
        <w:rPr>
          <w:rFonts w:ascii="Times New Roman" w:hAnsi="Times New Roman" w:cs="Times New Roman"/>
          <w:b/>
          <w:color w:val="FF0000"/>
          <w:sz w:val="24"/>
          <w:szCs w:val="24"/>
          <w:u w:val="single"/>
        </w:rPr>
        <w:t>000 millones de euros (834</w:t>
      </w:r>
      <w:r>
        <w:rPr>
          <w:rFonts w:ascii="Times New Roman" w:hAnsi="Times New Roman" w:cs="Times New Roman"/>
          <w:b/>
          <w:color w:val="FF0000"/>
          <w:sz w:val="24"/>
          <w:szCs w:val="24"/>
          <w:u w:val="single"/>
        </w:rPr>
        <w:t>.</w:t>
      </w:r>
      <w:r w:rsidRPr="00DE5DA7">
        <w:rPr>
          <w:rFonts w:ascii="Times New Roman" w:hAnsi="Times New Roman" w:cs="Times New Roman"/>
          <w:b/>
          <w:color w:val="FF0000"/>
          <w:sz w:val="24"/>
          <w:szCs w:val="24"/>
          <w:u w:val="single"/>
        </w:rPr>
        <w:t>000 millo</w:t>
      </w:r>
      <w:r>
        <w:rPr>
          <w:rFonts w:ascii="Times New Roman" w:hAnsi="Times New Roman" w:cs="Times New Roman"/>
          <w:b/>
          <w:color w:val="FF0000"/>
          <w:sz w:val="24"/>
          <w:szCs w:val="24"/>
          <w:u w:val="single"/>
        </w:rPr>
        <w:t>nes de dólares), de los que 500.</w:t>
      </w:r>
      <w:r w:rsidRPr="00DE5DA7">
        <w:rPr>
          <w:rFonts w:ascii="Times New Roman" w:hAnsi="Times New Roman" w:cs="Times New Roman"/>
          <w:b/>
          <w:color w:val="FF0000"/>
          <w:sz w:val="24"/>
          <w:szCs w:val="24"/>
          <w:u w:val="single"/>
        </w:rPr>
        <w:t xml:space="preserve">000 millones se distribuirán en la forma </w:t>
      </w:r>
      <w:r>
        <w:rPr>
          <w:rFonts w:ascii="Times New Roman" w:hAnsi="Times New Roman" w:cs="Times New Roman"/>
          <w:b/>
          <w:color w:val="FF0000"/>
          <w:sz w:val="24"/>
          <w:szCs w:val="24"/>
          <w:u w:val="single"/>
        </w:rPr>
        <w:t>de subvenciones y los otros 250.</w:t>
      </w:r>
      <w:r w:rsidRPr="00DE5DA7">
        <w:rPr>
          <w:rFonts w:ascii="Times New Roman" w:hAnsi="Times New Roman" w:cs="Times New Roman"/>
          <w:b/>
          <w:color w:val="FF0000"/>
          <w:sz w:val="24"/>
          <w:szCs w:val="24"/>
          <w:u w:val="single"/>
        </w:rPr>
        <w:t>000 millones como préstamos.</w:t>
      </w:r>
    </w:p>
    <w:p w:rsidR="006E5D75" w:rsidRPr="0075751D" w:rsidRDefault="006E5D75" w:rsidP="006E5D75">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El dinero distribuido co</w:t>
      </w:r>
      <w:r>
        <w:rPr>
          <w:rFonts w:ascii="Times New Roman" w:hAnsi="Times New Roman" w:cs="Times New Roman"/>
          <w:color w:val="FF0000"/>
          <w:sz w:val="24"/>
          <w:szCs w:val="24"/>
          <w:u w:val="single"/>
        </w:rPr>
        <w:t>nforme a este plan, denominado “Next Generation EU”</w:t>
      </w:r>
      <w:r w:rsidRPr="00DE5DA7">
        <w:rPr>
          <w:rFonts w:ascii="Times New Roman" w:hAnsi="Times New Roman" w:cs="Times New Roman"/>
          <w:color w:val="FF0000"/>
          <w:sz w:val="24"/>
          <w:szCs w:val="24"/>
          <w:u w:val="single"/>
        </w:rPr>
        <w:t>, fluirá a través de programas de la Unión Europea, con la mirada puesta en el cumplimiento de objetivos de la Comisión, incluida su agenda medioambiental y para la economía digital</w:t>
      </w:r>
      <w:r w:rsidRPr="0075751D">
        <w:rPr>
          <w:rFonts w:ascii="Times New Roman" w:hAnsi="Times New Roman" w:cs="Times New Roman"/>
          <w:sz w:val="24"/>
          <w:szCs w:val="24"/>
        </w:rPr>
        <w:t>. La Comisión buscará fondos en los mercados mediante la emisión de bonos a largo plazo, con el respaldo de un aumento sugerido de los recursos tributarios, por ejemplo impuestos a las emisiones de gases de efecto invernadero, los servicios digitales y otras ár</w:t>
      </w:r>
      <w:r>
        <w:rPr>
          <w:rFonts w:ascii="Times New Roman" w:hAnsi="Times New Roman" w:cs="Times New Roman"/>
          <w:sz w:val="24"/>
          <w:szCs w:val="24"/>
        </w:rPr>
        <w:t>eas del comercio supranacional.</w:t>
      </w:r>
    </w:p>
    <w:p w:rsidR="006E5D75" w:rsidRPr="00DE5DA7" w:rsidRDefault="006E5D75" w:rsidP="006E5D75">
      <w:pPr>
        <w:spacing w:line="240" w:lineRule="auto"/>
        <w:jc w:val="both"/>
        <w:rPr>
          <w:rFonts w:ascii="Times New Roman" w:hAnsi="Times New Roman" w:cs="Times New Roman"/>
          <w:color w:val="FF0000"/>
          <w:sz w:val="24"/>
          <w:szCs w:val="24"/>
          <w:u w:val="single"/>
        </w:rPr>
      </w:pPr>
      <w:r w:rsidRPr="0075751D">
        <w:rPr>
          <w:rFonts w:ascii="Times New Roman" w:hAnsi="Times New Roman" w:cs="Times New Roman"/>
          <w:sz w:val="24"/>
          <w:szCs w:val="24"/>
        </w:rPr>
        <w:t xml:space="preserve">Aunque los autores estamos entre los pocos comentaristas que anticiparon que la UE iba a ofrecer un plan muy superior a las expectativas de la mayoría de los participantes del mercado y de los analistas, nos permitimos recomendar a las autoridades europeas mantener una mirada realista respecto de las posibilidades del momento. </w:t>
      </w:r>
      <w:r w:rsidRPr="00DE5DA7">
        <w:rPr>
          <w:rFonts w:ascii="Times New Roman" w:hAnsi="Times New Roman" w:cs="Times New Roman"/>
          <w:color w:val="FF0000"/>
          <w:sz w:val="24"/>
          <w:szCs w:val="24"/>
          <w:u w:val="single"/>
        </w:rPr>
        <w:t>Todavía es prematuro</w:t>
      </w:r>
      <w:r>
        <w:rPr>
          <w:rFonts w:ascii="Times New Roman" w:hAnsi="Times New Roman" w:cs="Times New Roman"/>
          <w:color w:val="FF0000"/>
          <w:sz w:val="24"/>
          <w:szCs w:val="24"/>
          <w:u w:val="single"/>
        </w:rPr>
        <w:t xml:space="preserve"> para celebrar el tan esperado “momento hamiltoniano”</w:t>
      </w:r>
      <w:r w:rsidRPr="00DE5DA7">
        <w:rPr>
          <w:rFonts w:ascii="Times New Roman" w:hAnsi="Times New Roman" w:cs="Times New Roman"/>
          <w:color w:val="FF0000"/>
          <w:sz w:val="24"/>
          <w:szCs w:val="24"/>
          <w:u w:val="single"/>
        </w:rPr>
        <w:t xml:space="preserve"> de la mutualización de deudas dentro de la UE.</w:t>
      </w:r>
    </w:p>
    <w:p w:rsidR="006E5D75" w:rsidRPr="00DE5DA7" w:rsidRDefault="006E5D75" w:rsidP="006E5D75">
      <w:pPr>
        <w:spacing w:line="240" w:lineRule="auto"/>
        <w:jc w:val="both"/>
        <w:rPr>
          <w:rFonts w:ascii="Times New Roman" w:hAnsi="Times New Roman" w:cs="Times New Roman"/>
          <w:sz w:val="24"/>
          <w:szCs w:val="24"/>
          <w:u w:val="single"/>
        </w:rPr>
      </w:pPr>
      <w:r w:rsidRPr="00DE5DA7">
        <w:rPr>
          <w:rFonts w:ascii="Times New Roman" w:hAnsi="Times New Roman" w:cs="Times New Roman"/>
          <w:sz w:val="24"/>
          <w:szCs w:val="24"/>
          <w:u w:val="single"/>
        </w:rPr>
        <w:t>Hoy la UE sigue siendo una unión de transferencias incompleta, en la que los recursos (humanos, físicos, financieros) van de la periferia al centro, es decir, al Reino Unido y Alemania</w:t>
      </w:r>
      <w:r w:rsidRPr="0075751D">
        <w:rPr>
          <w:rFonts w:ascii="Times New Roman" w:hAnsi="Times New Roman" w:cs="Times New Roman"/>
          <w:sz w:val="24"/>
          <w:szCs w:val="24"/>
        </w:rPr>
        <w:t xml:space="preserve">. Irónicamente, uno de estos polos de atracción (el RU) decidió abandonar el bloque, con el argumento aparente de cortar el ingreso de inmigrantes a su economía. </w:t>
      </w:r>
      <w:r w:rsidRPr="00DE5DA7">
        <w:rPr>
          <w:rFonts w:ascii="Times New Roman" w:hAnsi="Times New Roman" w:cs="Times New Roman"/>
          <w:sz w:val="24"/>
          <w:szCs w:val="24"/>
          <w:u w:val="single"/>
        </w:rPr>
        <w:t>Con el Brexit, que oficialmente tuvo lugar el 31 de enero, la UE ha comenzado un proceso literal de desintegración.</w:t>
      </w:r>
    </w:p>
    <w:p w:rsidR="006E5D75" w:rsidRPr="0075751D" w:rsidRDefault="006E5D75" w:rsidP="006E5D75">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Los optimistas creen que la salida del RU hará posible el surgimiento de una UE más cohesionada, pero es posible que se confíen demasiado en sus predicciones.</w:t>
      </w:r>
      <w:r w:rsidRPr="0075751D">
        <w:rPr>
          <w:rFonts w:ascii="Times New Roman" w:hAnsi="Times New Roman" w:cs="Times New Roman"/>
          <w:sz w:val="24"/>
          <w:szCs w:val="24"/>
        </w:rPr>
        <w:t>Al fin y al cabo, el RU no era tanto un obstáculo a la integración cuanto una excusa para que otros estados miembros reticentes evitaran un estrechamiento de vínculos. Por ejemplo, no fue el RU el que bloqueó el esquema europeo de seguros de depósitos, necesario para completar la unión bancaria de la eurozona: ese h</w:t>
      </w:r>
      <w:r>
        <w:rPr>
          <w:rFonts w:ascii="Times New Roman" w:hAnsi="Times New Roman" w:cs="Times New Roman"/>
          <w:sz w:val="24"/>
          <w:szCs w:val="24"/>
        </w:rPr>
        <w:t>onor le corresponde a Alemania.</w:t>
      </w:r>
    </w:p>
    <w:p w:rsidR="006E5D75" w:rsidRPr="00DE5DA7" w:rsidRDefault="006E5D75" w:rsidP="006E5D75">
      <w:pPr>
        <w:spacing w:line="240" w:lineRule="auto"/>
        <w:jc w:val="both"/>
        <w:rPr>
          <w:rFonts w:ascii="Times New Roman" w:hAnsi="Times New Roman" w:cs="Times New Roman"/>
          <w:color w:val="FF0000"/>
          <w:sz w:val="24"/>
          <w:szCs w:val="24"/>
          <w:u w:val="single"/>
        </w:rPr>
      </w:pPr>
      <w:r w:rsidRPr="00DE5DA7">
        <w:rPr>
          <w:rFonts w:ascii="Times New Roman" w:hAnsi="Times New Roman" w:cs="Times New Roman"/>
          <w:color w:val="FF0000"/>
          <w:sz w:val="24"/>
          <w:szCs w:val="24"/>
          <w:u w:val="single"/>
        </w:rPr>
        <w:t>Con el ascenso de partidos populistas en toda Europa, era bien sabido que la siguiente crisis importante sería una amenaza existencial a la UE. Este es el momento para que la UE demuestre que está a la altura del desafío de completar el proceso de integración. No hacerlo i</w:t>
      </w:r>
      <w:r>
        <w:rPr>
          <w:rFonts w:ascii="Times New Roman" w:hAnsi="Times New Roman" w:cs="Times New Roman"/>
          <w:color w:val="FF0000"/>
          <w:sz w:val="24"/>
          <w:szCs w:val="24"/>
          <w:u w:val="single"/>
        </w:rPr>
        <w:t>mplica riesgo de confrontar un “momento jeffersoniano”</w:t>
      </w:r>
      <w:r w:rsidRPr="00DE5DA7">
        <w:rPr>
          <w:rFonts w:ascii="Times New Roman" w:hAnsi="Times New Roman" w:cs="Times New Roman"/>
          <w:color w:val="FF0000"/>
          <w:sz w:val="24"/>
          <w:szCs w:val="24"/>
          <w:u w:val="single"/>
        </w:rPr>
        <w:t xml:space="preserve"> de retroceso a alguna forma de confederación con un grado de soberanía compartida limitado.</w:t>
      </w:r>
    </w:p>
    <w:p w:rsidR="006E5D75" w:rsidRPr="00DE5DA7" w:rsidRDefault="006E5D75" w:rsidP="006E5D75">
      <w:pPr>
        <w:spacing w:line="240" w:lineRule="auto"/>
        <w:jc w:val="both"/>
        <w:rPr>
          <w:rFonts w:ascii="Times New Roman" w:hAnsi="Times New Roman" w:cs="Times New Roman"/>
          <w:sz w:val="24"/>
          <w:szCs w:val="24"/>
          <w:u w:val="single"/>
        </w:rPr>
      </w:pPr>
      <w:r w:rsidRPr="0075751D">
        <w:rPr>
          <w:rFonts w:ascii="Times New Roman" w:hAnsi="Times New Roman" w:cs="Times New Roman"/>
          <w:sz w:val="24"/>
          <w:szCs w:val="24"/>
        </w:rPr>
        <w:lastRenderedPageBreak/>
        <w:t xml:space="preserve">Frente al abismo, Francia y Alemania idearon un plan para mitigar el efecto económico devastador de la pandemia. Pero más allá de los méritos reales de la propuesta, </w:t>
      </w:r>
      <w:r w:rsidRPr="00DE5DA7">
        <w:rPr>
          <w:rFonts w:ascii="Times New Roman" w:hAnsi="Times New Roman" w:cs="Times New Roman"/>
          <w:sz w:val="24"/>
          <w:szCs w:val="24"/>
          <w:u w:val="single"/>
        </w:rPr>
        <w:t>Alexander Hamilton tendría buenos motivos para no estar satisfecho. Para empezar, la emisión de bonos prevista no constituye una auténtica mutualización de</w:t>
      </w:r>
      <w:r>
        <w:rPr>
          <w:rFonts w:ascii="Times New Roman" w:hAnsi="Times New Roman" w:cs="Times New Roman"/>
          <w:sz w:val="24"/>
          <w:szCs w:val="24"/>
          <w:u w:val="single"/>
        </w:rPr>
        <w:t xml:space="preserve"> deudas, porque no incluye una “garantía solidaria”</w:t>
      </w:r>
      <w:r w:rsidRPr="00DE5DA7">
        <w:rPr>
          <w:rFonts w:ascii="Times New Roman" w:hAnsi="Times New Roman" w:cs="Times New Roman"/>
          <w:sz w:val="24"/>
          <w:szCs w:val="24"/>
          <w:u w:val="single"/>
        </w:rPr>
        <w:t>. La propuesta del financista George Soros de que la UE emita bonos perpetuos, o consols, puede atenuar este problema, pero no resolverlo. Y en cualquier caso, si los fondos no están disponibles cuando llegue el verano, tal vez ya sea demasiado tarde para países muy afectados como Italia, Grecia y España, a los que por si fuera poco les aguarda una temporada turística espantosa.</w:t>
      </w:r>
    </w:p>
    <w:p w:rsidR="006E5D75" w:rsidRPr="00DE5DA7" w:rsidRDefault="006E5D75" w:rsidP="006E5D75">
      <w:pPr>
        <w:spacing w:line="240" w:lineRule="auto"/>
        <w:jc w:val="both"/>
        <w:rPr>
          <w:rFonts w:ascii="Times New Roman" w:hAnsi="Times New Roman" w:cs="Times New Roman"/>
          <w:sz w:val="24"/>
          <w:szCs w:val="24"/>
          <w:u w:val="single"/>
        </w:rPr>
      </w:pPr>
      <w:r w:rsidRPr="00DE5DA7">
        <w:rPr>
          <w:rFonts w:ascii="Times New Roman" w:hAnsi="Times New Roman" w:cs="Times New Roman"/>
          <w:b/>
          <w:color w:val="FF0000"/>
          <w:sz w:val="24"/>
          <w:szCs w:val="24"/>
          <w:u w:val="single"/>
        </w:rPr>
        <w:t>Sobre t</w:t>
      </w:r>
      <w:r>
        <w:rPr>
          <w:rFonts w:ascii="Times New Roman" w:hAnsi="Times New Roman" w:cs="Times New Roman"/>
          <w:b/>
          <w:color w:val="FF0000"/>
          <w:sz w:val="24"/>
          <w:szCs w:val="24"/>
          <w:u w:val="single"/>
        </w:rPr>
        <w:t>odo, la desconfianza entre los “</w:t>
      </w:r>
      <w:r w:rsidRPr="00DE5DA7">
        <w:rPr>
          <w:rFonts w:ascii="Times New Roman" w:hAnsi="Times New Roman" w:cs="Times New Roman"/>
          <w:b/>
          <w:color w:val="FF0000"/>
          <w:sz w:val="24"/>
          <w:szCs w:val="24"/>
          <w:u w:val="single"/>
        </w:rPr>
        <w:t>cuatro</w:t>
      </w:r>
      <w:r>
        <w:rPr>
          <w:rFonts w:ascii="Times New Roman" w:hAnsi="Times New Roman" w:cs="Times New Roman"/>
          <w:b/>
          <w:color w:val="FF0000"/>
          <w:sz w:val="24"/>
          <w:szCs w:val="24"/>
          <w:u w:val="single"/>
        </w:rPr>
        <w:t xml:space="preserve"> frugales”</w:t>
      </w:r>
      <w:r w:rsidRPr="00DE5DA7">
        <w:rPr>
          <w:rFonts w:ascii="Times New Roman" w:hAnsi="Times New Roman" w:cs="Times New Roman"/>
          <w:b/>
          <w:color w:val="FF0000"/>
          <w:sz w:val="24"/>
          <w:szCs w:val="24"/>
          <w:u w:val="single"/>
        </w:rPr>
        <w:t xml:space="preserve"> de la UE (Austria, Dinamarca, Países B</w:t>
      </w:r>
      <w:r>
        <w:rPr>
          <w:rFonts w:ascii="Times New Roman" w:hAnsi="Times New Roman" w:cs="Times New Roman"/>
          <w:b/>
          <w:color w:val="FF0000"/>
          <w:sz w:val="24"/>
          <w:szCs w:val="24"/>
          <w:u w:val="single"/>
        </w:rPr>
        <w:t>ajos y Suecia) y los presuntos “pródigos”</w:t>
      </w:r>
      <w:r w:rsidRPr="00DE5DA7">
        <w:rPr>
          <w:rFonts w:ascii="Times New Roman" w:hAnsi="Times New Roman" w:cs="Times New Roman"/>
          <w:b/>
          <w:color w:val="FF0000"/>
          <w:sz w:val="24"/>
          <w:szCs w:val="24"/>
          <w:u w:val="single"/>
        </w:rPr>
        <w:t xml:space="preserve"> del sur (entre ellos Italia, España y Grecia) sigue siendo tan profunda que es francamente difícil imaginar que se llegue a una solución duradera</w:t>
      </w:r>
      <w:r w:rsidRPr="0075751D">
        <w:rPr>
          <w:rFonts w:ascii="Times New Roman" w:hAnsi="Times New Roman" w:cs="Times New Roman"/>
          <w:sz w:val="24"/>
          <w:szCs w:val="24"/>
        </w:rPr>
        <w:t xml:space="preserve">. </w:t>
      </w:r>
      <w:r w:rsidRPr="00DE5DA7">
        <w:rPr>
          <w:rFonts w:ascii="Times New Roman" w:hAnsi="Times New Roman" w:cs="Times New Roman"/>
          <w:sz w:val="24"/>
          <w:szCs w:val="24"/>
          <w:u w:val="single"/>
        </w:rPr>
        <w:t>Un reciente fallo del tribunal constitucional de Alemania envió a las instituciones europeas una fuerte señal de lo que es posible esperar. Aunque al final el Tribunal Europeo de Justicia anulará la decisión y el Banco Central Europeo la ignorará, lo cierto es que hay límites políticos a las acciones del BCE.</w:t>
      </w:r>
    </w:p>
    <w:p w:rsidR="006E5D75" w:rsidRPr="0075751D" w:rsidRDefault="006E5D75" w:rsidP="006E5D75">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Alemania tendrá que elegir entre ofrecer un mecanismo de apoyo fiscal paneuropeo parcial con dinero de sus contribuyentes o permitir que las instituciones europeas provean apoyo mutuo suficiente a toda la unión monetaria (comenzando por el presupuesto de la eurozona). Si la propuesta de fondo europeo de recuperación fuera capaz de revitalizar el presupuesto de la eurozona (en particular la nunca acordada función de estabilización) ya sería un avance importante</w:t>
      </w:r>
      <w:r>
        <w:rPr>
          <w:rFonts w:ascii="Times New Roman" w:hAnsi="Times New Roman" w:cs="Times New Roman"/>
          <w:sz w:val="24"/>
          <w:szCs w:val="24"/>
        </w:rPr>
        <w:t>.</w:t>
      </w:r>
    </w:p>
    <w:p w:rsidR="006E5D75" w:rsidRPr="0075751D" w:rsidRDefault="006E5D75" w:rsidP="006E5D75">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Es de suponer que Alemania suscribió el plan conjunto con Francia porque se di</w:t>
      </w:r>
      <w:r>
        <w:rPr>
          <w:rFonts w:ascii="Times New Roman" w:hAnsi="Times New Roman" w:cs="Times New Roman"/>
          <w:color w:val="FF0000"/>
          <w:sz w:val="24"/>
          <w:szCs w:val="24"/>
          <w:u w:val="single"/>
        </w:rPr>
        <w:t>o cuenta de que no puede decir “nein”</w:t>
      </w:r>
      <w:r w:rsidRPr="00DE5DA7">
        <w:rPr>
          <w:rFonts w:ascii="Times New Roman" w:hAnsi="Times New Roman" w:cs="Times New Roman"/>
          <w:color w:val="FF0000"/>
          <w:sz w:val="24"/>
          <w:szCs w:val="24"/>
          <w:u w:val="single"/>
        </w:rPr>
        <w:t xml:space="preserve"> a un mecanismo de apoyo monetario y a un mecanismo de apoyo fiscal (es decir, la naciente unión fiscal y de transferencias). Ambos son necesarios para que el euro sobreviva.</w:t>
      </w:r>
      <w:r w:rsidRPr="0075751D">
        <w:rPr>
          <w:rFonts w:ascii="Times New Roman" w:hAnsi="Times New Roman" w:cs="Times New Roman"/>
          <w:sz w:val="24"/>
          <w:szCs w:val="24"/>
        </w:rPr>
        <w:t>Pero incluso tras la implementación de esos mecanismos, quedarían cuestiones críticas sin resolver, en particular la sostenibilidad de la creciente deuda pública italiana. Ahora que su ventaja comparativa en turismo ha quedado tan debilitada, Italia tendrá que hacer esfuerzos enormes para restaurar el c</w:t>
      </w:r>
      <w:r>
        <w:rPr>
          <w:rFonts w:ascii="Times New Roman" w:hAnsi="Times New Roman" w:cs="Times New Roman"/>
          <w:sz w:val="24"/>
          <w:szCs w:val="24"/>
        </w:rPr>
        <w:t>recimiento y la competitividad.</w:t>
      </w:r>
    </w:p>
    <w:p w:rsidR="006E5D75" w:rsidRPr="00DE5DA7" w:rsidRDefault="006E5D75" w:rsidP="006E5D75">
      <w:pPr>
        <w:spacing w:line="240" w:lineRule="auto"/>
        <w:jc w:val="both"/>
        <w:rPr>
          <w:rFonts w:ascii="Times New Roman" w:hAnsi="Times New Roman" w:cs="Times New Roman"/>
          <w:b/>
          <w:color w:val="FF0000"/>
          <w:sz w:val="24"/>
          <w:szCs w:val="24"/>
          <w:u w:val="single"/>
        </w:rPr>
      </w:pPr>
      <w:r w:rsidRPr="00DE5DA7">
        <w:rPr>
          <w:rFonts w:ascii="Times New Roman" w:hAnsi="Times New Roman" w:cs="Times New Roman"/>
          <w:b/>
          <w:color w:val="FF0000"/>
          <w:sz w:val="24"/>
          <w:szCs w:val="24"/>
          <w:u w:val="single"/>
        </w:rPr>
        <w:t>Aunque en general cualquier respuesta paneuropea a la crisis de la COVID‑19 es un paso en la dirección correcta (y sin duda mejor que no hacer nada), hay pocos motivos para esperar que la UE abandone su larga tradición de postergar la solución real de los problemas. Si la dirigencia europea puede evitar un frac</w:t>
      </w:r>
      <w:r>
        <w:rPr>
          <w:rFonts w:ascii="Times New Roman" w:hAnsi="Times New Roman" w:cs="Times New Roman"/>
          <w:b/>
          <w:color w:val="FF0000"/>
          <w:sz w:val="24"/>
          <w:szCs w:val="24"/>
          <w:u w:val="single"/>
        </w:rPr>
        <w:t>aso inmediato de los proyectos “UE” y “euro”</w:t>
      </w:r>
      <w:r w:rsidRPr="00DE5DA7">
        <w:rPr>
          <w:rFonts w:ascii="Times New Roman" w:hAnsi="Times New Roman" w:cs="Times New Roman"/>
          <w:b/>
          <w:color w:val="FF0000"/>
          <w:sz w:val="24"/>
          <w:szCs w:val="24"/>
          <w:u w:val="single"/>
        </w:rPr>
        <w:t>, al menos habrá alejado los enormes costos económicos, sociales y políticos derivados de seguir por el camino de la desintegración acelerada. Pero si el resultado neto de la respuesta europea es la continuidad de la tradicional inercia, Europa quedará mal preparada para el mundo post‑COVID, donde otras grandes economías continentales (Estados Unidos, China y la India) tomarán las decisiones geoestratégicas y económicas más importantes.</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5751D">
        <w:rPr>
          <w:rFonts w:ascii="Times New Roman" w:hAnsi="Times New Roman" w:cs="Times New Roman"/>
          <w:sz w:val="24"/>
          <w:szCs w:val="24"/>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Federal Reserve, and the World Bank. His</w:t>
      </w:r>
      <w:r>
        <w:rPr>
          <w:rFonts w:ascii="Times New Roman" w:hAnsi="Times New Roman" w:cs="Times New Roman"/>
          <w:sz w:val="24"/>
          <w:szCs w:val="24"/>
          <w:lang w:val="en-US"/>
        </w:rPr>
        <w:t xml:space="preserve"> website is NourielRoubini.com. </w:t>
      </w:r>
      <w:r w:rsidRPr="0075751D">
        <w:rPr>
          <w:rFonts w:ascii="Times New Roman" w:hAnsi="Times New Roman" w:cs="Times New Roman"/>
          <w:sz w:val="24"/>
          <w:szCs w:val="24"/>
          <w:lang w:val="en-US"/>
        </w:rPr>
        <w:t xml:space="preserve">Brunello Rosa, CEO and Head of Research at Rosa &amp; Roubini Associates, is a visiting </w:t>
      </w:r>
      <w:r>
        <w:rPr>
          <w:rFonts w:ascii="Times New Roman" w:hAnsi="Times New Roman" w:cs="Times New Roman"/>
          <w:sz w:val="24"/>
          <w:szCs w:val="24"/>
          <w:lang w:val="en-US"/>
        </w:rPr>
        <w:t>professor at Bocconi University)</w:t>
      </w:r>
    </w:p>
    <w:p w:rsidR="006E5D75" w:rsidRDefault="006E5D75" w:rsidP="006E5D75">
      <w:pPr>
        <w:pStyle w:val="NormalWeb"/>
        <w:spacing w:after="420"/>
        <w:jc w:val="both"/>
        <w:textAlignment w:val="baseline"/>
      </w:pPr>
      <w:r>
        <w:lastRenderedPageBreak/>
        <w:t xml:space="preserve">- </w:t>
      </w:r>
      <w:r w:rsidRPr="003B2FEC">
        <w:rPr>
          <w:u w:val="single"/>
        </w:rPr>
        <w:t>La pandemia del coronavirus costará a EEUU casi 8 billones de dólares y hasta una década de recuperación</w:t>
      </w:r>
      <w:r>
        <w:t xml:space="preserve"> (El Economista - </w:t>
      </w:r>
      <w:r w:rsidRPr="003B2FEC">
        <w:rPr>
          <w:b/>
        </w:rPr>
        <w:t>2/6/20</w:t>
      </w:r>
      <w:r>
        <w:t>)</w:t>
      </w:r>
    </w:p>
    <w:p w:rsidR="006E5D75" w:rsidRDefault="006E5D75" w:rsidP="006E5D75">
      <w:pPr>
        <w:pStyle w:val="NormalWeb"/>
        <w:spacing w:after="420"/>
        <w:jc w:val="both"/>
        <w:textAlignment w:val="baseline"/>
      </w:pPr>
      <w:r>
        <w:t>(Por José Luis de Haro)</w:t>
      </w:r>
    </w:p>
    <w:p w:rsidR="006E5D75" w:rsidRPr="00DC51D8" w:rsidRDefault="006E5D75" w:rsidP="006E5D75">
      <w:pPr>
        <w:pStyle w:val="NormalWeb"/>
        <w:spacing w:after="420"/>
        <w:jc w:val="both"/>
        <w:textAlignment w:val="baseline"/>
        <w:rPr>
          <w:b/>
          <w:color w:val="FF0000"/>
          <w:u w:val="single"/>
        </w:rPr>
      </w:pPr>
      <w:r w:rsidRPr="00DC51D8">
        <w:rPr>
          <w:b/>
          <w:color w:val="FF0000"/>
          <w:u w:val="single"/>
        </w:rPr>
        <w:t>La Oficina Presupuestaria del Congreso (CBO, por sus siglas en inglés) estima que la pandemia del Covid-19 costará a la economía de Estados Unidos 7,9 billones de dólares en la próxima década incluso después de los distintos planes de estímulos ya aprobados por el Congreso y la Casa Blanca.</w:t>
      </w:r>
    </w:p>
    <w:p w:rsidR="006E5D75" w:rsidRDefault="006E5D75" w:rsidP="006E5D75">
      <w:pPr>
        <w:pStyle w:val="NormalWeb"/>
        <w:spacing w:after="420"/>
        <w:jc w:val="both"/>
        <w:textAlignment w:val="baseline"/>
      </w:pPr>
      <w:r w:rsidRPr="00DC51D8">
        <w:rPr>
          <w:color w:val="FF0000"/>
          <w:u w:val="single"/>
        </w:rPr>
        <w:t>De esta forma, hasta el año fiscal 2030, el virus reducirá la producción económica real (el PIB nominal ajustado a la inflación) en un 3% con respecto a las estimaciones económicas iniciales publicadas en enero antes de la pandemia</w:t>
      </w:r>
      <w:r>
        <w:t>. En estos momentos, el país cuenta con 1,79 millones de infecciones que han provocado 104.484 muertes. Aun así, sus 50 estados han reabierto ya en mayor o menor grado sus servicios no esenciales.</w:t>
      </w:r>
    </w:p>
    <w:p w:rsidR="006E5D75" w:rsidRPr="00DC51D8" w:rsidRDefault="006E5D75" w:rsidP="006E5D75">
      <w:pPr>
        <w:pStyle w:val="NormalWeb"/>
        <w:spacing w:after="420"/>
        <w:jc w:val="both"/>
        <w:textAlignment w:val="baseline"/>
        <w:rPr>
          <w:u w:val="single"/>
        </w:rPr>
      </w:pPr>
      <w:r>
        <w:t xml:space="preserve">“Se espera que los cierres de negocios y las medidas de distanciamiento social reduzcan el gasto de los consumidores, mientras que la reciente caída en los precios de la energía reducirá severamente la inversión de EEUU en el sector energético”, señaló el director de la CBO, Phillip L. Swagel, en una respuesta escrita al senador demócrata de Nueva York, Chuck Schumer, y su homólogo en Vermont, Bernie Sanders, quienes habían solicitado esta información. </w:t>
      </w:r>
      <w:r>
        <w:rPr>
          <w:u w:val="single"/>
        </w:rPr>
        <w:t>“</w:t>
      </w:r>
      <w:r w:rsidRPr="00DC51D8">
        <w:rPr>
          <w:u w:val="single"/>
        </w:rPr>
        <w:t>La legislación reciente mitigará parcialmente el deterior</w:t>
      </w:r>
      <w:r>
        <w:rPr>
          <w:u w:val="single"/>
        </w:rPr>
        <w:t>o de las condiciones económicas”</w:t>
      </w:r>
      <w:r w:rsidRPr="00DC51D8">
        <w:rPr>
          <w:u w:val="single"/>
        </w:rPr>
        <w:t>, añadió Swagel en referencia a los estímulos aprobados hasta la fecha.</w:t>
      </w:r>
    </w:p>
    <w:p w:rsidR="006E5D75" w:rsidRPr="00BF6483" w:rsidRDefault="006E5D75" w:rsidP="006E5D75">
      <w:pPr>
        <w:pStyle w:val="NormalWeb"/>
        <w:spacing w:after="420"/>
        <w:jc w:val="both"/>
        <w:textAlignment w:val="baseline"/>
        <w:rPr>
          <w:b/>
          <w:color w:val="FF0000"/>
          <w:u w:val="single"/>
        </w:rPr>
      </w:pPr>
      <w:r w:rsidRPr="00BF6483">
        <w:rPr>
          <w:b/>
          <w:color w:val="FF0000"/>
          <w:u w:val="single"/>
        </w:rPr>
        <w:t>A finales de marzo, los legisladores ya aprobaron un gran paquete de 2,2 billones de dólares con el objetivo de amortiguar el golpe de la pandemia, tras haber pasado otras medidas previas, que incluyó pagos directos de hasta 1.200 dólares por individuo y el rescate a las aerolíneas. Posteriormente tuvieron que incrementar algunas de las partidas, como los préstamos a crédito perdido a las pequeñas y medianas empresas con el objetivo de proteger el mayor número de nóminas posible, elevando la factura total a casi 3 billones de dólares.</w:t>
      </w:r>
    </w:p>
    <w:p w:rsidR="006E5D75" w:rsidRPr="00BF6483" w:rsidRDefault="006E5D75" w:rsidP="006E5D75">
      <w:pPr>
        <w:pStyle w:val="NormalWeb"/>
        <w:spacing w:after="420"/>
        <w:jc w:val="both"/>
        <w:textAlignment w:val="baseline"/>
        <w:rPr>
          <w:b/>
          <w:color w:val="FF0000"/>
          <w:u w:val="single"/>
        </w:rPr>
      </w:pPr>
      <w:r w:rsidRPr="00BF6483">
        <w:rPr>
          <w:b/>
          <w:color w:val="FF0000"/>
          <w:u w:val="single"/>
        </w:rPr>
        <w:t>La Cámara de Representantes, en manos de los demócratas, ya dio luz verde el pasado mes a un proyecto de Ley que ampliaba los estímulos, incluyendo financiación para los gobiernos estatales y locales, por valor total de otros 3 billones de dólares. De todas formas, el Senado, controlado por los republicanos, continúa debatiendo la forma y el tamaño final que tendrá la próxima remesa de ayudas.</w:t>
      </w:r>
    </w:p>
    <w:p w:rsidR="006E5D75" w:rsidRDefault="006E5D75" w:rsidP="006E5D75">
      <w:pPr>
        <w:pStyle w:val="NormalWeb"/>
        <w:spacing w:after="420"/>
        <w:jc w:val="both"/>
        <w:textAlignment w:val="baseline"/>
      </w:pPr>
      <w:r>
        <w:t>“Para evitar el riesgo de otra Gran Depresión, el Senado debe actuar con un feroz sentido de urgencia para asegurarse de que todos en EEUU tengan los ingresos que necesitan para alimentar a sus familias y poner un techo sobre sus cabezas”, indicó Schumer a los senadores de la Cámara Alta.</w:t>
      </w:r>
    </w:p>
    <w:p w:rsidR="006E5D75" w:rsidRPr="00BF6483" w:rsidRDefault="006E5D75" w:rsidP="006E5D75">
      <w:pPr>
        <w:pStyle w:val="NormalWeb"/>
        <w:spacing w:after="420"/>
        <w:jc w:val="both"/>
        <w:textAlignment w:val="baseline"/>
        <w:rPr>
          <w:color w:val="FF0000"/>
          <w:u w:val="single"/>
        </w:rPr>
      </w:pPr>
      <w:r w:rsidRPr="00BF6483">
        <w:rPr>
          <w:color w:val="FF0000"/>
          <w:u w:val="single"/>
        </w:rPr>
        <w:t>De momento, el GDPNow que elabora la Reserva Federal de Atlanta estima que en el trimestre en curso, el PIB de EEUU podría contraerse un 52,8%, según su estimación más reciente, tras haber registrado un crecimiento negativo del 5%.</w:t>
      </w:r>
      <w:r>
        <w:t xml:space="preserve">El viernes se publicará el dato de empleo correspondiente al mes de mayo, </w:t>
      </w:r>
      <w:r w:rsidRPr="00BF6483">
        <w:rPr>
          <w:color w:val="FF0000"/>
          <w:u w:val="single"/>
        </w:rPr>
        <w:t>cuando se espera que la tasa de paro a este lado del Atlántico pudiera crecer hasta acercarse al 20%, su nivel más alto desde la Gran Depresión.</w:t>
      </w:r>
    </w:p>
    <w:p w:rsidR="006E5D75" w:rsidRPr="007E54A8"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E54A8">
        <w:rPr>
          <w:rFonts w:ascii="Times New Roman" w:hAnsi="Times New Roman" w:cs="Times New Roman"/>
          <w:sz w:val="24"/>
          <w:szCs w:val="24"/>
          <w:u w:val="single"/>
        </w:rPr>
        <w:t>Italia y España se llevan un tercio de las compras antipandemia de deuda soberana del BCE</w:t>
      </w:r>
      <w:r>
        <w:rPr>
          <w:rFonts w:ascii="Times New Roman" w:hAnsi="Times New Roman" w:cs="Times New Roman"/>
          <w:sz w:val="24"/>
          <w:szCs w:val="24"/>
        </w:rPr>
        <w:t xml:space="preserve"> (Cinco Días - </w:t>
      </w:r>
      <w:r w:rsidRPr="007E54A8">
        <w:rPr>
          <w:rFonts w:ascii="Times New Roman" w:hAnsi="Times New Roman" w:cs="Times New Roman"/>
          <w:b/>
          <w:sz w:val="24"/>
          <w:szCs w:val="24"/>
        </w:rPr>
        <w:t>3/6/20</w:t>
      </w:r>
      <w:r>
        <w:rPr>
          <w:rFonts w:ascii="Times New Roman" w:hAnsi="Times New Roman" w:cs="Times New Roman"/>
          <w:sz w:val="24"/>
          <w:szCs w:val="24"/>
        </w:rPr>
        <w:t>)</w:t>
      </w:r>
    </w:p>
    <w:p w:rsidR="006E5D75" w:rsidRPr="007E54A8" w:rsidRDefault="006E5D75" w:rsidP="006E5D75">
      <w:pPr>
        <w:spacing w:line="240" w:lineRule="auto"/>
        <w:jc w:val="both"/>
        <w:rPr>
          <w:rFonts w:ascii="Times New Roman" w:hAnsi="Times New Roman" w:cs="Times New Roman"/>
          <w:sz w:val="24"/>
          <w:szCs w:val="24"/>
        </w:rPr>
      </w:pPr>
      <w:r w:rsidRPr="007E54A8">
        <w:rPr>
          <w:rFonts w:ascii="Times New Roman" w:hAnsi="Times New Roman" w:cs="Times New Roman"/>
          <w:sz w:val="24"/>
          <w:szCs w:val="24"/>
        </w:rPr>
        <w:t>Las adquisiciones de estos dos países, por 59.757 millones de euros, superan la clave de capital. También en el caso de Alemania</w:t>
      </w:r>
    </w:p>
    <w:p w:rsidR="006E5D75" w:rsidRDefault="006E5D75" w:rsidP="006E5D75">
      <w:pPr>
        <w:spacing w:line="240" w:lineRule="auto"/>
        <w:jc w:val="both"/>
        <w:rPr>
          <w:rFonts w:ascii="Times New Roman" w:hAnsi="Times New Roman" w:cs="Times New Roman"/>
          <w:sz w:val="24"/>
          <w:szCs w:val="24"/>
          <w:lang w:val="en-US"/>
        </w:rPr>
      </w:pPr>
      <w:r>
        <w:rPr>
          <w:noProof/>
          <w:lang w:val="en-GB" w:eastAsia="zh-CN"/>
        </w:rPr>
        <w:drawing>
          <wp:inline distT="0" distB="0" distL="0" distR="0">
            <wp:extent cx="5731510" cy="3786556"/>
            <wp:effectExtent l="0" t="0" r="2540" b="4445"/>
            <wp:docPr id="75" name="Imagen 75" descr="Italia y España se llevan un tercio de las compras antipandemia de deuda soberana del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alia y España se llevan un tercio de las compras antipandemia de deuda soberana del BCE"/>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86556"/>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color w:val="FF0000"/>
          <w:sz w:val="24"/>
          <w:szCs w:val="24"/>
          <w:u w:val="single"/>
        </w:rPr>
      </w:pPr>
      <w:r w:rsidRPr="00DE5DA7">
        <w:rPr>
          <w:rFonts w:ascii="Times New Roman" w:hAnsi="Times New Roman" w:cs="Times New Roman"/>
          <w:color w:val="FF0000"/>
          <w:sz w:val="24"/>
          <w:szCs w:val="24"/>
          <w:u w:val="single"/>
        </w:rPr>
        <w:t>Junto a los 186.603 millones de euros en bonos soberanos, el programa de compras antipandemia se desglosa en otros 35.384 millones de euros en pagarés -siendo la primera vez que el BCE adquiere deuda a un plazo mínimo de hasta 70 días-; 10.579 millones en bonos corporativos y 2.099 millones más en cédulas hipotecarias. El BCE ha copado las colocaciones de pagarés, ya que el 81,2% de lo adquirido ha sido en el mercado primario.</w:t>
      </w:r>
    </w:p>
    <w:p w:rsidR="006E5D75" w:rsidRPr="00F67C5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7C5B">
        <w:rPr>
          <w:rFonts w:ascii="Times New Roman" w:hAnsi="Times New Roman" w:cs="Times New Roman"/>
          <w:sz w:val="24"/>
          <w:szCs w:val="24"/>
          <w:u w:val="single"/>
        </w:rPr>
        <w:t>La hora del Gran Reinicio</w:t>
      </w:r>
      <w:r>
        <w:rPr>
          <w:rFonts w:ascii="Times New Roman" w:hAnsi="Times New Roman" w:cs="Times New Roman"/>
          <w:sz w:val="24"/>
          <w:szCs w:val="24"/>
        </w:rPr>
        <w:t xml:space="preserve"> (Project Syndicate - </w:t>
      </w:r>
      <w:r w:rsidRPr="00F67C5B">
        <w:rPr>
          <w:rFonts w:ascii="Times New Roman" w:hAnsi="Times New Roman" w:cs="Times New Roman"/>
          <w:b/>
          <w:sz w:val="24"/>
          <w:szCs w:val="24"/>
        </w:rPr>
        <w:t>3/6/20</w:t>
      </w:r>
      <w:r>
        <w:rPr>
          <w:rFonts w:ascii="Times New Roman" w:hAnsi="Times New Roman" w:cs="Times New Roman"/>
          <w:sz w:val="24"/>
          <w:szCs w:val="24"/>
        </w:rPr>
        <w:t>)</w:t>
      </w:r>
    </w:p>
    <w:p w:rsidR="006E5D75" w:rsidRPr="00D755DC" w:rsidRDefault="006E5D75" w:rsidP="006E5D7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Ginebra.-</w:t>
      </w:r>
      <w:r w:rsidRPr="00F67C5B">
        <w:rPr>
          <w:rFonts w:ascii="Times New Roman" w:hAnsi="Times New Roman" w:cs="Times New Roman"/>
          <w:sz w:val="24"/>
          <w:szCs w:val="24"/>
        </w:rPr>
        <w:t xml:space="preserve"> Puede que las medidas de confinamiento decretadas </w:t>
      </w:r>
      <w:r w:rsidRPr="00D755DC">
        <w:rPr>
          <w:rFonts w:ascii="Times New Roman" w:hAnsi="Times New Roman" w:cs="Times New Roman"/>
          <w:sz w:val="24"/>
          <w:szCs w:val="24"/>
          <w:u w:val="single"/>
        </w:rPr>
        <w:t>como consecuencia de la COVID-19</w:t>
      </w:r>
      <w:r w:rsidRPr="00F67C5B">
        <w:rPr>
          <w:rFonts w:ascii="Times New Roman" w:hAnsi="Times New Roman" w:cs="Times New Roman"/>
          <w:sz w:val="24"/>
          <w:szCs w:val="24"/>
        </w:rPr>
        <w:t xml:space="preserve"> empiecen a relajarse gradualmente, pero la ansiedad con respecto a las perspectivas mundiales en materia económica y social no deja de crecer. Existen buenas razones para preocuparse: </w:t>
      </w:r>
      <w:r w:rsidRPr="00D755DC">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6E5D75" w:rsidRPr="00D755DC" w:rsidRDefault="006E5D75" w:rsidP="006E5D75">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color w:val="FF0000"/>
          <w:sz w:val="24"/>
          <w:szCs w:val="24"/>
          <w:u w:val="single"/>
        </w:rPr>
        <w:t xml:space="preserve">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w:t>
      </w:r>
      <w:r w:rsidRPr="00D755DC">
        <w:rPr>
          <w:rFonts w:ascii="Times New Roman" w:hAnsi="Times New Roman" w:cs="Times New Roman"/>
          <w:b/>
          <w:color w:val="FF0000"/>
          <w:sz w:val="24"/>
          <w:szCs w:val="24"/>
          <w:u w:val="single"/>
        </w:rPr>
        <w:t>Dicho d</w:t>
      </w:r>
      <w:r>
        <w:rPr>
          <w:rFonts w:ascii="Times New Roman" w:hAnsi="Times New Roman" w:cs="Times New Roman"/>
          <w:b/>
          <w:color w:val="FF0000"/>
          <w:sz w:val="24"/>
          <w:szCs w:val="24"/>
          <w:u w:val="single"/>
        </w:rPr>
        <w:t>e otro modo: nos hace falta un “Gran Reinicio”</w:t>
      </w:r>
      <w:r w:rsidRPr="00D755DC">
        <w:rPr>
          <w:rFonts w:ascii="Times New Roman" w:hAnsi="Times New Roman" w:cs="Times New Roman"/>
          <w:b/>
          <w:color w:val="FF0000"/>
          <w:sz w:val="24"/>
          <w:szCs w:val="24"/>
          <w:u w:val="single"/>
        </w:rPr>
        <w:t xml:space="preserve"> del capitalismo.</w:t>
      </w:r>
    </w:p>
    <w:p w:rsidR="006E5D75" w:rsidRPr="00D755DC" w:rsidRDefault="006E5D75" w:rsidP="006E5D75">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lastRenderedPageBreak/>
        <w:t xml:space="preserve">Existen numerosas razones para apostar por un Gran Reinicio, pero la más urgente es la COVID-19. La pandemia, que ya ha causado cientos de miles de fallecimientos, representa una de las peores crisis de la sanidad pública de nuestra historia reciente. Y </w:t>
      </w:r>
      <w:r w:rsidRPr="00D755DC">
        <w:rPr>
          <w:rFonts w:ascii="Times New Roman" w:hAnsi="Times New Roman" w:cs="Times New Roman"/>
          <w:sz w:val="24"/>
          <w:szCs w:val="24"/>
          <w:u w:val="single"/>
        </w:rPr>
        <w:t>teniendo en cuenta que el número de víctimas sigue creciendo en muchos lugares del mundo, todavía tardaremos mucho en ver el final.</w:t>
      </w:r>
    </w:p>
    <w:p w:rsidR="006E5D75" w:rsidRPr="00D755DC" w:rsidRDefault="006E5D75" w:rsidP="006E5D75">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Todo esto empeorará la crisis climática y social que ya estábamos viviendo. Algunos países ya han utilizado la crisis provocada por la COVID-19 como excusa para rebajar las medidas de protección y cumplimiento medioambiental. Y </w:t>
      </w:r>
      <w:r w:rsidRPr="00D755DC">
        <w:rPr>
          <w:rFonts w:ascii="Times New Roman" w:hAnsi="Times New Roman" w:cs="Times New Roman"/>
          <w:color w:val="FF0000"/>
          <w:sz w:val="24"/>
          <w:szCs w:val="24"/>
          <w:u w:val="single"/>
        </w:rPr>
        <w:t>los sentimientos de frustración con respecto a los problemas sociales com</w:t>
      </w:r>
      <w:r>
        <w:rPr>
          <w:rFonts w:ascii="Times New Roman" w:hAnsi="Times New Roman" w:cs="Times New Roman"/>
          <w:color w:val="FF0000"/>
          <w:sz w:val="24"/>
          <w:szCs w:val="24"/>
          <w:u w:val="single"/>
        </w:rPr>
        <w:t>o el aumento de la desigualdad -</w:t>
      </w:r>
      <w:r w:rsidRPr="00D755DC">
        <w:rPr>
          <w:rFonts w:ascii="Times New Roman" w:hAnsi="Times New Roman" w:cs="Times New Roman"/>
          <w:color w:val="FF0000"/>
          <w:sz w:val="24"/>
          <w:szCs w:val="24"/>
          <w:u w:val="single"/>
        </w:rPr>
        <w:t>el patrimonio acumulado de los multimillonarios estadounidenses ha creci</w:t>
      </w:r>
      <w:r>
        <w:rPr>
          <w:rFonts w:ascii="Times New Roman" w:hAnsi="Times New Roman" w:cs="Times New Roman"/>
          <w:color w:val="FF0000"/>
          <w:sz w:val="24"/>
          <w:szCs w:val="24"/>
          <w:u w:val="single"/>
        </w:rPr>
        <w:t>do durante la crisis-</w:t>
      </w:r>
      <w:r w:rsidRPr="00D755DC">
        <w:rPr>
          <w:rFonts w:ascii="Times New Roman" w:hAnsi="Times New Roman" w:cs="Times New Roman"/>
          <w:color w:val="FF0000"/>
          <w:sz w:val="24"/>
          <w:szCs w:val="24"/>
          <w:u w:val="single"/>
        </w:rPr>
        <w:t xml:space="preserve"> se están intensificando.</w:t>
      </w:r>
    </w:p>
    <w:p w:rsidR="006E5D75" w:rsidRPr="00D755DC" w:rsidRDefault="006E5D75" w:rsidP="006E5D75">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Si no se abordan, estas crisis, sumadas a la COVID-19, se intensificarán y harán que el mundo sea aún menos sostenible, menos equitativo y más frágil. Para evitar este escenario no bastará con medidas graduales y soluciones ad hoc. Debemos forjar unos cimientos completamente nuevos sobre los que sustentar nuestros sistemas económicos y sociales.</w:t>
      </w:r>
    </w:p>
    <w:p w:rsidR="006E5D75" w:rsidRPr="00D755DC" w:rsidRDefault="006E5D75" w:rsidP="006E5D75">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t xml:space="preserve">Para ello se requiere un nivel de cooperación y ambición sin precedentes, pero no es un sueño imposible. Es más, </w:t>
      </w:r>
      <w:r w:rsidRPr="00D755DC">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6E5D75" w:rsidRPr="00F67C5B"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sz w:val="24"/>
          <w:szCs w:val="24"/>
          <w:u w:val="single"/>
        </w:rPr>
        <w:t>Asimismo, los ciudadanos han demostrado con creces que están dispuestos a hacer sacrificios para el bien de la atención sanitaria y otros trabajadores esenciales y grupos de población vulnerables, como los ancianos</w:t>
      </w:r>
      <w:r w:rsidRPr="00F67C5B">
        <w:rPr>
          <w:rFonts w:ascii="Times New Roman" w:hAnsi="Times New Roman" w:cs="Times New Roman"/>
          <w:sz w:val="24"/>
          <w:szCs w:val="24"/>
        </w:rPr>
        <w:t>. Y muchas empresas han intensificado las medidas para ayudar a sus trabajadores, clientes y comunidades locales en lo que constituye un cambio hacia el tipo de capitalismo de las partes interesadas por el que</w:t>
      </w:r>
      <w:r>
        <w:rPr>
          <w:rFonts w:ascii="Times New Roman" w:hAnsi="Times New Roman" w:cs="Times New Roman"/>
          <w:sz w:val="24"/>
          <w:szCs w:val="24"/>
        </w:rPr>
        <w:t xml:space="preserve"> ya habían abogado de boquilla.</w:t>
      </w:r>
    </w:p>
    <w:p w:rsidR="006E5D75" w:rsidRPr="00F67C5B"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w:t>
      </w:r>
      <w:r w:rsidRPr="00F67C5B">
        <w:rPr>
          <w:rFonts w:ascii="Times New Roman" w:hAnsi="Times New Roman" w:cs="Times New Roman"/>
          <w:sz w:val="24"/>
          <w:szCs w:val="24"/>
        </w:rPr>
        <w:t>. Harán falta unos gobiernos más robustos y eficaces, aunque esto no implica un impulso ideológico hacia gobiernos más grandes. Y se requerirá la colaboración entre los sectores público y pr</w:t>
      </w:r>
      <w:r>
        <w:rPr>
          <w:rFonts w:ascii="Times New Roman" w:hAnsi="Times New Roman" w:cs="Times New Roman"/>
          <w:sz w:val="24"/>
          <w:szCs w:val="24"/>
        </w:rPr>
        <w:t>ivado en cada etapa del camino.</w:t>
      </w:r>
    </w:p>
    <w:p w:rsidR="006E5D75" w:rsidRPr="00F67C5B"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agenda del Gran Reinicio tendrá tres componentes principales. El primero orientará el mercado hacia resultados más justos</w:t>
      </w:r>
      <w:r w:rsidRPr="00F67C5B">
        <w:rPr>
          <w:rFonts w:ascii="Times New Roman" w:hAnsi="Times New Roman" w:cs="Times New Roman"/>
          <w:sz w:val="24"/>
          <w:szCs w:val="24"/>
        </w:rPr>
        <w:t xml:space="preserve">. Para ello, los gobiernos deberían mejorar la coordinación (por ejemplo, en materia de políticas tributarias, reglamentarias y fiscales), actualizar los acuerdos comerciales, y </w:t>
      </w:r>
      <w:r w:rsidRPr="00556EA7">
        <w:rPr>
          <w:rFonts w:ascii="Times New Roman" w:hAnsi="Times New Roman" w:cs="Times New Roman"/>
          <w:color w:val="FF0000"/>
          <w:sz w:val="24"/>
          <w:szCs w:val="24"/>
          <w:u w:val="single"/>
        </w:rPr>
        <w:t xml:space="preserve">crear las condiciones de una “economía de las partes </w:t>
      </w:r>
      <w:r w:rsidRPr="00556EA7">
        <w:rPr>
          <w:rFonts w:ascii="Times New Roman" w:hAnsi="Times New Roman" w:cs="Times New Roman"/>
          <w:color w:val="FF0000"/>
          <w:sz w:val="24"/>
          <w:szCs w:val="24"/>
          <w:u w:val="single"/>
        </w:rPr>
        <w:lastRenderedPageBreak/>
        <w:t>interesadas”</w:t>
      </w:r>
      <w:r w:rsidRPr="00D755DC">
        <w:rPr>
          <w:rFonts w:ascii="Times New Roman" w:hAnsi="Times New Roman" w:cs="Times New Roman"/>
          <w:color w:val="FF0000"/>
          <w:sz w:val="24"/>
          <w:szCs w:val="24"/>
        </w:rPr>
        <w:t>.</w:t>
      </w:r>
      <w:r w:rsidRPr="00F67C5B">
        <w:rPr>
          <w:rFonts w:ascii="Times New Roman" w:hAnsi="Times New Roman" w:cs="Times New Roman"/>
          <w:sz w:val="24"/>
          <w:szCs w:val="24"/>
        </w:rPr>
        <w:t xml:space="preserve"> En un momento de reducción de las bases impositivas y crecimiento de la deuda pública, los gobiernos tienen un poderoso incenti</w:t>
      </w:r>
      <w:r>
        <w:rPr>
          <w:rFonts w:ascii="Times New Roman" w:hAnsi="Times New Roman" w:cs="Times New Roman"/>
          <w:sz w:val="24"/>
          <w:szCs w:val="24"/>
        </w:rPr>
        <w:t>vo para impulsar estas medidas.</w:t>
      </w:r>
    </w:p>
    <w:p w:rsidR="006E5D75" w:rsidRPr="00F67C5B" w:rsidRDefault="006E5D75" w:rsidP="006E5D75">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w:t>
      </w:r>
      <w:r>
        <w:rPr>
          <w:rFonts w:ascii="Times New Roman" w:hAnsi="Times New Roman" w:cs="Times New Roman"/>
          <w:sz w:val="24"/>
          <w:szCs w:val="24"/>
        </w:rPr>
        <w:t>, el comercio y la competencia.</w:t>
      </w:r>
    </w:p>
    <w:p w:rsidR="006E5D75" w:rsidRPr="00D755DC" w:rsidRDefault="006E5D75" w:rsidP="006E5D75">
      <w:pPr>
        <w:spacing w:line="240" w:lineRule="auto"/>
        <w:jc w:val="both"/>
        <w:rPr>
          <w:rFonts w:ascii="Times New Roman" w:hAnsi="Times New Roman" w:cs="Times New Roman"/>
          <w:sz w:val="24"/>
          <w:szCs w:val="24"/>
          <w:u w:val="single"/>
        </w:rPr>
      </w:pPr>
      <w:r w:rsidRPr="00D755DC">
        <w:rPr>
          <w:rFonts w:ascii="Times New Roman" w:hAnsi="Times New Roman" w:cs="Times New Roman"/>
          <w:color w:val="FF0000"/>
          <w:sz w:val="24"/>
          <w:szCs w:val="24"/>
          <w:u w:val="single"/>
        </w:rPr>
        <w:t>El segundo componente de la agenda del Gran Reinicio garantizaría que las inversiones promuevan objetivos comunes, como la igualdad y la sostenibilidad</w:t>
      </w:r>
      <w:r w:rsidRPr="00F67C5B">
        <w:rPr>
          <w:rFonts w:ascii="Times New Roman" w:hAnsi="Times New Roman" w:cs="Times New Roman"/>
          <w:sz w:val="24"/>
          <w:szCs w:val="24"/>
        </w:rPr>
        <w:t xml:space="preserve">. En este sentido, los programas de gasto a gran escala que están aplicando muchos gobiernos representan una gran oportunidad para el progreso. Por un lado, </w:t>
      </w:r>
      <w:r w:rsidRPr="00D755DC">
        <w:rPr>
          <w:rFonts w:ascii="Times New Roman" w:hAnsi="Times New Roman" w:cs="Times New Roman"/>
          <w:sz w:val="24"/>
          <w:szCs w:val="24"/>
          <w:u w:val="single"/>
        </w:rPr>
        <w:t>la Comisión Europea ha dado a conocer su intención de poner en marcha un fondo de recuperación de 750.000 millones de euros (826.000 millones de dólares de los Estados Unidos). Los Estados Unidos, China y el Japón también tienen planes ambiciosos de estímulo económico.</w:t>
      </w:r>
    </w:p>
    <w:p w:rsidR="006E5D75" w:rsidRPr="00F67C5B" w:rsidRDefault="006E5D75" w:rsidP="006E5D75">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rPr>
        <w:t>ción de infraestructura urbana “verde”</w:t>
      </w:r>
      <w:r w:rsidRPr="00F67C5B">
        <w:rPr>
          <w:rFonts w:ascii="Times New Roman" w:hAnsi="Times New Roman" w:cs="Times New Roman"/>
          <w:sz w:val="24"/>
          <w:szCs w:val="24"/>
        </w:rPr>
        <w:t xml:space="preserve"> y en proponer incentivos para que las industrias mejoren su trayectoria de métricas medioambient</w:t>
      </w:r>
      <w:r>
        <w:rPr>
          <w:rFonts w:ascii="Times New Roman" w:hAnsi="Times New Roman" w:cs="Times New Roman"/>
          <w:sz w:val="24"/>
          <w:szCs w:val="24"/>
        </w:rPr>
        <w:t>ales, sociales y de gobernanza.</w:t>
      </w:r>
    </w:p>
    <w:p w:rsidR="006E5D75" w:rsidRPr="00F67C5B"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F67C5B">
        <w:rPr>
          <w:rFonts w:ascii="Times New Roman" w:hAnsi="Times New Roman" w:cs="Times New Roman"/>
          <w:sz w:val="24"/>
          <w:szCs w:val="24"/>
        </w:rPr>
        <w:t>.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lanzaran iniciativas concertadas s</w:t>
      </w:r>
      <w:r>
        <w:rPr>
          <w:rFonts w:ascii="Times New Roman" w:hAnsi="Times New Roman" w:cs="Times New Roman"/>
          <w:sz w:val="24"/>
          <w:szCs w:val="24"/>
        </w:rPr>
        <w:t>imilares en todos los sectores.</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Al contrario, </w:t>
      </w:r>
      <w:r w:rsidRPr="00D755DC">
        <w:rPr>
          <w:rFonts w:ascii="Times New Roman" w:hAnsi="Times New Roman" w:cs="Times New Roman"/>
          <w:color w:val="FF0000"/>
          <w:sz w:val="24"/>
          <w:szCs w:val="24"/>
          <w:u w:val="single"/>
        </w:rPr>
        <w:t>la pandemia representa una oportunidad, inusual y reducida, para reflexionar, reimaginar y reiniciar nuestro mundo y forjar un futuro más sano, equitativo y próspero.</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67C5B">
        <w:rPr>
          <w:rFonts w:ascii="Times New Roman" w:hAnsi="Times New Roman" w:cs="Times New Roman"/>
          <w:sz w:val="24"/>
          <w:szCs w:val="24"/>
          <w:lang w:val="en-US"/>
        </w:rPr>
        <w:t>Klaus Schwab is Founder and Executive Chairman of the World Econo</w:t>
      </w:r>
      <w:r>
        <w:rPr>
          <w:rFonts w:ascii="Times New Roman" w:hAnsi="Times New Roman" w:cs="Times New Roman"/>
          <w:sz w:val="24"/>
          <w:szCs w:val="24"/>
          <w:lang w:val="en-US"/>
        </w:rPr>
        <w:t>mic Forum)</w:t>
      </w:r>
    </w:p>
    <w:p w:rsidR="006E5D75" w:rsidRPr="00A040D4"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040D4">
        <w:rPr>
          <w:rFonts w:ascii="Times New Roman" w:hAnsi="Times New Roman" w:cs="Times New Roman"/>
          <w:sz w:val="24"/>
          <w:szCs w:val="24"/>
          <w:u w:val="single"/>
        </w:rPr>
        <w:t>La desglobalización afectará el crecimiento en todas partes</w:t>
      </w:r>
      <w:r>
        <w:rPr>
          <w:rFonts w:ascii="Times New Roman" w:hAnsi="Times New Roman" w:cs="Times New Roman"/>
          <w:sz w:val="24"/>
          <w:szCs w:val="24"/>
        </w:rPr>
        <w:t xml:space="preserve"> (Project Syndicate - </w:t>
      </w:r>
      <w:r w:rsidRPr="00A040D4">
        <w:rPr>
          <w:rFonts w:ascii="Times New Roman" w:hAnsi="Times New Roman" w:cs="Times New Roman"/>
          <w:b/>
          <w:sz w:val="24"/>
          <w:szCs w:val="24"/>
        </w:rPr>
        <w:t>3/6/20</w:t>
      </w:r>
      <w:r>
        <w:rPr>
          <w:rFonts w:ascii="Times New Roman" w:hAnsi="Times New Roman" w:cs="Times New Roman"/>
          <w:sz w:val="24"/>
          <w:szCs w:val="24"/>
        </w:rPr>
        <w:t>)</w:t>
      </w:r>
    </w:p>
    <w:p w:rsidR="006E5D75" w:rsidRPr="00D755DC"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Pr="00D755DC">
        <w:rPr>
          <w:rFonts w:ascii="Times New Roman" w:hAnsi="Times New Roman" w:cs="Times New Roman"/>
          <w:color w:val="FF0000"/>
          <w:sz w:val="24"/>
          <w:szCs w:val="24"/>
          <w:u w:val="single"/>
        </w:rPr>
        <w:t>Todo indica que la economía mundial pospandemia será mucho menos globalizada, con un rechazo de las dirigencias políticas y de las poblaciones a la apertura como no se ha visto desde las guerras de aranceles y devaluaciones competitivas de la década de 1930. Y esto traerá consigo no sólo menos crecimiento, sino también una reducción significativa del producto nacional en todas las economías, excepto tal vez las más grandes y diversificadas.</w:t>
      </w:r>
    </w:p>
    <w:p w:rsidR="006E5D75" w:rsidRPr="00D755DC" w:rsidRDefault="006E5D75" w:rsidP="006E5D75">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En su profético libro de 2001 El fin de la globalización, el historiador de la economía Harold James (Princeton) relata el derrumbe de una era anterior de integración económica y financiera global bajo la presión de hechos inesperados acaecidos durante la Gran Depresión de los años treinta, que culminaron en la Segunda Guerra Mundial. Hoy, parece que la pandemia de COVID‑19 está acelerando otro proceso de desglobalización.</w:t>
      </w:r>
    </w:p>
    <w:p w:rsidR="006E5D75" w:rsidRPr="00A040D4"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lastRenderedPageBreak/>
        <w:t>La retirada actual comenzó con la victoria de Donald Trump en la elección presidencial estadounidense de 2016, que llevó a una guerra de aranceles entre Estados Unidos y China.</w:t>
      </w:r>
      <w:r w:rsidRPr="00A040D4">
        <w:rPr>
          <w:rFonts w:ascii="Times New Roman" w:hAnsi="Times New Roman" w:cs="Times New Roman"/>
          <w:sz w:val="24"/>
          <w:szCs w:val="24"/>
        </w:rPr>
        <w:t>Es probable que el efecto negativo a largo plazo de la pandemia sobre el comercio internacional sea todavía mayor, en parte porque los gobiernos son cada vez más conscientes de la necesidad de considerar la capacidad de los sistemas de salud pública como un im</w:t>
      </w:r>
      <w:r>
        <w:rPr>
          <w:rFonts w:ascii="Times New Roman" w:hAnsi="Times New Roman" w:cs="Times New Roman"/>
          <w:sz w:val="24"/>
          <w:szCs w:val="24"/>
        </w:rPr>
        <w:t>perativo de seguridad nacional.</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El riesgo actual de una debilitante sobrerreacción desglobalizadora al estilo de los años treinta es enorme, en particular si continúa el deterioro de la relación sinoestadounidense. Y es absurdo pensar que una desglobalización caótica al calor de una crisis no introducirá nuevos problemas mucho peores.</w:t>
      </w:r>
    </w:p>
    <w:p w:rsidR="006E5D75" w:rsidRPr="00A040D4" w:rsidRDefault="006E5D75" w:rsidP="006E5D75">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Incluso Estados Unidos, con su muy diversificada economía, una tecnología de avanzada y una sólida base de recursos naturales, puede sufrir una reducción significativa del PIB real como resultado de la desglobalización</w:t>
      </w:r>
      <w:r w:rsidRPr="00A040D4">
        <w:rPr>
          <w:rFonts w:ascii="Times New Roman" w:hAnsi="Times New Roman" w:cs="Times New Roman"/>
          <w:sz w:val="24"/>
          <w:szCs w:val="24"/>
        </w:rPr>
        <w:t>. Para economías más pequeñas y países en desarrollo que en muchos sectores no llegan a tener una masa crítica y que a menudo carecen de recursos naturales, la ruptura del comercio internacional implica revertir muchas décadas de crecimiento. Y esto sin haber considerado el impacto duradero de las medidas de dista</w:t>
      </w:r>
      <w:r>
        <w:rPr>
          <w:rFonts w:ascii="Times New Roman" w:hAnsi="Times New Roman" w:cs="Times New Roman"/>
          <w:sz w:val="24"/>
          <w:szCs w:val="24"/>
        </w:rPr>
        <w:t>nciamiento social y cuarentena.</w:t>
      </w:r>
    </w:p>
    <w:p w:rsidR="006E5D75" w:rsidRPr="00A040D4" w:rsidRDefault="006E5D75" w:rsidP="006E5D75">
      <w:pPr>
        <w:spacing w:line="240" w:lineRule="auto"/>
        <w:jc w:val="both"/>
        <w:rPr>
          <w:rFonts w:ascii="Times New Roman" w:hAnsi="Times New Roman" w:cs="Times New Roman"/>
          <w:sz w:val="24"/>
          <w:szCs w:val="24"/>
        </w:rPr>
      </w:pPr>
      <w:r w:rsidRPr="00A040D4">
        <w:rPr>
          <w:rFonts w:ascii="Times New Roman" w:hAnsi="Times New Roman" w:cs="Times New Roman"/>
          <w:sz w:val="24"/>
          <w:szCs w:val="24"/>
        </w:rPr>
        <w:t>El difunto economista Alberto Alesina, una figura imponente en el campo de la economía política, sostuvo que para un país bien gobernado en la era de la globalización, la pequeñez puede ser una ventaja. Pero en la actualidad, los países pequeños sin una alianza económica estrecha con un estado de mayor tamaño o una unión de estados se enfrentan a enormes riesgos económicos.</w:t>
      </w:r>
    </w:p>
    <w:p w:rsidR="006E5D75" w:rsidRPr="00D755DC" w:rsidRDefault="006E5D75" w:rsidP="006E5D75">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Es verdad que la globalización generó desigualdad económica entre los más o menos mil millones de personas que viven en las economías avanzadas. La competencia comercial asestó un duro golpe a los trabajadores con bajos salarios en algunos sectores, aunque al mismo tiempo abarató los bienes para todos. Y puede decirse que la globalización financiera tuvo un efecto aún mayor, al aumentar las ganancias de las multinacionales y ofrecer a los ricos nuevos instrumentos muy rentables para la inversión en el extranjero, sobre todo desde 1980.</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En su exitoso libro de 2014 El capital en el siglo XXI, Thomas Piketty apunta a la creciente desigualdad de ingresos y riqueza como prueba del fracaso del capitalismo. Pero ¿fracaso para quiénes? Fuera de las economías avanzadas, allí donde vive el 86% de la población mundial, el capitalismo global sacó a miles de millones de personas de la pobreza extrema. De modo que no hay duda de que una sobrerreacción desglobalizadora puede generar muchos más perjudicados que beneficiados.</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Es verdad que el modelo actual de globalización necesita ajustes, en particular un gran fortalecimiento de la red de seguridad social en las economías avanzadas y (en la medida de lo posible) también en los mercados emergentes. Pero crear resiliencia no es lo mismo que descartar todo el sistema y empezar de cero.</w:t>
      </w:r>
    </w:p>
    <w:p w:rsidR="006E5D75" w:rsidRPr="00D755DC" w:rsidRDefault="006E5D75" w:rsidP="006E5D75">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A Estados Unidos la desglobalización puede perjudicarlo más de lo que algunos de sus políticos (de derecha y de izquierda) parecen comprender. Para empezar, el sistema global de comercio forma parte de un acuerdo por el que Estados Unidos obtiene la hegemonía de un mundo en el que la mayoría de los países, incluida China, tienen motivos para hacer que el orden internacional funcione.</w:t>
      </w:r>
    </w:p>
    <w:p w:rsidR="006E5D75" w:rsidRPr="00E8683F" w:rsidRDefault="006E5D75" w:rsidP="006E5D75">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lastRenderedPageBreak/>
        <w:t>Y dejando a un lado las derivaciones políticas, la desglobalización también plantea riesgos económicos para Estados Unidos. En particular, es probable que muchos de los factores favorables que hoy permiten al gobierno y a las corporaciones estadounidenses endeudarse mucho más que sus homólogos de cualquier otro país estén vinculados con el papel central del dólar dentro del sistema. Y hay una amplia variedad de modelos económicos que muestran que el aumento de aranceles y fricciones comerciales trae consigo una reducción al menos proporcional de la globalización financiera. Esto, además de una enorme caída de las ganancias de las multinacionales y del valor de las bolsas (algo que tal vez sea del agrado de algunos) también puede provocar una significativa reducción de la demanda extranjera de títulos de deuda estadounidenses.</w:t>
      </w:r>
    </w:p>
    <w:p w:rsidR="006E5D75" w:rsidRPr="00E8683F" w:rsidRDefault="006E5D75" w:rsidP="006E5D75">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t>No sería una situación ideal en un momento en que Estados Unidos necesita endeudarse a gran escala para preservar la estabilidad social, económica y política. Así como la globalización ha sido un factor importante de los bajos niveles actuales de inflación y tipos de interés, revertir el proceso puede presionar sobre los precios y las tasas en la otra dirección, sobre todo por el aparente shock de oferta duradero que provocará la COVID‑19.</w:t>
      </w:r>
    </w:p>
    <w:p w:rsidR="006E5D75" w:rsidRPr="00E8683F" w:rsidRDefault="006E5D75" w:rsidP="006E5D75">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No hace falta decir que nos aguardan otras batallas que demandan cooperación internacional, sobre todo el cambio climático. Será todavía más difícil motivar a las economías en desarrollo para que pongan límite a sus emisiones de dióxido de carbono si un derrumbe del comercio internacional debilita el mayor incentivo compartido que tienen los países para mantener la paz y la prosperidad global.</w:t>
      </w:r>
    </w:p>
    <w:p w:rsidR="006E5D75" w:rsidRPr="00E8683F" w:rsidRDefault="006E5D75" w:rsidP="006E5D75">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Y no hay que olvidar que aunque la COVID‑19 hasta ahora afectó a Europa y a Estados Unidos mucho más que a la mayoría de los países de bajos ingresos, todavía existe un riesgo enorme de que se produzca una tragedia humanitaria en África y otras regiones pobres. ¿Es realmente un buen momento para reducir la capacidad de estos países para protegerse?</w:t>
      </w:r>
    </w:p>
    <w:p w:rsidR="006E5D75" w:rsidRPr="00E8683F" w:rsidRDefault="006E5D75" w:rsidP="006E5D75">
      <w:pPr>
        <w:spacing w:line="240" w:lineRule="auto"/>
        <w:jc w:val="both"/>
        <w:rPr>
          <w:rFonts w:ascii="Times New Roman" w:hAnsi="Times New Roman" w:cs="Times New Roman"/>
          <w:b/>
          <w:color w:val="FF0000"/>
          <w:sz w:val="24"/>
          <w:szCs w:val="24"/>
          <w:u w:val="single"/>
        </w:rPr>
      </w:pPr>
      <w:r w:rsidRPr="00E8683F">
        <w:rPr>
          <w:rFonts w:ascii="Times New Roman" w:hAnsi="Times New Roman" w:cs="Times New Roman"/>
          <w:b/>
          <w:color w:val="FF0000"/>
          <w:sz w:val="24"/>
          <w:szCs w:val="24"/>
          <w:u w:val="single"/>
        </w:rPr>
        <w:t>Incluso si Estados Unidos hace caso omiso de los efectos de la desglobalización sobre el resto del mundo, debe recordar que la abundante demanda actual de activos denominados en dólares depende en gran medida del enorme sistema comercial y financiero que algunos políticos estadounidenses pretenden achicar. Si se produce un exceso de desglobalización, ningún país estará a salvo.</w:t>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040D4">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6E5D75" w:rsidRDefault="006E5D75" w:rsidP="006E5D7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A35B7D">
        <w:rPr>
          <w:rFonts w:ascii="Times New Roman" w:eastAsia="Times New Roman" w:hAnsi="Times New Roman" w:cs="Times New Roman"/>
          <w:sz w:val="24"/>
          <w:szCs w:val="24"/>
          <w:u w:val="single"/>
        </w:rPr>
        <w:t>El BCE debate hoy un alza en 500.000 millones del plan antipandemia que el mercado da por hecho</w:t>
      </w:r>
      <w:r>
        <w:rPr>
          <w:rFonts w:ascii="Times New Roman" w:eastAsia="Times New Roman" w:hAnsi="Times New Roman" w:cs="Times New Roman"/>
          <w:sz w:val="24"/>
          <w:szCs w:val="24"/>
        </w:rPr>
        <w:t xml:space="preserve"> (Cinco Días - </w:t>
      </w:r>
      <w:r w:rsidRPr="00A35B7D">
        <w:rPr>
          <w:rFonts w:ascii="Times New Roman" w:eastAsia="Times New Roman" w:hAnsi="Times New Roman" w:cs="Times New Roman"/>
          <w:b/>
          <w:sz w:val="24"/>
          <w:szCs w:val="24"/>
        </w:rPr>
        <w:t>4/6/20</w:t>
      </w:r>
      <w:r>
        <w:rPr>
          <w:rFonts w:ascii="Times New Roman" w:eastAsia="Times New Roman" w:hAnsi="Times New Roman" w:cs="Times New Roman"/>
          <w:sz w:val="24"/>
          <w:szCs w:val="24"/>
        </w:rPr>
        <w:t>)</w:t>
      </w:r>
    </w:p>
    <w:p w:rsidR="006E5D75" w:rsidRPr="00A35B7D" w:rsidRDefault="006E5D75" w:rsidP="006E5D75">
      <w:pPr>
        <w:spacing w:after="0" w:line="240" w:lineRule="auto"/>
        <w:jc w:val="both"/>
        <w:rPr>
          <w:rFonts w:ascii="Times New Roman" w:eastAsia="Times New Roman" w:hAnsi="Times New Roman" w:cs="Times New Roman"/>
          <w:sz w:val="24"/>
          <w:szCs w:val="24"/>
        </w:rPr>
      </w:pPr>
    </w:p>
    <w:p w:rsidR="006E5D75" w:rsidRDefault="006E5D75" w:rsidP="006E5D75">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La expectación es muy elevada ante una posible extensión del programa a 2021 que pueda incluir también la deuda high yield</w:t>
      </w:r>
    </w:p>
    <w:p w:rsidR="006E5D75" w:rsidRDefault="006E5D75" w:rsidP="006E5D75">
      <w:pPr>
        <w:spacing w:after="0" w:line="240" w:lineRule="auto"/>
        <w:jc w:val="both"/>
        <w:rPr>
          <w:rFonts w:ascii="Times New Roman" w:eastAsia="Times New Roman" w:hAnsi="Times New Roman" w:cs="Times New Roman"/>
          <w:sz w:val="24"/>
          <w:szCs w:val="24"/>
        </w:rPr>
      </w:pPr>
    </w:p>
    <w:p w:rsidR="006E5D75" w:rsidRPr="00A35B7D" w:rsidRDefault="006E5D75" w:rsidP="006E5D75">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 xml:space="preserve">A estas alturas de crisis económica a causa del covid-19 y de oleada de estímulos monetarios, ya es un secreto a voces que el BCE tendrá que elevar aún más el programa extraordinario de compras de deuda con el que en marzo frenó la amenaza cierta de reedición de la crisis de deuda en la zona euro. Los 750.000 millones de euros en compras hasta finales de año se quedan cortos y al ritmo de adquisición actual, de una media de 30.000 euros a la semana, esa cuantía se habrá agotado en el otoño. Los expertos e inversores auguran de forma unánime un </w:t>
      </w:r>
      <w:r w:rsidRPr="00A35B7D">
        <w:rPr>
          <w:rFonts w:ascii="Times New Roman" w:eastAsia="Times New Roman" w:hAnsi="Times New Roman" w:cs="Times New Roman"/>
          <w:sz w:val="24"/>
          <w:szCs w:val="24"/>
        </w:rPr>
        <w:lastRenderedPageBreak/>
        <w:t>incremento, previsiblemente en la reunión del Consejo de Gobierno de hoy jueves, y la estimación más extendida apunta al anuncio de un aumento en 500.000 millones de euros.</w:t>
      </w:r>
    </w:p>
    <w:p w:rsidR="006E5D75" w:rsidRPr="00A35B7D" w:rsidRDefault="006E5D75" w:rsidP="006E5D75">
      <w:pPr>
        <w:spacing w:after="0" w:line="240" w:lineRule="auto"/>
        <w:jc w:val="both"/>
        <w:rPr>
          <w:rFonts w:ascii="Times New Roman" w:eastAsia="Times New Roman" w:hAnsi="Times New Roman" w:cs="Times New Roman"/>
          <w:sz w:val="24"/>
          <w:szCs w:val="24"/>
        </w:rPr>
      </w:pPr>
    </w:p>
    <w:p w:rsidR="006E5D75" w:rsidRDefault="006E5D75" w:rsidP="006E5D75">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El propio BCE ya dio una señal clara de sus próximas intenciones tras la reunión de abril, en la que Christine Lagarde mostró plena disposición a hacer lo necesario y a ser flexible en su toma de decisiones, y especialmente tras la publicación de las actas de ese encuentro. En ellas el Consejo de Gobierno reconoce que deberá estar listo en junio para ajustar el programa especial de compras antipandemia si la magnitud de los estímulos resulta insuficiente</w:t>
      </w:r>
      <w:r>
        <w:rPr>
          <w:rFonts w:ascii="Times New Roman" w:eastAsia="Times New Roman" w:hAnsi="Times New Roman" w:cs="Times New Roman"/>
          <w:sz w:val="24"/>
          <w:szCs w:val="24"/>
        </w:rPr>
        <w:t>…</w:t>
      </w:r>
    </w:p>
    <w:p w:rsidR="006E5D75" w:rsidRDefault="006E5D75" w:rsidP="006E5D75">
      <w:pPr>
        <w:spacing w:after="0" w:line="240" w:lineRule="auto"/>
        <w:jc w:val="both"/>
        <w:rPr>
          <w:rFonts w:ascii="Times New Roman" w:eastAsia="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5236">
        <w:rPr>
          <w:rFonts w:ascii="Times New Roman" w:hAnsi="Times New Roman" w:cs="Times New Roman"/>
          <w:sz w:val="24"/>
          <w:szCs w:val="24"/>
          <w:u w:val="single"/>
        </w:rPr>
        <w:t>Los mercados apuntan a nuevas subidas tras el espaldarazo del BCE</w:t>
      </w:r>
      <w:r>
        <w:rPr>
          <w:rFonts w:ascii="Times New Roman" w:hAnsi="Times New Roman" w:cs="Times New Roman"/>
          <w:sz w:val="24"/>
          <w:szCs w:val="24"/>
        </w:rPr>
        <w:t xml:space="preserve"> (Cinco Días - </w:t>
      </w:r>
      <w:r w:rsidRPr="00DB5236">
        <w:rPr>
          <w:rFonts w:ascii="Times New Roman" w:hAnsi="Times New Roman" w:cs="Times New Roman"/>
          <w:b/>
          <w:sz w:val="24"/>
          <w:szCs w:val="24"/>
        </w:rPr>
        <w:t>5/6/20</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Los mercados europeos agradecen el compromiso de BCE y se preparan para volver a las subidas. Tras el anuncio de ayer de la institución, que aumentará un 80% las compras de deuda del programa contra la pandemia, los inversores regresan al parqué</w:t>
      </w:r>
      <w:r>
        <w:rPr>
          <w:rFonts w:ascii="Times New Roman" w:hAnsi="Times New Roman" w:cs="Times New Roman"/>
          <w:sz w:val="24"/>
          <w:szCs w:val="24"/>
        </w:rPr>
        <w:t>…</w:t>
      </w:r>
    </w:p>
    <w:p w:rsidR="006E5D75" w:rsidRPr="00DB5236"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 xml:space="preserve">El BCE anunció un incremento de su plan extraordinario de compras por la pandemia de 600.000 millones de euros, hasta un total de 1,35 billones de euros. La institución que preside Christine Lagarde ha decidido además que este programa se extenderá al menos hasta junio de 2021, en lugar de hasta finales de este año como estaba previsto inicialmente. Mercados </w:t>
      </w:r>
      <w:r>
        <w:rPr>
          <w:rFonts w:ascii="Times New Roman" w:hAnsi="Times New Roman" w:cs="Times New Roman"/>
          <w:sz w:val="24"/>
          <w:szCs w:val="24"/>
        </w:rPr>
        <w:t>y analistas aplauden la medida.</w:t>
      </w:r>
    </w:p>
    <w:p w:rsidR="006E5D75"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La primera reacción fue ayer de la Bolsa. La rentabilidad del bono español a 10 años bajó del 0,61% al 0,55%, con la prima de riesgo por debajo de 90 puntos por primera vez desde marzo. La referencia Italia al mismo plazo cayó del 1,55% al 1,41%.</w:t>
      </w:r>
    </w:p>
    <w:p w:rsidR="006E5D75"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Hoy, la atención de los inversores se centrará en el dato de empleo de Estados Unidos en mayo. Los analistas esperan que el número de empleos caiga en 8 millones y la tasa de desempleo aumente a un histórico 19,8%.</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Ayer se conoció que en la semana del 30 de mayo las peticiones de subsid</w:t>
      </w:r>
      <w:r>
        <w:rPr>
          <w:rFonts w:ascii="Times New Roman" w:hAnsi="Times New Roman" w:cs="Times New Roman"/>
          <w:sz w:val="24"/>
          <w:szCs w:val="24"/>
        </w:rPr>
        <w:t>i</w:t>
      </w:r>
      <w:r w:rsidRPr="00DB5236">
        <w:rPr>
          <w:rFonts w:ascii="Times New Roman" w:hAnsi="Times New Roman" w:cs="Times New Roman"/>
          <w:sz w:val="24"/>
          <w:szCs w:val="24"/>
        </w:rPr>
        <w:t>o por desempleo alcanzaron los 1,877 millones, cifra que se sitúa por debajo de las registradas semanas anteriores aunque superó las previsiones. En 12 semanas, un total de 43 millones de estadounidenses han solicitado las ayudas</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5236">
        <w:rPr>
          <w:rFonts w:ascii="Times New Roman" w:hAnsi="Times New Roman" w:cs="Times New Roman"/>
          <w:sz w:val="24"/>
          <w:szCs w:val="24"/>
        </w:rPr>
        <w:t>La zona euro vivido una contra</w:t>
      </w:r>
      <w:r>
        <w:rPr>
          <w:rFonts w:ascii="Times New Roman" w:hAnsi="Times New Roman" w:cs="Times New Roman"/>
          <w:sz w:val="24"/>
          <w:szCs w:val="24"/>
        </w:rPr>
        <w:t>cción económica sin precedentes”</w:t>
      </w:r>
      <w:r w:rsidRPr="00DB5236">
        <w:rPr>
          <w:rFonts w:ascii="Times New Roman" w:hAnsi="Times New Roman" w:cs="Times New Roman"/>
          <w:sz w:val="24"/>
          <w:szCs w:val="24"/>
        </w:rPr>
        <w:t>, ha asegurado</w:t>
      </w:r>
      <w:r>
        <w:rPr>
          <w:rFonts w:ascii="Times New Roman" w:hAnsi="Times New Roman" w:cs="Times New Roman"/>
          <w:sz w:val="24"/>
          <w:szCs w:val="24"/>
        </w:rPr>
        <w:t xml:space="preserve"> Christine Lagarde, que ve una “tibia”</w:t>
      </w:r>
      <w:r w:rsidRPr="00DB5236">
        <w:rPr>
          <w:rFonts w:ascii="Times New Roman" w:hAnsi="Times New Roman" w:cs="Times New Roman"/>
          <w:sz w:val="24"/>
          <w:szCs w:val="24"/>
        </w:rPr>
        <w:t xml:space="preserve"> mejora tras haber tocado fondo y que prevé la recuperación en el segundo semestre del año, después de un derrumbe en el PIB del segundo trimestre en la zona euro que el BCE cifra en el 13%. Su previsión para la zona euro es de una contracción del PIB este año del 8,7%, seguida de una recuperación del 5,2% en 2021 y del 3,3% en 2022</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La propuesta de un fondo europeo de reconstrucción de la Comisión Europea, por un total de 750.000 millones de euros, también ha contribuido de forma notable a rebajar la tensión para la deuda soberana de la zona euro. La iniciativa aún debe ser debatida en la cumbre europea del 18 de junio y deberá pasar por arduas negociaciones hasta su puesta en marcha, pero es un primer paso decisivo para una respuesta europea conjunta y de medio plazo para la reconstrucción económica y que incluye transferencias directas, sin reembolso, por 500.000 millones de euros. Lagarde ha dado la bienvenida</w:t>
      </w:r>
      <w:r>
        <w:rPr>
          <w:rFonts w:ascii="Times New Roman" w:hAnsi="Times New Roman" w:cs="Times New Roman"/>
          <w:sz w:val="24"/>
          <w:szCs w:val="24"/>
        </w:rPr>
        <w:t xml:space="preserve"> a la propuesta y ha destacado “</w:t>
      </w:r>
      <w:r w:rsidRPr="00DB5236">
        <w:rPr>
          <w:rFonts w:ascii="Times New Roman" w:hAnsi="Times New Roman" w:cs="Times New Roman"/>
          <w:sz w:val="24"/>
          <w:szCs w:val="24"/>
        </w:rPr>
        <w:t>la determ</w:t>
      </w:r>
      <w:r>
        <w:rPr>
          <w:rFonts w:ascii="Times New Roman" w:hAnsi="Times New Roman" w:cs="Times New Roman"/>
          <w:sz w:val="24"/>
          <w:szCs w:val="24"/>
        </w:rPr>
        <w:t>inación de los líderes europeos”</w:t>
      </w:r>
      <w:r w:rsidRPr="00DB5236">
        <w:rPr>
          <w:rFonts w:ascii="Times New Roman" w:hAnsi="Times New Roman" w:cs="Times New Roman"/>
          <w:sz w:val="24"/>
          <w:szCs w:val="24"/>
        </w:rPr>
        <w:t xml:space="preserve"> para responder a la crisis.</w:t>
      </w: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spacing w:line="240" w:lineRule="auto"/>
        <w:jc w:val="both"/>
        <w:rPr>
          <w:rFonts w:ascii="Times New Roman" w:hAnsi="Times New Roman" w:cs="Times New Roman"/>
          <w:b/>
          <w:sz w:val="24"/>
          <w:szCs w:val="24"/>
        </w:rPr>
      </w:pPr>
      <w:r w:rsidRPr="00E738D5">
        <w:rPr>
          <w:rFonts w:ascii="Times New Roman" w:hAnsi="Times New Roman" w:cs="Times New Roman"/>
          <w:b/>
          <w:sz w:val="24"/>
          <w:szCs w:val="24"/>
        </w:rPr>
        <w:lastRenderedPageBreak/>
        <w:t>Y lo que queda por venir…</w:t>
      </w:r>
    </w:p>
    <w:p w:rsidR="006E5D75"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0188" cy="8394700"/>
            <wp:effectExtent l="0" t="0" r="4445" b="6350"/>
            <wp:docPr id="76" name="Imagen 76" descr="https://s03.s3c.es/imag/_v0/770x1540/3/7/1/050620-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1540/3/7/1/050620-BCE.gif"/>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8396636"/>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r>
        <w:rPr>
          <w:noProof/>
          <w:lang w:val="en-GB" w:eastAsia="zh-CN"/>
        </w:rPr>
        <w:lastRenderedPageBreak/>
        <w:drawing>
          <wp:inline distT="0" distB="0" distL="0" distR="0">
            <wp:extent cx="5731510" cy="3326203"/>
            <wp:effectExtent l="0" t="0" r="2540" b="7620"/>
            <wp:docPr id="77" name="Imagen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326203"/>
                    </a:xfrm>
                    <a:prstGeom prst="rect">
                      <a:avLst/>
                    </a:prstGeom>
                    <a:noFill/>
                    <a:ln>
                      <a:noFill/>
                    </a:ln>
                  </pic:spPr>
                </pic:pic>
              </a:graphicData>
            </a:graphic>
          </wp:inline>
        </w:drawing>
      </w:r>
    </w:p>
    <w:p w:rsidR="006E5D75" w:rsidRPr="0064575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u w:val="single"/>
        </w:rPr>
        <w:t>El Banco Mundial prevé la mayor caída del PIB global desde 1945</w:t>
      </w:r>
      <w:r>
        <w:rPr>
          <w:rFonts w:ascii="Times New Roman" w:hAnsi="Times New Roman" w:cs="Times New Roman"/>
          <w:sz w:val="24"/>
          <w:szCs w:val="24"/>
        </w:rPr>
        <w:t xml:space="preserve"> (Cinco Días - </w:t>
      </w:r>
      <w:r>
        <w:rPr>
          <w:rFonts w:ascii="Times New Roman" w:hAnsi="Times New Roman" w:cs="Times New Roman"/>
          <w:b/>
          <w:sz w:val="24"/>
          <w:szCs w:val="24"/>
        </w:rPr>
        <w:t>8</w:t>
      </w:r>
      <w:r w:rsidRPr="0064575B">
        <w:rPr>
          <w:rFonts w:ascii="Times New Roman" w:hAnsi="Times New Roman" w:cs="Times New Roman"/>
          <w:b/>
          <w:sz w:val="24"/>
          <w:szCs w:val="24"/>
        </w:rPr>
        <w:t>/6/20</w:t>
      </w:r>
      <w:r>
        <w:rPr>
          <w:rFonts w:ascii="Times New Roman" w:hAnsi="Times New Roman" w:cs="Times New Roman"/>
          <w:sz w:val="24"/>
          <w:szCs w:val="24"/>
        </w:rPr>
        <w:t>)</w:t>
      </w:r>
    </w:p>
    <w:p w:rsidR="006E5D75" w:rsidRPr="0064575B"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El desplome será del 5,2% y solo Asia registrará crecimiento económico</w:t>
      </w:r>
    </w:p>
    <w:p w:rsidR="006E5D75" w:rsidRPr="0064575B" w:rsidRDefault="006E5D75" w:rsidP="006E5D75">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 xml:space="preserve">La economía mundial se contraerá este año un 5,2%, el mayor desplome desde el fin de la II Guerra Mundial </w:t>
      </w:r>
      <w:r>
        <w:rPr>
          <w:rFonts w:ascii="Times New Roman" w:hAnsi="Times New Roman" w:cs="Times New Roman"/>
          <w:color w:val="FF0000"/>
          <w:sz w:val="24"/>
          <w:szCs w:val="24"/>
          <w:u w:val="single"/>
        </w:rPr>
        <w:t>en 1945, como consecuencia del “rápido y enorme”</w:t>
      </w:r>
      <w:r w:rsidRPr="00951820">
        <w:rPr>
          <w:rFonts w:ascii="Times New Roman" w:hAnsi="Times New Roman" w:cs="Times New Roman"/>
          <w:color w:val="FF0000"/>
          <w:sz w:val="24"/>
          <w:szCs w:val="24"/>
          <w:u w:val="single"/>
        </w:rPr>
        <w:t xml:space="preserve"> golpe provocado por la pandemia del coronavirus, y Asia será el único continente que crecerá, pronosticó este lunes el Banco Mundial. Sus previsiones son más pesimistas que las dadas por el Fondo Monetario Internacional en abril, cuando estimó que el PIB mundial se contraería un 3% este año</w:t>
      </w:r>
      <w:r>
        <w:rPr>
          <w:rFonts w:ascii="Times New Roman" w:hAnsi="Times New Roman" w:cs="Times New Roman"/>
          <w:sz w:val="24"/>
          <w:szCs w:val="24"/>
        </w:rPr>
        <w:t>.</w:t>
      </w:r>
    </w:p>
    <w:p w:rsidR="006E5D75" w:rsidRPr="0064575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4575B">
        <w:rPr>
          <w:rFonts w:ascii="Times New Roman" w:hAnsi="Times New Roman" w:cs="Times New Roman"/>
          <w:sz w:val="24"/>
          <w:szCs w:val="24"/>
        </w:rPr>
        <w:t>Estas son unas perspectivas profundamente aleccionadoras, con una crisis que probablemente dejará cicatrices duraderas y plant</w:t>
      </w:r>
      <w:r>
        <w:rPr>
          <w:rFonts w:ascii="Times New Roman" w:hAnsi="Times New Roman" w:cs="Times New Roman"/>
          <w:sz w:val="24"/>
          <w:szCs w:val="24"/>
        </w:rPr>
        <w:t>eará gigantes desafíos globales”</w:t>
      </w:r>
      <w:r w:rsidRPr="0064575B">
        <w:rPr>
          <w:rFonts w:ascii="Times New Roman" w:hAnsi="Times New Roman" w:cs="Times New Roman"/>
          <w:sz w:val="24"/>
          <w:szCs w:val="24"/>
        </w:rPr>
        <w:t>, dijo Ceyla Pazarbasioglu, vicepresidente de Crecimiento Equitativo del BM,</w:t>
      </w:r>
      <w:r>
        <w:rPr>
          <w:rFonts w:ascii="Times New Roman" w:hAnsi="Times New Roman" w:cs="Times New Roman"/>
          <w:sz w:val="24"/>
          <w:szCs w:val="24"/>
        </w:rPr>
        <w:t xml:space="preserve"> en una conferencia telefónica.</w:t>
      </w:r>
    </w:p>
    <w:p w:rsidR="006E5D75" w:rsidRPr="00951820" w:rsidRDefault="006E5D75" w:rsidP="006E5D75">
      <w:pPr>
        <w:spacing w:line="240" w:lineRule="auto"/>
        <w:jc w:val="both"/>
        <w:rPr>
          <w:rFonts w:ascii="Times New Roman" w:hAnsi="Times New Roman" w:cs="Times New Roman"/>
          <w:sz w:val="24"/>
          <w:szCs w:val="24"/>
          <w:u w:val="single"/>
        </w:rPr>
      </w:pPr>
      <w:r w:rsidRPr="00951820">
        <w:rPr>
          <w:rFonts w:ascii="Times New Roman" w:hAnsi="Times New Roman" w:cs="Times New Roman"/>
          <w:sz w:val="24"/>
          <w:szCs w:val="24"/>
          <w:u w:val="single"/>
        </w:rPr>
        <w:t>En el nuevo escenario manejado por la institución internacional, en el que la remisión de la pandemia permitirá levantar las medidas nacionales de confinamiento a mediados de año en las economías avanzadas y un poco más tarde en l</w:t>
      </w:r>
      <w:r>
        <w:rPr>
          <w:rFonts w:ascii="Times New Roman" w:hAnsi="Times New Roman" w:cs="Times New Roman"/>
          <w:sz w:val="24"/>
          <w:szCs w:val="24"/>
          <w:u w:val="single"/>
        </w:rPr>
        <w:t>as emergentes y en desarrollo, “</w:t>
      </w:r>
      <w:r w:rsidRPr="00951820">
        <w:rPr>
          <w:rFonts w:ascii="Times New Roman" w:hAnsi="Times New Roman" w:cs="Times New Roman"/>
          <w:sz w:val="24"/>
          <w:szCs w:val="24"/>
          <w:u w:val="single"/>
        </w:rPr>
        <w:t>las repercusiones negativas a nivel mundial perderán intensidad durante la segunda mitad del año y las perturbaciones a los mercados financieros</w:t>
      </w:r>
      <w:r>
        <w:rPr>
          <w:rFonts w:ascii="Times New Roman" w:hAnsi="Times New Roman" w:cs="Times New Roman"/>
          <w:sz w:val="24"/>
          <w:szCs w:val="24"/>
          <w:u w:val="single"/>
        </w:rPr>
        <w:t xml:space="preserve"> no se prolongarán en el tiempo”</w:t>
      </w:r>
      <w:r w:rsidRPr="00951820">
        <w:rPr>
          <w:rFonts w:ascii="Times New Roman" w:hAnsi="Times New Roman" w:cs="Times New Roman"/>
          <w:sz w:val="24"/>
          <w:szCs w:val="24"/>
          <w:u w:val="single"/>
        </w:rPr>
        <w:t>, lo que permitirá a la economía mundial un rebote del 4,2% en 2021, insuficiente para compensar completamente la pérdida de actividad estimada para 2020.</w:t>
      </w:r>
    </w:p>
    <w:p w:rsidR="006E5D75" w:rsidRPr="00951820" w:rsidRDefault="006E5D75" w:rsidP="006E5D7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rPr>
        <w:t>“</w:t>
      </w:r>
      <w:r w:rsidRPr="00951820">
        <w:rPr>
          <w:rFonts w:ascii="Times New Roman" w:hAnsi="Times New Roman" w:cs="Times New Roman"/>
          <w:b/>
          <w:color w:val="FF0000"/>
          <w:sz w:val="24"/>
          <w:szCs w:val="24"/>
          <w:u w:val="single"/>
        </w:rPr>
        <w:t xml:space="preserve">La recesión ocasionada por la Covid-19 es singular en varios aspectos, y es probable que sea la más profunda para las economías avanzadas desde la Segunda Guerra Mundial y la primera contracción del producto en las economías emergentes y en desarrollo en al </w:t>
      </w:r>
      <w:r>
        <w:rPr>
          <w:rFonts w:ascii="Times New Roman" w:hAnsi="Times New Roman" w:cs="Times New Roman"/>
          <w:b/>
          <w:color w:val="FF0000"/>
          <w:sz w:val="24"/>
          <w:szCs w:val="24"/>
          <w:u w:val="single"/>
        </w:rPr>
        <w:t>menos los últimos seis decenios”</w:t>
      </w:r>
      <w:r w:rsidRPr="00951820">
        <w:rPr>
          <w:rFonts w:ascii="Times New Roman" w:hAnsi="Times New Roman" w:cs="Times New Roman"/>
          <w:b/>
          <w:color w:val="FF0000"/>
          <w:sz w:val="24"/>
          <w:szCs w:val="24"/>
          <w:u w:val="single"/>
        </w:rPr>
        <w:t>, dijo Ayhan Kose, director del Grupo de Perspectivas del Banco Mundial.</w:t>
      </w:r>
    </w:p>
    <w:p w:rsidR="006E5D75" w:rsidRPr="00951820" w:rsidRDefault="006E5D75" w:rsidP="006E5D7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951820">
        <w:rPr>
          <w:rFonts w:ascii="Times New Roman" w:hAnsi="Times New Roman" w:cs="Times New Roman"/>
          <w:color w:val="FF0000"/>
          <w:sz w:val="24"/>
          <w:szCs w:val="24"/>
          <w:u w:val="single"/>
        </w:rPr>
        <w:t xml:space="preserve">No existen registros de correcciones a la baja tan súbitas y drásticas de los pronósticos de crecimiento mundial como las que se han visto en la época actual. Si el pasado sirve como referencia, los pronósticos podrían empeorar aún más, lo que implica que los encargados de </w:t>
      </w:r>
      <w:r w:rsidRPr="00951820">
        <w:rPr>
          <w:rFonts w:ascii="Times New Roman" w:hAnsi="Times New Roman" w:cs="Times New Roman"/>
          <w:color w:val="FF0000"/>
          <w:sz w:val="24"/>
          <w:szCs w:val="24"/>
          <w:u w:val="single"/>
        </w:rPr>
        <w:lastRenderedPageBreak/>
        <w:t>formular políticas deben prepararse para la posibilidad de tener que adoptar medidas adici</w:t>
      </w:r>
      <w:r>
        <w:rPr>
          <w:rFonts w:ascii="Times New Roman" w:hAnsi="Times New Roman" w:cs="Times New Roman"/>
          <w:color w:val="FF0000"/>
          <w:sz w:val="24"/>
          <w:szCs w:val="24"/>
          <w:u w:val="single"/>
        </w:rPr>
        <w:t>onales para apoyar la actividad”</w:t>
      </w:r>
      <w:r w:rsidRPr="00951820">
        <w:rPr>
          <w:rFonts w:ascii="Times New Roman" w:hAnsi="Times New Roman" w:cs="Times New Roman"/>
          <w:color w:val="FF0000"/>
          <w:sz w:val="24"/>
          <w:szCs w:val="24"/>
          <w:u w:val="single"/>
        </w:rPr>
        <w:t>, añadió.</w:t>
      </w:r>
    </w:p>
    <w:p w:rsidR="006E5D75" w:rsidRPr="00951820" w:rsidRDefault="006E5D75" w:rsidP="006E5D75">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En su último informe Perspectivas Económicas Globales, el Banco Mundial detalla que el crecimiento de las economías avanzadas se desplomará un 7% en 2020 mientras que en los países emergentes tan solo lo hará un 2,5%, su primera caída en la serie histórica (que comienza en 1960)</w:t>
      </w:r>
    </w:p>
    <w:p w:rsidR="006E5D75" w:rsidRPr="00951820" w:rsidRDefault="006E5D75" w:rsidP="006E5D75">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Entre las principales economías mundiales, la zona euro será la que muestre una peor evolución este año, con una caída del PIB estimada del 9,1% ante el peso que el sector turístico tiene en numerosas economías del bloque, mientras que las medidas de expansión monetaria aplicadas por el Banco Central Europeo y los estímulos fiscales permitirán un rebote del 4,5% en 2021.</w:t>
      </w:r>
    </w:p>
    <w:p w:rsidR="006E5D75" w:rsidRPr="00951820" w:rsidRDefault="006E5D75" w:rsidP="006E5D75">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 el caso de Estados Unidos, el Banco Mundial prevé una contracción de la actividad en 2020 del 6,1%, seguida de una recuperación del 4% el próximo año, mientras que para China, la institución internacional anticipa un crecimiento del 1% en 2020 y una expansión el próximo año del 6,9%.</w:t>
      </w:r>
    </w:p>
    <w:p w:rsidR="006E5D75" w:rsidRPr="00951820" w:rsidRDefault="006E5D75" w:rsidP="006E5D75">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Según los pronósticos de base de la institución, en 2021 el crecimiento de las economías avanzadas repuntaría un 3,9% y un 4,6% para los países en desarrollo.</w:t>
      </w:r>
    </w:p>
    <w:p w:rsidR="006E5D75" w:rsidRPr="0064575B"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Sin embargo, el Banco Mundial subraya que las perspectivas son sumamente inciertas y predominan los riesgos de que la situación empeore, debido, por ejemplo, a la posibilidad de que la pandemia se prolongue por más tiempo, que ocurran turbulencias financieras o de que se produzca un repliegue del comercio internacional.</w:t>
      </w:r>
    </w:p>
    <w:p w:rsidR="006E5D75"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Bajo esta hipótesis menos halagüeña, la economía mundial podría contraerse hasta un 8% este año, para recuperarse apenas por encima de un 1% en 2021, en tanto que el producto de los países en desarrollo disminuiría casi un 5% este año y un 10% el de las economías avanzadas. Por contra, en un escenario optimista, el PIB mundial caería en 2020 un 4% para recuperarse más de un 5% el próximo año.</w:t>
      </w:r>
    </w:p>
    <w:p w:rsidR="006E5D75" w:rsidRPr="0064575B"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rPr>
        <w:t>¿</w:t>
      </w:r>
      <w:r w:rsidRPr="002E0696">
        <w:rPr>
          <w:rFonts w:ascii="Times New Roman" w:hAnsi="Times New Roman" w:cs="Times New Roman"/>
          <w:sz w:val="24"/>
          <w:szCs w:val="24"/>
          <w:u w:val="single"/>
        </w:rPr>
        <w:t>Qué ha cambiado con 2008? En unas semanas se ha logrado lo que en la anterior crisis llevó años</w:t>
      </w:r>
      <w:r>
        <w:rPr>
          <w:rFonts w:ascii="Times New Roman" w:hAnsi="Times New Roman" w:cs="Times New Roman"/>
          <w:sz w:val="24"/>
          <w:szCs w:val="24"/>
        </w:rPr>
        <w:t xml:space="preserve"> (El Economista - </w:t>
      </w:r>
      <w:r w:rsidRPr="002E0696">
        <w:rPr>
          <w:rFonts w:ascii="Times New Roman" w:hAnsi="Times New Roman" w:cs="Times New Roman"/>
          <w:b/>
          <w:sz w:val="24"/>
          <w:szCs w:val="24"/>
        </w:rPr>
        <w:t>8/6/20</w:t>
      </w:r>
      <w:r>
        <w:rPr>
          <w:rFonts w:ascii="Times New Roman" w:hAnsi="Times New Roman" w:cs="Times New Roman"/>
          <w:sz w:val="24"/>
          <w:szCs w:val="24"/>
        </w:rPr>
        <w:t>)</w:t>
      </w:r>
    </w:p>
    <w:p w:rsidR="006E5D75" w:rsidRPr="0064575B"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Las medidas clave de bancos y gobiernos han llegado en cuestión de semanas</w:t>
      </w:r>
    </w:p>
    <w:p w:rsidR="006E5D75" w:rsidRPr="0064575B"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Los bancos centrales han dirigido la liquidez hacia las empresas</w:t>
      </w:r>
    </w:p>
    <w:p w:rsidR="006E5D75" w:rsidRDefault="006E5D75" w:rsidP="006E5D75">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Los gobiernos han apostado por ampliar sus redes de protección social</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Las crisis económicas son un trago duro para millones de personas que se ven afectadas de forma directa e indirecta. Sin embargo, cada recesión económica también puede ser una lección para el futuro, un aprendizaje que puede marcar la diferencia. Por ejemplo, en esta ocasión gobiernos y banca central han reaccionado con una intensidad sin precedentes y sin límites aparentes (al menos en el lenguaje) al impacto causado por el coronavirus. </w:t>
      </w:r>
      <w:r w:rsidRPr="00951820">
        <w:rPr>
          <w:rFonts w:ascii="Times New Roman" w:hAnsi="Times New Roman" w:cs="Times New Roman"/>
          <w:color w:val="FF0000"/>
          <w:sz w:val="24"/>
          <w:szCs w:val="24"/>
          <w:u w:val="single"/>
        </w:rPr>
        <w:t xml:space="preserve">Las políticas que tardaron en desplegarse años durante la crisis de 2007-2008, ahora se han puesto en marcha en cuestión de semanas.Además, una parte de estas medidas se ha modificado para que sus efectos lleguen casi de forma directa a la población y las empresas más afectadas. </w:t>
      </w:r>
      <w:r w:rsidRPr="00951820">
        <w:rPr>
          <w:rFonts w:ascii="Times New Roman" w:hAnsi="Times New Roman" w:cs="Times New Roman"/>
          <w:b/>
          <w:color w:val="FF0000"/>
          <w:sz w:val="24"/>
          <w:szCs w:val="24"/>
          <w:u w:val="single"/>
        </w:rPr>
        <w:t>Este cambio se puede ver reflejado en el crecimiento de la oferta monetaria (medida por el agregado monetario M3) que crece al mayor ritmo de los últimos doce años.</w:t>
      </w:r>
      <w:r w:rsidRPr="00951820">
        <w:rPr>
          <w:rFonts w:ascii="Times New Roman" w:hAnsi="Times New Roman" w:cs="Times New Roman"/>
          <w:color w:val="FF0000"/>
          <w:sz w:val="24"/>
          <w:szCs w:val="24"/>
          <w:u w:val="single"/>
        </w:rPr>
        <w:t xml:space="preserve">El crédito está fluyendo hacia las empresas más necesitadas, mientras que el gasto público de los </w:t>
      </w:r>
      <w:r w:rsidRPr="00951820">
        <w:rPr>
          <w:rFonts w:ascii="Times New Roman" w:hAnsi="Times New Roman" w:cs="Times New Roman"/>
          <w:color w:val="FF0000"/>
          <w:sz w:val="24"/>
          <w:szCs w:val="24"/>
          <w:u w:val="single"/>
        </w:rPr>
        <w:lastRenderedPageBreak/>
        <w:t>gobiernos está llegando directamente a las manos de los ciudadanos más vulnerables, a la par que las primas de riesgo se mantienen a raya en Europa con la decisiva intervención del banco central</w:t>
      </w:r>
      <w:r w:rsidRPr="002E0696">
        <w:rPr>
          <w:rFonts w:ascii="Times New Roman" w:hAnsi="Times New Roman" w:cs="Times New Roman"/>
          <w:sz w:val="24"/>
          <w:szCs w:val="24"/>
        </w:rPr>
        <w:t xml:space="preserve">. Pese a que esta recesión económica no tiene precedentes en la economía moderna, el trago podría terminar siendo menos </w:t>
      </w:r>
      <w:r>
        <w:rPr>
          <w:rFonts w:ascii="Times New Roman" w:hAnsi="Times New Roman" w:cs="Times New Roman"/>
          <w:sz w:val="24"/>
          <w:szCs w:val="24"/>
        </w:rPr>
        <w:t>duro gracias a estas políticas.</w:t>
      </w:r>
    </w:p>
    <w:p w:rsidR="006E5D75" w:rsidRPr="00951820" w:rsidRDefault="006E5D75" w:rsidP="006E5D75">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Así lo remarca el Banco Internacional de Pagos (BiS) en un documento en el que analiza las respuesta</w:t>
      </w:r>
      <w:r>
        <w:rPr>
          <w:rFonts w:ascii="Times New Roman" w:hAnsi="Times New Roman" w:cs="Times New Roman"/>
          <w:color w:val="FF0000"/>
          <w:sz w:val="24"/>
          <w:szCs w:val="24"/>
          <w:u w:val="single"/>
        </w:rPr>
        <w:t>s a la crisis del coronavirus. “</w:t>
      </w:r>
      <w:r w:rsidRPr="00951820">
        <w:rPr>
          <w:rFonts w:ascii="Times New Roman" w:hAnsi="Times New Roman" w:cs="Times New Roman"/>
          <w:color w:val="FF0000"/>
          <w:sz w:val="24"/>
          <w:szCs w:val="24"/>
          <w:u w:val="single"/>
        </w:rPr>
        <w:t>La capacidad de aprovechar las lecciones aprendidas de la Gran Crisis Financiera (GFC, por sus siglas en inglés) de 2007-09 ha facilitado la rápida intervención de los bancos centrales. Las medidas políticas (monetarias y fiscales) implementadas entre 2007 y 2015 solo han necesitado de unas pocas semanas para implementar</w:t>
      </w:r>
      <w:r>
        <w:rPr>
          <w:rFonts w:ascii="Times New Roman" w:hAnsi="Times New Roman" w:cs="Times New Roman"/>
          <w:color w:val="FF0000"/>
          <w:sz w:val="24"/>
          <w:szCs w:val="24"/>
          <w:u w:val="single"/>
        </w:rPr>
        <w:t>se como respuesta a la pandemia”</w:t>
      </w:r>
      <w:r w:rsidRPr="00951820">
        <w:rPr>
          <w:rFonts w:ascii="Times New Roman" w:hAnsi="Times New Roman" w:cs="Times New Roman"/>
          <w:color w:val="FF0000"/>
          <w:sz w:val="24"/>
          <w:szCs w:val="24"/>
          <w:u w:val="single"/>
        </w:rPr>
        <w:t>.</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Primero los tipos...</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El principio ha sido similar, aunque a una velocidad muy superior. Cuando el sentimiento comenzó a cambiar en marzo y se pudo ver que el coronavirus iba a tene</w:t>
      </w:r>
      <w:r>
        <w:rPr>
          <w:rFonts w:ascii="Times New Roman" w:hAnsi="Times New Roman" w:cs="Times New Roman"/>
          <w:sz w:val="24"/>
          <w:szCs w:val="24"/>
        </w:rPr>
        <w:t>r un impacto global comenzó el “baile”</w:t>
      </w:r>
      <w:r w:rsidRPr="002E0696">
        <w:rPr>
          <w:rFonts w:ascii="Times New Roman" w:hAnsi="Times New Roman" w:cs="Times New Roman"/>
          <w:sz w:val="24"/>
          <w:szCs w:val="24"/>
        </w:rPr>
        <w:t xml:space="preserve">. Como es habitual durante las crisis, </w:t>
      </w:r>
      <w:r w:rsidRPr="00951820">
        <w:rPr>
          <w:rFonts w:ascii="Times New Roman" w:hAnsi="Times New Roman" w:cs="Times New Roman"/>
          <w:color w:val="FF0000"/>
          <w:sz w:val="24"/>
          <w:szCs w:val="24"/>
          <w:u w:val="single"/>
        </w:rPr>
        <w:t>la primera medida fue una reducción de los tipos de interés para aliviar los costes de financiación y respaldar la demanda agregada.</w:t>
      </w:r>
      <w:r w:rsidRPr="002E0696">
        <w:rPr>
          <w:rFonts w:ascii="Times New Roman" w:hAnsi="Times New Roman" w:cs="Times New Roman"/>
          <w:sz w:val="24"/>
          <w:szCs w:val="24"/>
        </w:rPr>
        <w:t>Excepto en Japón y la zona del euro, donde los tipos de interés ya se encontraban en territorio negativo, las tipos se han reducido para alcanzar su límite inferior en menos de un mes, mucho</w:t>
      </w:r>
      <w:r>
        <w:rPr>
          <w:rFonts w:ascii="Times New Roman" w:hAnsi="Times New Roman" w:cs="Times New Roman"/>
          <w:sz w:val="24"/>
          <w:szCs w:val="24"/>
        </w:rPr>
        <w:t xml:space="preserve"> más rápido que durante el GFC.</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 Después inyecciones teledirigidas </w:t>
      </w:r>
    </w:p>
    <w:p w:rsidR="006E5D75" w:rsidRPr="002E0696" w:rsidRDefault="006E5D75" w:rsidP="006E5D75">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Además, estos recortes de tipos han venido acompañados de grandes inyecciones de liquidez teledirigidas hacia la economía real, en un intento por evitar que estas operaciones se quedaran atascadas en los canales de transmisión (la banca principalmente) como ocurrió en el pasado.</w:t>
      </w:r>
      <w:r w:rsidRPr="002E0696">
        <w:rPr>
          <w:rFonts w:ascii="Times New Roman" w:hAnsi="Times New Roman" w:cs="Times New Roman"/>
          <w:sz w:val="24"/>
          <w:szCs w:val="24"/>
        </w:rPr>
        <w:t xml:space="preserve">Estas políticas han venido acompañadas por los vastos sistemas de avales de crédito de los gobiernos, que han animado a que los préstamos fluyesen </w:t>
      </w:r>
      <w:r>
        <w:rPr>
          <w:rFonts w:ascii="Times New Roman" w:hAnsi="Times New Roman" w:cs="Times New Roman"/>
          <w:sz w:val="24"/>
          <w:szCs w:val="24"/>
        </w:rPr>
        <w:t>hacia donde era más necesarios.</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E0696">
        <w:rPr>
          <w:rFonts w:ascii="Times New Roman" w:hAnsi="Times New Roman" w:cs="Times New Roman"/>
          <w:sz w:val="24"/>
          <w:szCs w:val="24"/>
        </w:rPr>
        <w:t xml:space="preserve">La gran diferencia en la respuesta de los bancos centrales al Covid-19 ha sido el uso de medidas diseñadas para apoyar el flujo de crédito a los hogares y empresas. </w:t>
      </w:r>
      <w:r w:rsidRPr="00132BD6">
        <w:rPr>
          <w:rFonts w:ascii="Times New Roman" w:hAnsi="Times New Roman" w:cs="Times New Roman"/>
          <w:sz w:val="24"/>
          <w:szCs w:val="24"/>
          <w:u w:val="single"/>
        </w:rPr>
        <w:t>Su despliegue ha sido más directo y de mayor alcance que durante el GFC</w:t>
      </w:r>
      <w:r w:rsidRPr="002E0696">
        <w:rPr>
          <w:rFonts w:ascii="Times New Roman" w:hAnsi="Times New Roman" w:cs="Times New Roman"/>
          <w:sz w:val="24"/>
          <w:szCs w:val="24"/>
        </w:rPr>
        <w:t xml:space="preserve">. </w:t>
      </w:r>
      <w:r w:rsidRPr="00132BD6">
        <w:rPr>
          <w:rFonts w:ascii="Times New Roman" w:hAnsi="Times New Roman" w:cs="Times New Roman"/>
          <w:sz w:val="24"/>
          <w:szCs w:val="24"/>
          <w:u w:val="single"/>
        </w:rPr>
        <w:t>Por el contrario, aunque el apoyo con liquidez al sector financiero fue considerable durante el GFC, ha desempeñado un papel más limitado hasta el momento durante la pandemia de Covid-19</w:t>
      </w:r>
      <w:r>
        <w:rPr>
          <w:rFonts w:ascii="Times New Roman" w:hAnsi="Times New Roman" w:cs="Times New Roman"/>
          <w:sz w:val="24"/>
          <w:szCs w:val="24"/>
        </w:rPr>
        <w:t>”</w:t>
      </w:r>
      <w:r w:rsidRPr="002E0696">
        <w:rPr>
          <w:rFonts w:ascii="Times New Roman" w:hAnsi="Times New Roman" w:cs="Times New Roman"/>
          <w:sz w:val="24"/>
          <w:szCs w:val="24"/>
        </w:rPr>
        <w:t>, comentan Paolo Cavallino y Fiorella De Fiore, economistas del BiS.</w:t>
      </w:r>
    </w:p>
    <w:p w:rsidR="006E5D75" w:rsidRPr="002E0696"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2802" cy="2494429"/>
            <wp:effectExtent l="0" t="0" r="1270" b="1270"/>
            <wp:docPr id="78" name="Imagen 78" descr="https://s03.s3c.es/imag/_v0/770x504/e/6/a/crecimiento-agregado-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4/e/6/a/crecimiento-agregado-M3.jp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93867"/>
                    </a:xfrm>
                    <a:prstGeom prst="rect">
                      <a:avLst/>
                    </a:prstGeom>
                    <a:noFill/>
                    <a:ln>
                      <a:noFill/>
                    </a:ln>
                  </pic:spPr>
                </pic:pic>
              </a:graphicData>
            </a:graphic>
          </wp:inline>
        </w:drawing>
      </w:r>
    </w:p>
    <w:p w:rsidR="006E5D75" w:rsidRPr="002E0696" w:rsidRDefault="006E5D75" w:rsidP="006E5D75">
      <w:pPr>
        <w:spacing w:line="240" w:lineRule="auto"/>
        <w:jc w:val="both"/>
        <w:rPr>
          <w:rFonts w:ascii="Times New Roman" w:hAnsi="Times New Roman" w:cs="Times New Roman"/>
          <w:sz w:val="24"/>
          <w:szCs w:val="24"/>
        </w:rPr>
      </w:pPr>
      <w:r w:rsidRPr="00132BD6">
        <w:rPr>
          <w:rFonts w:ascii="Times New Roman" w:hAnsi="Times New Roman" w:cs="Times New Roman"/>
          <w:b/>
          <w:color w:val="FF0000"/>
          <w:sz w:val="24"/>
          <w:szCs w:val="24"/>
          <w:u w:val="single"/>
        </w:rPr>
        <w:lastRenderedPageBreak/>
        <w:t>Teniendo en cuenta los movimientos del Banco Central Europeo, el Banco de Japón, el de Inglaterra, Canadá y la Reserva Federal de EEUU y el Banco, se espera que las medidas diseñadas para proporcionar crédito al sector privado (no financiero) durante la pandemia del Covid-19 incrementen los balances de los bancos centrales en un 6,3% del PIB de media, frente al 2,5% de la GFC</w:t>
      </w:r>
      <w:r w:rsidRPr="002E0696">
        <w:rPr>
          <w:rFonts w:ascii="Times New Roman" w:hAnsi="Times New Roman" w:cs="Times New Roman"/>
          <w:sz w:val="24"/>
          <w:szCs w:val="24"/>
        </w:rPr>
        <w:t>. Hasta ahora, los préstamos de liquidez de emergencia a los bancos, que representan la función tradicional de prestamista de último recurso de los bancos centrales, han sido en m</w:t>
      </w:r>
      <w:r>
        <w:rPr>
          <w:rFonts w:ascii="Times New Roman" w:hAnsi="Times New Roman" w:cs="Times New Roman"/>
          <w:sz w:val="24"/>
          <w:szCs w:val="24"/>
        </w:rPr>
        <w:t>enor escala que durante el GFC.</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Coordinación en Europa</w:t>
      </w:r>
    </w:p>
    <w:p w:rsidR="006E5D75" w:rsidRPr="002E0696" w:rsidRDefault="006E5D75" w:rsidP="006E5D75">
      <w:pPr>
        <w:spacing w:line="240" w:lineRule="auto"/>
        <w:jc w:val="both"/>
        <w:rPr>
          <w:rFonts w:ascii="Times New Roman" w:hAnsi="Times New Roman" w:cs="Times New Roman"/>
          <w:sz w:val="24"/>
          <w:szCs w:val="24"/>
        </w:rPr>
      </w:pPr>
      <w:r w:rsidRPr="00132BD6">
        <w:rPr>
          <w:rFonts w:ascii="Times New Roman" w:hAnsi="Times New Roman" w:cs="Times New Roman"/>
          <w:sz w:val="24"/>
          <w:szCs w:val="24"/>
          <w:u w:val="single"/>
        </w:rPr>
        <w:t>Los gobiernos de Europa, por ejemplo, han aprobado vastos sistemas de trabajo a corto plazo (en España a través de los ERTE) para mantener el empleo. El leve aumento de la tasa de paro en Europa se debe al uso coordinado de estos esquemas para reducir las horas de trabajo de forma temporal en las economías más grandes de la región</w:t>
      </w:r>
      <w:r w:rsidRPr="002E0696">
        <w:rPr>
          <w:rFonts w:ascii="Times New Roman" w:hAnsi="Times New Roman" w:cs="Times New Roman"/>
          <w:sz w:val="24"/>
          <w:szCs w:val="24"/>
        </w:rPr>
        <w:t xml:space="preserve">. Los países europeos se han coordinado para poner en marcha estos esquemas como una alternativa a los despidos masivos que se están produciendo en otros países. </w:t>
      </w:r>
      <w:r w:rsidRPr="00132BD6">
        <w:rPr>
          <w:rFonts w:ascii="Times New Roman" w:hAnsi="Times New Roman" w:cs="Times New Roman"/>
          <w:sz w:val="24"/>
          <w:szCs w:val="24"/>
          <w:u w:val="single"/>
        </w:rPr>
        <w:t>De esta forma, los gobiernos tienen que asumir una parte importante del coste (un porcentaje de la reducción de horas trabajadas), pero se garantiza que los trabajadores volverán a sus puestos cuando la situación haya mejorado. Esto ha permitido que millones de personas mantengan sus trabajos, lo que podría estar impulsando el consumo ahora que la economía comienza a reabrir sus puertas</w:t>
      </w:r>
      <w:r w:rsidRPr="002E0696">
        <w:rPr>
          <w:rFonts w:ascii="Times New Roman" w:hAnsi="Times New Roman" w:cs="Times New Roman"/>
          <w:sz w:val="24"/>
          <w:szCs w:val="24"/>
        </w:rPr>
        <w:t>. Estas políticas coordinadas pueden impulsar la recuperación económica y disminuir los daños en el mercado la</w:t>
      </w:r>
      <w:r>
        <w:rPr>
          <w:rFonts w:ascii="Times New Roman" w:hAnsi="Times New Roman" w:cs="Times New Roman"/>
          <w:sz w:val="24"/>
          <w:szCs w:val="24"/>
        </w:rPr>
        <w:t>boral y la economía en general.</w:t>
      </w:r>
    </w:p>
    <w:p w:rsidR="006E5D75" w:rsidRPr="00132BD6" w:rsidRDefault="006E5D75" w:rsidP="006E5D75">
      <w:pPr>
        <w:spacing w:line="240" w:lineRule="auto"/>
        <w:jc w:val="both"/>
        <w:rPr>
          <w:rFonts w:ascii="Times New Roman" w:hAnsi="Times New Roman" w:cs="Times New Roman"/>
          <w:color w:val="FF0000"/>
          <w:sz w:val="24"/>
          <w:szCs w:val="24"/>
          <w:u w:val="single"/>
        </w:rPr>
      </w:pPr>
      <w:r w:rsidRPr="00132BD6">
        <w:rPr>
          <w:rFonts w:ascii="Times New Roman" w:hAnsi="Times New Roman" w:cs="Times New Roman"/>
          <w:color w:val="FF0000"/>
          <w:sz w:val="24"/>
          <w:szCs w:val="24"/>
          <w:u w:val="single"/>
        </w:rPr>
        <w:t>Los bancos centrales a su vez ha apoyado, aunque sea de forma indirecta (mercado secundario), la expansión fiscal de muchos gobiernos, a través de las medidas adoptadas que pretenden garantizar el logro de sus objetivos (inflación y pleno empleo) han reducido los costes para pagar la deuda pública y privada</w:t>
      </w:r>
      <w:r w:rsidRPr="00132BD6">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132BD6">
        <w:rPr>
          <w:rFonts w:ascii="Times New Roman" w:hAnsi="Times New Roman" w:cs="Times New Roman"/>
          <w:color w:val="FF0000"/>
          <w:sz w:val="24"/>
          <w:szCs w:val="24"/>
          <w:u w:val="single"/>
        </w:rPr>
        <w:t xml:space="preserve">Los recortes de los tipos de interés, las operaciones de préstamo y los programas de compra de activos públicos han sido fundamentales a este respecto. Estas medidas también han asegurado que la emisión a gran escala de bonos soberanos se produzca sin perjudicar el funcionamiento adecuado de estos mercados. En general, la política fiscal y monetaria se han apoyado mutuamente en la búsqueda de la estabilidad macroeconómica, un objetivo que generalmente se encuentra en el centro del </w:t>
      </w:r>
      <w:r>
        <w:rPr>
          <w:rFonts w:ascii="Times New Roman" w:hAnsi="Times New Roman" w:cs="Times New Roman"/>
          <w:color w:val="FF0000"/>
          <w:sz w:val="24"/>
          <w:szCs w:val="24"/>
          <w:u w:val="single"/>
        </w:rPr>
        <w:t>mandato de los bancos centrales”</w:t>
      </w:r>
      <w:r w:rsidRPr="00132BD6">
        <w:rPr>
          <w:rFonts w:ascii="Times New Roman" w:hAnsi="Times New Roman" w:cs="Times New Roman"/>
          <w:color w:val="FF0000"/>
          <w:sz w:val="24"/>
          <w:szCs w:val="24"/>
          <w:u w:val="single"/>
        </w:rPr>
        <w:t>, destaca el BiS.</w:t>
      </w:r>
    </w:p>
    <w:p w:rsidR="006E5D75" w:rsidRPr="00132BD6" w:rsidRDefault="006E5D75" w:rsidP="006E5D75">
      <w:pPr>
        <w:spacing w:line="240" w:lineRule="auto"/>
        <w:jc w:val="both"/>
        <w:rPr>
          <w:rFonts w:ascii="Times New Roman" w:hAnsi="Times New Roman" w:cs="Times New Roman"/>
          <w:color w:val="FF0000"/>
          <w:sz w:val="24"/>
          <w:szCs w:val="24"/>
          <w:u w:val="single"/>
        </w:rPr>
      </w:pPr>
      <w:r w:rsidRPr="002E0696">
        <w:rPr>
          <w:rFonts w:ascii="Times New Roman" w:hAnsi="Times New Roman" w:cs="Times New Roman"/>
          <w:sz w:val="24"/>
          <w:szCs w:val="24"/>
        </w:rPr>
        <w:t>Todas estas políticas están teniendo repercusión en la oferta monetaria, que llevaba años presentando un crecimiento anormalmente bajo. Este indicador se suele analizar por el agregado monetario M3 en la zona euro, que es el más amplio de todos. Para comprender un poco mejor cómo funcionan estos agregados, desde el Ban</w:t>
      </w:r>
      <w:r>
        <w:rPr>
          <w:rFonts w:ascii="Times New Roman" w:hAnsi="Times New Roman" w:cs="Times New Roman"/>
          <w:sz w:val="24"/>
          <w:szCs w:val="24"/>
        </w:rPr>
        <w:t xml:space="preserve">co de España explican que el </w:t>
      </w:r>
      <w:r w:rsidRPr="002E0696">
        <w:rPr>
          <w:rFonts w:ascii="Times New Roman" w:hAnsi="Times New Roman" w:cs="Times New Roman"/>
          <w:sz w:val="24"/>
          <w:szCs w:val="24"/>
        </w:rPr>
        <w:t xml:space="preserve">M1 está compuesto por los billetes y monedas en circulación (efectivo en circulación) y por los depósitos a la vista; el M2 es el M1, más los depósitos a plazo de hasta dos años y los depósitos disponibles con preaviso de hasta tres meses; y el M3 es el M2 más las cesiones temporales, las participaciones en fondos del mercado monetario e instrumentos del mercado monetario y los valores de renta fija de hasta dos años, emitidos por las instituciones financieras monetarias. </w:t>
      </w:r>
      <w:r w:rsidRPr="00132BD6">
        <w:rPr>
          <w:rFonts w:ascii="Times New Roman" w:hAnsi="Times New Roman" w:cs="Times New Roman"/>
          <w:color w:val="FF0000"/>
          <w:sz w:val="24"/>
          <w:szCs w:val="24"/>
          <w:u w:val="single"/>
        </w:rPr>
        <w:t>El agregado monetario M3 es el más estable, por ello, ha sido el elegido por el Eurosistema, dentro de su estrategia de política monetaria, para definir un valor de referencia para el crecimiento del dinero.</w:t>
      </w:r>
    </w:p>
    <w:p w:rsidR="006E5D75" w:rsidRPr="002E0696" w:rsidRDefault="006E5D75" w:rsidP="006E5D75">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El fuerte crecimiento del M3</w:t>
      </w:r>
    </w:p>
    <w:p w:rsidR="006E5D75" w:rsidRPr="00132BD6" w:rsidRDefault="006E5D75" w:rsidP="006E5D75">
      <w:pPr>
        <w:spacing w:line="240" w:lineRule="auto"/>
        <w:jc w:val="both"/>
        <w:rPr>
          <w:rFonts w:ascii="Times New Roman" w:hAnsi="Times New Roman" w:cs="Times New Roman"/>
          <w:sz w:val="24"/>
          <w:szCs w:val="24"/>
          <w:u w:val="single"/>
        </w:rPr>
      </w:pPr>
      <w:r w:rsidRPr="00132BD6">
        <w:rPr>
          <w:rFonts w:ascii="Times New Roman" w:hAnsi="Times New Roman" w:cs="Times New Roman"/>
          <w:b/>
          <w:color w:val="FF0000"/>
          <w:sz w:val="24"/>
          <w:szCs w:val="24"/>
          <w:u w:val="single"/>
        </w:rPr>
        <w:t>Este agregado ha presentado un crecimiento interanual del 8,3% en abril, el más elevado desde septiembre de 2008</w:t>
      </w:r>
      <w:r w:rsidRPr="002E0696">
        <w:rPr>
          <w:rFonts w:ascii="Times New Roman" w:hAnsi="Times New Roman" w:cs="Times New Roman"/>
          <w:sz w:val="24"/>
          <w:szCs w:val="24"/>
        </w:rPr>
        <w:t xml:space="preserve">. Esto es una buena señal aunque parte del crecimiento se debe a las fuertes demandas de créditos blandos de las empresas durante lo peor de la crisis </w:t>
      </w:r>
      <w:r w:rsidRPr="002E0696">
        <w:rPr>
          <w:rFonts w:ascii="Times New Roman" w:hAnsi="Times New Roman" w:cs="Times New Roman"/>
          <w:sz w:val="24"/>
          <w:szCs w:val="24"/>
        </w:rPr>
        <w:lastRenderedPageBreak/>
        <w:t xml:space="preserve">para sobrevivir. </w:t>
      </w:r>
      <w:r w:rsidRPr="00132BD6">
        <w:rPr>
          <w:rFonts w:ascii="Times New Roman" w:hAnsi="Times New Roman" w:cs="Times New Roman"/>
          <w:sz w:val="24"/>
          <w:szCs w:val="24"/>
          <w:u w:val="single"/>
        </w:rPr>
        <w:t>No obstante, también indica que el crédito ha llegado a la economía real, frente a 2008 que se quedó en el sistema bancario, también porque la naturaleza de aquella crisis fue bancaria y financiera.</w:t>
      </w:r>
    </w:p>
    <w:p w:rsidR="006E5D75" w:rsidRPr="00132BD6" w:rsidRDefault="006E5D75" w:rsidP="006E5D75">
      <w:pPr>
        <w:spacing w:line="240" w:lineRule="auto"/>
        <w:jc w:val="both"/>
        <w:rPr>
          <w:rFonts w:ascii="Times New Roman" w:hAnsi="Times New Roman" w:cs="Times New Roman"/>
          <w:sz w:val="24"/>
          <w:szCs w:val="24"/>
          <w:u w:val="single"/>
        </w:rPr>
      </w:pPr>
      <w:r w:rsidRPr="002E0696">
        <w:rPr>
          <w:rFonts w:ascii="Times New Roman" w:hAnsi="Times New Roman" w:cs="Times New Roman"/>
          <w:sz w:val="24"/>
          <w:szCs w:val="24"/>
        </w:rPr>
        <w:t xml:space="preserve">La tasa de crecimiento de este agregado era de alrededor del 5% en los años previos a la pandemia. </w:t>
      </w:r>
      <w:r w:rsidRPr="00132BD6">
        <w:rPr>
          <w:rFonts w:ascii="Times New Roman" w:hAnsi="Times New Roman" w:cs="Times New Roman"/>
          <w:sz w:val="24"/>
          <w:szCs w:val="24"/>
          <w:u w:val="single"/>
        </w:rPr>
        <w:t>Hay tres razones para la recuperación del crecimiento de la oferta monetaria, que explica Jörg Krämer, economista de Commerzbank.</w:t>
      </w:r>
    </w:p>
    <w:p w:rsidR="006E5D75" w:rsidRPr="002E0696" w:rsidRDefault="006E5D75" w:rsidP="006E5D75">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-Más préstamos a empresas</w:t>
      </w:r>
      <w:r w:rsidRPr="002E0696">
        <w:rPr>
          <w:rFonts w:ascii="Times New Roman" w:hAnsi="Times New Roman" w:cs="Times New Roman"/>
          <w:sz w:val="24"/>
          <w:szCs w:val="24"/>
        </w:rPr>
        <w:t>: para sobrevivir a la recesión económica, las empresas de la zona euro necesitan más préstamos bancarios. La tasa de crecimiento de los préstamos a empresas aumentó al 6,6% en abril, después de fluctuar alrededor del 3% antes de la crisis. Si las empresas usan el dinero para pagar facturas, entra en circulación</w:t>
      </w:r>
      <w:r>
        <w:rPr>
          <w:rFonts w:ascii="Times New Roman" w:hAnsi="Times New Roman" w:cs="Times New Roman"/>
          <w:sz w:val="24"/>
          <w:szCs w:val="24"/>
        </w:rPr>
        <w:t xml:space="preserve"> y la oferta de dinero aumenta.</w:t>
      </w:r>
    </w:p>
    <w:p w:rsidR="006E5D75" w:rsidRPr="002E0696" w:rsidRDefault="006E5D75" w:rsidP="006E5D75">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-Mayores déficits públicos</w:t>
      </w:r>
      <w:r w:rsidRPr="002E0696">
        <w:rPr>
          <w:rFonts w:ascii="Times New Roman" w:hAnsi="Times New Roman" w:cs="Times New Roman"/>
          <w:sz w:val="24"/>
          <w:szCs w:val="24"/>
        </w:rPr>
        <w:t xml:space="preserve">: no solo las necesidades de crédito de las empresas, sino también las de los estados están aumentando enormemente debido a la crisis. </w:t>
      </w:r>
      <w:r w:rsidRPr="00132BD6">
        <w:rPr>
          <w:rFonts w:ascii="Times New Roman" w:hAnsi="Times New Roman" w:cs="Times New Roman"/>
          <w:sz w:val="24"/>
          <w:szCs w:val="24"/>
          <w:u w:val="single"/>
        </w:rPr>
        <w:t>Es probable que los déficits presupuestarios de los Estados miembros del euro aumenten este año del 0,8% a casi el 10% del PIB</w:t>
      </w:r>
      <w:r w:rsidRPr="002E0696">
        <w:rPr>
          <w:rFonts w:ascii="Times New Roman" w:hAnsi="Times New Roman" w:cs="Times New Roman"/>
          <w:sz w:val="24"/>
          <w:szCs w:val="24"/>
        </w:rPr>
        <w:t xml:space="preserve">. Algunos de los déficits están siendo financiados por los bancos, por ejemplo comprando bonos de los estados y transfiriendo esa liquidez equivalente a las cuentas públicas. Si los estados gastan el dinero (pagos de prestaciones, por ejemplo), la oferta de </w:t>
      </w:r>
      <w:r>
        <w:rPr>
          <w:rFonts w:ascii="Times New Roman" w:hAnsi="Times New Roman" w:cs="Times New Roman"/>
          <w:sz w:val="24"/>
          <w:szCs w:val="24"/>
        </w:rPr>
        <w:t>dinero aumenta. “</w:t>
      </w:r>
      <w:r w:rsidRPr="002E0696">
        <w:rPr>
          <w:rFonts w:ascii="Times New Roman" w:hAnsi="Times New Roman" w:cs="Times New Roman"/>
          <w:sz w:val="24"/>
          <w:szCs w:val="24"/>
        </w:rPr>
        <w:t>El BCE fomenta estos préstamos de los bancos a los gobiernos porque compra bonos del gobierno a los bancos como parte de sus programas de compras, asumiendo así el ries</w:t>
      </w:r>
      <w:r>
        <w:rPr>
          <w:rFonts w:ascii="Times New Roman" w:hAnsi="Times New Roman" w:cs="Times New Roman"/>
          <w:sz w:val="24"/>
          <w:szCs w:val="24"/>
        </w:rPr>
        <w:t>go de incumplimiento crediticio”</w:t>
      </w:r>
      <w:r w:rsidRPr="002E0696">
        <w:rPr>
          <w:rFonts w:ascii="Times New Roman" w:hAnsi="Times New Roman" w:cs="Times New Roman"/>
          <w:sz w:val="24"/>
          <w:szCs w:val="24"/>
        </w:rPr>
        <w:t>, sost</w:t>
      </w:r>
      <w:r>
        <w:rPr>
          <w:rFonts w:ascii="Times New Roman" w:hAnsi="Times New Roman" w:cs="Times New Roman"/>
          <w:sz w:val="24"/>
          <w:szCs w:val="24"/>
        </w:rPr>
        <w:t>iene Kramer.</w:t>
      </w:r>
    </w:p>
    <w:p w:rsidR="006E5D75" w:rsidRPr="00132BD6" w:rsidRDefault="006E5D75" w:rsidP="006E5D75">
      <w:pPr>
        <w:spacing w:line="240" w:lineRule="auto"/>
        <w:jc w:val="both"/>
        <w:rPr>
          <w:rFonts w:ascii="Times New Roman" w:hAnsi="Times New Roman" w:cs="Times New Roman"/>
          <w:sz w:val="24"/>
          <w:szCs w:val="24"/>
          <w:u w:val="single"/>
        </w:rPr>
      </w:pPr>
      <w:r w:rsidRPr="00132BD6">
        <w:rPr>
          <w:rFonts w:ascii="Times New Roman" w:hAnsi="Times New Roman" w:cs="Times New Roman"/>
          <w:color w:val="FF0000"/>
          <w:sz w:val="24"/>
          <w:szCs w:val="24"/>
        </w:rPr>
        <w:t>-Movimientos en las carteras</w:t>
      </w:r>
      <w:r w:rsidRPr="002E0696">
        <w:rPr>
          <w:rFonts w:ascii="Times New Roman" w:hAnsi="Times New Roman" w:cs="Times New Roman"/>
          <w:sz w:val="24"/>
          <w:szCs w:val="24"/>
        </w:rPr>
        <w:t xml:space="preserve">: el crecimiento de la oferta monetaria no solo está siendo impulsado por el aumento del crédito a empresas y estados, sino también por el llamado reequilibrio de la cartera. De hecho, </w:t>
      </w:r>
      <w:r w:rsidRPr="00132BD6">
        <w:rPr>
          <w:rFonts w:ascii="Times New Roman" w:hAnsi="Times New Roman" w:cs="Times New Roman"/>
          <w:sz w:val="24"/>
          <w:szCs w:val="24"/>
          <w:u w:val="single"/>
        </w:rPr>
        <w:t>debido a los bajos tipos de interés y al alto nivel de incertidumbre, muchos clientes están llevando su riqueza hacia activos más líquidos que forman parte del agregado M3.</w:t>
      </w:r>
    </w:p>
    <w:p w:rsidR="006E5D75" w:rsidRPr="00132BD6" w:rsidRDefault="006E5D75" w:rsidP="006E5D75">
      <w:pPr>
        <w:spacing w:line="240" w:lineRule="auto"/>
        <w:jc w:val="both"/>
        <w:rPr>
          <w:rFonts w:ascii="Times New Roman" w:hAnsi="Times New Roman" w:cs="Times New Roman"/>
          <w:b/>
          <w:color w:val="FF0000"/>
          <w:sz w:val="24"/>
          <w:szCs w:val="24"/>
          <w:u w:val="single"/>
        </w:rPr>
      </w:pPr>
      <w:r w:rsidRPr="002E0696">
        <w:rPr>
          <w:rFonts w:ascii="Times New Roman" w:hAnsi="Times New Roman" w:cs="Times New Roman"/>
          <w:sz w:val="24"/>
          <w:szCs w:val="24"/>
        </w:rPr>
        <w:t xml:space="preserve">Aunque el crecimiento de este agregado monetario suele ir ligado a la inflación (se suele relacionar el bajo IPC de los últimos años al escaso crecimiento de la oferta monetaria), Kramer explica que para que eso ocurra todo ese dinero debe transformarse en una mayor demanda de bienes y servicios, algo que por ahora no está ocurriendo. Sin embargo, la actuación de bancos centrales y gobiernos está poniendo la primera piedra para que la recuperación sea fuerte y el consumo y la inversión vuelvan lo antes posibles. </w:t>
      </w:r>
      <w:r w:rsidRPr="00132BD6">
        <w:rPr>
          <w:rFonts w:ascii="Times New Roman" w:hAnsi="Times New Roman" w:cs="Times New Roman"/>
          <w:b/>
          <w:color w:val="FF0000"/>
          <w:sz w:val="24"/>
          <w:szCs w:val="24"/>
          <w:u w:val="single"/>
        </w:rPr>
        <w:t>Por ahora, los balances de los bancos centrales han aumentado de media en un 10% del PIB durante los primeros tres meses de la crisis. Los escenarios razonables implican un aumento general de entre el 15 y el 23% del PIB antes de finales de 2020", sentencian los expertos del BiS.</w:t>
      </w:r>
    </w:p>
    <w:p w:rsidR="006E5D75" w:rsidRPr="003B186B" w:rsidRDefault="006E5D75" w:rsidP="006E5D75">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 xml:space="preserve">- </w:t>
      </w:r>
      <w:r w:rsidRPr="003B186B">
        <w:rPr>
          <w:rFonts w:ascii="Times New Roman" w:hAnsi="Times New Roman" w:cs="Times New Roman"/>
          <w:sz w:val="24"/>
          <w:szCs w:val="24"/>
          <w:u w:val="single"/>
          <w:lang w:val="en-US"/>
        </w:rPr>
        <w:t>Fed Officials Project No Rate Increases Through 2022</w:t>
      </w:r>
      <w:r>
        <w:rPr>
          <w:rFonts w:ascii="Times New Roman" w:hAnsi="Times New Roman" w:cs="Times New Roman"/>
          <w:sz w:val="24"/>
          <w:szCs w:val="24"/>
          <w:lang w:val="en-US"/>
        </w:rPr>
        <w:t xml:space="preserve"> (The Wall Street Journal - </w:t>
      </w:r>
      <w:r w:rsidRPr="00C7040B">
        <w:rPr>
          <w:rFonts w:ascii="Times New Roman" w:hAnsi="Times New Roman" w:cs="Times New Roman"/>
          <w:b/>
          <w:sz w:val="24"/>
          <w:szCs w:val="24"/>
          <w:lang w:val="en-US"/>
        </w:rPr>
        <w:t>10/6/20</w:t>
      </w:r>
      <w:r>
        <w:rPr>
          <w:rFonts w:ascii="Times New Roman" w:hAnsi="Times New Roman" w:cs="Times New Roman"/>
          <w:sz w:val="24"/>
          <w:szCs w:val="24"/>
          <w:lang w:val="en-US"/>
        </w:rPr>
        <w:t>)</w:t>
      </w:r>
    </w:p>
    <w:p w:rsidR="006E5D75" w:rsidRDefault="006E5D75" w:rsidP="006E5D75">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Central bank says it will maintain current pace of asset purchases to sustain growth</w:t>
      </w:r>
    </w:p>
    <w:p w:rsidR="006E5D75" w:rsidRPr="003B186B"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Washington.- </w:t>
      </w:r>
      <w:r w:rsidRPr="003B186B">
        <w:rPr>
          <w:rFonts w:ascii="Times New Roman" w:hAnsi="Times New Roman" w:cs="Times New Roman"/>
          <w:sz w:val="24"/>
          <w:szCs w:val="24"/>
          <w:lang w:val="en-US"/>
        </w:rPr>
        <w:t>Federal Reserve officials signaled plans to keep interest rates near zero for years and said they were studying how to provide more support to a U.S. economy battered by the cor</w:t>
      </w:r>
      <w:r>
        <w:rPr>
          <w:rFonts w:ascii="Times New Roman" w:hAnsi="Times New Roman" w:cs="Times New Roman"/>
          <w:sz w:val="24"/>
          <w:szCs w:val="24"/>
          <w:lang w:val="en-US"/>
        </w:rPr>
        <w:t>onavirus and related shutdowns.</w:t>
      </w:r>
    </w:p>
    <w:p w:rsidR="006E5D75" w:rsidRDefault="006E5D75" w:rsidP="006E5D75">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“We are strongly committed to using our tools to do whatever we can and for as long as it takes to pro</w:t>
      </w:r>
      <w:r>
        <w:rPr>
          <w:rFonts w:ascii="Times New Roman" w:hAnsi="Times New Roman" w:cs="Times New Roman"/>
          <w:sz w:val="24"/>
          <w:szCs w:val="24"/>
          <w:lang w:val="en-US"/>
        </w:rPr>
        <w:t>vide some relief and stability”,</w:t>
      </w:r>
      <w:r w:rsidRPr="003B186B">
        <w:rPr>
          <w:rFonts w:ascii="Times New Roman" w:hAnsi="Times New Roman" w:cs="Times New Roman"/>
          <w:sz w:val="24"/>
          <w:szCs w:val="24"/>
          <w:lang w:val="en-US"/>
        </w:rPr>
        <w:t xml:space="preserve"> Fed Chairman Jerome Powell said Wednesday at a virtual news conference after a two-day policy meeting</w:t>
      </w:r>
      <w:r>
        <w:rPr>
          <w:rFonts w:ascii="Times New Roman" w:hAnsi="Times New Roman" w:cs="Times New Roman"/>
          <w:sz w:val="24"/>
          <w:szCs w:val="24"/>
          <w:lang w:val="en-US"/>
        </w:rPr>
        <w:t>…</w:t>
      </w:r>
    </w:p>
    <w:p w:rsidR="006E5D75" w:rsidRPr="00752F7B" w:rsidRDefault="006E5D75" w:rsidP="006E5D75">
      <w:pPr>
        <w:spacing w:line="240" w:lineRule="auto"/>
        <w:jc w:val="both"/>
        <w:rPr>
          <w:rFonts w:ascii="Times New Roman" w:hAnsi="Times New Roman" w:cs="Times New Roman"/>
          <w:sz w:val="24"/>
          <w:szCs w:val="24"/>
        </w:rPr>
      </w:pPr>
      <w:r w:rsidRPr="00752F7B">
        <w:rPr>
          <w:rFonts w:ascii="Times New Roman" w:hAnsi="Times New Roman" w:cs="Times New Roman"/>
          <w:sz w:val="24"/>
          <w:szCs w:val="24"/>
        </w:rPr>
        <w:lastRenderedPageBreak/>
        <w:t>La crisis del coronavirus Covid-19 deja las peores previsiones económicas presentadas por la Organización para la Cooperación y el Desarrollo Económicos (OCDE) en sus 60 años de historia, según reconoció este miércoles su secretario general, Ángel Gurría, al presentar la actualización de sus estimaciones de impacto de la pandemia.</w:t>
      </w:r>
    </w:p>
    <w:p w:rsidR="006E5D75" w:rsidRPr="00752F7B" w:rsidRDefault="006E5D75" w:rsidP="006E5D75">
      <w:pPr>
        <w:spacing w:line="240" w:lineRule="auto"/>
        <w:jc w:val="both"/>
        <w:rPr>
          <w:rFonts w:ascii="Times New Roman" w:hAnsi="Times New Roman" w:cs="Times New Roman"/>
          <w:sz w:val="24"/>
          <w:szCs w:val="24"/>
        </w:rPr>
      </w:pPr>
      <w:r w:rsidRPr="00752F7B">
        <w:rPr>
          <w:rFonts w:ascii="Times New Roman" w:hAnsi="Times New Roman" w:cs="Times New Roman"/>
          <w:sz w:val="24"/>
          <w:szCs w:val="24"/>
        </w:rPr>
        <w:t xml:space="preserve">Los cálculos de la OCDE incluyen dos escenarios, “igualmente probables”, uno en el que el golpe del coronavirus se limita al acontecido hasta la fecha y otro en el que contempla un nuevo rebrote a finales de año que intensificaría la hecatombe. De recobrar fuerza la pandemia en otoño, alerta la OCDE, la de España será la más golpeada de todas las economías desarrolladas como consecuencia de la crisis del coronavirus. (Cinco Días - </w:t>
      </w:r>
      <w:r w:rsidRPr="00752F7B">
        <w:rPr>
          <w:rFonts w:ascii="Times New Roman" w:hAnsi="Times New Roman" w:cs="Times New Roman"/>
          <w:b/>
          <w:sz w:val="24"/>
          <w:szCs w:val="24"/>
        </w:rPr>
        <w:t>10/6/20</w:t>
      </w:r>
      <w:r w:rsidRPr="00752F7B">
        <w:rPr>
          <w:rFonts w:ascii="Times New Roman" w:hAnsi="Times New Roman" w:cs="Times New Roman"/>
          <w:sz w:val="24"/>
          <w:szCs w:val="24"/>
        </w:rPr>
        <w:t>)</w:t>
      </w:r>
    </w:p>
    <w:p w:rsidR="006E5D75" w:rsidRPr="00752F7B" w:rsidRDefault="006E5D75" w:rsidP="006E5D75">
      <w:pPr>
        <w:spacing w:line="240" w:lineRule="auto"/>
        <w:jc w:val="both"/>
        <w:rPr>
          <w:rFonts w:ascii="Times New Roman" w:hAnsi="Times New Roman" w:cs="Times New Roman"/>
          <w:color w:val="FF0000"/>
          <w:sz w:val="24"/>
          <w:szCs w:val="24"/>
          <w:lang w:val="en-US"/>
        </w:rPr>
      </w:pPr>
      <w:r>
        <w:rPr>
          <w:noProof/>
          <w:lang w:val="en-GB" w:eastAsia="zh-CN"/>
        </w:rPr>
        <w:drawing>
          <wp:inline distT="0" distB="0" distL="0" distR="0">
            <wp:extent cx="5732614" cy="6642847"/>
            <wp:effectExtent l="0" t="0" r="1905" b="5715"/>
            <wp:docPr id="79" name="Imagen 79" descr="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DE"/>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2614" cy="6642847"/>
                    </a:xfrm>
                    <a:prstGeom prst="rect">
                      <a:avLst/>
                    </a:prstGeom>
                    <a:noFill/>
                    <a:ln>
                      <a:noFill/>
                    </a:ln>
                  </pic:spPr>
                </pic:pic>
              </a:graphicData>
            </a:graphic>
          </wp:inline>
        </w:drawing>
      </w:r>
    </w:p>
    <w:p w:rsidR="005C2964" w:rsidRPr="005C2964" w:rsidRDefault="006E5D75" w:rsidP="005C2964">
      <w:pPr>
        <w:shd w:val="clear" w:color="auto" w:fill="FFFFFF"/>
        <w:spacing w:after="0" w:line="240" w:lineRule="auto"/>
        <w:textAlignment w:val="baseline"/>
        <w:rPr>
          <w:rFonts w:ascii="Open Sans" w:eastAsia="Times New Roman" w:hAnsi="Open Sans" w:cs="Open Sans"/>
          <w:color w:val="000000"/>
          <w:sz w:val="23"/>
          <w:szCs w:val="23"/>
        </w:rPr>
      </w:pPr>
      <w:r>
        <w:rPr>
          <w:rFonts w:ascii="Open Sans" w:eastAsia="Times New Roman" w:hAnsi="Open Sans" w:cs="Open Sans"/>
          <w:noProof/>
          <w:color w:val="0BB2FF"/>
          <w:sz w:val="23"/>
          <w:szCs w:val="23"/>
          <w:bdr w:val="none" w:sz="0" w:space="0" w:color="auto" w:frame="1"/>
          <w:lang w:val="en-GB" w:eastAsia="zh-CN"/>
        </w:rPr>
        <w:lastRenderedPageBreak/>
        <w:drawing>
          <wp:inline distT="0" distB="0" distL="0" distR="0">
            <wp:extent cx="5715000" cy="3274060"/>
            <wp:effectExtent l="0" t="0" r="0" b="2540"/>
            <wp:docPr id="80" name="Imagen 80" descr="https://nadaesgratis.es/wp-content/uploads/medidas-fiscales-25-de-mayo-2020.jp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medidas-fiscales-25-de-mayo-2020.jpg">
                      <a:hlinkClick r:id="rId86"/>
                    </pic:cNvPr>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3274060"/>
                    </a:xfrm>
                    <a:prstGeom prst="rect">
                      <a:avLst/>
                    </a:prstGeom>
                    <a:noFill/>
                    <a:ln>
                      <a:noFill/>
                    </a:ln>
                  </pic:spPr>
                </pic:pic>
              </a:graphicData>
            </a:graphic>
          </wp:inline>
        </w:drawing>
      </w:r>
    </w:p>
    <w:p w:rsidR="006E5D75" w:rsidRPr="00C7040B" w:rsidRDefault="006E5D75" w:rsidP="006E5D75">
      <w:pPr>
        <w:shd w:val="clear" w:color="auto" w:fill="FFFFFF"/>
        <w:spacing w:after="396" w:line="240" w:lineRule="auto"/>
        <w:textAlignment w:val="baseline"/>
        <w:rPr>
          <w:rFonts w:ascii="Times New Roman" w:eastAsia="Times New Roman" w:hAnsi="Times New Roman" w:cs="Times New Roman"/>
          <w:color w:val="000000"/>
          <w:sz w:val="24"/>
          <w:szCs w:val="24"/>
        </w:rPr>
      </w:pPr>
      <w:r w:rsidRPr="00C7040B">
        <w:rPr>
          <w:rFonts w:ascii="Times New Roman" w:eastAsia="Times New Roman" w:hAnsi="Times New Roman" w:cs="Times New Roman"/>
          <w:color w:val="000000"/>
          <w:sz w:val="24"/>
          <w:szCs w:val="24"/>
        </w:rPr>
        <w:t xml:space="preserve">Medidas fiscales adoptadas a </w:t>
      </w:r>
      <w:r w:rsidRPr="003E12E8">
        <w:rPr>
          <w:rFonts w:ascii="Times New Roman" w:eastAsia="Times New Roman" w:hAnsi="Times New Roman" w:cs="Times New Roman"/>
          <w:b/>
          <w:color w:val="000000"/>
          <w:sz w:val="24"/>
          <w:szCs w:val="24"/>
        </w:rPr>
        <w:t>25 de mayo de 2020</w:t>
      </w:r>
      <w:r w:rsidRPr="00C7040B">
        <w:rPr>
          <w:rFonts w:ascii="Times New Roman" w:eastAsia="Times New Roman" w:hAnsi="Times New Roman" w:cs="Times New Roman"/>
          <w:color w:val="000000"/>
          <w:sz w:val="24"/>
          <w:szCs w:val="24"/>
        </w:rPr>
        <w:t>, Bruegel Institute</w:t>
      </w:r>
    </w:p>
    <w:p w:rsidR="006E5D75" w:rsidRPr="00C7040B" w:rsidRDefault="006E5D75" w:rsidP="006E5D75">
      <w:pPr>
        <w:shd w:val="clear" w:color="auto" w:fill="FFFFFF"/>
        <w:spacing w:after="396" w:line="240" w:lineRule="auto"/>
        <w:textAlignment w:val="baseline"/>
        <w:rPr>
          <w:rFonts w:ascii="Times New Roman" w:hAnsi="Times New Roman" w:cs="Times New Roman"/>
          <w:color w:val="1A1A1A"/>
          <w:sz w:val="24"/>
          <w:szCs w:val="24"/>
          <w:shd w:val="clear" w:color="auto" w:fill="FFFFFF"/>
        </w:rPr>
      </w:pPr>
      <w:r>
        <w:rPr>
          <w:noProof/>
          <w:lang w:val="en-GB" w:eastAsia="zh-CN"/>
        </w:rPr>
        <w:drawing>
          <wp:inline distT="0" distB="0" distL="0" distR="0">
            <wp:extent cx="5726714" cy="4450976"/>
            <wp:effectExtent l="0" t="0" r="7620" b="6985"/>
            <wp:docPr id="29" name="Imagen 29" descr="Parámetros fiscales en la eurozona. (Fuente: JP 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ámetros fiscales en la eurozona. (Fuente: JP Morgan)"/>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454703"/>
                    </a:xfrm>
                    <a:prstGeom prst="rect">
                      <a:avLst/>
                    </a:prstGeom>
                    <a:noFill/>
                    <a:ln>
                      <a:noFill/>
                    </a:ln>
                  </pic:spPr>
                </pic:pic>
              </a:graphicData>
            </a:graphic>
          </wp:inline>
        </w:drawing>
      </w:r>
      <w:r w:rsidRPr="00074CF6">
        <w:rPr>
          <w:rFonts w:ascii="Times New Roman" w:hAnsi="Times New Roman" w:cs="Times New Roman"/>
          <w:color w:val="1A1A1A"/>
          <w:sz w:val="24"/>
          <w:szCs w:val="24"/>
          <w:shd w:val="clear" w:color="auto" w:fill="FFFFFF"/>
        </w:rPr>
        <w:t>Parámetros fiscales en la eurozona. (Fuente: JP Morgan</w:t>
      </w:r>
      <w:r>
        <w:rPr>
          <w:rFonts w:ascii="Times New Roman" w:hAnsi="Times New Roman" w:cs="Times New Roman"/>
          <w:color w:val="1A1A1A"/>
          <w:sz w:val="24"/>
          <w:szCs w:val="24"/>
          <w:shd w:val="clear" w:color="auto" w:fill="FFFFFF"/>
        </w:rPr>
        <w:t xml:space="preserve"> - </w:t>
      </w:r>
      <w:r w:rsidRPr="00FA411F">
        <w:rPr>
          <w:rFonts w:ascii="Times New Roman" w:hAnsi="Times New Roman" w:cs="Times New Roman"/>
          <w:b/>
          <w:color w:val="1A1A1A"/>
          <w:sz w:val="24"/>
          <w:szCs w:val="24"/>
          <w:shd w:val="clear" w:color="auto" w:fill="FFFFFF"/>
        </w:rPr>
        <w:t>17/6/20</w:t>
      </w:r>
      <w:r w:rsidRPr="00074CF6">
        <w:rPr>
          <w:rFonts w:ascii="Times New Roman" w:hAnsi="Times New Roman" w:cs="Times New Roman"/>
          <w:color w:val="1A1A1A"/>
          <w:sz w:val="24"/>
          <w:szCs w:val="24"/>
          <w:shd w:val="clear" w:color="auto" w:fill="FFFFFF"/>
        </w:rPr>
        <w:t>)</w:t>
      </w:r>
    </w:p>
    <w:p w:rsidR="006E5D75" w:rsidRDefault="006E5D75" w:rsidP="006E5D75">
      <w:pPr>
        <w:shd w:val="clear" w:color="auto" w:fill="FFFFFF"/>
        <w:spacing w:after="396" w:line="240" w:lineRule="auto"/>
        <w:jc w:val="center"/>
        <w:textAlignment w:val="baseline"/>
        <w:rPr>
          <w:rFonts w:ascii="Open Sans" w:eastAsia="Times New Roman" w:hAnsi="Open Sans" w:cs="Open Sans"/>
          <w:color w:val="000000"/>
          <w:sz w:val="23"/>
          <w:szCs w:val="23"/>
        </w:rPr>
      </w:pPr>
    </w:p>
    <w:p w:rsidR="006E5D75" w:rsidRPr="00193BAC"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45CE7">
        <w:rPr>
          <w:rFonts w:ascii="Times New Roman" w:hAnsi="Times New Roman" w:cs="Times New Roman"/>
          <w:sz w:val="24"/>
          <w:szCs w:val="24"/>
          <w:u w:val="single"/>
        </w:rPr>
        <w:t>Las FAANG sacan 19 puntos de rentabilidad en bolsa a sus homólogas chinas</w:t>
      </w:r>
      <w:r>
        <w:rPr>
          <w:rFonts w:ascii="Times New Roman" w:hAnsi="Times New Roman" w:cs="Times New Roman"/>
          <w:sz w:val="24"/>
          <w:szCs w:val="24"/>
        </w:rPr>
        <w:t xml:space="preserve"> (El Economista - </w:t>
      </w:r>
      <w:r w:rsidRPr="00145CE7">
        <w:rPr>
          <w:rFonts w:ascii="Times New Roman" w:hAnsi="Times New Roman" w:cs="Times New Roman"/>
          <w:b/>
          <w:sz w:val="24"/>
          <w:szCs w:val="24"/>
        </w:rPr>
        <w:t>13/6/20</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sidRPr="00193BAC">
        <w:rPr>
          <w:rFonts w:ascii="Times New Roman" w:hAnsi="Times New Roman" w:cs="Times New Roman"/>
          <w:sz w:val="24"/>
          <w:szCs w:val="24"/>
        </w:rPr>
        <w:t>Mientras Amazon y Netflix se anotan alzas de más del</w:t>
      </w:r>
      <w:r>
        <w:rPr>
          <w:rFonts w:ascii="Times New Roman" w:hAnsi="Times New Roman" w:cs="Times New Roman"/>
          <w:sz w:val="24"/>
          <w:szCs w:val="24"/>
        </w:rPr>
        <w:t xml:space="preserve"> 30%, Baidu e Iqiyi cotizan en “rojo”</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28039" cy="3126441"/>
            <wp:effectExtent l="0" t="0" r="6350" b="0"/>
            <wp:docPr id="81" name="Imagen 81" descr="https://s03.s3c.es/imag/_v0/770x515/9/b/3/110620-tecnologic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15/9/b/3/110620-tecnologicas.gif"/>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8336"/>
                    </a:xfrm>
                    <a:prstGeom prst="rect">
                      <a:avLst/>
                    </a:prstGeom>
                    <a:noFill/>
                    <a:ln>
                      <a:noFill/>
                    </a:ln>
                  </pic:spPr>
                </pic:pic>
              </a:graphicData>
            </a:graphic>
          </wp:inline>
        </w:drawing>
      </w:r>
    </w:p>
    <w:p w:rsidR="006E5D75" w:rsidRPr="007005A3" w:rsidRDefault="006E5D75" w:rsidP="006E5D75">
      <w:pPr>
        <w:shd w:val="clear" w:color="auto" w:fill="FFFFFF"/>
        <w:spacing w:after="396" w:line="240" w:lineRule="auto"/>
        <w:jc w:val="both"/>
        <w:textAlignment w:val="baseline"/>
        <w:rPr>
          <w:rFonts w:ascii="Times New Roman" w:eastAsia="Times New Roman" w:hAnsi="Times New Roman" w:cs="Times New Roman"/>
          <w:b/>
          <w:sz w:val="24"/>
          <w:szCs w:val="24"/>
        </w:rPr>
      </w:pPr>
      <w:r w:rsidRPr="007005A3">
        <w:rPr>
          <w:rFonts w:ascii="Times New Roman" w:eastAsia="Times New Roman" w:hAnsi="Times New Roman" w:cs="Times New Roman"/>
          <w:b/>
          <w:sz w:val="24"/>
          <w:szCs w:val="24"/>
        </w:rPr>
        <w:t>Nota al margen (dedicada a los mayores -si no únicos- beneficiarios de la globalización)</w:t>
      </w:r>
    </w:p>
    <w:p w:rsidR="006E5D75" w:rsidRPr="007005A3" w:rsidRDefault="006E5D75" w:rsidP="006E5D75">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Podrán seguir “dibujando” el futuro, pero ya no podrán “borrar” el pasado… para el cual habrá que buscar las razones y los responsables del declive: mal liderazgo, prioridades equivocadas y decisiones políticas ineptas.</w:t>
      </w:r>
    </w:p>
    <w:p w:rsidR="006E5D75" w:rsidRPr="007005A3" w:rsidRDefault="006E5D75" w:rsidP="006E5D75">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Aunque los “curanderos académicos” se encarguen d</w:t>
      </w:r>
      <w:r>
        <w:rPr>
          <w:rFonts w:ascii="Times New Roman" w:hAnsi="Times New Roman" w:cs="Times New Roman"/>
          <w:sz w:val="24"/>
          <w:szCs w:val="24"/>
        </w:rPr>
        <w:t>e decir (con pago revertido, of</w:t>
      </w:r>
      <w:r w:rsidRPr="007005A3">
        <w:rPr>
          <w:rFonts w:ascii="Times New Roman" w:hAnsi="Times New Roman" w:cs="Times New Roman"/>
          <w:sz w:val="24"/>
          <w:szCs w:val="24"/>
        </w:rPr>
        <w:t xml:space="preserve"> course) que han sido “externalidades negativas”, o “daños colaterales”, no deseados del modelo económico de globalización, librecambio, financierización, desregulación, privatización…</w:t>
      </w:r>
    </w:p>
    <w:p w:rsidR="006E5D75" w:rsidRPr="007005A3" w:rsidRDefault="006E5D75" w:rsidP="006E5D75">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6E5D75" w:rsidRPr="005C2964" w:rsidRDefault="006E5D75" w:rsidP="006E5D75">
      <w:pPr>
        <w:spacing w:line="240" w:lineRule="auto"/>
        <w:jc w:val="both"/>
        <w:rPr>
          <w:rFonts w:ascii="Times New Roman" w:hAnsi="Times New Roman" w:cs="Times New Roman"/>
          <w:b/>
          <w:sz w:val="24"/>
          <w:szCs w:val="24"/>
        </w:rPr>
      </w:pPr>
      <w:r w:rsidRPr="005C2964">
        <w:rPr>
          <w:rFonts w:ascii="Times New Roman" w:hAnsi="Times New Roman" w:cs="Times New Roman"/>
          <w:b/>
          <w:sz w:val="24"/>
          <w:szCs w:val="24"/>
        </w:rPr>
        <w:t xml:space="preserve">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6E5D75" w:rsidRPr="005C2964" w:rsidRDefault="006E5D75" w:rsidP="006E5D75">
      <w:pPr>
        <w:spacing w:line="240" w:lineRule="auto"/>
        <w:jc w:val="both"/>
        <w:rPr>
          <w:rFonts w:ascii="Times New Roman" w:hAnsi="Times New Roman" w:cs="Times New Roman"/>
          <w:b/>
          <w:sz w:val="24"/>
          <w:szCs w:val="24"/>
        </w:rPr>
      </w:pPr>
      <w:r w:rsidRPr="005C2964">
        <w:rPr>
          <w:rFonts w:ascii="Times New Roman" w:hAnsi="Times New Roman" w:cs="Times New Roman"/>
          <w:b/>
          <w:sz w:val="24"/>
          <w:szCs w:val="24"/>
        </w:rPr>
        <w:t>Ya que han fracasado en el credo smithsoniano (de falsos liberales, pasaron a tenebrosos liberticidas, en una fórmula de capitalismo autoritario), deberían intentarlo con uno hipocrático (en estas épocas de pandemia, al menos): “primero, no hacer daño”.</w:t>
      </w:r>
    </w:p>
    <w:p w:rsidR="0016515D" w:rsidRDefault="0016515D" w:rsidP="006E5D75">
      <w:pPr>
        <w:spacing w:line="240" w:lineRule="auto"/>
        <w:jc w:val="both"/>
        <w:rPr>
          <w:rFonts w:ascii="Times New Roman" w:hAnsi="Times New Roman" w:cs="Times New Roman"/>
          <w:sz w:val="24"/>
          <w:szCs w:val="24"/>
        </w:rPr>
      </w:pPr>
    </w:p>
    <w:p w:rsidR="003E26FD" w:rsidRDefault="003E26FD" w:rsidP="006E5D75">
      <w:pPr>
        <w:spacing w:line="240" w:lineRule="auto"/>
        <w:jc w:val="both"/>
        <w:rPr>
          <w:rFonts w:ascii="Times New Roman" w:hAnsi="Times New Roman" w:cs="Times New Roman"/>
          <w:b/>
          <w:sz w:val="24"/>
          <w:szCs w:val="24"/>
        </w:rPr>
      </w:pPr>
    </w:p>
    <w:p w:rsidR="006E5D75" w:rsidRDefault="006E5D75" w:rsidP="006E5D75">
      <w:pPr>
        <w:spacing w:line="240" w:lineRule="auto"/>
        <w:jc w:val="both"/>
        <w:rPr>
          <w:rFonts w:ascii="Times New Roman" w:hAnsi="Times New Roman" w:cs="Times New Roman"/>
          <w:b/>
          <w:sz w:val="24"/>
          <w:szCs w:val="24"/>
        </w:rPr>
      </w:pPr>
      <w:r w:rsidRPr="0087418D">
        <w:rPr>
          <w:rFonts w:ascii="Times New Roman" w:hAnsi="Times New Roman" w:cs="Times New Roman"/>
          <w:b/>
          <w:sz w:val="24"/>
          <w:szCs w:val="24"/>
        </w:rPr>
        <w:lastRenderedPageBreak/>
        <w:t>- Cálculo del “precio” de la globalización (al “costo” de los factores)</w:t>
      </w:r>
    </w:p>
    <w:p w:rsidR="006E5D75"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2956520"/>
            <wp:effectExtent l="0" t="0" r="2540" b="0"/>
            <wp:docPr id="224" name="Imagen 224" descr="sinking cargo 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nking cargo ship"/>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56520"/>
                    </a:xfrm>
                    <a:prstGeom prst="rect">
                      <a:avLst/>
                    </a:prstGeom>
                    <a:noFill/>
                    <a:ln>
                      <a:noFill/>
                    </a:ln>
                  </pic:spPr>
                </pic:pic>
              </a:graphicData>
            </a:graphic>
          </wp:inline>
        </w:drawing>
      </w:r>
    </w:p>
    <w:p w:rsidR="006E5D75" w:rsidRPr="007747B9" w:rsidRDefault="006E5D75" w:rsidP="006E5D75">
      <w:pPr>
        <w:spacing w:line="240" w:lineRule="auto"/>
        <w:jc w:val="both"/>
        <w:rPr>
          <w:rFonts w:ascii="Times New Roman" w:hAnsi="Times New Roman" w:cs="Times New Roman"/>
          <w:sz w:val="24"/>
          <w:szCs w:val="24"/>
          <w:shd w:val="clear" w:color="auto" w:fill="FFFFFF"/>
        </w:rPr>
      </w:pPr>
      <w:r w:rsidRPr="007747B9">
        <w:rPr>
          <w:rFonts w:ascii="Times New Roman" w:hAnsi="Times New Roman" w:cs="Times New Roman"/>
          <w:sz w:val="24"/>
          <w:szCs w:val="24"/>
          <w:shd w:val="clear" w:color="auto" w:fill="FFFFFF"/>
        </w:rPr>
        <w:t>Es una evidencia que algunos países avanzados, tan poderosos en lo económico, en lo administrativo e, incluso, en lo militar, han demostrado una grandiosa </w:t>
      </w:r>
      <w:r w:rsidRPr="007747B9">
        <w:rPr>
          <w:rStyle w:val="Textoennegrita"/>
          <w:rFonts w:ascii="Times New Roman" w:hAnsi="Times New Roman" w:cs="Times New Roman"/>
          <w:sz w:val="24"/>
          <w:szCs w:val="24"/>
          <w:bdr w:val="none" w:sz="0" w:space="0" w:color="auto" w:frame="1"/>
          <w:shd w:val="clear" w:color="auto" w:fill="FFFFFF"/>
        </w:rPr>
        <w:t>vulnerabilidad </w:t>
      </w:r>
      <w:r w:rsidRPr="007747B9">
        <w:rPr>
          <w:rFonts w:ascii="Times New Roman" w:hAnsi="Times New Roman" w:cs="Times New Roman"/>
          <w:sz w:val="24"/>
          <w:szCs w:val="24"/>
          <w:shd w:val="clear" w:color="auto" w:fill="FFFFFF"/>
        </w:rPr>
        <w:t>ante la </w:t>
      </w:r>
      <w:hyperlink r:id="rId91" w:history="1">
        <w:r w:rsidRPr="007747B9">
          <w:rPr>
            <w:rStyle w:val="Hipervnculo"/>
            <w:rFonts w:ascii="Times New Roman" w:hAnsi="Times New Roman" w:cs="Times New Roman"/>
            <w:bCs/>
            <w:color w:val="auto"/>
            <w:sz w:val="24"/>
            <w:szCs w:val="24"/>
            <w:u w:val="none"/>
            <w:shd w:val="clear" w:color="auto" w:fill="FFFFFF"/>
          </w:rPr>
          <w:t>globalización</w:t>
        </w:r>
      </w:hyperlink>
      <w:r w:rsidRPr="007747B9">
        <w:rPr>
          <w:rFonts w:ascii="Times New Roman" w:hAnsi="Times New Roman" w:cs="Times New Roman"/>
          <w:sz w:val="24"/>
          <w:szCs w:val="24"/>
          <w:shd w:val="clear" w:color="auto" w:fill="FFFFFF"/>
        </w:rPr>
        <w:t> y  que los han dejado inermes antes las crisis devenidas.</w:t>
      </w:r>
    </w:p>
    <w:p w:rsidR="006E5D75" w:rsidRPr="007747B9" w:rsidRDefault="006E5D75" w:rsidP="006E5D75">
      <w:pPr>
        <w:spacing w:line="240" w:lineRule="auto"/>
        <w:jc w:val="both"/>
        <w:rPr>
          <w:rFonts w:ascii="Times New Roman" w:hAnsi="Times New Roman" w:cs="Times New Roman"/>
          <w:sz w:val="24"/>
          <w:szCs w:val="24"/>
          <w:shd w:val="clear" w:color="auto" w:fill="FFFFFF"/>
        </w:rPr>
      </w:pPr>
      <w:r w:rsidRPr="007747B9">
        <w:rPr>
          <w:rFonts w:ascii="Times New Roman" w:hAnsi="Times New Roman" w:cs="Times New Roman"/>
          <w:sz w:val="24"/>
          <w:szCs w:val="24"/>
          <w:shd w:val="clear" w:color="auto" w:fill="FFFFFF"/>
        </w:rPr>
        <w:t>O, al menos, seriamente</w:t>
      </w:r>
      <w:r w:rsidRPr="007747B9">
        <w:rPr>
          <w:rStyle w:val="Textoennegrita"/>
          <w:rFonts w:ascii="Times New Roman" w:hAnsi="Times New Roman" w:cs="Times New Roman"/>
          <w:sz w:val="24"/>
          <w:szCs w:val="24"/>
          <w:bdr w:val="none" w:sz="0" w:space="0" w:color="auto" w:frame="1"/>
          <w:shd w:val="clear" w:color="auto" w:fill="FFFFFF"/>
        </w:rPr>
        <w:t> indefensos</w:t>
      </w:r>
      <w:r w:rsidRPr="007747B9">
        <w:rPr>
          <w:rFonts w:ascii="Times New Roman" w:hAnsi="Times New Roman" w:cs="Times New Roman"/>
          <w:sz w:val="24"/>
          <w:szCs w:val="24"/>
          <w:shd w:val="clear" w:color="auto" w:fill="FFFFFF"/>
        </w:rPr>
        <w:t> ante un problema grave de </w:t>
      </w:r>
      <w:hyperlink r:id="rId92" w:history="1">
        <w:r w:rsidRPr="007747B9">
          <w:rPr>
            <w:rStyle w:val="Hipervnculo"/>
            <w:rFonts w:ascii="Times New Roman" w:hAnsi="Times New Roman" w:cs="Times New Roman"/>
            <w:bCs/>
            <w:color w:val="auto"/>
            <w:sz w:val="24"/>
            <w:szCs w:val="24"/>
            <w:u w:val="none"/>
            <w:shd w:val="clear" w:color="auto" w:fill="FFFFFF"/>
          </w:rPr>
          <w:t>salud pública</w:t>
        </w:r>
      </w:hyperlink>
      <w:r w:rsidRPr="007747B9">
        <w:rPr>
          <w:rFonts w:ascii="Times New Roman" w:hAnsi="Times New Roman" w:cs="Times New Roman"/>
          <w:sz w:val="24"/>
          <w:szCs w:val="24"/>
          <w:shd w:val="clear" w:color="auto" w:fill="FFFFFF"/>
        </w:rPr>
        <w:t> como consecuencia de décadas de un modelo de crecimiento arrogante que </w:t>
      </w:r>
      <w:hyperlink r:id="rId93" w:history="1">
        <w:r w:rsidRPr="007747B9">
          <w:rPr>
            <w:rStyle w:val="Hipervnculo"/>
            <w:rFonts w:ascii="Times New Roman" w:hAnsi="Times New Roman" w:cs="Times New Roman"/>
            <w:bCs/>
            <w:color w:val="auto"/>
            <w:sz w:val="24"/>
            <w:szCs w:val="24"/>
            <w:u w:val="none"/>
            <w:shd w:val="clear" w:color="auto" w:fill="FFFFFF"/>
          </w:rPr>
          <w:t>ha arrinconado</w:t>
        </w:r>
      </w:hyperlink>
      <w:r w:rsidRPr="007747B9">
        <w:rPr>
          <w:rFonts w:ascii="Times New Roman" w:hAnsi="Times New Roman" w:cs="Times New Roman"/>
          <w:sz w:val="24"/>
          <w:szCs w:val="24"/>
          <w:shd w:val="clear" w:color="auto" w:fill="FFFFFF"/>
        </w:rPr>
        <w:t> lo verdaderamente público en cuestiones esenciales, y que ha hecho añicos el Estado de Bienestar y, de imposible en cumplimiento, el Contrato Social.</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Para mantener el imperio del Mercado han entregado su economía productiva al imperio del Estado. Han criado al tigre que se los va a terminar comiendo. El 5G es apenas un aperitivo.</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 xml:space="preserve">La “deslocalización” de la clase media, es uno de los actos económicos (éticos, morales, sociales y políticos) más irracionales (e imperdonables) del modelo neoliberal de globalización y financierización. Aunque los ligeros de escrúpulos, con ambición desmedida, dispuestos a casi todo, hábiles en la intriga y buenos para casi nada, hayan proclamado (prometido y jurado) que en las “nuevas tecnologías” (servicios) encontrarían el empleo que perdieron en las “viejas tecnologías” (industria). </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Sin reparo ni titubeos, en esa línea constructiva y edificante, iniciaron los globalizadores el sendero más adecuado para revitalizar la economía e imprimir un nuevo estímulo a la economía maltrecha, obsoleta, con baja competitividad, y poco competitiva.</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Al final… los “nuevos” pobres, en estado de precariado permanente, terminaron poblando las calles de los países avanzados, sin empleo en el sector industrial (cerrado por deslocalización) y sin opción en el sector servicios (nuevas tecnologías), porque también sus productos elaborados (chucherías, pendejadas, gadgets, o estupideces), también se fabricaron en los países emergentes (para bajar costos y aumentar la rentabilidad de las hight tech).</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 xml:space="preserve">Nunca se quisieron enterar del riesgo, optaron por no escuchar las advertencias de peligro. Nadie quiere contar a los “nuevos” pobres. Le encargan al gurú mediático de moda que manosee las cifras, que oculte los datos, que manipule la estadística. En la economía </w:t>
      </w:r>
      <w:r w:rsidRPr="00FF3C6F">
        <w:rPr>
          <w:rFonts w:ascii="Times New Roman" w:hAnsi="Times New Roman" w:cs="Times New Roman"/>
          <w:sz w:val="24"/>
          <w:szCs w:val="24"/>
        </w:rPr>
        <w:lastRenderedPageBreak/>
        <w:t>globalizada, la mentira no pasa factura, está amortizada. Después de dos grandes depresiones mundiales (2008 y 2020), después de meses de encierro, engaños y alarma, siguen de fiesta.</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Buena parte de todo ello se mantiene y hasta ha crecido con el añadido de las nuevas esclavitudes que ha traído la globalización económica. Pero esas quedan lejos (en China) y están amparadas por el PCCH… mientras, sigue la fiesta (en Wall Street, en Silicon Valley y en China, of course).  Un hatajo de cínicos barnizados de petulancia, bailando en el Titanic.</w:t>
      </w:r>
    </w:p>
    <w:p w:rsidR="006E5D75" w:rsidRPr="00FF3C6F" w:rsidRDefault="006E5D75" w:rsidP="006E5D75">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 xml:space="preserve">¿Qué más necedades pueden alumbrar para adecentar este presente sin futuro? Una “economía globalizada” que se alimenta de la estupidez, pero no de la suya, que está blindada, sino de la nuestra, que no acaba de entender que nos van enterrar en la miseria y la falta de libertad.  </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En las próximas páginas intentaré realizar un cálculo aproximado (políticamente incorrecto) de las ganancias y pérdidas, que ha generado en Estados Unidos, y la Unión Europea, el proceso de globalización económica , que ha tenido en China a su claro ganador (si no único).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Como metodología de cálculo propongo la siguiente:</w:t>
      </w:r>
    </w:p>
    <w:p w:rsidR="006E5D75" w:rsidRPr="00FF3C6F" w:rsidRDefault="006E5D75" w:rsidP="006E5D75">
      <w:pPr>
        <w:spacing w:line="240" w:lineRule="auto"/>
        <w:jc w:val="both"/>
        <w:rPr>
          <w:rFonts w:ascii="Times New Roman" w:hAnsi="Times New Roman" w:cs="Times New Roman"/>
          <w:b/>
          <w:sz w:val="24"/>
          <w:szCs w:val="24"/>
          <w:shd w:val="clear" w:color="auto" w:fill="FFFFFF"/>
        </w:rPr>
      </w:pPr>
      <w:r w:rsidRPr="00FF3C6F">
        <w:rPr>
          <w:rFonts w:ascii="Times New Roman" w:hAnsi="Times New Roman" w:cs="Times New Roman"/>
          <w:b/>
          <w:sz w:val="24"/>
          <w:szCs w:val="24"/>
          <w:shd w:val="clear" w:color="auto" w:fill="FFFFFF"/>
        </w:rPr>
        <w:t>Del lado de las “ganancias” (o ganadores)</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las exportaciones durante el proceso de globalización.</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Menor gasto de los consumidores por la adquisición de productos a menor precio.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Disminución del Índice de Precios al Consumidor.</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 rentabilidad de las empresas por la importación de productos a menor costo.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 valor en bolsa de las acciones de las empresas que importan productos a menor costo.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Mayores dividendos pagados por las empresas que importan productos a menor costo.</w:t>
      </w:r>
    </w:p>
    <w:p w:rsidR="006E5D75" w:rsidRPr="00FF3C6F" w:rsidRDefault="006E5D75" w:rsidP="006E5D75">
      <w:pPr>
        <w:spacing w:line="240" w:lineRule="auto"/>
        <w:jc w:val="both"/>
        <w:rPr>
          <w:rFonts w:ascii="Times New Roman" w:hAnsi="Times New Roman" w:cs="Times New Roman"/>
          <w:b/>
          <w:sz w:val="24"/>
          <w:szCs w:val="24"/>
          <w:shd w:val="clear" w:color="auto" w:fill="FFFFFF"/>
        </w:rPr>
      </w:pPr>
      <w:r w:rsidRPr="00FF3C6F">
        <w:rPr>
          <w:rFonts w:ascii="Times New Roman" w:hAnsi="Times New Roman" w:cs="Times New Roman"/>
          <w:b/>
          <w:sz w:val="24"/>
          <w:szCs w:val="24"/>
          <w:shd w:val="clear" w:color="auto" w:fill="FFFFFF"/>
        </w:rPr>
        <w:t>Del lado de las “pérdidas” (o perdedores)</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las importaciones durante el proceso de globalización.</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Impacto en el nivel de empleo.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del nivel de desempleo.</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Disminución de los ingresos de los trabajadores.</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Alteración en la distribución de los ingresos.</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 pobreza.</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Variación del coeficiente Gini.</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Inyección masiva de liquidez al sistema financiero por los bancos centrales y aumento descomunal del gasto público para resolver las crisis devenidas (2008 y 2020).</w:t>
      </w:r>
    </w:p>
    <w:p w:rsidR="006E5D75" w:rsidRPr="00FF3C6F" w:rsidRDefault="006E5D75" w:rsidP="006E5D75">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Represión financiera.</w:t>
      </w:r>
    </w:p>
    <w:p w:rsidR="006E5D75" w:rsidRPr="00FF3C6F" w:rsidRDefault="00A63634"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para aquellos ítems</w:t>
      </w:r>
      <w:r w:rsidR="006E5D75" w:rsidRPr="00FF3C6F">
        <w:rPr>
          <w:rFonts w:ascii="Times New Roman" w:hAnsi="Times New Roman" w:cs="Times New Roman"/>
          <w:sz w:val="24"/>
          <w:szCs w:val="24"/>
          <w:shd w:val="clear" w:color="auto" w:fill="FFFFFF"/>
        </w:rPr>
        <w:t xml:space="preserve"> en que no se puede calcular el “costo de los factores”, se intentan presentar datos, o representaciones gráficas, que p</w:t>
      </w:r>
      <w:r w:rsidR="0016515D">
        <w:rPr>
          <w:rFonts w:ascii="Times New Roman" w:hAnsi="Times New Roman" w:cs="Times New Roman"/>
          <w:sz w:val="24"/>
          <w:szCs w:val="24"/>
          <w:shd w:val="clear" w:color="auto" w:fill="FFFFFF"/>
        </w:rPr>
        <w:t>ermitan visualizar la evolución (tendencia).</w:t>
      </w:r>
    </w:p>
    <w:p w:rsidR="006E5D75" w:rsidRPr="00FF3C6F" w:rsidRDefault="006E5D75" w:rsidP="006E5D75">
      <w:pPr>
        <w:spacing w:line="240" w:lineRule="auto"/>
        <w:jc w:val="both"/>
        <w:rPr>
          <w:rFonts w:ascii="Times New Roman" w:hAnsi="Times New Roman" w:cs="Times New Roman"/>
          <w:color w:val="FF0000"/>
          <w:sz w:val="24"/>
          <w:szCs w:val="24"/>
          <w:shd w:val="clear" w:color="auto" w:fill="FFFFFF"/>
        </w:rPr>
      </w:pPr>
      <w:r w:rsidRPr="0048576B">
        <w:rPr>
          <w:rFonts w:ascii="Times New Roman" w:hAnsi="Times New Roman" w:cs="Times New Roman"/>
          <w:b/>
          <w:sz w:val="24"/>
          <w:szCs w:val="24"/>
        </w:rPr>
        <w:lastRenderedPageBreak/>
        <w:t>Cálculos sobre “El “precio” de la globalización (al “costo” de los factores)</w:t>
      </w:r>
      <w:r>
        <w:rPr>
          <w:rFonts w:ascii="Times New Roman" w:hAnsi="Times New Roman" w:cs="Times New Roman"/>
          <w:b/>
          <w:sz w:val="24"/>
          <w:szCs w:val="24"/>
        </w:rPr>
        <w:t>”</w:t>
      </w:r>
    </w:p>
    <w:p w:rsidR="006E5D75" w:rsidRDefault="006E5D75" w:rsidP="006E5D75">
      <w:pPr>
        <w:spacing w:line="240" w:lineRule="auto"/>
        <w:jc w:val="both"/>
        <w:rPr>
          <w:rFonts w:ascii="Times New Roman" w:hAnsi="Times New Roman" w:cs="Times New Roman"/>
          <w:sz w:val="20"/>
          <w:szCs w:val="20"/>
        </w:rPr>
      </w:pPr>
    </w:p>
    <w:p w:rsidR="006E5D75" w:rsidRDefault="006E5D75" w:rsidP="006E5D75">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val="en-GB" w:eastAsia="zh-CN"/>
        </w:rPr>
        <w:drawing>
          <wp:inline distT="0" distB="0" distL="0" distR="0">
            <wp:extent cx="5731510" cy="5213470"/>
            <wp:effectExtent l="0" t="0" r="254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521347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val="en-GB" w:eastAsia="zh-CN"/>
        </w:rPr>
        <w:drawing>
          <wp:inline distT="0" distB="0" distL="0" distR="0">
            <wp:extent cx="5731510" cy="2536316"/>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253631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val="en-GB" w:eastAsia="zh-CN"/>
        </w:rPr>
        <w:lastRenderedPageBreak/>
        <w:drawing>
          <wp:inline distT="0" distB="0" distL="0" distR="0">
            <wp:extent cx="5731510" cy="4882806"/>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488280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0"/>
          <w:szCs w:val="20"/>
        </w:rPr>
      </w:pPr>
    </w:p>
    <w:p w:rsidR="006E5D75" w:rsidRDefault="006E5D75" w:rsidP="006E5D75">
      <w:pPr>
        <w:spacing w:line="240" w:lineRule="auto"/>
        <w:jc w:val="both"/>
        <w:rPr>
          <w:rFonts w:ascii="Times New Roman" w:hAnsi="Times New Roman" w:cs="Times New Roman"/>
          <w:sz w:val="20"/>
          <w:szCs w:val="20"/>
        </w:rPr>
      </w:pPr>
      <w:r w:rsidRPr="00167E7D">
        <w:rPr>
          <w:rFonts w:ascii="Times New Roman" w:hAnsi="Times New Roman" w:cs="Times New Roman"/>
          <w:noProof/>
          <w:sz w:val="20"/>
          <w:szCs w:val="20"/>
          <w:lang w:val="en-GB" w:eastAsia="zh-CN"/>
        </w:rPr>
        <w:drawing>
          <wp:inline distT="0" distB="0" distL="0" distR="0">
            <wp:extent cx="5731510" cy="3117427"/>
            <wp:effectExtent l="0" t="0" r="2540" b="698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117427"/>
                    </a:xfrm>
                    <a:prstGeom prst="rect">
                      <a:avLst/>
                    </a:prstGeom>
                  </pic:spPr>
                </pic:pic>
              </a:graphicData>
            </a:graphic>
          </wp:inline>
        </w:drawing>
      </w:r>
    </w:p>
    <w:p w:rsidR="006E5D75" w:rsidRPr="0048576B" w:rsidRDefault="006E5D75" w:rsidP="006E5D75">
      <w:pPr>
        <w:spacing w:line="240" w:lineRule="auto"/>
        <w:jc w:val="both"/>
        <w:rPr>
          <w:rFonts w:ascii="Times New Roman" w:hAnsi="Times New Roman" w:cs="Times New Roman"/>
          <w:sz w:val="20"/>
          <w:szCs w:val="20"/>
        </w:rPr>
      </w:pPr>
      <w:r w:rsidRPr="00167E7D">
        <w:rPr>
          <w:rFonts w:ascii="Times New Roman" w:hAnsi="Times New Roman" w:cs="Times New Roman"/>
          <w:noProof/>
          <w:sz w:val="20"/>
          <w:szCs w:val="20"/>
          <w:lang w:val="en-GB" w:eastAsia="zh-CN"/>
        </w:rPr>
        <w:lastRenderedPageBreak/>
        <w:drawing>
          <wp:inline distT="0" distB="0" distL="0" distR="0">
            <wp:extent cx="5731510" cy="2464672"/>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464672"/>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167E7D">
        <w:rPr>
          <w:rFonts w:ascii="Times New Roman" w:hAnsi="Times New Roman" w:cs="Times New Roman"/>
          <w:noProof/>
          <w:sz w:val="24"/>
          <w:szCs w:val="24"/>
          <w:lang w:val="en-GB" w:eastAsia="zh-CN"/>
        </w:rPr>
        <w:drawing>
          <wp:inline distT="0" distB="0" distL="0" distR="0">
            <wp:extent cx="5731510" cy="1986434"/>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1986434"/>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6109CD">
        <w:rPr>
          <w:rFonts w:ascii="Times New Roman" w:hAnsi="Times New Roman" w:cs="Times New Roman"/>
          <w:noProof/>
          <w:sz w:val="24"/>
          <w:szCs w:val="24"/>
          <w:lang w:val="en-GB" w:eastAsia="zh-CN"/>
        </w:rPr>
        <w:drawing>
          <wp:inline distT="0" distB="0" distL="0" distR="0">
            <wp:extent cx="5731510" cy="3278817"/>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278817"/>
                    </a:xfrm>
                    <a:prstGeom prst="rect">
                      <a:avLst/>
                    </a:prstGeom>
                  </pic:spPr>
                </pic:pic>
              </a:graphicData>
            </a:graphic>
          </wp:inline>
        </w:drawing>
      </w:r>
    </w:p>
    <w:p w:rsidR="006E5D75" w:rsidRDefault="006E5D75" w:rsidP="006E5D75">
      <w:pPr>
        <w:rPr>
          <w:rFonts w:ascii="Times New Roman" w:hAnsi="Times New Roman" w:cs="Times New Roman"/>
          <w:sz w:val="24"/>
          <w:szCs w:val="24"/>
        </w:rPr>
        <w:sectPr w:rsidR="006E5D75" w:rsidSect="006E5D75">
          <w:pgSz w:w="11906" w:h="16838"/>
          <w:pgMar w:top="1440" w:right="1440" w:bottom="1440" w:left="1440" w:header="709" w:footer="709" w:gutter="0"/>
          <w:cols w:space="708"/>
          <w:docGrid w:linePitch="360"/>
        </w:sectPr>
      </w:pPr>
    </w:p>
    <w:p w:rsidR="006E5D75" w:rsidRDefault="006E5D75" w:rsidP="006E5D75">
      <w:pPr>
        <w:rPr>
          <w:rFonts w:ascii="Times New Roman" w:hAnsi="Times New Roman" w:cs="Times New Roman"/>
          <w:sz w:val="24"/>
          <w:szCs w:val="24"/>
        </w:rPr>
      </w:pPr>
      <w:r w:rsidRPr="006109CD">
        <w:rPr>
          <w:rFonts w:ascii="Times New Roman" w:hAnsi="Times New Roman" w:cs="Times New Roman"/>
          <w:noProof/>
          <w:sz w:val="20"/>
          <w:szCs w:val="20"/>
          <w:lang w:val="en-GB" w:eastAsia="zh-CN"/>
        </w:rPr>
        <w:lastRenderedPageBreak/>
        <w:drawing>
          <wp:inline distT="0" distB="0" distL="0" distR="0">
            <wp:extent cx="7391400" cy="9461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7415767" cy="949269"/>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167E7D">
        <w:rPr>
          <w:rFonts w:ascii="Times New Roman" w:hAnsi="Times New Roman" w:cs="Times New Roman"/>
          <w:noProof/>
          <w:sz w:val="20"/>
          <w:szCs w:val="20"/>
          <w:lang w:val="en-GB" w:eastAsia="zh-CN"/>
        </w:rPr>
        <w:drawing>
          <wp:inline distT="0" distB="0" distL="0" distR="0">
            <wp:extent cx="7391400" cy="29527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7388414" cy="2951557"/>
                    </a:xfrm>
                    <a:prstGeom prst="rect">
                      <a:avLst/>
                    </a:prstGeom>
                  </pic:spPr>
                </pic:pic>
              </a:graphicData>
            </a:graphic>
          </wp:inline>
        </w:drawing>
      </w:r>
    </w:p>
    <w:p w:rsidR="006E5D75" w:rsidRDefault="006E5D75" w:rsidP="006E5D75">
      <w:pPr>
        <w:rPr>
          <w:rFonts w:ascii="Times New Roman" w:hAnsi="Times New Roman" w:cs="Times New Roman"/>
          <w:sz w:val="24"/>
          <w:szCs w:val="24"/>
        </w:rPr>
        <w:sectPr w:rsidR="006E5D75" w:rsidSect="006E5D75">
          <w:pgSz w:w="16838" w:h="11906" w:orient="landscape"/>
          <w:pgMar w:top="1440" w:right="1440" w:bottom="1440" w:left="1440" w:header="709" w:footer="709" w:gutter="0"/>
          <w:cols w:space="708"/>
          <w:docGrid w:linePitch="360"/>
        </w:sectPr>
      </w:pPr>
    </w:p>
    <w:p w:rsidR="006E5D75" w:rsidRDefault="006E5D75" w:rsidP="006E5D75">
      <w:pPr>
        <w:rPr>
          <w:rFonts w:ascii="Times New Roman" w:hAnsi="Times New Roman" w:cs="Times New Roman"/>
          <w:sz w:val="24"/>
          <w:szCs w:val="24"/>
        </w:rPr>
      </w:pPr>
      <w:r w:rsidRPr="006109CD">
        <w:rPr>
          <w:rFonts w:ascii="Times New Roman" w:hAnsi="Times New Roman" w:cs="Times New Roman"/>
          <w:noProof/>
          <w:sz w:val="24"/>
          <w:szCs w:val="24"/>
          <w:lang w:val="en-GB" w:eastAsia="zh-CN"/>
        </w:rPr>
        <w:lastRenderedPageBreak/>
        <w:drawing>
          <wp:inline distT="0" distB="0" distL="0" distR="0">
            <wp:extent cx="5696745" cy="5877746"/>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696745" cy="5877746"/>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6109CD">
        <w:rPr>
          <w:rFonts w:ascii="Times New Roman" w:hAnsi="Times New Roman" w:cs="Times New Roman"/>
          <w:noProof/>
          <w:sz w:val="24"/>
          <w:szCs w:val="24"/>
          <w:lang w:val="en-GB" w:eastAsia="zh-CN"/>
        </w:rPr>
        <w:drawing>
          <wp:inline distT="0" distB="0" distL="0" distR="0">
            <wp:extent cx="5695950" cy="8636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17689" cy="866896"/>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sectPr w:rsidR="006E5D75" w:rsidSect="006E5D75">
          <w:pgSz w:w="11906" w:h="16838"/>
          <w:pgMar w:top="1440" w:right="1440" w:bottom="1440" w:left="1440" w:header="709" w:footer="709" w:gutter="0"/>
          <w:cols w:space="708"/>
          <w:docGrid w:linePitch="360"/>
        </w:sect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6C0E5C">
        <w:rPr>
          <w:rFonts w:ascii="Times New Roman" w:hAnsi="Times New Roman" w:cs="Times New Roman"/>
          <w:noProof/>
          <w:sz w:val="24"/>
          <w:szCs w:val="24"/>
          <w:lang w:val="en-GB" w:eastAsia="zh-CN"/>
        </w:rPr>
        <w:drawing>
          <wp:inline distT="0" distB="0" distL="0" distR="0">
            <wp:extent cx="7245350" cy="26035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7254058" cy="2606629"/>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6C0E5C">
        <w:rPr>
          <w:rFonts w:ascii="Times New Roman" w:hAnsi="Times New Roman" w:cs="Times New Roman"/>
          <w:noProof/>
          <w:sz w:val="24"/>
          <w:szCs w:val="24"/>
          <w:lang w:val="en-GB" w:eastAsia="zh-CN"/>
        </w:rPr>
        <w:drawing>
          <wp:inline distT="0" distB="0" distL="0" distR="0">
            <wp:extent cx="7245350" cy="26352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7245350" cy="2635250"/>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BE5C71">
        <w:rPr>
          <w:rFonts w:ascii="Times New Roman" w:hAnsi="Times New Roman" w:cs="Times New Roman"/>
          <w:noProof/>
          <w:sz w:val="24"/>
          <w:szCs w:val="24"/>
          <w:lang w:val="en-GB" w:eastAsia="zh-CN"/>
        </w:rPr>
        <w:drawing>
          <wp:inline distT="0" distB="0" distL="0" distR="0">
            <wp:extent cx="7245350" cy="261429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7245350" cy="2614295"/>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1B069C">
        <w:rPr>
          <w:rFonts w:ascii="Times New Roman" w:hAnsi="Times New Roman" w:cs="Times New Roman"/>
          <w:noProof/>
          <w:sz w:val="24"/>
          <w:szCs w:val="24"/>
          <w:lang w:val="en-GB" w:eastAsia="zh-CN"/>
        </w:rPr>
        <w:drawing>
          <wp:inline distT="0" distB="0" distL="0" distR="0">
            <wp:extent cx="7296150" cy="16510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7299242" cy="1651700"/>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1B069C">
        <w:rPr>
          <w:rFonts w:ascii="Times New Roman" w:hAnsi="Times New Roman" w:cs="Times New Roman"/>
          <w:noProof/>
          <w:sz w:val="24"/>
          <w:szCs w:val="24"/>
          <w:lang w:val="en-GB" w:eastAsia="zh-CN"/>
        </w:rPr>
        <w:drawing>
          <wp:inline distT="0" distB="0" distL="0" distR="0">
            <wp:extent cx="7105650" cy="3422650"/>
            <wp:effectExtent l="0" t="0" r="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7105650" cy="3422650"/>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1B069C">
        <w:rPr>
          <w:rFonts w:ascii="Times New Roman" w:hAnsi="Times New Roman" w:cs="Times New Roman"/>
          <w:noProof/>
          <w:sz w:val="24"/>
          <w:szCs w:val="24"/>
          <w:lang w:val="en-GB" w:eastAsia="zh-CN"/>
        </w:rPr>
        <w:drawing>
          <wp:inline distT="0" distB="0" distL="0" distR="0">
            <wp:extent cx="7073900" cy="7874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7073900" cy="787400"/>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FF4B46">
        <w:rPr>
          <w:rFonts w:ascii="Times New Roman" w:hAnsi="Times New Roman" w:cs="Times New Roman"/>
          <w:noProof/>
          <w:sz w:val="24"/>
          <w:szCs w:val="24"/>
          <w:lang w:val="en-GB" w:eastAsia="zh-CN"/>
        </w:rPr>
        <w:drawing>
          <wp:inline distT="0" distB="0" distL="0" distR="0">
            <wp:extent cx="7099300" cy="362585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7099300" cy="3625850"/>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sectPr w:rsidR="006E5D75" w:rsidSect="006E5D75">
          <w:pgSz w:w="16838" w:h="11906" w:orient="landscape"/>
          <w:pgMar w:top="1440" w:right="1440" w:bottom="1440" w:left="1440" w:header="709" w:footer="709" w:gutter="0"/>
          <w:cols w:space="708"/>
          <w:docGrid w:linePitch="360"/>
        </w:sect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r w:rsidRPr="002C2719">
        <w:rPr>
          <w:rFonts w:ascii="Times New Roman" w:hAnsi="Times New Roman" w:cs="Times New Roman"/>
          <w:noProof/>
          <w:sz w:val="24"/>
          <w:szCs w:val="24"/>
          <w:lang w:val="en-GB" w:eastAsia="zh-CN"/>
        </w:rPr>
        <w:drawing>
          <wp:inline distT="0" distB="0" distL="0" distR="0">
            <wp:extent cx="5731510" cy="4449268"/>
            <wp:effectExtent l="0" t="0" r="2540" b="889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449268"/>
                    </a:xfrm>
                    <a:prstGeom prst="rect">
                      <a:avLst/>
                    </a:prstGeom>
                  </pic:spPr>
                </pic:pic>
              </a:graphicData>
            </a:graphic>
          </wp:inline>
        </w:drawing>
      </w: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pPr>
    </w:p>
    <w:p w:rsidR="006E5D75" w:rsidRDefault="006E5D75" w:rsidP="006E5D75">
      <w:pPr>
        <w:rPr>
          <w:rFonts w:ascii="Times New Roman" w:hAnsi="Times New Roman" w:cs="Times New Roman"/>
          <w:sz w:val="24"/>
          <w:szCs w:val="24"/>
        </w:rPr>
        <w:sectPr w:rsidR="006E5D75" w:rsidSect="006E5D75">
          <w:pgSz w:w="11906" w:h="16838"/>
          <w:pgMar w:top="1440" w:right="1440" w:bottom="1440" w:left="1440" w:header="709" w:footer="709" w:gutter="0"/>
          <w:cols w:space="708"/>
          <w:docGrid w:linePitch="360"/>
        </w:sectPr>
      </w:pPr>
    </w:p>
    <w:p w:rsidR="006E5D75" w:rsidRDefault="006E5D75" w:rsidP="006E5D75">
      <w:pPr>
        <w:rPr>
          <w:rFonts w:ascii="Times New Roman" w:hAnsi="Times New Roman" w:cs="Times New Roman"/>
          <w:sz w:val="24"/>
          <w:szCs w:val="24"/>
        </w:rPr>
      </w:pPr>
      <w:r w:rsidRPr="002C2719">
        <w:rPr>
          <w:rFonts w:ascii="Times New Roman" w:hAnsi="Times New Roman" w:cs="Times New Roman"/>
          <w:noProof/>
          <w:sz w:val="24"/>
          <w:szCs w:val="24"/>
          <w:lang w:val="en-GB" w:eastAsia="zh-CN"/>
        </w:rPr>
        <w:lastRenderedPageBreak/>
        <w:drawing>
          <wp:inline distT="0" distB="0" distL="0" distR="0">
            <wp:extent cx="7188200" cy="2260600"/>
            <wp:effectExtent l="0" t="0" r="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7197660" cy="2263575"/>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9F0C86">
        <w:rPr>
          <w:rFonts w:ascii="Times New Roman" w:hAnsi="Times New Roman" w:cs="Times New Roman"/>
          <w:noProof/>
          <w:sz w:val="24"/>
          <w:szCs w:val="24"/>
          <w:lang w:val="en-GB" w:eastAsia="zh-CN"/>
        </w:rPr>
        <w:drawing>
          <wp:inline distT="0" distB="0" distL="0" distR="0">
            <wp:extent cx="7112000" cy="32766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7114757" cy="3277870"/>
                    </a:xfrm>
                    <a:prstGeom prst="rect">
                      <a:avLst/>
                    </a:prstGeom>
                  </pic:spPr>
                </pic:pic>
              </a:graphicData>
            </a:graphic>
          </wp:inline>
        </w:drawing>
      </w:r>
    </w:p>
    <w:p w:rsidR="006E5D75" w:rsidRDefault="006E5D75" w:rsidP="006E5D75">
      <w:pPr>
        <w:rPr>
          <w:rFonts w:ascii="Times New Roman" w:hAnsi="Times New Roman" w:cs="Times New Roman"/>
          <w:sz w:val="24"/>
          <w:szCs w:val="24"/>
        </w:rPr>
      </w:pPr>
      <w:r w:rsidRPr="00540176">
        <w:rPr>
          <w:rFonts w:ascii="Times New Roman" w:hAnsi="Times New Roman" w:cs="Times New Roman"/>
          <w:sz w:val="24"/>
          <w:szCs w:val="24"/>
        </w:rPr>
        <w:object w:dxaOrig="24266" w:dyaOrig="16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9.5pt;height:419pt" o:ole="">
            <v:imagedata r:id="rId115" o:title=""/>
          </v:shape>
          <o:OLEObject Type="Embed" ProgID="Excel.Sheet.12" ShapeID="_x0000_i1025" DrawAspect="Content" ObjectID="_1672174254" r:id="rId116"/>
        </w:object>
      </w:r>
    </w:p>
    <w:p w:rsidR="006E5D75" w:rsidRDefault="006E5D75" w:rsidP="006E5D75">
      <w:pPr>
        <w:spacing w:line="240" w:lineRule="auto"/>
        <w:jc w:val="both"/>
        <w:rPr>
          <w:rFonts w:ascii="Times New Roman" w:hAnsi="Times New Roman" w:cs="Times New Roman"/>
          <w:b/>
          <w:sz w:val="24"/>
          <w:szCs w:val="24"/>
        </w:rPr>
      </w:pP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Base de datos y detalle de los cálculos sobre e</w:t>
      </w:r>
      <w:r w:rsidRPr="00780DE3">
        <w:rPr>
          <w:rFonts w:ascii="Times New Roman" w:hAnsi="Times New Roman" w:cs="Times New Roman"/>
          <w:b/>
          <w:sz w:val="24"/>
          <w:szCs w:val="24"/>
        </w:rPr>
        <w:t xml:space="preserve">l </w:t>
      </w:r>
      <w:r>
        <w:rPr>
          <w:rFonts w:ascii="Times New Roman" w:hAnsi="Times New Roman" w:cs="Times New Roman"/>
          <w:b/>
          <w:sz w:val="24"/>
          <w:szCs w:val="24"/>
        </w:rPr>
        <w:t>“</w:t>
      </w:r>
      <w:r w:rsidRPr="00780DE3">
        <w:rPr>
          <w:rFonts w:ascii="Times New Roman" w:hAnsi="Times New Roman" w:cs="Times New Roman"/>
          <w:b/>
          <w:sz w:val="24"/>
          <w:szCs w:val="24"/>
        </w:rPr>
        <w:t>precio</w:t>
      </w:r>
      <w:r>
        <w:rPr>
          <w:rFonts w:ascii="Times New Roman" w:hAnsi="Times New Roman" w:cs="Times New Roman"/>
          <w:b/>
          <w:sz w:val="24"/>
          <w:szCs w:val="24"/>
        </w:rPr>
        <w:t>”</w:t>
      </w:r>
      <w:r w:rsidRPr="00780DE3">
        <w:rPr>
          <w:rFonts w:ascii="Times New Roman" w:hAnsi="Times New Roman" w:cs="Times New Roman"/>
          <w:b/>
          <w:sz w:val="24"/>
          <w:szCs w:val="24"/>
        </w:rPr>
        <w:t xml:space="preserve"> de la globalización</w:t>
      </w:r>
      <w:r>
        <w:rPr>
          <w:rFonts w:ascii="Times New Roman" w:hAnsi="Times New Roman" w:cs="Times New Roman"/>
          <w:b/>
          <w:sz w:val="24"/>
          <w:szCs w:val="24"/>
        </w:rPr>
        <w:t xml:space="preserve"> (al “costo” de los factores)</w:t>
      </w:r>
    </w:p>
    <w:p w:rsidR="006E5D75" w:rsidRPr="00C655CF" w:rsidRDefault="006E5D75" w:rsidP="006E5D75">
      <w:pPr>
        <w:spacing w:line="240" w:lineRule="auto"/>
        <w:jc w:val="both"/>
        <w:rPr>
          <w:rFonts w:ascii="Times New Roman" w:hAnsi="Times New Roman" w:cs="Times New Roman"/>
          <w:b/>
          <w:sz w:val="24"/>
          <w:szCs w:val="24"/>
          <w:shd w:val="clear" w:color="auto" w:fill="FFFFFF"/>
        </w:rPr>
      </w:pPr>
      <w:r w:rsidRPr="00797BBF">
        <w:rPr>
          <w:rFonts w:ascii="Times New Roman" w:hAnsi="Times New Roman" w:cs="Times New Roman"/>
          <w:b/>
          <w:sz w:val="24"/>
          <w:szCs w:val="24"/>
          <w:shd w:val="clear" w:color="auto" w:fill="FFFFFF"/>
        </w:rPr>
        <w:t>C</w:t>
      </w:r>
      <w:r>
        <w:rPr>
          <w:rFonts w:ascii="Times New Roman" w:hAnsi="Times New Roman" w:cs="Times New Roman"/>
          <w:b/>
          <w:sz w:val="24"/>
          <w:szCs w:val="24"/>
          <w:shd w:val="clear" w:color="auto" w:fill="FFFFFF"/>
        </w:rPr>
        <w:t>álculo de las “ganancias” (o ganadores) en el proceso de globalización</w:t>
      </w:r>
    </w:p>
    <w:p w:rsidR="006E5D75" w:rsidRPr="000F77F7" w:rsidRDefault="006E5D75" w:rsidP="006E5D75">
      <w:pPr>
        <w:spacing w:line="240" w:lineRule="auto"/>
        <w:jc w:val="both"/>
        <w:rPr>
          <w:rFonts w:ascii="Times New Roman" w:hAnsi="Times New Roman" w:cs="Times New Roman"/>
          <w:b/>
          <w:color w:val="FF0000"/>
          <w:sz w:val="24"/>
          <w:szCs w:val="24"/>
          <w:shd w:val="clear" w:color="auto" w:fill="FFFFFF"/>
        </w:rPr>
      </w:pPr>
      <w:r w:rsidRPr="000F77F7">
        <w:rPr>
          <w:rFonts w:ascii="Times New Roman" w:hAnsi="Times New Roman" w:cs="Times New Roman"/>
          <w:b/>
          <w:color w:val="FF0000"/>
          <w:sz w:val="24"/>
          <w:szCs w:val="24"/>
          <w:shd w:val="clear" w:color="auto" w:fill="FFFFFF"/>
        </w:rPr>
        <w:t xml:space="preserve">(+) Aumento de las exportaciones </w:t>
      </w:r>
      <w:r>
        <w:rPr>
          <w:rFonts w:ascii="Times New Roman" w:hAnsi="Times New Roman" w:cs="Times New Roman"/>
          <w:b/>
          <w:color w:val="FF0000"/>
          <w:sz w:val="24"/>
          <w:szCs w:val="24"/>
          <w:shd w:val="clear" w:color="auto" w:fill="FFFFFF"/>
        </w:rPr>
        <w:t>durante</w:t>
      </w:r>
      <w:r w:rsidRPr="000F77F7">
        <w:rPr>
          <w:rFonts w:ascii="Times New Roman" w:hAnsi="Times New Roman" w:cs="Times New Roman"/>
          <w:b/>
          <w:color w:val="FF0000"/>
          <w:sz w:val="24"/>
          <w:szCs w:val="24"/>
          <w:shd w:val="clear" w:color="auto" w:fill="FFFFFF"/>
        </w:rPr>
        <w:t xml:space="preserve"> el proceso de globalización</w:t>
      </w:r>
    </w:p>
    <w:p w:rsidR="006E5D75" w:rsidRDefault="006E5D75" w:rsidP="006E5D75">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val="en-GB" w:eastAsia="zh-CN"/>
        </w:rPr>
        <w:drawing>
          <wp:inline distT="0" distB="0" distL="0" distR="0">
            <wp:extent cx="7953935" cy="3704664"/>
            <wp:effectExtent l="0" t="0" r="9525"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7958189" cy="370664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228,6 miles de millones de dólares; Año 2018, 1.859,9 miles de millones de dólares; Var. 714 %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1.179,8 miles de millones de dólares; Año 2018, 2.484,5 miles de millones de dólares; Var. 111 %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1.889,4 miles de millones de dólares; Año 2018, 4.717,8 miles de millones de dólares; Var. 150 %</w:t>
      </w:r>
    </w:p>
    <w:p w:rsidR="006E5D75" w:rsidRPr="000F77F7"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color w:val="FF0000"/>
          <w:sz w:val="24"/>
          <w:szCs w:val="24"/>
          <w:shd w:val="clear" w:color="auto" w:fill="FFFFFF"/>
        </w:rPr>
      </w:pPr>
    </w:p>
    <w:p w:rsidR="006E5D75" w:rsidRPr="00F40786" w:rsidRDefault="006E5D75" w:rsidP="006E5D75">
      <w:pPr>
        <w:spacing w:line="240" w:lineRule="auto"/>
        <w:jc w:val="both"/>
        <w:rPr>
          <w:rFonts w:ascii="Times New Roman" w:hAnsi="Times New Roman" w:cs="Times New Roman"/>
          <w:b/>
          <w:color w:val="FF0000"/>
          <w:sz w:val="24"/>
          <w:szCs w:val="24"/>
          <w:shd w:val="clear" w:color="auto" w:fill="FFFFFF"/>
        </w:rPr>
      </w:pPr>
      <w:r w:rsidRPr="00F40786">
        <w:rPr>
          <w:rFonts w:ascii="Times New Roman" w:hAnsi="Times New Roman" w:cs="Times New Roman"/>
          <w:b/>
          <w:color w:val="FF0000"/>
          <w:sz w:val="24"/>
          <w:szCs w:val="24"/>
          <w:shd w:val="clear" w:color="auto" w:fill="FFFFFF"/>
        </w:rPr>
        <w:t>(-) Aumento de las importaciones dura</w:t>
      </w:r>
      <w:r w:rsidR="006F3112">
        <w:rPr>
          <w:rFonts w:ascii="Times New Roman" w:hAnsi="Times New Roman" w:cs="Times New Roman"/>
          <w:b/>
          <w:color w:val="FF0000"/>
          <w:sz w:val="24"/>
          <w:szCs w:val="24"/>
          <w:shd w:val="clear" w:color="auto" w:fill="FFFFFF"/>
        </w:rPr>
        <w:t>nte el proceso de globalización</w:t>
      </w:r>
    </w:p>
    <w:p w:rsidR="006E5D75" w:rsidRDefault="006E5D75" w:rsidP="006E5D75">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val="en-GB" w:eastAsia="zh-CN"/>
        </w:rPr>
        <w:drawing>
          <wp:inline distT="0" distB="0" distL="0" distR="0">
            <wp:extent cx="7832912" cy="1976717"/>
            <wp:effectExtent l="0" t="0" r="0" b="508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7838622" cy="197815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405,4 miles de millones de dólares; Año 2018, 2.830,8 miles de millones de dólares; Var. 598 %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829,2 miles de millones de dólares; Año 2018, 1.832,3 miles de millones de dólares; Var. 121 %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1.829,4 miles de millones de dólares; Año 2018, 4.874,0 miles de millones de dólares; Var. 166 %</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el apartado sobre el aumento de las importaciones durante el proceso de globalización se vuelve a tratar más adelante. Ahora solo se lo señala para que el lector pueda observar los diferenciales de crecimiento con respecto al aumento de las exportaciones</w:t>
      </w:r>
      <w:r w:rsidR="003E26FD">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sectPr w:rsidR="006E5D75" w:rsidSect="006E5D75">
          <w:pgSz w:w="16838" w:h="11906" w:orient="landscape"/>
          <w:pgMar w:top="1440" w:right="1440" w:bottom="1440" w:left="1440" w:header="709" w:footer="709" w:gutter="0"/>
          <w:cols w:space="708"/>
          <w:docGrid w:linePitch="360"/>
        </w:sectPr>
      </w:pPr>
    </w:p>
    <w:p w:rsidR="006E5D75" w:rsidRPr="00F40786" w:rsidRDefault="006E5D75" w:rsidP="006E5D75">
      <w:pPr>
        <w:spacing w:line="240" w:lineRule="auto"/>
        <w:jc w:val="both"/>
        <w:rPr>
          <w:rFonts w:ascii="Times New Roman" w:hAnsi="Times New Roman" w:cs="Times New Roman"/>
          <w:b/>
          <w:sz w:val="24"/>
          <w:szCs w:val="24"/>
          <w:lang w:val="en-US"/>
        </w:rPr>
      </w:pPr>
      <w:r w:rsidRPr="00105A2A">
        <w:rPr>
          <w:rFonts w:ascii="Times New Roman" w:eastAsia="Times New Roman" w:hAnsi="Times New Roman" w:cs="Times New Roman"/>
          <w:b/>
          <w:bCs/>
          <w:color w:val="111111"/>
          <w:kern w:val="36"/>
          <w:sz w:val="24"/>
          <w:szCs w:val="24"/>
          <w:lang w:val="en-US" w:eastAsia="es-ES"/>
        </w:rPr>
        <w:lastRenderedPageBreak/>
        <w:t>Global value chains and trade</w:t>
      </w:r>
      <w:r>
        <w:rPr>
          <w:rFonts w:ascii="Times New Roman" w:eastAsia="Times New Roman" w:hAnsi="Times New Roman" w:cs="Times New Roman"/>
          <w:b/>
          <w:bCs/>
          <w:color w:val="111111"/>
          <w:kern w:val="36"/>
          <w:sz w:val="24"/>
          <w:szCs w:val="24"/>
          <w:lang w:val="en-US" w:eastAsia="es-ES"/>
        </w:rPr>
        <w:t xml:space="preserve"> (</w:t>
      </w:r>
      <w:r w:rsidRPr="00F40786">
        <w:rPr>
          <w:rFonts w:ascii="Times New Roman" w:hAnsi="Times New Roman" w:cs="Times New Roman"/>
          <w:b/>
          <w:sz w:val="24"/>
          <w:szCs w:val="24"/>
          <w:lang w:val="en-US"/>
        </w:rPr>
        <w:t>OECD Economic Surveys: China 2019</w:t>
      </w:r>
      <w:r>
        <w:rPr>
          <w:rFonts w:ascii="Times New Roman" w:hAnsi="Times New Roman" w:cs="Times New Roman"/>
          <w:b/>
          <w:sz w:val="24"/>
          <w:szCs w:val="24"/>
          <w:lang w:val="en-US"/>
        </w:rPr>
        <w:t>)</w:t>
      </w:r>
    </w:p>
    <w:p w:rsidR="006E5D75" w:rsidRDefault="006E5D75" w:rsidP="006E5D75">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p>
    <w:p w:rsidR="006E5D75" w:rsidRDefault="006E5D75" w:rsidP="006E5D75">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r w:rsidRPr="00105A2A">
        <w:rPr>
          <w:rFonts w:ascii="Times New Roman" w:eastAsia="Times New Roman" w:hAnsi="Times New Roman" w:cs="Times New Roman"/>
          <w:bCs/>
          <w:color w:val="111111"/>
          <w:kern w:val="36"/>
          <w:sz w:val="24"/>
          <w:szCs w:val="24"/>
          <w:lang w:val="en-US" w:eastAsia="es-ES"/>
        </w:rPr>
        <w:t>The trade policy implications of global value chains</w:t>
      </w:r>
    </w:p>
    <w:p w:rsidR="006E5D75" w:rsidRPr="00105A2A" w:rsidRDefault="006E5D75" w:rsidP="006E5D75">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p>
    <w:p w:rsidR="006E5D75" w:rsidRPr="00F40786" w:rsidRDefault="006E5D75" w:rsidP="006E5D75">
      <w:pPr>
        <w:shd w:val="clear" w:color="auto" w:fill="FFFFFF"/>
        <w:spacing w:after="360" w:line="240" w:lineRule="auto"/>
        <w:jc w:val="both"/>
        <w:rPr>
          <w:rFonts w:ascii="Times New Roman" w:eastAsia="Times New Roman" w:hAnsi="Times New Roman" w:cs="Times New Roman"/>
          <w:color w:val="FF0000"/>
          <w:sz w:val="24"/>
          <w:szCs w:val="24"/>
          <w:u w:val="single"/>
          <w:lang w:val="en-US" w:eastAsia="es-ES"/>
        </w:rPr>
      </w:pPr>
      <w:r w:rsidRPr="00F40786">
        <w:rPr>
          <w:rFonts w:ascii="Times New Roman" w:eastAsia="Times New Roman" w:hAnsi="Times New Roman" w:cs="Times New Roman"/>
          <w:color w:val="FF0000"/>
          <w:sz w:val="24"/>
          <w:szCs w:val="24"/>
          <w:u w:val="single"/>
          <w:lang w:val="en-US" w:eastAsia="es-ES"/>
        </w:rPr>
        <w:t>The traditional view of international trade is that each country produces goods and offers services that are exported as final products to consumers abroad. However, in today’s global economy, this type of trade only represents around 30% of all trade in goods and services.</w:t>
      </w:r>
    </w:p>
    <w:p w:rsidR="006E5D75" w:rsidRPr="00F40786" w:rsidRDefault="006E5D75" w:rsidP="006E5D75">
      <w:pPr>
        <w:shd w:val="clear" w:color="auto" w:fill="FFFFFF"/>
        <w:spacing w:after="360" w:line="240" w:lineRule="auto"/>
        <w:jc w:val="both"/>
        <w:rPr>
          <w:rFonts w:ascii="Times New Roman" w:eastAsia="Times New Roman" w:hAnsi="Times New Roman" w:cs="Times New Roman"/>
          <w:color w:val="FF0000"/>
          <w:sz w:val="24"/>
          <w:szCs w:val="24"/>
          <w:u w:val="single"/>
          <w:lang w:val="en-US" w:eastAsia="es-ES"/>
        </w:rPr>
      </w:pPr>
      <w:r w:rsidRPr="00F40786">
        <w:rPr>
          <w:rFonts w:ascii="Times New Roman" w:eastAsia="Times New Roman" w:hAnsi="Times New Roman" w:cs="Times New Roman"/>
          <w:color w:val="FF0000"/>
          <w:sz w:val="24"/>
          <w:szCs w:val="24"/>
          <w:u w:val="single"/>
          <w:lang w:val="en-US" w:eastAsia="es-ES"/>
        </w:rPr>
        <w:t>In reality, about 70% of international trade today involves global value chains (GVCs), as services, raw materials, parts</w:t>
      </w:r>
      <w:r>
        <w:rPr>
          <w:rFonts w:ascii="Times New Roman" w:eastAsia="Times New Roman" w:hAnsi="Times New Roman" w:cs="Times New Roman"/>
          <w:color w:val="FF0000"/>
          <w:sz w:val="24"/>
          <w:szCs w:val="24"/>
          <w:u w:val="single"/>
          <w:lang w:val="en-US" w:eastAsia="es-ES"/>
        </w:rPr>
        <w:t>, and components cross borders -</w:t>
      </w:r>
      <w:r w:rsidRPr="00F40786">
        <w:rPr>
          <w:rFonts w:ascii="Times New Roman" w:eastAsia="Times New Roman" w:hAnsi="Times New Roman" w:cs="Times New Roman"/>
          <w:color w:val="FF0000"/>
          <w:sz w:val="24"/>
          <w:szCs w:val="24"/>
          <w:u w:val="single"/>
          <w:lang w:val="en-US" w:eastAsia="es-ES"/>
        </w:rPr>
        <w:t xml:space="preserve"> often numerous times. Once incorporated into final products they are shipped to consumers all over the world.</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Exports from one country to another often involve complex interactions among a variety of domestic and foreign suppliers. Even more than before, trade is determined by strategic decisions of firms to outsource, invest, and carry out activities wherever the necessary skills and materials are available at competitive cost and quality.</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For example, a smart phone assembled in China might include graphic design elements from the United States, computer code from France, silicone chips from Singapore, and precious metals from Bolivia. Throughout this process, all countries involved retain some value and benefit from the export of the final product. But much of this value added throughout the international supply chain is invisible in traditional trade statistics, which attribute the full value of a good or service to the last country in the chain that finalised production.</w:t>
      </w:r>
    </w:p>
    <w:p w:rsidR="006E5D75" w:rsidRPr="00105A2A" w:rsidRDefault="006E5D75" w:rsidP="006E5D75">
      <w:pPr>
        <w:shd w:val="clear" w:color="auto" w:fill="FFFFFF"/>
        <w:spacing w:before="150" w:after="300" w:line="240" w:lineRule="auto"/>
        <w:jc w:val="both"/>
        <w:outlineLvl w:val="3"/>
        <w:rPr>
          <w:rFonts w:ascii="Times New Roman" w:eastAsia="Times New Roman" w:hAnsi="Times New Roman" w:cs="Times New Roman"/>
          <w:color w:val="111111"/>
          <w:sz w:val="24"/>
          <w:szCs w:val="24"/>
          <w:lang w:val="en-US" w:eastAsia="es-ES"/>
        </w:rPr>
      </w:pPr>
      <w:r w:rsidRPr="00B871EB">
        <w:rPr>
          <w:rFonts w:ascii="Times New Roman" w:eastAsia="Times New Roman" w:hAnsi="Times New Roman" w:cs="Times New Roman"/>
          <w:bCs/>
          <w:color w:val="111111"/>
          <w:sz w:val="24"/>
          <w:szCs w:val="24"/>
          <w:lang w:val="en-US" w:eastAsia="es-ES"/>
        </w:rPr>
        <w:t>Better measurement leads to better policies</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To begin providing the evidence needed to respond to policy questions raised by the growing importance of GVCs for trade and investment, the OECD launched an initiative to measure trade in value added (TiVA) terms to provide a more accurate view of the underlying economic importance of trade.</w:t>
      </w:r>
    </w:p>
    <w:p w:rsidR="006E5D75" w:rsidRPr="00F40786" w:rsidRDefault="006E5D75" w:rsidP="006E5D75">
      <w:pPr>
        <w:shd w:val="clear" w:color="auto" w:fill="FFFFFF"/>
        <w:spacing w:after="360" w:line="240" w:lineRule="auto"/>
        <w:jc w:val="both"/>
        <w:rPr>
          <w:rFonts w:ascii="Times New Roman" w:eastAsia="Times New Roman" w:hAnsi="Times New Roman" w:cs="Times New Roman"/>
          <w:sz w:val="24"/>
          <w:szCs w:val="24"/>
          <w:lang w:val="en-US" w:eastAsia="es-ES"/>
        </w:rPr>
      </w:pPr>
      <w:r w:rsidRPr="00105A2A">
        <w:rPr>
          <w:rFonts w:ascii="Times New Roman" w:eastAsia="Times New Roman" w:hAnsi="Times New Roman" w:cs="Times New Roman"/>
          <w:color w:val="000000"/>
          <w:sz w:val="24"/>
          <w:szCs w:val="24"/>
          <w:lang w:val="en-US" w:eastAsia="es-ES"/>
        </w:rPr>
        <w:t>With TiVA, we are able to better identify where value is added along the supply chain, to estimate where income and jobs are created, and to provide a new perspective on bilateral trade imbalances. This is a critical undertaking to </w:t>
      </w:r>
      <w:hyperlink r:id="rId119" w:history="1">
        <w:r w:rsidRPr="00F40786">
          <w:rPr>
            <w:rFonts w:ascii="Times New Roman" w:eastAsia="Times New Roman" w:hAnsi="Times New Roman" w:cs="Times New Roman"/>
            <w:sz w:val="24"/>
            <w:szCs w:val="24"/>
            <w:bdr w:val="none" w:sz="0" w:space="0" w:color="auto" w:frame="1"/>
            <w:lang w:val="en-US" w:eastAsia="es-ES"/>
          </w:rPr>
          <w:t>establish a better understanding of the links between trade and jobs</w:t>
        </w:r>
      </w:hyperlink>
      <w:r w:rsidRPr="00F40786">
        <w:rPr>
          <w:rFonts w:ascii="Times New Roman" w:eastAsia="Times New Roman" w:hAnsi="Times New Roman" w:cs="Times New Roman"/>
          <w:sz w:val="24"/>
          <w:szCs w:val="24"/>
          <w:lang w:val="en-US" w:eastAsia="es-ES"/>
        </w:rPr>
        <w:t>.</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In a world of GVCs, trade policy cannot solely focus on impediments to trade with direct trade partners. The whole value chain and bottlenecks upstream and downstream among third countries have to be considered in order to boost exports and improve economic performance.</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Critically, as the competitiveness of a country’s exports can depend on imported inputs (inputs which can also include their own previous exports); countries also need to address their own barriers to trade if they are to reap the benefits of participating in GVC trade.</w:t>
      </w:r>
    </w:p>
    <w:p w:rsidR="006E5D75" w:rsidRDefault="006E5D75" w:rsidP="006E5D75">
      <w:pPr>
        <w:shd w:val="clear" w:color="auto" w:fill="FFFFFF"/>
        <w:spacing w:before="150" w:after="300" w:line="240" w:lineRule="auto"/>
        <w:jc w:val="both"/>
        <w:outlineLvl w:val="3"/>
        <w:rPr>
          <w:rFonts w:ascii="Times New Roman" w:eastAsia="Times New Roman" w:hAnsi="Times New Roman" w:cs="Times New Roman"/>
          <w:bCs/>
          <w:color w:val="111111"/>
          <w:sz w:val="24"/>
          <w:szCs w:val="24"/>
          <w:lang w:val="en-US" w:eastAsia="es-ES"/>
        </w:rPr>
      </w:pPr>
    </w:p>
    <w:p w:rsidR="006E5D75" w:rsidRDefault="006E5D75" w:rsidP="006E5D75">
      <w:pPr>
        <w:shd w:val="clear" w:color="auto" w:fill="FFFFFF"/>
        <w:spacing w:before="150" w:after="300" w:line="240" w:lineRule="auto"/>
        <w:jc w:val="both"/>
        <w:outlineLvl w:val="3"/>
        <w:rPr>
          <w:rFonts w:ascii="Times New Roman" w:eastAsia="Times New Roman" w:hAnsi="Times New Roman" w:cs="Times New Roman"/>
          <w:bCs/>
          <w:color w:val="111111"/>
          <w:sz w:val="24"/>
          <w:szCs w:val="24"/>
          <w:lang w:val="en-US" w:eastAsia="es-ES"/>
        </w:rPr>
      </w:pPr>
    </w:p>
    <w:p w:rsidR="006E5D75" w:rsidRPr="00105A2A" w:rsidRDefault="006E5D75" w:rsidP="006E5D75">
      <w:pPr>
        <w:shd w:val="clear" w:color="auto" w:fill="FFFFFF"/>
        <w:spacing w:before="150" w:after="300" w:line="240" w:lineRule="auto"/>
        <w:jc w:val="both"/>
        <w:outlineLvl w:val="3"/>
        <w:rPr>
          <w:rFonts w:ascii="Times New Roman" w:eastAsia="Times New Roman" w:hAnsi="Times New Roman" w:cs="Times New Roman"/>
          <w:color w:val="111111"/>
          <w:sz w:val="24"/>
          <w:szCs w:val="24"/>
          <w:lang w:val="en-US" w:eastAsia="es-ES"/>
        </w:rPr>
      </w:pPr>
      <w:r w:rsidRPr="00B871EB">
        <w:rPr>
          <w:rFonts w:ascii="Times New Roman" w:eastAsia="Times New Roman" w:hAnsi="Times New Roman" w:cs="Times New Roman"/>
          <w:bCs/>
          <w:color w:val="111111"/>
          <w:sz w:val="24"/>
          <w:szCs w:val="24"/>
          <w:lang w:val="en-US" w:eastAsia="es-ES"/>
        </w:rPr>
        <w:lastRenderedPageBreak/>
        <w:t>Countries at all levels of development can benefit from engaging in global value chains</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For developing countries seeking to enter or engage in GVCs, there can be pressure to move up the value chain into higher value-adding activities. But the gains from participating in GVCs can come from any stage of the value chain: what matters is doing more of what you’re good at. That is, countries that become efficient at the assembly or production stage can generate greater total value from becoming a globally competitive supplier of these activities, than they can by carrying out higher value-adding activities in which they are less competitive. Ultimately, what actually matters is the total value that the economic activities within the value chain can generate.</w:t>
      </w:r>
    </w:p>
    <w:p w:rsidR="006E5D75" w:rsidRPr="00105A2A"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From a policy perspective then, the focus should be on the total value that firms are generating and not the share value-added that is being performed domestically. In Viet Nam, for example, the share of domestic value added in exports fell from 64% to 53% between 2005 and 2016, but at the same time, the total domestic value-added exported was multiplied by 4. So Viet Nam gained more and exported more overall.</w:t>
      </w:r>
    </w:p>
    <w:p w:rsidR="006E5D75" w:rsidRPr="00D062A9" w:rsidRDefault="006E5D75" w:rsidP="006E5D75">
      <w:pPr>
        <w:shd w:val="clear" w:color="auto" w:fill="FFFFFF"/>
        <w:spacing w:before="150" w:after="300" w:line="240" w:lineRule="auto"/>
        <w:jc w:val="both"/>
        <w:outlineLvl w:val="3"/>
        <w:rPr>
          <w:rFonts w:ascii="Times New Roman" w:eastAsia="Times New Roman" w:hAnsi="Times New Roman" w:cs="Times New Roman"/>
          <w:color w:val="111111"/>
          <w:sz w:val="24"/>
          <w:szCs w:val="24"/>
          <w:u w:val="single"/>
          <w:lang w:val="en-US" w:eastAsia="es-ES"/>
        </w:rPr>
      </w:pPr>
      <w:r w:rsidRPr="00D062A9">
        <w:rPr>
          <w:rFonts w:ascii="Times New Roman" w:eastAsia="Times New Roman" w:hAnsi="Times New Roman" w:cs="Times New Roman"/>
          <w:bCs/>
          <w:color w:val="111111"/>
          <w:sz w:val="24"/>
          <w:szCs w:val="24"/>
          <w:u w:val="single"/>
          <w:lang w:val="en-US" w:eastAsia="es-ES"/>
        </w:rPr>
        <w:t>Trade-related policy insights from TiVA in a global value chain world</w:t>
      </w:r>
    </w:p>
    <w:p w:rsidR="006E5D75" w:rsidRPr="00D062A9" w:rsidRDefault="006E5D75" w:rsidP="006E5D75">
      <w:pPr>
        <w:shd w:val="clear" w:color="auto" w:fill="FFFFFF"/>
        <w:spacing w:after="360" w:line="240" w:lineRule="auto"/>
        <w:jc w:val="both"/>
        <w:rPr>
          <w:rFonts w:ascii="Times New Roman" w:eastAsia="Times New Roman" w:hAnsi="Times New Roman" w:cs="Times New Roman"/>
          <w:color w:val="000000"/>
          <w:sz w:val="24"/>
          <w:szCs w:val="24"/>
          <w:u w:val="single"/>
          <w:lang w:val="en-US" w:eastAsia="es-ES"/>
        </w:rPr>
      </w:pPr>
      <w:r w:rsidRPr="00D062A9">
        <w:rPr>
          <w:rFonts w:ascii="Times New Roman" w:eastAsia="Times New Roman" w:hAnsi="Times New Roman" w:cs="Times New Roman"/>
          <w:color w:val="000000"/>
          <w:sz w:val="24"/>
          <w:szCs w:val="24"/>
          <w:u w:val="single"/>
          <w:lang w:val="en-US" w:eastAsia="es-ES"/>
        </w:rPr>
        <w:t>The emergence and persistence of GVCs challenges the conventional wisdom of how we develop trade policy. Success in international markets today depends as much on the capacity to import world class inputs as it does on the capacity to export. TiVA data reveals the way that GVCs magnify the costs of tariff protection, since tariffs are cumulative when intermediate inputs are traded across borders multiple times.</w:t>
      </w:r>
    </w:p>
    <w:p w:rsidR="006E5D75" w:rsidRPr="00F40786" w:rsidRDefault="006E5D75" w:rsidP="006E5D75">
      <w:pPr>
        <w:shd w:val="clear" w:color="auto" w:fill="FFFFFF"/>
        <w:spacing w:after="360"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color w:val="000000"/>
          <w:sz w:val="24"/>
          <w:szCs w:val="24"/>
          <w:u w:val="single"/>
          <w:lang w:val="en-US" w:eastAsia="es-ES"/>
        </w:rPr>
        <w:t>The evidence also points therefore to the need to pursue </w:t>
      </w:r>
      <w:hyperlink r:id="rId120" w:history="1">
        <w:r w:rsidRPr="00F40786">
          <w:rPr>
            <w:rFonts w:ascii="Times New Roman" w:eastAsia="Times New Roman" w:hAnsi="Times New Roman" w:cs="Times New Roman"/>
            <w:sz w:val="24"/>
            <w:szCs w:val="24"/>
            <w:u w:val="single"/>
            <w:bdr w:val="none" w:sz="0" w:space="0" w:color="auto" w:frame="1"/>
            <w:lang w:val="en-US" w:eastAsia="es-ES"/>
          </w:rPr>
          <w:t>trade-facilitating measures</w:t>
        </w:r>
      </w:hyperlink>
      <w:r w:rsidRPr="00F40786">
        <w:rPr>
          <w:rFonts w:ascii="Times New Roman" w:eastAsia="Times New Roman" w:hAnsi="Times New Roman" w:cs="Times New Roman"/>
          <w:sz w:val="24"/>
          <w:szCs w:val="24"/>
          <w:u w:val="single"/>
          <w:lang w:val="en-US" w:eastAsia="es-ES"/>
        </w:rPr>
        <w:t>, such as the convergence or interoperability of standards and certification requirements, as a way to reduce border bottlenecks and facilitate supply chains.</w:t>
      </w:r>
    </w:p>
    <w:p w:rsidR="006E5D75" w:rsidRPr="00F40786" w:rsidRDefault="006E5D75" w:rsidP="006E5D75">
      <w:pPr>
        <w:shd w:val="clear" w:color="auto" w:fill="FFFFFF"/>
        <w:spacing w:after="360" w:line="240" w:lineRule="auto"/>
        <w:jc w:val="both"/>
        <w:rPr>
          <w:rFonts w:ascii="Times New Roman" w:eastAsia="Times New Roman" w:hAnsi="Times New Roman" w:cs="Times New Roman"/>
          <w:sz w:val="24"/>
          <w:szCs w:val="24"/>
          <w:u w:val="single"/>
          <w:lang w:val="en-US" w:eastAsia="es-ES"/>
        </w:rPr>
      </w:pPr>
      <w:r w:rsidRPr="00F40786">
        <w:rPr>
          <w:rFonts w:ascii="Times New Roman" w:eastAsia="Times New Roman" w:hAnsi="Times New Roman" w:cs="Times New Roman"/>
          <w:sz w:val="24"/>
          <w:szCs w:val="24"/>
          <w:u w:val="single"/>
          <w:lang w:val="en-US" w:eastAsia="es-ES"/>
        </w:rPr>
        <w:t>You can learn more about the OECD’s work on global value chains and </w:t>
      </w:r>
      <w:hyperlink r:id="rId121" w:history="1">
        <w:r w:rsidRPr="00F40786">
          <w:rPr>
            <w:rFonts w:ascii="Times New Roman" w:eastAsia="Times New Roman" w:hAnsi="Times New Roman" w:cs="Times New Roman"/>
            <w:sz w:val="24"/>
            <w:szCs w:val="24"/>
            <w:u w:val="single"/>
            <w:bdr w:val="none" w:sz="0" w:space="0" w:color="auto" w:frame="1"/>
            <w:lang w:val="en-US" w:eastAsia="es-ES"/>
          </w:rPr>
          <w:t>Trade in Value-Added</w:t>
        </w:r>
      </w:hyperlink>
      <w:r w:rsidRPr="00F40786">
        <w:rPr>
          <w:rFonts w:ascii="Times New Roman" w:eastAsia="Times New Roman" w:hAnsi="Times New Roman" w:cs="Times New Roman"/>
          <w:sz w:val="24"/>
          <w:szCs w:val="24"/>
          <w:u w:val="single"/>
          <w:lang w:val="en-US" w:eastAsia="es-ES"/>
        </w:rPr>
        <w:t> by reading our books, papers, and policy briefs, or by digging into </w:t>
      </w:r>
      <w:hyperlink r:id="rId122" w:history="1">
        <w:r w:rsidRPr="00F40786">
          <w:rPr>
            <w:rFonts w:ascii="Times New Roman" w:eastAsia="Times New Roman" w:hAnsi="Times New Roman" w:cs="Times New Roman"/>
            <w:sz w:val="24"/>
            <w:szCs w:val="24"/>
            <w:u w:val="single"/>
            <w:bdr w:val="none" w:sz="0" w:space="0" w:color="auto" w:frame="1"/>
            <w:lang w:val="en-US" w:eastAsia="es-ES"/>
          </w:rPr>
          <w:t xml:space="preserve">the raw </w:t>
        </w:r>
        <w:proofErr w:type="spellStart"/>
        <w:r w:rsidRPr="00F40786">
          <w:rPr>
            <w:rFonts w:ascii="Times New Roman" w:eastAsia="Times New Roman" w:hAnsi="Times New Roman" w:cs="Times New Roman"/>
            <w:sz w:val="24"/>
            <w:szCs w:val="24"/>
            <w:u w:val="single"/>
            <w:bdr w:val="none" w:sz="0" w:space="0" w:color="auto" w:frame="1"/>
            <w:lang w:val="en-US" w:eastAsia="es-ES"/>
          </w:rPr>
          <w:t>TiVA</w:t>
        </w:r>
        <w:proofErr w:type="spellEnd"/>
        <w:r w:rsidRPr="00F40786">
          <w:rPr>
            <w:rFonts w:ascii="Times New Roman" w:eastAsia="Times New Roman" w:hAnsi="Times New Roman" w:cs="Times New Roman"/>
            <w:sz w:val="24"/>
            <w:szCs w:val="24"/>
            <w:u w:val="single"/>
            <w:bdr w:val="none" w:sz="0" w:space="0" w:color="auto" w:frame="1"/>
            <w:lang w:val="en-US" w:eastAsia="es-ES"/>
          </w:rPr>
          <w:t xml:space="preserve"> data</w:t>
        </w:r>
      </w:hyperlink>
      <w:r w:rsidRPr="00F40786">
        <w:rPr>
          <w:rFonts w:ascii="Times New Roman" w:eastAsia="Times New Roman" w:hAnsi="Times New Roman" w:cs="Times New Roman"/>
          <w:sz w:val="24"/>
          <w:szCs w:val="24"/>
          <w:u w:val="single"/>
          <w:lang w:val="en-US" w:eastAsia="es-ES"/>
        </w:rPr>
        <w:t>.</w:t>
      </w:r>
    </w:p>
    <w:p w:rsidR="006E5D75" w:rsidRPr="00F40786" w:rsidRDefault="006E5D75" w:rsidP="006E5D75">
      <w:pPr>
        <w:spacing w:line="240" w:lineRule="auto"/>
        <w:jc w:val="both"/>
        <w:rPr>
          <w:rFonts w:ascii="Times New Roman" w:hAnsi="Times New Roman" w:cs="Times New Roman"/>
          <w:b/>
          <w:sz w:val="24"/>
          <w:szCs w:val="24"/>
          <w:lang w:val="en-US"/>
        </w:rPr>
      </w:pPr>
      <w:r w:rsidRPr="00F40786">
        <w:rPr>
          <w:rFonts w:ascii="Times New Roman" w:hAnsi="Times New Roman" w:cs="Times New Roman"/>
          <w:b/>
          <w:sz w:val="24"/>
          <w:szCs w:val="24"/>
          <w:lang w:val="en-US"/>
        </w:rPr>
        <w:t>Trade in Value Added</w:t>
      </w: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goods and services we buy are composed of inputs from various countries around the world. However, the flows of goods and services within these global production chains are not always reflected in conventional measures of international trade.</w:t>
      </w: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development of Trade in Value-Added (TiVA) addresses this issue by considering the value added by each country in the production of goods and services that are consumed worldwide. TiVA indicators are designed to better inform policy makers by providing new insights into the commercial relations between nations.</w:t>
      </w: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6E5D75"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indicators are expressed in USD millions at current prices, in case of values, or in percent, in case of shares.</w:t>
      </w: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6E5D75" w:rsidRPr="00D062A9" w:rsidRDefault="006E5D75" w:rsidP="006E5D75">
      <w:pPr>
        <w:shd w:val="clear" w:color="auto" w:fill="F9F9F9"/>
        <w:spacing w:before="75" w:after="75" w:line="240" w:lineRule="auto"/>
        <w:jc w:val="both"/>
        <w:rPr>
          <w:rFonts w:ascii="Times New Roman" w:eastAsia="Times New Roman" w:hAnsi="Times New Roman" w:cs="Times New Roman"/>
          <w:sz w:val="24"/>
          <w:szCs w:val="24"/>
          <w:lang w:val="en-US" w:eastAsia="es-ES"/>
        </w:rPr>
      </w:pPr>
      <w:r w:rsidRPr="00F40786">
        <w:rPr>
          <w:rFonts w:ascii="Times New Roman" w:eastAsia="Times New Roman" w:hAnsi="Times New Roman" w:cs="Times New Roman"/>
          <w:sz w:val="24"/>
          <w:szCs w:val="24"/>
          <w:lang w:val="en-US" w:eastAsia="es-ES"/>
        </w:rPr>
        <w:lastRenderedPageBreak/>
        <w:t>Data</w:t>
      </w:r>
      <w:r w:rsidRPr="00D062A9">
        <w:rPr>
          <w:rFonts w:ascii="Times New Roman" w:eastAsia="Times New Roman" w:hAnsi="Times New Roman" w:cs="Times New Roman"/>
          <w:sz w:val="24"/>
          <w:szCs w:val="24"/>
          <w:lang w:val="en-US" w:eastAsia="es-ES"/>
        </w:rPr>
        <w:t xml:space="preserve"> presented in the TiVA database provide insights into:</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Domestic and foreign value added content of gross exports by exporting industry</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Services content of gross exports by exporting industry, by type of service and value added origin</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Participation in global value chains (GVCs) via intermediate imports embodied in exports (backward linkages) and domestic value added in partners’ exports and final demand (forward linkages)</w:t>
      </w:r>
    </w:p>
    <w:p w:rsidR="006E5D75" w:rsidRPr="00D062A9" w:rsidRDefault="003E26FD"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“Global orientation”</w:t>
      </w:r>
      <w:r w:rsidR="006E5D75" w:rsidRPr="00D062A9">
        <w:rPr>
          <w:rFonts w:ascii="Times New Roman" w:eastAsia="Times New Roman" w:hAnsi="Times New Roman" w:cs="Times New Roman"/>
          <w:sz w:val="24"/>
          <w:szCs w:val="24"/>
          <w:lang w:val="en-US" w:eastAsia="es-ES"/>
        </w:rPr>
        <w:t xml:space="preserve"> of industrial activity, i.e. share of industry valued added that meets foreign final demand</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Country and industry origins of value added in final demand, including the origin of value added in final consumption (by households and government) and in GFCF (investment by businesses)</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Bilateral trade relationships based on flows of value added embodied in domestic final demand</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Inter-regional and intra-regional relationships</w:t>
      </w:r>
    </w:p>
    <w:p w:rsidR="006E5D75" w:rsidRPr="00D062A9" w:rsidRDefault="006E5D75" w:rsidP="006E5D75">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bdr w:val="none" w:sz="0" w:space="0" w:color="auto" w:frame="1"/>
          <w:lang w:val="en-US" w:eastAsia="es-ES"/>
        </w:rPr>
        <w:t>Domestic value added content of imports</w:t>
      </w:r>
    </w:p>
    <w:p w:rsidR="006E5D75" w:rsidRPr="00D062A9" w:rsidRDefault="006E5D75" w:rsidP="006E5D75">
      <w:pPr>
        <w:spacing w:line="240" w:lineRule="auto"/>
        <w:jc w:val="both"/>
        <w:rPr>
          <w:rFonts w:ascii="Times New Roman" w:hAnsi="Times New Roman" w:cs="Times New Roman"/>
          <w:sz w:val="24"/>
          <w:szCs w:val="24"/>
          <w:lang w:val="en-US"/>
        </w:rPr>
      </w:pPr>
      <w:r w:rsidRPr="00D062A9">
        <w:rPr>
          <w:rFonts w:ascii="Times New Roman" w:hAnsi="Times New Roman" w:cs="Times New Roman"/>
          <w:b/>
          <w:sz w:val="24"/>
          <w:szCs w:val="24"/>
          <w:lang w:val="en-US"/>
        </w:rPr>
        <w:t xml:space="preserve">The Trade in Value Added (TiVA) </w:t>
      </w:r>
      <w:r w:rsidRPr="00D062A9">
        <w:rPr>
          <w:rFonts w:ascii="Times New Roman" w:hAnsi="Times New Roman" w:cs="Times New Roman"/>
          <w:sz w:val="24"/>
          <w:szCs w:val="24"/>
          <w:lang w:val="en-US"/>
        </w:rPr>
        <w:t>database is a collection of measures that can provide insights into global production networks and supply chains beyond what is possible with conventional trade statistics. The TiVA database presented here contains a selection of principal indicators that track the origins of value added in exports, imports and final demand for the years 2005-2015.</w:t>
      </w:r>
    </w:p>
    <w:p w:rsidR="006E5D75" w:rsidRPr="00D062A9" w:rsidRDefault="006E5D75" w:rsidP="006E5D75">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The current 2018 edition covers 64 economies (including all OECD, EU and G20 countries and most East and Southeast Asian economies) as well as region aggregates. Indicators are available for 36 industries within a hierarchy based on ISIC Rev. 4.</w:t>
      </w:r>
    </w:p>
    <w:p w:rsidR="006E5D75" w:rsidRPr="00D062A9" w:rsidRDefault="006E5D75" w:rsidP="006E5D75">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For certain indicators, preliminary estimates for the year 2016 are provided.</w:t>
      </w:r>
    </w:p>
    <w:p w:rsidR="006E5D75" w:rsidRPr="00D062A9" w:rsidRDefault="006E5D75" w:rsidP="006E5D75">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The indicators are derived from the 2018 version of OECD's Inter-Country Input-Output (ICIO) Database (see web page http://oe.cd/icio).</w:t>
      </w:r>
    </w:p>
    <w:p w:rsidR="006E5D75" w:rsidRDefault="006E5D75" w:rsidP="006E5D75">
      <w:pPr>
        <w:spacing w:line="240" w:lineRule="auto"/>
        <w:jc w:val="both"/>
        <w:rPr>
          <w:rFonts w:ascii="Times New Roman" w:hAnsi="Times New Roman" w:cs="Times New Roman"/>
          <w:sz w:val="24"/>
          <w:szCs w:val="24"/>
          <w:lang w:val="en-US"/>
        </w:rPr>
        <w:sectPr w:rsidR="006E5D75" w:rsidSect="006E5D75">
          <w:pgSz w:w="11906" w:h="16838"/>
          <w:pgMar w:top="1440" w:right="1440" w:bottom="1440" w:left="1440" w:header="709" w:footer="709" w:gutter="0"/>
          <w:cols w:space="708"/>
          <w:docGrid w:linePitch="360"/>
        </w:sectPr>
      </w:pPr>
      <w:r w:rsidRPr="00D062A9">
        <w:rPr>
          <w:rFonts w:ascii="Times New Roman" w:hAnsi="Times New Roman" w:cs="Times New Roman"/>
          <w:sz w:val="24"/>
          <w:szCs w:val="24"/>
          <w:lang w:val="en-US"/>
        </w:rPr>
        <w:t>To construct ICIO tables, national Supply and Use tables (SUTs) and Input-Output tables (IOTs) are transformed (or harmonised) to standard formats and classifications, combined with bilateral trade in goods and services statistics from international sources, and then balanced under constraints based on official (SNA08) National Accounts by economic activity and National Accounts main aggregates time series. Prior to balancing, many data gaps need to be filled using a variety of estimation techniques. For more details, see http://oe.cd/icio where the underlying OECD ICIO tables are freely available for download.</w:t>
      </w:r>
    </w:p>
    <w:p w:rsidR="006E5D75" w:rsidRDefault="006E5D75" w:rsidP="006E5D75">
      <w:pPr>
        <w:spacing w:line="240" w:lineRule="auto"/>
        <w:jc w:val="both"/>
        <w:rPr>
          <w:rFonts w:ascii="Times New Roman" w:hAnsi="Times New Roman" w:cs="Times New Roman"/>
          <w:sz w:val="24"/>
          <w:szCs w:val="24"/>
          <w:lang w:val="en-US"/>
        </w:rPr>
      </w:pPr>
      <w:r w:rsidRPr="0031730F">
        <w:rPr>
          <w:rFonts w:ascii="Times New Roman" w:hAnsi="Times New Roman" w:cs="Times New Roman"/>
          <w:noProof/>
          <w:sz w:val="24"/>
          <w:szCs w:val="24"/>
          <w:lang w:val="en-GB" w:eastAsia="zh-CN"/>
        </w:rPr>
        <w:lastRenderedPageBreak/>
        <w:drawing>
          <wp:inline distT="0" distB="0" distL="0" distR="0">
            <wp:extent cx="7711884" cy="1546412"/>
            <wp:effectExtent l="0" t="0" r="381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727231" cy="1549489"/>
                    </a:xfrm>
                    <a:prstGeom prst="rect">
                      <a:avLst/>
                    </a:prstGeom>
                  </pic:spPr>
                </pic:pic>
              </a:graphicData>
            </a:graphic>
          </wp:inline>
        </w:drawing>
      </w:r>
      <w:r w:rsidRPr="0031730F">
        <w:rPr>
          <w:rFonts w:ascii="Times New Roman" w:hAnsi="Times New Roman" w:cs="Times New Roman"/>
          <w:noProof/>
          <w:sz w:val="24"/>
          <w:szCs w:val="24"/>
          <w:lang w:val="en-GB" w:eastAsia="zh-CN"/>
        </w:rPr>
        <w:drawing>
          <wp:inline distT="0" distB="0" distL="0" distR="0">
            <wp:extent cx="7711888" cy="127747"/>
            <wp:effectExtent l="0" t="0" r="0" b="571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7809440" cy="129363"/>
                    </a:xfrm>
                    <a:prstGeom prst="rect">
                      <a:avLst/>
                    </a:prstGeom>
                  </pic:spPr>
                </pic:pic>
              </a:graphicData>
            </a:graphic>
          </wp:inline>
        </w:drawing>
      </w:r>
      <w:r w:rsidRPr="0031730F">
        <w:rPr>
          <w:rFonts w:ascii="Times New Roman" w:hAnsi="Times New Roman" w:cs="Times New Roman"/>
          <w:noProof/>
          <w:sz w:val="24"/>
          <w:szCs w:val="24"/>
          <w:lang w:val="en-GB" w:eastAsia="zh-CN"/>
        </w:rPr>
        <w:drawing>
          <wp:inline distT="0" distB="0" distL="0" distR="0">
            <wp:extent cx="7711888" cy="114300"/>
            <wp:effectExtent l="0" t="0" r="381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7711905" cy="114300"/>
                    </a:xfrm>
                    <a:prstGeom prst="rect">
                      <a:avLst/>
                    </a:prstGeom>
                  </pic:spPr>
                </pic:pic>
              </a:graphicData>
            </a:graphic>
          </wp:inline>
        </w:drawing>
      </w:r>
      <w:r w:rsidRPr="0031730F">
        <w:rPr>
          <w:rFonts w:ascii="Times New Roman" w:hAnsi="Times New Roman" w:cs="Times New Roman"/>
          <w:noProof/>
          <w:sz w:val="24"/>
          <w:szCs w:val="24"/>
          <w:lang w:val="en-GB" w:eastAsia="zh-CN"/>
        </w:rPr>
        <w:drawing>
          <wp:inline distT="0" distB="0" distL="0" distR="0">
            <wp:extent cx="7711888" cy="793376"/>
            <wp:effectExtent l="0" t="0" r="3810" b="698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711888" cy="79337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val="en-GB" w:eastAsia="zh-CN"/>
        </w:rPr>
        <w:drawing>
          <wp:inline distT="0" distB="0" distL="0" distR="0">
            <wp:extent cx="7799294" cy="1438836"/>
            <wp:effectExtent l="0" t="0" r="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829649" cy="1444436"/>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188259"/>
            <wp:effectExtent l="0" t="0" r="0" b="254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799294" cy="188259"/>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201706"/>
            <wp:effectExtent l="0" t="0" r="0" b="825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799294" cy="201706"/>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853888"/>
            <wp:effectExtent l="0" t="0" r="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799303" cy="853889"/>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val="en-GB" w:eastAsia="zh-CN"/>
        </w:rPr>
        <w:lastRenderedPageBreak/>
        <w:drawing>
          <wp:inline distT="0" distB="0" distL="0" distR="0">
            <wp:extent cx="7705165" cy="1526241"/>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714460" cy="1528082"/>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05165" cy="147918"/>
            <wp:effectExtent l="0" t="0" r="0" b="508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7775533" cy="149269"/>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45500" cy="154641"/>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7888280" cy="157492"/>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05165" cy="941294"/>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7705165" cy="94129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val="en-GB" w:eastAsia="zh-CN"/>
        </w:rPr>
        <w:drawing>
          <wp:inline distT="0" distB="0" distL="0" distR="0">
            <wp:extent cx="7745506" cy="1371600"/>
            <wp:effectExtent l="0" t="0" r="825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7759336" cy="1374049"/>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181536"/>
            <wp:effectExtent l="0" t="0" r="0" b="952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745506" cy="181536"/>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168088"/>
            <wp:effectExtent l="0" t="0" r="0" b="381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888280" cy="171186"/>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853888"/>
            <wp:effectExtent l="0" t="0" r="0" b="381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745506" cy="85388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val="en-GB" w:eastAsia="zh-CN"/>
        </w:rPr>
        <w:lastRenderedPageBreak/>
        <w:drawing>
          <wp:inline distT="0" distB="0" distL="0" distR="0">
            <wp:extent cx="7792571" cy="1526241"/>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799885" cy="1527674"/>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92571" cy="168089"/>
            <wp:effectExtent l="0" t="0" r="0" b="381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792571" cy="168089"/>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792571" cy="188259"/>
            <wp:effectExtent l="0" t="0" r="0" b="254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7792571" cy="188259"/>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792571" cy="867335"/>
            <wp:effectExtent l="0" t="0" r="0" b="9525"/>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7792571" cy="86733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val="en-GB" w:eastAsia="zh-CN"/>
        </w:rPr>
        <w:drawing>
          <wp:inline distT="0" distB="0" distL="0" distR="0">
            <wp:extent cx="7873253" cy="1539688"/>
            <wp:effectExtent l="0" t="0" r="0" b="381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888923" cy="1542752"/>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147917"/>
            <wp:effectExtent l="0" t="0" r="0" b="508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972922" cy="149790"/>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194982"/>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7873253" cy="194982"/>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813547"/>
            <wp:effectExtent l="0" t="0" r="0" b="571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7873253" cy="81354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val="en-GB" w:eastAsia="zh-CN"/>
        </w:rPr>
        <w:lastRenderedPageBreak/>
        <w:drawing>
          <wp:inline distT="0" distB="0" distL="0" distR="0">
            <wp:extent cx="7698441" cy="1385047"/>
            <wp:effectExtent l="0" t="0" r="0" b="571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7715896" cy="1388187"/>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698441" cy="188259"/>
            <wp:effectExtent l="0" t="0" r="0" b="254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7698441" cy="188259"/>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698435" cy="161365"/>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7733434" cy="162099"/>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698431" cy="806824"/>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7698441" cy="80682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val="en-GB" w:eastAsia="zh-CN"/>
        </w:rPr>
        <w:drawing>
          <wp:inline distT="0" distB="0" distL="0" distR="0">
            <wp:extent cx="7738782" cy="1398494"/>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7741565" cy="1398997"/>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82" cy="154641"/>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7738782" cy="154641"/>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67" cy="168088"/>
            <wp:effectExtent l="0" t="0" r="0" b="381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7954748" cy="172779"/>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82" cy="786653"/>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7738782" cy="78665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val="en-GB" w:eastAsia="zh-CN"/>
        </w:rPr>
        <w:lastRenderedPageBreak/>
        <w:drawing>
          <wp:inline distT="0" distB="0" distL="0" distR="0">
            <wp:extent cx="7469841" cy="120269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7469841" cy="1202690"/>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469841" cy="141194"/>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7609113" cy="143827"/>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469841" cy="692523"/>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7469841" cy="69252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val="en-GB" w:eastAsia="zh-CN"/>
        </w:rPr>
        <w:drawing>
          <wp:inline distT="0" distB="0" distL="0" distR="0">
            <wp:extent cx="7510182" cy="1391771"/>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7510182" cy="1391771"/>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550524" cy="168088"/>
            <wp:effectExtent l="0" t="0" r="0" b="381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7550524" cy="168088"/>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550524" cy="679077"/>
            <wp:effectExtent l="0" t="0" r="0" b="698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50524" cy="67907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val="en-GB" w:eastAsia="zh-CN"/>
        </w:rPr>
        <w:lastRenderedPageBreak/>
        <w:drawing>
          <wp:inline distT="0" distB="0" distL="0" distR="0">
            <wp:extent cx="7853082" cy="122301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7853082" cy="1223010"/>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853082" cy="188259"/>
            <wp:effectExtent l="0" t="0" r="0" b="254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7997839" cy="191729"/>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853082" cy="16136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7924801" cy="162839"/>
                    </a:xfrm>
                    <a:prstGeom prst="rect">
                      <a:avLst/>
                    </a:prstGeom>
                  </pic:spPr>
                </pic:pic>
              </a:graphicData>
            </a:graphic>
          </wp:inline>
        </w:drawing>
      </w:r>
    </w:p>
    <w:p w:rsidR="006E5D75" w:rsidRPr="00105A2A" w:rsidRDefault="006E5D75" w:rsidP="006E5D75">
      <w:pPr>
        <w:spacing w:line="240" w:lineRule="auto"/>
        <w:jc w:val="both"/>
        <w:rPr>
          <w:rFonts w:ascii="Times New Roman" w:hAnsi="Times New Roman" w:cs="Times New Roman"/>
          <w:sz w:val="24"/>
          <w:szCs w:val="24"/>
          <w:lang w:val="en-US"/>
        </w:rPr>
      </w:pPr>
      <w:r w:rsidRPr="00105A2A">
        <w:rPr>
          <w:rFonts w:ascii="Times New Roman" w:hAnsi="Times New Roman" w:cs="Times New Roman"/>
          <w:sz w:val="24"/>
          <w:szCs w:val="24"/>
          <w:lang w:val="en-US"/>
        </w:rPr>
        <w:t>IMGRpSH (c,i,p) shows, for country c, gross imports from partner p, industry i, as a percentage of total imports from industry I, i.e. IMGR (c,i,p) / IMGR (c, i, total).</w:t>
      </w:r>
    </w:p>
    <w:p w:rsidR="006E5D75" w:rsidRDefault="006E5D75" w:rsidP="006E5D75">
      <w:pPr>
        <w:spacing w:line="240" w:lineRule="auto"/>
        <w:jc w:val="both"/>
        <w:rPr>
          <w:rFonts w:ascii="Times New Roman" w:hAnsi="Times New Roman" w:cs="Times New Roman"/>
          <w:sz w:val="24"/>
          <w:szCs w:val="24"/>
          <w:lang w:val="en-US"/>
        </w:rPr>
      </w:pPr>
      <w:r w:rsidRPr="00105A2A">
        <w:rPr>
          <w:rFonts w:ascii="Times New Roman" w:hAnsi="Times New Roman" w:cs="Times New Roman"/>
          <w:sz w:val="24"/>
          <w:szCs w:val="24"/>
          <w:lang w:val="en-US"/>
        </w:rPr>
        <w:t>Rest of the world includes imports from unspecified trade partner.</w:t>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835C92">
        <w:rPr>
          <w:rFonts w:ascii="Times New Roman" w:hAnsi="Times New Roman" w:cs="Times New Roman"/>
          <w:noProof/>
          <w:sz w:val="24"/>
          <w:szCs w:val="24"/>
          <w:lang w:val="en-GB" w:eastAsia="zh-CN"/>
        </w:rPr>
        <w:drawing>
          <wp:inline distT="0" distB="0" distL="0" distR="0">
            <wp:extent cx="7913594" cy="1079500"/>
            <wp:effectExtent l="0" t="0" r="0" b="635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7913594" cy="1079500"/>
                    </a:xfrm>
                    <a:prstGeom prst="rect">
                      <a:avLst/>
                    </a:prstGeom>
                  </pic:spPr>
                </pic:pic>
              </a:graphicData>
            </a:graphic>
          </wp:inline>
        </w:drawing>
      </w:r>
      <w:r w:rsidRPr="00835C92">
        <w:rPr>
          <w:rFonts w:ascii="Times New Roman" w:hAnsi="Times New Roman" w:cs="Times New Roman"/>
          <w:noProof/>
          <w:sz w:val="24"/>
          <w:szCs w:val="24"/>
          <w:lang w:val="en-GB" w:eastAsia="zh-CN"/>
        </w:rPr>
        <w:drawing>
          <wp:inline distT="0" distB="0" distL="0" distR="0">
            <wp:extent cx="7913594" cy="154642"/>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7913594" cy="154642"/>
                    </a:xfrm>
                    <a:prstGeom prst="rect">
                      <a:avLst/>
                    </a:prstGeom>
                  </pic:spPr>
                </pic:pic>
              </a:graphicData>
            </a:graphic>
          </wp:inline>
        </w:drawing>
      </w:r>
      <w:r w:rsidRPr="00835C92">
        <w:rPr>
          <w:rFonts w:ascii="Times New Roman" w:hAnsi="Times New Roman" w:cs="Times New Roman"/>
          <w:noProof/>
          <w:sz w:val="24"/>
          <w:szCs w:val="24"/>
          <w:lang w:val="en-GB" w:eastAsia="zh-CN"/>
        </w:rPr>
        <w:drawing>
          <wp:inline distT="0" distB="0" distL="0" distR="0">
            <wp:extent cx="7913594" cy="672353"/>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7913594" cy="67235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B93FC2">
        <w:rPr>
          <w:rFonts w:ascii="Times New Roman" w:hAnsi="Times New Roman" w:cs="Times New Roman"/>
          <w:noProof/>
          <w:sz w:val="24"/>
          <w:szCs w:val="24"/>
          <w:lang w:val="en-GB" w:eastAsia="zh-CN"/>
        </w:rPr>
        <w:drawing>
          <wp:inline distT="0" distB="0" distL="0" distR="0">
            <wp:extent cx="7516906" cy="1316990"/>
            <wp:effectExtent l="0" t="0" r="825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7516906" cy="1316990"/>
                    </a:xfrm>
                    <a:prstGeom prst="rect">
                      <a:avLst/>
                    </a:prstGeom>
                  </pic:spPr>
                </pic:pic>
              </a:graphicData>
            </a:graphic>
          </wp:inline>
        </w:drawing>
      </w:r>
      <w:r w:rsidRPr="00B93FC2">
        <w:rPr>
          <w:rFonts w:ascii="Times New Roman" w:hAnsi="Times New Roman" w:cs="Times New Roman"/>
          <w:noProof/>
          <w:sz w:val="24"/>
          <w:szCs w:val="24"/>
          <w:lang w:val="en-GB" w:eastAsia="zh-CN"/>
        </w:rPr>
        <w:drawing>
          <wp:inline distT="0" distB="0" distL="0" distR="0">
            <wp:extent cx="7516906" cy="161364"/>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7516934" cy="161365"/>
                    </a:xfrm>
                    <a:prstGeom prst="rect">
                      <a:avLst/>
                    </a:prstGeom>
                  </pic:spPr>
                </pic:pic>
              </a:graphicData>
            </a:graphic>
          </wp:inline>
        </w:drawing>
      </w:r>
      <w:r w:rsidRPr="00B93FC2">
        <w:rPr>
          <w:rFonts w:ascii="Times New Roman" w:hAnsi="Times New Roman" w:cs="Times New Roman"/>
          <w:noProof/>
          <w:sz w:val="24"/>
          <w:szCs w:val="24"/>
          <w:lang w:val="en-GB" w:eastAsia="zh-CN"/>
        </w:rPr>
        <w:drawing>
          <wp:inline distT="0" distB="0" distL="0" distR="0">
            <wp:extent cx="7516906" cy="601980"/>
            <wp:effectExtent l="0" t="0" r="8255" b="762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7516906" cy="60198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B93FC2">
        <w:rPr>
          <w:rFonts w:ascii="Times New Roman" w:hAnsi="Times New Roman" w:cs="Times New Roman"/>
          <w:noProof/>
          <w:sz w:val="24"/>
          <w:szCs w:val="24"/>
          <w:lang w:val="en-GB" w:eastAsia="zh-CN"/>
        </w:rPr>
        <w:drawing>
          <wp:inline distT="0" distB="0" distL="0" distR="0">
            <wp:extent cx="7516906" cy="1116106"/>
            <wp:effectExtent l="0" t="0" r="0" b="825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7531245" cy="1118235"/>
                    </a:xfrm>
                    <a:prstGeom prst="rect">
                      <a:avLst/>
                    </a:prstGeom>
                  </pic:spPr>
                </pic:pic>
              </a:graphicData>
            </a:graphic>
          </wp:inline>
        </w:drawing>
      </w:r>
      <w:r w:rsidRPr="00B93FC2">
        <w:rPr>
          <w:rFonts w:ascii="Times New Roman" w:hAnsi="Times New Roman" w:cs="Times New Roman"/>
          <w:noProof/>
          <w:sz w:val="24"/>
          <w:szCs w:val="24"/>
          <w:lang w:val="en-GB" w:eastAsia="zh-CN"/>
        </w:rPr>
        <w:drawing>
          <wp:inline distT="0" distB="0" distL="0" distR="0">
            <wp:extent cx="7516902" cy="188258"/>
            <wp:effectExtent l="0" t="0" r="0" b="254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7655466" cy="191728"/>
                    </a:xfrm>
                    <a:prstGeom prst="rect">
                      <a:avLst/>
                    </a:prstGeom>
                  </pic:spPr>
                </pic:pic>
              </a:graphicData>
            </a:graphic>
          </wp:inline>
        </w:drawing>
      </w:r>
      <w:r w:rsidRPr="00B93FC2">
        <w:rPr>
          <w:rFonts w:ascii="Times New Roman" w:hAnsi="Times New Roman" w:cs="Times New Roman"/>
          <w:noProof/>
          <w:sz w:val="24"/>
          <w:szCs w:val="24"/>
          <w:lang w:val="en-GB" w:eastAsia="zh-CN"/>
        </w:rPr>
        <w:drawing>
          <wp:inline distT="0" distB="0" distL="0" distR="0">
            <wp:extent cx="7516906" cy="134471"/>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7576904" cy="135544"/>
                    </a:xfrm>
                    <a:prstGeom prst="rect">
                      <a:avLst/>
                    </a:prstGeom>
                  </pic:spPr>
                </pic:pic>
              </a:graphicData>
            </a:graphic>
          </wp:inline>
        </w:drawing>
      </w:r>
    </w:p>
    <w:p w:rsidR="006E5D75" w:rsidRPr="00B93FC2" w:rsidRDefault="006E5D75" w:rsidP="006E5D75">
      <w:pPr>
        <w:spacing w:line="240" w:lineRule="auto"/>
        <w:jc w:val="both"/>
        <w:rPr>
          <w:rFonts w:ascii="Times New Roman" w:hAnsi="Times New Roman" w:cs="Times New Roman"/>
          <w:sz w:val="24"/>
          <w:szCs w:val="24"/>
          <w:lang w:val="en-US"/>
        </w:rPr>
      </w:pPr>
      <w:r w:rsidRPr="00B93FC2">
        <w:rPr>
          <w:rFonts w:ascii="Times New Roman" w:hAnsi="Times New Roman" w:cs="Times New Roman"/>
          <w:sz w:val="24"/>
          <w:szCs w:val="24"/>
          <w:lang w:val="en-US"/>
        </w:rPr>
        <w:t>EXGRpSH (c,i,p) shows , for each industry i in country c, gross exports to partner p as a percentage of total exports by industry i., i.e. EXGR (c,i,p) / EXGR (c, i, total).</w:t>
      </w:r>
    </w:p>
    <w:p w:rsidR="006E5D75" w:rsidRDefault="006E5D75" w:rsidP="006E5D75">
      <w:pPr>
        <w:spacing w:line="240" w:lineRule="auto"/>
        <w:jc w:val="both"/>
        <w:rPr>
          <w:rFonts w:ascii="Times New Roman" w:hAnsi="Times New Roman" w:cs="Times New Roman"/>
          <w:sz w:val="24"/>
          <w:szCs w:val="24"/>
          <w:lang w:val="en-US"/>
        </w:rPr>
      </w:pPr>
      <w:r w:rsidRPr="00B93FC2">
        <w:rPr>
          <w:rFonts w:ascii="Times New Roman" w:hAnsi="Times New Roman" w:cs="Times New Roman"/>
          <w:sz w:val="24"/>
          <w:szCs w:val="24"/>
          <w:lang w:val="en-US"/>
        </w:rPr>
        <w:t>“Unspecified export destination” (i.e. any discrepancy between exports and imports) is allocated to partner “Rest of the World”.</w:t>
      </w:r>
    </w:p>
    <w:p w:rsidR="006E5D75" w:rsidRDefault="006E5D75" w:rsidP="006E5D75">
      <w:pPr>
        <w:spacing w:line="240" w:lineRule="auto"/>
        <w:jc w:val="both"/>
        <w:rPr>
          <w:rFonts w:ascii="Times New Roman" w:hAnsi="Times New Roman" w:cs="Times New Roman"/>
          <w:sz w:val="24"/>
          <w:szCs w:val="24"/>
          <w:lang w:val="en-US"/>
        </w:rPr>
        <w:sectPr w:rsidR="006E5D75" w:rsidSect="006E5D75">
          <w:pgSz w:w="16838" w:h="11906" w:orient="landscape"/>
          <w:pgMar w:top="1440" w:right="1440" w:bottom="1440" w:left="1440" w:header="709" w:footer="709" w:gutter="0"/>
          <w:cols w:space="708"/>
          <w:docGrid w:linePitch="360"/>
        </w:sectPr>
      </w:pPr>
    </w:p>
    <w:p w:rsidR="006E5D75" w:rsidRDefault="006E5D75" w:rsidP="006E5D75">
      <w:pPr>
        <w:spacing w:line="240" w:lineRule="auto"/>
        <w:jc w:val="both"/>
        <w:rPr>
          <w:rFonts w:ascii="Times New Roman" w:hAnsi="Times New Roman" w:cs="Times New Roman"/>
          <w:b/>
          <w:sz w:val="24"/>
          <w:szCs w:val="24"/>
          <w:lang w:val="en-US"/>
        </w:rPr>
      </w:pPr>
      <w:r w:rsidRPr="00D062A9">
        <w:rPr>
          <w:rFonts w:ascii="Times New Roman" w:hAnsi="Times New Roman" w:cs="Times New Roman"/>
          <w:b/>
          <w:sz w:val="24"/>
          <w:szCs w:val="24"/>
          <w:lang w:val="en-US"/>
        </w:rPr>
        <w:lastRenderedPageBreak/>
        <w:t>The Trade in Value Added (TiVA)</w:t>
      </w:r>
      <w:r>
        <w:rPr>
          <w:rFonts w:ascii="Times New Roman" w:hAnsi="Times New Roman" w:cs="Times New Roman"/>
          <w:b/>
          <w:sz w:val="24"/>
          <w:szCs w:val="24"/>
          <w:lang w:val="en-US"/>
        </w:rPr>
        <w:t xml:space="preserve"> - Principal Indicators</w:t>
      </w:r>
    </w:p>
    <w:p w:rsidR="006E5D75" w:rsidRPr="00FF3C6F" w:rsidRDefault="006E5D75" w:rsidP="006E5D75">
      <w:pPr>
        <w:spacing w:line="240" w:lineRule="auto"/>
        <w:jc w:val="both"/>
        <w:rPr>
          <w:rFonts w:ascii="Times New Roman" w:hAnsi="Times New Roman" w:cs="Times New Roman"/>
          <w:color w:val="FF0000"/>
          <w:sz w:val="24"/>
          <w:szCs w:val="24"/>
          <w:shd w:val="clear" w:color="auto" w:fill="FFFFFF"/>
        </w:rPr>
      </w:pPr>
      <w:r w:rsidRPr="00FF3C6F">
        <w:rPr>
          <w:rFonts w:ascii="Times New Roman" w:hAnsi="Times New Roman" w:cs="Times New Roman"/>
          <w:b/>
          <w:color w:val="FF0000"/>
          <w:sz w:val="24"/>
          <w:szCs w:val="24"/>
        </w:rPr>
        <w:t>Gross exports</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698,1 miles de millones de dólares; Año 2016, 1.956,4 miles de millones de dólares; Var. 2,80 - Un incremento equivalente al 180%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1.188,3 miles de millones de dólares; Año 2016, 2.006,2 miles de millones de dólares; Var. 1,69 - Un incremento equivalente al 69%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1.705,3 miles de millones de dólares; Año 2016, 2.753,3 miles de millones de dólares; Var. 1,61 - Un incremento equivalente al 61%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Euro Área: Año 2005,  1.808,6 miles de millones de dólares; Año 2016, 2.855,2 miles de millones de dólares; Var. 1,58 - Un incremento equivalente al 58% (2016-2005) </w:t>
      </w:r>
    </w:p>
    <w:p w:rsidR="006E5D75" w:rsidRPr="00FF3C6F" w:rsidRDefault="006E5D75" w:rsidP="006E5D75">
      <w:pPr>
        <w:spacing w:line="240" w:lineRule="auto"/>
        <w:jc w:val="both"/>
        <w:rPr>
          <w:rFonts w:ascii="Times New Roman" w:hAnsi="Times New Roman" w:cs="Times New Roman"/>
          <w:color w:val="FF0000"/>
          <w:sz w:val="24"/>
          <w:szCs w:val="24"/>
          <w:shd w:val="clear" w:color="auto" w:fill="FFFFFF"/>
        </w:rPr>
      </w:pPr>
      <w:r w:rsidRPr="00FF3C6F">
        <w:rPr>
          <w:rFonts w:ascii="Times New Roman" w:hAnsi="Times New Roman" w:cs="Times New Roman"/>
          <w:b/>
          <w:color w:val="FF0000"/>
          <w:sz w:val="24"/>
          <w:szCs w:val="24"/>
        </w:rPr>
        <w:t>Gross imports</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146,2 miles de millones de dólares; Año 2015, 557,5 miles de millones de dólares; Var. 3,81 - Un incremento equivalente al 281%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854,6 miles de millones de dólares; Año 2015, 1.254,4 miles de millones de dólares; Var. 1,47 - Un incremento equivalente al 47%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613,6 miles de millones de dólares; Año 2015, 888,9 miles de millones de dólares; Var. 1,45 - Un incremento equivalente al 45%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606,7 miles de millones de dólares; Año 2015, 849,3 miles de millones de dólares; Var. 1,40 - Un incremento equivalente al 40%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content of gross exports</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183,4 miles de millones de dólares; Año 2016, 335,6 miles de millones de dólares; Var. 1,83 - Un incremento equivalente al 83%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127,9 miles de millones de dólares; Año 2016, 181,4 miles de millones de dólares; Var. 1,42 - Un incremento equivalente al 42%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177,5 miles de millones de dólares; Año 2016, 320,3 miles de millones de dólares; Var. 1,80 - Un incremento equivalente al 80% (2016-2005)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252,7 miles de millones de dólares; Año 2016, 451,5 miles de millones de dólares; Var. 1,79 - Un incremento equivalente al 79% (2016-2005)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 xml:space="preserve">Domestic value added content of gross imports </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11,9 miles de millones de dólares; Año 2015, 67,3 miles de millones de dólares; Var. 6,66 - Un incremento equivalente al 566%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87,6 miles de millones de dólares; Año 2015, 117,0 miles de millones de dólares; Var. 1,34 - Un incremento equivalente al 34%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78,9 miles de millones de dólares; Año 2015, 91,4 miles de millones de dólares; Var. 1,16 - Un incremento equivalente al 16% (2015-2005)</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89,4 miles de millones de dólares; Año 2015, 113,0 miles de millones de dólares; Var. 1,26 - Un incremento equivalente al 26%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Production (gross output)</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5.388,2 miles de millones de dólares; Año 2015,  27.183,0 miles de millones de dólares; Var. 6,04 - Un incremento equivalente al 504%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23.081,6 miles de millones de dólares; Año 2015, 30.820,8 miles de millones de dólares; Var. 1,34 - Un incremento equivalente al 34%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EU-28: Año 2005, 26.418,6 miles de millones de dólares; Año 2015, 30.028,8 miles de millones de dólares; Var. 1,14 - Un incremento equivalente al 14%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19.571,5  miles de millones de dólares; Año 2015, 21.545,1 miles de millones de dólares; Var. 1,10 - Un incremento equivalente al 10%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Value added</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2.135,5 miles de millones de dólares; Año 2015, 10.485,7 miles de millones de dólares; Var. 4,91 - Un incremento equivalente al 391%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12.748,1 miles de millones de dólares; Año 2015, 17.662,3 miles de millones de dólares; Var. 1,39 - Un incremento equivalente al 39%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13.510,9 miles de millones de dólares; Año 2015, 15.473,2 miles de millones de dólares; Var. 1,15 - Un incremento equivalente al 15%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9.850,5 miles de millones de dólares; Año 2015, 11.005,7 miles de millones de dólares; Var. 1,12 - Un incremento equivalente al 12%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embodied in domestic final demand</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405,9 miles de millones de dólares; Año 2015, 1.444,5 miles de millones de dólares; Var.  3,56 - Un incremento equivalente al 256%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1.673,6 miles de millones de dólares; Año 2015, 2.222,1 miles de millones de dólares; Var. 1,33 - Un incremento equivalente al 33%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1.358,8 miles de millones de dólares; Año 2015, 1.857,8 miles de millones de dólares; Var.  1,37 - Un incremento equivalente al 37%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1.293,4 miles de millones de dólares; Año 2015, 1.711,9 miles de millones de dólares; Var. 1,32 - Un incremento equivalente al 32%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 xml:space="preserve">Gross trade balance </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96,9 miles de millones de dólares; Año 2015, 305,8  miles de millones de dólares; Var. 3,16 - Un incremento equivalente al 216%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(700,8) miles de millones de dólares; Año 2015, (507,0) miles de millones de dólares; Var. -0,28 - Una reducción equivalente al -28%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90.0 miles de millones de dólares; Año 2015, 476,1 miles de millones de dólares; Var. 5,29 - Un incremento equivalente al 429%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144,5 miles de millones de dólares; Año 2015, 456,7 miles de millones de dólares; Var. 3,16 - Un incremento equivalente al 216%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imports, partner shares</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8,7 %; Año 2015, 12,6 %; Var. 1,45 - Un incremento equivalente al 45%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19,4 %; Año 2015, 19,9 %; Var. 1,03 - Un incremento equivalente al 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13,4 %; Año 2015, 14,6 %; Var. 1,08 - Un incremento equivalente al 8%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10,9 %; Año 2015,  19,3 %; Var. 1,77 - Un incremento equivalente al 77%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8,0 %; Año 2015, 15,4 %; Var. 1,93 - Un incremento equivalente al 93%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5,4 %; Año 2015, 10,3 %; Var. 1,91 - Un incremento equivalente al 91%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17,0 %; Año 2015,  16,5 %; Var. -0,03 - Una reducción equivalente al -3%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11,3 %; Año 2015,  12,3 %; Var. 1,09 - Un incremento equivalente al 9% (2015-2005)</w:t>
      </w:r>
    </w:p>
    <w:p w:rsidR="006E5D75" w:rsidRPr="00FF3C6F" w:rsidRDefault="006E5D75" w:rsidP="006E5D75">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exports, partner shares</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29,6 %; Año 2015, 22,3 %; Var. -0,25 - Una reducción equivalente al -25%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26,7 %; Año 2015,  20,8 %; Var. -0,22 - Una reducción equivalente al -22%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18,0 %; Año 2015, 15,2  %; Var. -0,16 - Una reducción equivalente al -16%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4,4 %; Año 2015, 11,7 %; Var. 2,69 - Un incremento equivalente al 169%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4,9 %; Año 2015, 10,8 %; Var. 2,20 - Un incremento equivalente al 120%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3,8 %; Año 2015, 8,5 %; Var. 2,24 - Un incremento equivalente al 124%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12,8 %; Año 2015, 10,7 %; Var. -0,16 - Una reducción equivalente al -16%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18,5 %; Año 2015, 16,5 %; Var. -0,11 - Una reducción equivalente al -11% (2015-2005)</w:t>
      </w:r>
    </w:p>
    <w:p w:rsidR="006E5D75" w:rsidRPr="005875EE" w:rsidRDefault="006E5D75" w:rsidP="006E5D75">
      <w:pPr>
        <w:spacing w:line="240" w:lineRule="auto"/>
        <w:jc w:val="both"/>
        <w:rPr>
          <w:rFonts w:ascii="Times New Roman" w:hAnsi="Times New Roman" w:cs="Times New Roman"/>
          <w:b/>
          <w:color w:val="FF0000"/>
          <w:sz w:val="24"/>
          <w:szCs w:val="24"/>
          <w:shd w:val="clear" w:color="auto" w:fill="FFFFFF"/>
        </w:rPr>
      </w:pPr>
      <w:r w:rsidRPr="005875EE">
        <w:rPr>
          <w:rFonts w:ascii="Times New Roman" w:hAnsi="Times New Roman" w:cs="Times New Roman"/>
          <w:b/>
          <w:color w:val="FF0000"/>
          <w:sz w:val="24"/>
          <w:szCs w:val="24"/>
          <w:shd w:val="clear" w:color="auto" w:fill="FFFFFF"/>
        </w:rPr>
        <w:t>(+) Menor gasto de los consumidores por la adquisic</w:t>
      </w:r>
      <w:r w:rsidR="006F3112">
        <w:rPr>
          <w:rFonts w:ascii="Times New Roman" w:hAnsi="Times New Roman" w:cs="Times New Roman"/>
          <w:b/>
          <w:color w:val="FF0000"/>
          <w:sz w:val="24"/>
          <w:szCs w:val="24"/>
          <w:shd w:val="clear" w:color="auto" w:fill="FFFFFF"/>
        </w:rPr>
        <w:t>ión de productos a menor precio</w:t>
      </w:r>
    </w:p>
    <w:p w:rsidR="006E5D75" w:rsidRPr="005875EE" w:rsidRDefault="006E5D75" w:rsidP="006E5D75">
      <w:pPr>
        <w:spacing w:line="240" w:lineRule="auto"/>
        <w:jc w:val="both"/>
        <w:rPr>
          <w:rFonts w:ascii="Times New Roman" w:hAnsi="Times New Roman" w:cs="Times New Roman"/>
          <w:b/>
          <w:color w:val="FF0000"/>
          <w:sz w:val="24"/>
          <w:szCs w:val="24"/>
          <w:shd w:val="clear" w:color="auto" w:fill="FFFFFF"/>
        </w:rPr>
      </w:pPr>
      <w:r w:rsidRPr="005875EE">
        <w:rPr>
          <w:rFonts w:ascii="Times New Roman" w:hAnsi="Times New Roman" w:cs="Times New Roman"/>
          <w:b/>
          <w:color w:val="FF0000"/>
          <w:sz w:val="24"/>
          <w:szCs w:val="24"/>
          <w:shd w:val="clear" w:color="auto" w:fill="FFFFFF"/>
        </w:rPr>
        <w:t xml:space="preserve">(+) Disminución del </w:t>
      </w:r>
      <w:r w:rsidR="006F3112">
        <w:rPr>
          <w:rFonts w:ascii="Times New Roman" w:hAnsi="Times New Roman" w:cs="Times New Roman"/>
          <w:b/>
          <w:color w:val="FF0000"/>
          <w:sz w:val="24"/>
          <w:szCs w:val="24"/>
          <w:shd w:val="clear" w:color="auto" w:fill="FFFFFF"/>
        </w:rPr>
        <w:t>Índice de Precios al Consumidor</w:t>
      </w:r>
    </w:p>
    <w:p w:rsidR="006E5D75" w:rsidRPr="00A77801" w:rsidRDefault="006E5D75" w:rsidP="006E5D75">
      <w:pPr>
        <w:rPr>
          <w:rFonts w:ascii="Times New Roman" w:hAnsi="Times New Roman" w:cs="Times New Roman"/>
          <w:b/>
          <w:sz w:val="24"/>
          <w:szCs w:val="24"/>
          <w:lang w:val="en-US"/>
        </w:rPr>
      </w:pPr>
      <w:r w:rsidRPr="00A77801">
        <w:rPr>
          <w:rFonts w:ascii="Times New Roman" w:hAnsi="Times New Roman" w:cs="Times New Roman"/>
          <w:b/>
          <w:sz w:val="24"/>
          <w:szCs w:val="24"/>
          <w:lang w:val="en-US"/>
        </w:rPr>
        <w:t>United St</w:t>
      </w:r>
      <w:r>
        <w:rPr>
          <w:rFonts w:ascii="Times New Roman" w:hAnsi="Times New Roman" w:cs="Times New Roman"/>
          <w:b/>
          <w:sz w:val="24"/>
          <w:szCs w:val="24"/>
          <w:lang w:val="en-US"/>
        </w:rPr>
        <w:t xml:space="preserve">ates Census Bureau - </w:t>
      </w:r>
      <w:r w:rsidRPr="00081713">
        <w:rPr>
          <w:rFonts w:ascii="Times New Roman" w:hAnsi="Times New Roman" w:cs="Times New Roman"/>
          <w:b/>
          <w:sz w:val="24"/>
          <w:szCs w:val="24"/>
          <w:lang w:val="en-US"/>
        </w:rPr>
        <w:t>Last Revised: May 12, 2020</w:t>
      </w:r>
    </w:p>
    <w:tbl>
      <w:tblPr>
        <w:tblW w:w="5883" w:type="dxa"/>
        <w:tblInd w:w="55" w:type="dxa"/>
        <w:tblCellMar>
          <w:left w:w="70" w:type="dxa"/>
          <w:right w:w="70" w:type="dxa"/>
        </w:tblCellMar>
        <w:tblLook w:val="04A0"/>
      </w:tblPr>
      <w:tblGrid>
        <w:gridCol w:w="1773"/>
        <w:gridCol w:w="1370"/>
        <w:gridCol w:w="1370"/>
        <w:gridCol w:w="1370"/>
      </w:tblGrid>
      <w:tr w:rsidR="006E5D75" w:rsidRPr="008B56EF" w:rsidTr="006E5D75">
        <w:trPr>
          <w:trHeight w:val="580"/>
        </w:trPr>
        <w:tc>
          <w:tcPr>
            <w:tcW w:w="5882" w:type="dxa"/>
            <w:gridSpan w:val="4"/>
            <w:tcBorders>
              <w:top w:val="nil"/>
              <w:left w:val="nil"/>
              <w:bottom w:val="nil"/>
              <w:right w:val="nil"/>
            </w:tcBorders>
            <w:shd w:val="clear" w:color="000000" w:fill="FFFFFF"/>
            <w:vAlign w:val="bottom"/>
            <w:hideMark/>
          </w:tcPr>
          <w:p w:rsidR="006E5D75" w:rsidRPr="00770B8D" w:rsidRDefault="006E5D75" w:rsidP="006E5D75">
            <w:pPr>
              <w:spacing w:after="0" w:line="240" w:lineRule="auto"/>
              <w:rPr>
                <w:rFonts w:ascii="Arial" w:eastAsia="Times New Roman" w:hAnsi="Arial" w:cs="Arial"/>
                <w:b/>
                <w:bCs/>
                <w:lang w:val="en-US" w:eastAsia="es-ES"/>
              </w:rPr>
            </w:pPr>
            <w:r w:rsidRPr="00770B8D">
              <w:rPr>
                <w:rFonts w:ascii="Arial" w:eastAsia="Times New Roman" w:hAnsi="Arial" w:cs="Arial"/>
                <w:b/>
                <w:bCs/>
                <w:lang w:val="en-US" w:eastAsia="es-ES"/>
              </w:rPr>
              <w:t>Table P-1. CPS Population and Per Capita Money Income, All Races: 1967 to 2018</w:t>
            </w:r>
          </w:p>
        </w:tc>
      </w:tr>
      <w:tr w:rsidR="006E5D75" w:rsidRPr="00770B8D" w:rsidTr="006E5D75">
        <w:trPr>
          <w:trHeight w:val="433"/>
        </w:trPr>
        <w:tc>
          <w:tcPr>
            <w:tcW w:w="5882" w:type="dxa"/>
            <w:gridSpan w:val="4"/>
            <w:tcBorders>
              <w:top w:val="nil"/>
              <w:left w:val="nil"/>
              <w:bottom w:val="nil"/>
              <w:right w:val="nil"/>
            </w:tcBorders>
            <w:shd w:val="clear" w:color="000000" w:fill="FFFFFF"/>
            <w:vAlign w:val="bottom"/>
            <w:hideMark/>
          </w:tcPr>
          <w:p w:rsidR="006E5D75" w:rsidRPr="00770B8D" w:rsidRDefault="006E5D75" w:rsidP="006E5D75">
            <w:pPr>
              <w:spacing w:after="0" w:line="240" w:lineRule="auto"/>
              <w:rPr>
                <w:rFonts w:ascii="Arial" w:eastAsia="Times New Roman" w:hAnsi="Arial" w:cs="Arial"/>
                <w:sz w:val="18"/>
                <w:szCs w:val="18"/>
                <w:lang w:eastAsia="es-ES"/>
              </w:rPr>
            </w:pPr>
            <w:r w:rsidRPr="00770B8D">
              <w:rPr>
                <w:rFonts w:ascii="Arial" w:eastAsia="Times New Roman" w:hAnsi="Arial" w:cs="Arial"/>
                <w:sz w:val="18"/>
                <w:szCs w:val="18"/>
                <w:lang w:val="en-US" w:eastAsia="es-ES"/>
              </w:rPr>
              <w:t xml:space="preserve">(Population as of March of the following year.  Income in current and 2018 CPI-U-RS adjusted dollars. </w:t>
            </w:r>
            <w:r w:rsidRPr="00770B8D">
              <w:rPr>
                <w:rFonts w:ascii="Arial" w:eastAsia="Times New Roman" w:hAnsi="Arial" w:cs="Arial"/>
                <w:sz w:val="18"/>
                <w:szCs w:val="18"/>
                <w:lang w:eastAsia="es-ES"/>
              </w:rPr>
              <w:t>(28))</w:t>
            </w:r>
          </w:p>
        </w:tc>
      </w:tr>
      <w:tr w:rsidR="006E5D75" w:rsidRPr="00770B8D" w:rsidTr="006E5D75">
        <w:trPr>
          <w:trHeight w:val="433"/>
        </w:trPr>
        <w:tc>
          <w:tcPr>
            <w:tcW w:w="1773" w:type="dxa"/>
            <w:vMerge w:val="restart"/>
            <w:tcBorders>
              <w:top w:val="nil"/>
              <w:left w:val="nil"/>
              <w:bottom w:val="single" w:sz="4" w:space="0" w:color="AAC1D9"/>
              <w:right w:val="nil"/>
            </w:tcBorders>
            <w:shd w:val="clear" w:color="000000" w:fill="99CCFF"/>
            <w:vAlign w:val="center"/>
            <w:hideMark/>
          </w:tcPr>
          <w:p w:rsidR="006E5D75" w:rsidRPr="00770B8D" w:rsidRDefault="006E5D75" w:rsidP="006E5D75">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Year</w:t>
            </w:r>
          </w:p>
        </w:tc>
        <w:tc>
          <w:tcPr>
            <w:tcW w:w="1370" w:type="dxa"/>
            <w:vMerge w:val="restart"/>
            <w:tcBorders>
              <w:top w:val="nil"/>
              <w:left w:val="single" w:sz="4" w:space="0" w:color="AAC1D9"/>
              <w:bottom w:val="single" w:sz="4" w:space="0" w:color="AAC1D9"/>
              <w:right w:val="single" w:sz="4" w:space="0" w:color="AAC1D9"/>
            </w:tcBorders>
            <w:shd w:val="clear" w:color="000000" w:fill="99CCFF"/>
            <w:vAlign w:val="center"/>
            <w:hideMark/>
          </w:tcPr>
          <w:p w:rsidR="006E5D75" w:rsidRPr="00770B8D" w:rsidRDefault="006E5D75" w:rsidP="006E5D75">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Number</w:t>
            </w:r>
            <w:r w:rsidRPr="00770B8D">
              <w:rPr>
                <w:rFonts w:ascii="Arial" w:eastAsia="Times New Roman" w:hAnsi="Arial" w:cs="Arial"/>
                <w:b/>
                <w:bCs/>
                <w:color w:val="000000"/>
                <w:sz w:val="18"/>
                <w:szCs w:val="18"/>
                <w:lang w:eastAsia="es-ES"/>
              </w:rPr>
              <w:br/>
              <w:t>(thousands)</w:t>
            </w:r>
          </w:p>
        </w:tc>
        <w:tc>
          <w:tcPr>
            <w:tcW w:w="2740" w:type="dxa"/>
            <w:gridSpan w:val="2"/>
            <w:tcBorders>
              <w:top w:val="nil"/>
              <w:left w:val="nil"/>
              <w:bottom w:val="single" w:sz="4" w:space="0" w:color="AAC1D9"/>
              <w:right w:val="single" w:sz="4" w:space="0" w:color="AAC1D9"/>
            </w:tcBorders>
            <w:shd w:val="clear" w:color="000000" w:fill="99CCFF"/>
            <w:vAlign w:val="center"/>
            <w:hideMark/>
          </w:tcPr>
          <w:p w:rsidR="006E5D75" w:rsidRPr="00770B8D" w:rsidRDefault="006E5D75" w:rsidP="006E5D75">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Per capita income</w:t>
            </w:r>
          </w:p>
        </w:tc>
      </w:tr>
      <w:tr w:rsidR="006E5D75" w:rsidRPr="00770B8D" w:rsidTr="006E5D75">
        <w:trPr>
          <w:trHeight w:val="433"/>
        </w:trPr>
        <w:tc>
          <w:tcPr>
            <w:tcW w:w="1773" w:type="dxa"/>
            <w:vMerge/>
            <w:tcBorders>
              <w:top w:val="nil"/>
              <w:left w:val="nil"/>
              <w:bottom w:val="single" w:sz="4" w:space="0" w:color="AAC1D9"/>
              <w:right w:val="nil"/>
            </w:tcBorders>
            <w:vAlign w:val="center"/>
            <w:hideMark/>
          </w:tcPr>
          <w:p w:rsidR="006E5D75" w:rsidRPr="00770B8D" w:rsidRDefault="006E5D75" w:rsidP="006E5D75">
            <w:pPr>
              <w:spacing w:after="0" w:line="240" w:lineRule="auto"/>
              <w:rPr>
                <w:rFonts w:ascii="Arial" w:eastAsia="Times New Roman" w:hAnsi="Arial" w:cs="Arial"/>
                <w:b/>
                <w:bCs/>
                <w:color w:val="000000"/>
                <w:sz w:val="18"/>
                <w:szCs w:val="18"/>
                <w:lang w:eastAsia="es-ES"/>
              </w:rPr>
            </w:pPr>
          </w:p>
        </w:tc>
        <w:tc>
          <w:tcPr>
            <w:tcW w:w="1370" w:type="dxa"/>
            <w:vMerge/>
            <w:tcBorders>
              <w:top w:val="nil"/>
              <w:left w:val="single" w:sz="4" w:space="0" w:color="AAC1D9"/>
              <w:bottom w:val="single" w:sz="4" w:space="0" w:color="AAC1D9"/>
              <w:right w:val="single" w:sz="4" w:space="0" w:color="AAC1D9"/>
            </w:tcBorders>
            <w:vAlign w:val="center"/>
            <w:hideMark/>
          </w:tcPr>
          <w:p w:rsidR="006E5D75" w:rsidRPr="00770B8D" w:rsidRDefault="006E5D75" w:rsidP="006E5D75">
            <w:pPr>
              <w:spacing w:after="0" w:line="240" w:lineRule="auto"/>
              <w:rPr>
                <w:rFonts w:ascii="Arial" w:eastAsia="Times New Roman" w:hAnsi="Arial" w:cs="Arial"/>
                <w:b/>
                <w:bCs/>
                <w:color w:val="000000"/>
                <w:sz w:val="18"/>
                <w:szCs w:val="18"/>
                <w:lang w:eastAsia="es-ES"/>
              </w:rPr>
            </w:pPr>
          </w:p>
        </w:tc>
        <w:tc>
          <w:tcPr>
            <w:tcW w:w="1370" w:type="dxa"/>
            <w:tcBorders>
              <w:top w:val="nil"/>
              <w:left w:val="nil"/>
              <w:bottom w:val="single" w:sz="4" w:space="0" w:color="AAC1D9"/>
              <w:right w:val="single" w:sz="4" w:space="0" w:color="AAC1D9"/>
            </w:tcBorders>
            <w:shd w:val="clear" w:color="000000" w:fill="99CCFF"/>
            <w:vAlign w:val="center"/>
            <w:hideMark/>
          </w:tcPr>
          <w:p w:rsidR="006E5D75" w:rsidRPr="00770B8D" w:rsidRDefault="006E5D75" w:rsidP="006E5D75">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Current</w:t>
            </w:r>
            <w:r w:rsidRPr="00770B8D">
              <w:rPr>
                <w:rFonts w:ascii="Arial" w:eastAsia="Times New Roman" w:hAnsi="Arial" w:cs="Arial"/>
                <w:b/>
                <w:bCs/>
                <w:color w:val="000000"/>
                <w:sz w:val="18"/>
                <w:szCs w:val="18"/>
                <w:lang w:eastAsia="es-ES"/>
              </w:rPr>
              <w:br/>
              <w:t>dollars</w:t>
            </w:r>
          </w:p>
        </w:tc>
        <w:tc>
          <w:tcPr>
            <w:tcW w:w="1370" w:type="dxa"/>
            <w:tcBorders>
              <w:top w:val="nil"/>
              <w:left w:val="nil"/>
              <w:bottom w:val="single" w:sz="4" w:space="0" w:color="AAC1D9"/>
              <w:right w:val="single" w:sz="4" w:space="0" w:color="AAC1D9"/>
            </w:tcBorders>
            <w:shd w:val="clear" w:color="000000" w:fill="99CCFF"/>
            <w:vAlign w:val="center"/>
            <w:hideMark/>
          </w:tcPr>
          <w:p w:rsidR="006E5D75" w:rsidRPr="00770B8D" w:rsidRDefault="006E5D75" w:rsidP="006E5D75">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2018</w:t>
            </w:r>
            <w:r w:rsidRPr="00770B8D">
              <w:rPr>
                <w:rFonts w:ascii="Arial" w:eastAsia="Times New Roman" w:hAnsi="Arial" w:cs="Arial"/>
                <w:b/>
                <w:bCs/>
                <w:color w:val="000000"/>
                <w:sz w:val="18"/>
                <w:szCs w:val="18"/>
                <w:lang w:eastAsia="es-ES"/>
              </w:rPr>
              <w:br/>
              <w:t>dollars</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324.356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36.080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36.080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2017 (40)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323.144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35.048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35.902</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323.156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34.489</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35.330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320.372</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33.205</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34.746</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2015</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318.868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31.653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33.549</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316.168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30.176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32.039</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2013 (39)</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313.443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30.027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32.420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2013 (38)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313.395</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28.829</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31.127</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2012</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311.116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28.281</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30.988</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2011</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308.827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27.554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30.830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2010 (37)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306.553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26.558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30.653</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2009 (36)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304.280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26.530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31.126</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2008</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301.483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26.964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31.525</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299.106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26.804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32.541</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296.824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26.352</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32.900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2005</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293.834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25.036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32.270</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2004 (35)</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291.166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23.857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31.792</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288.280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23.276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31.856</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2002</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285.933</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22.794</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31.905</w:t>
            </w:r>
          </w:p>
        </w:tc>
      </w:tr>
      <w:tr w:rsidR="006E5D75" w:rsidRPr="00770B8D" w:rsidTr="006E5D75">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2001</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282.082</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22.851</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32.489</w:t>
            </w:r>
          </w:p>
        </w:tc>
      </w:tr>
      <w:tr w:rsidR="006E5D75" w:rsidRPr="00770B8D" w:rsidTr="006E5D75">
        <w:trPr>
          <w:trHeight w:val="221"/>
        </w:trPr>
        <w:tc>
          <w:tcPr>
            <w:tcW w:w="1773"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2000 (30)</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279.517</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22.346</w:t>
            </w:r>
          </w:p>
        </w:tc>
        <w:tc>
          <w:tcPr>
            <w:tcW w:w="1370" w:type="dxa"/>
            <w:tcBorders>
              <w:top w:val="nil"/>
              <w:left w:val="nil"/>
              <w:bottom w:val="single" w:sz="4" w:space="0" w:color="AAC1D9"/>
              <w:right w:val="single" w:sz="4" w:space="0" w:color="AAC1D9"/>
            </w:tcBorders>
            <w:shd w:val="clear" w:color="000000" w:fill="FFFFFF"/>
            <w:vAlign w:val="bottom"/>
            <w:hideMark/>
          </w:tcPr>
          <w:p w:rsidR="006E5D75" w:rsidRPr="00770B8D" w:rsidRDefault="006E5D75" w:rsidP="006E5D75">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32.675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- 2000</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6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5.652.544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7.070.048</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114.064.976</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3.879.430.052</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- 2001</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5.657.774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7.095.302</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115.061.184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3.989.086.323</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- 2002</w:t>
      </w:r>
    </w:p>
    <w:tbl>
      <w:tblPr>
        <w:tblW w:w="6020" w:type="dxa"/>
        <w:tblInd w:w="55" w:type="dxa"/>
        <w:tblCellMar>
          <w:left w:w="70" w:type="dxa"/>
          <w:right w:w="70" w:type="dxa"/>
        </w:tblCellMar>
        <w:tblLook w:val="04A0"/>
      </w:tblPr>
      <w:tblGrid>
        <w:gridCol w:w="2180"/>
        <w:gridCol w:w="2180"/>
        <w:gridCol w:w="1660"/>
      </w:tblGrid>
      <w:tr w:rsidR="006E5D75" w:rsidRPr="00A77801"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5.697.759</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7.200.770</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112.400.654</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3.943.179.606</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Receipts ($1,000)</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22.062.528.196</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- 2003</w:t>
      </w:r>
    </w:p>
    <w:tbl>
      <w:tblPr>
        <w:tblW w:w="5700" w:type="dxa"/>
        <w:tblInd w:w="55" w:type="dxa"/>
        <w:tblCellMar>
          <w:left w:w="70" w:type="dxa"/>
          <w:right w:w="70" w:type="dxa"/>
        </w:tblCellMar>
        <w:tblLook w:val="04A0"/>
      </w:tblPr>
      <w:tblGrid>
        <w:gridCol w:w="2180"/>
        <w:gridCol w:w="2180"/>
        <w:gridCol w:w="1340"/>
      </w:tblGrid>
      <w:tr w:rsidR="006E5D75" w:rsidRPr="00A77801"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5.767.127</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7.254.745</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113.398.043</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4.040.888.841</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- 2004</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5.885.784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7.387.724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115.074.924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4.253.995.732</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- 2005</w:t>
      </w:r>
    </w:p>
    <w:tbl>
      <w:tblPr>
        <w:tblW w:w="5900" w:type="dxa"/>
        <w:tblInd w:w="55" w:type="dxa"/>
        <w:tblCellMar>
          <w:left w:w="70" w:type="dxa"/>
          <w:right w:w="70" w:type="dxa"/>
        </w:tblCellMar>
        <w:tblLook w:val="04A0"/>
      </w:tblPr>
      <w:tblGrid>
        <w:gridCol w:w="2180"/>
        <w:gridCol w:w="2180"/>
        <w:gridCol w:w="1540"/>
      </w:tblGrid>
      <w:tr w:rsidR="006E5D75" w:rsidRPr="00F71F26"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5.983.546</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7.499.702</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116.317.003</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4.482.722.481</w:t>
            </w:r>
          </w:p>
        </w:tc>
      </w:tr>
    </w:tbl>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- 2006</w:t>
      </w:r>
    </w:p>
    <w:tbl>
      <w:tblPr>
        <w:tblW w:w="5900" w:type="dxa"/>
        <w:tblInd w:w="55" w:type="dxa"/>
        <w:tblCellMar>
          <w:left w:w="70" w:type="dxa"/>
          <w:right w:w="70" w:type="dxa"/>
        </w:tblCellMar>
        <w:tblLook w:val="04A0"/>
      </w:tblPr>
      <w:tblGrid>
        <w:gridCol w:w="2180"/>
        <w:gridCol w:w="2180"/>
        <w:gridCol w:w="1540"/>
      </w:tblGrid>
      <w:tr w:rsidR="006E5D75" w:rsidRPr="00F71F26"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6.022.127</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7.601.160</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119.917.165</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4.792.429.911</w:t>
            </w:r>
          </w:p>
        </w:tc>
      </w:tr>
    </w:tbl>
    <w:p w:rsidR="006E5D75" w:rsidRDefault="006E5D75" w:rsidP="006E5D75">
      <w:pPr>
        <w:rPr>
          <w:rFonts w:ascii="Times New Roman" w:hAnsi="Times New Roman" w:cs="Times New Roman"/>
          <w:b/>
          <w:sz w:val="24"/>
          <w:szCs w:val="24"/>
          <w:lang w:val="en-US"/>
        </w:rPr>
        <w:sectPr w:rsidR="006E5D75" w:rsidSect="006E5D75">
          <w:pgSz w:w="11906" w:h="16838"/>
          <w:pgMar w:top="1440" w:right="1440" w:bottom="1440" w:left="1440" w:header="709" w:footer="709" w:gutter="0"/>
          <w:cols w:space="708"/>
          <w:docGrid w:linePitch="360"/>
        </w:sect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- 2007</w:t>
      </w:r>
    </w:p>
    <w:tbl>
      <w:tblPr>
        <w:tblW w:w="13220" w:type="dxa"/>
        <w:tblInd w:w="55" w:type="dxa"/>
        <w:tblCellMar>
          <w:left w:w="70" w:type="dxa"/>
          <w:right w:w="70" w:type="dxa"/>
        </w:tblCellMar>
        <w:tblLook w:val="04A0"/>
      </w:tblPr>
      <w:tblGrid>
        <w:gridCol w:w="2180"/>
        <w:gridCol w:w="1340"/>
        <w:gridCol w:w="1340"/>
        <w:gridCol w:w="1660"/>
        <w:gridCol w:w="1340"/>
        <w:gridCol w:w="1340"/>
        <w:gridCol w:w="1340"/>
        <w:gridCol w:w="1340"/>
        <w:gridCol w:w="1340"/>
      </w:tblGrid>
      <w:tr w:rsidR="006E5D75" w:rsidRPr="00F71F26"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ANNUAL PAYROLL </w:t>
            </w:r>
            <w:r w:rsidRPr="00F71F26">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RECEIPTS </w:t>
            </w:r>
            <w:r w:rsidRPr="00F71F26">
              <w:rPr>
                <w:rFonts w:ascii="Arial" w:eastAsia="Times New Roman" w:hAnsi="Arial" w:cs="Arial"/>
                <w:b/>
                <w:bCs/>
                <w:color w:val="FF0000"/>
                <w:sz w:val="16"/>
                <w:szCs w:val="16"/>
                <w:lang w:eastAsia="es-ES"/>
              </w:rPr>
              <w:t>($1,000)</w:t>
            </w:r>
          </w:p>
        </w:tc>
      </w:tr>
      <w:tr w:rsidR="006E5D75" w:rsidRPr="00F71F26"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r>
      <w:tr w:rsidR="006E5D75" w:rsidRPr="00F71F26"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r>
      <w:tr w:rsidR="006E5D75" w:rsidRPr="00F71F26"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6.049.655</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7.705.018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120.604.265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5.026.778.232</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29.746.741.904</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- 2008</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5.930.132</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7.601.169</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120.903.551</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5.130.509.178</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- 2009</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5.767.306</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7.433.465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114.509.626</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4.855.545.239</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- 2010</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5.734.538</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7.396.628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111.970.095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4.940.983.369</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- 2011</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5.684.424</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7.354.043</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113.425.965</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5.164.897.905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- 2012</w:t>
      </w:r>
    </w:p>
    <w:tbl>
      <w:tblPr>
        <w:tblW w:w="13220" w:type="dxa"/>
        <w:tblInd w:w="55" w:type="dxa"/>
        <w:tblCellMar>
          <w:left w:w="70" w:type="dxa"/>
          <w:right w:w="70" w:type="dxa"/>
        </w:tblCellMar>
        <w:tblLook w:val="04A0"/>
      </w:tblPr>
      <w:tblGrid>
        <w:gridCol w:w="2180"/>
        <w:gridCol w:w="1340"/>
        <w:gridCol w:w="1340"/>
        <w:gridCol w:w="1660"/>
        <w:gridCol w:w="1340"/>
        <w:gridCol w:w="134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RECEIPTS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5.726.160</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7.431.808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115.938.468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5.414.255.995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32.637.809.977</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- 2013</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5.775.055</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7.488.353</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118.266.253</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5.621.697.325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- 2014</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5.825.458</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7.563.084</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121.069.944</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5.940.186.911</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- 2015</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5.900.731</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7.663.938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124.085.947</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6.253.488.252</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- 2016</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5.954.684</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7.757.807</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126.752.238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6.435.142.055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- 2017</w:t>
      </w:r>
    </w:p>
    <w:tbl>
      <w:tblPr>
        <w:tblW w:w="11060" w:type="dxa"/>
        <w:tblInd w:w="55" w:type="dxa"/>
        <w:tblCellMar>
          <w:left w:w="70" w:type="dxa"/>
          <w:right w:w="70" w:type="dxa"/>
        </w:tblCellMar>
        <w:tblLook w:val="04A0"/>
      </w:tblPr>
      <w:tblGrid>
        <w:gridCol w:w="2120"/>
        <w:gridCol w:w="1480"/>
        <w:gridCol w:w="1200"/>
        <w:gridCol w:w="1900"/>
        <w:gridCol w:w="1440"/>
        <w:gridCol w:w="1480"/>
        <w:gridCol w:w="1440"/>
      </w:tblGrid>
      <w:tr w:rsidR="006E5D75" w:rsidRPr="002D13DD" w:rsidTr="006E5D75">
        <w:trPr>
          <w:trHeight w:val="300"/>
        </w:trPr>
        <w:tc>
          <w:tcPr>
            <w:tcW w:w="21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48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20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5.996.900</w:t>
            </w:r>
          </w:p>
        </w:tc>
        <w:tc>
          <w:tcPr>
            <w:tcW w:w="190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7.860.674</w:t>
            </w:r>
          </w:p>
        </w:tc>
        <w:tc>
          <w:tcPr>
            <w:tcW w:w="14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128.591.812</w:t>
            </w:r>
          </w:p>
        </w:tc>
        <w:tc>
          <w:tcPr>
            <w:tcW w:w="148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4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6.725.346.754</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p>
    <w:tbl>
      <w:tblPr>
        <w:tblW w:w="14043" w:type="dxa"/>
        <w:tblInd w:w="55" w:type="dxa"/>
        <w:tblCellMar>
          <w:left w:w="70" w:type="dxa"/>
          <w:right w:w="70" w:type="dxa"/>
        </w:tblCellMar>
        <w:tblLook w:val="04A0"/>
      </w:tblPr>
      <w:tblGrid>
        <w:gridCol w:w="5393"/>
        <w:gridCol w:w="1097"/>
        <w:gridCol w:w="1097"/>
        <w:gridCol w:w="1096"/>
        <w:gridCol w:w="1096"/>
        <w:gridCol w:w="315"/>
        <w:gridCol w:w="653"/>
        <w:gridCol w:w="156"/>
        <w:gridCol w:w="756"/>
        <w:gridCol w:w="29"/>
        <w:gridCol w:w="785"/>
        <w:gridCol w:w="785"/>
        <w:gridCol w:w="785"/>
      </w:tblGrid>
      <w:tr w:rsidR="006E5D75" w:rsidRPr="008B56EF" w:rsidTr="006E5D75">
        <w:trPr>
          <w:gridAfter w:val="4"/>
          <w:wAfter w:w="2783" w:type="dxa"/>
          <w:trHeight w:val="255"/>
        </w:trPr>
        <w:tc>
          <w:tcPr>
            <w:tcW w:w="10220" w:type="dxa"/>
            <w:gridSpan w:val="7"/>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b/>
                <w:bCs/>
                <w:color w:val="000000"/>
                <w:sz w:val="18"/>
                <w:szCs w:val="18"/>
                <w:lang w:val="en-US" w:eastAsia="es-ES"/>
              </w:rPr>
            </w:pPr>
            <w:r w:rsidRPr="00327D12">
              <w:rPr>
                <w:rFonts w:ascii="Arial" w:eastAsia="Times New Roman" w:hAnsi="Arial" w:cs="Arial"/>
                <w:b/>
                <w:bCs/>
                <w:color w:val="000000"/>
                <w:sz w:val="18"/>
                <w:szCs w:val="18"/>
                <w:lang w:val="en-US" w:eastAsia="es-ES"/>
              </w:rPr>
              <w:lastRenderedPageBreak/>
              <w:t xml:space="preserve">Average annual expenditures and characteristics of all consumer units, Consumer Expenditure Survey, 2000-2005 </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r>
      <w:tr w:rsidR="006E5D75" w:rsidRPr="008B56EF" w:rsidTr="006E5D75">
        <w:trPr>
          <w:gridAfter w:val="4"/>
          <w:wAfter w:w="2783" w:type="dxa"/>
          <w:trHeight w:val="255"/>
        </w:trPr>
        <w:tc>
          <w:tcPr>
            <w:tcW w:w="502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color w:val="000000"/>
                <w:sz w:val="20"/>
                <w:szCs w:val="20"/>
                <w:lang w:val="en-US" w:eastAsia="es-ES"/>
              </w:rPr>
            </w:pPr>
          </w:p>
        </w:tc>
      </w:tr>
      <w:tr w:rsidR="006E5D75" w:rsidRPr="00327D12" w:rsidTr="006E5D75">
        <w:trPr>
          <w:gridAfter w:val="4"/>
          <w:wAfter w:w="2783" w:type="dxa"/>
          <w:trHeight w:val="690"/>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 xml:space="preserve">Item                       </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2000</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2001</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2002</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2003</w:t>
            </w:r>
          </w:p>
        </w:tc>
        <w:tc>
          <w:tcPr>
            <w:tcW w:w="1040" w:type="dxa"/>
            <w:gridSpan w:val="2"/>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2004</w:t>
            </w:r>
          </w:p>
        </w:tc>
        <w:tc>
          <w:tcPr>
            <w:tcW w:w="1040" w:type="dxa"/>
            <w:gridSpan w:val="2"/>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2005</w:t>
            </w:r>
          </w:p>
        </w:tc>
      </w:tr>
      <w:tr w:rsidR="006E5D75" w:rsidRPr="00327D12" w:rsidTr="006E5D75">
        <w:trPr>
          <w:gridAfter w:val="4"/>
          <w:wAfter w:w="2783" w:type="dxa"/>
          <w:trHeight w:val="255"/>
        </w:trPr>
        <w:tc>
          <w:tcPr>
            <w:tcW w:w="502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b/>
                <w:bCs/>
                <w:color w:val="000000"/>
                <w:sz w:val="16"/>
                <w:szCs w:val="16"/>
                <w:lang w:val="en-US" w:eastAsia="es-ES"/>
              </w:rPr>
            </w:pPr>
            <w:r w:rsidRPr="00327D12">
              <w:rPr>
                <w:rFonts w:ascii="Arial" w:eastAsia="Times New Roman" w:hAnsi="Arial" w:cs="Arial"/>
                <w:b/>
                <w:bCs/>
                <w:color w:val="000000"/>
                <w:sz w:val="16"/>
                <w:szCs w:val="16"/>
                <w:lang w:val="en-US" w:eastAsia="es-ES"/>
              </w:rPr>
              <w:t>Number of consumer units (in thousands)</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109.367</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110.339</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112.108</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115.356</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116.282</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117.356</w:t>
            </w:r>
          </w:p>
        </w:tc>
      </w:tr>
      <w:tr w:rsidR="006E5D75" w:rsidRPr="00327D12" w:rsidTr="006E5D75">
        <w:trPr>
          <w:gridAfter w:val="4"/>
          <w:wAfter w:w="2783" w:type="dxa"/>
          <w:trHeight w:val="255"/>
        </w:trPr>
        <w:tc>
          <w:tcPr>
            <w:tcW w:w="502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ind w:firstLineChars="100" w:firstLine="160"/>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 xml:space="preserve">Income before taxes 1/ </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$44.649</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$47.507</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$49.430</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$51.128</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$54.453</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$58.712</w:t>
            </w:r>
          </w:p>
        </w:tc>
      </w:tr>
      <w:tr w:rsidR="006E5D75" w:rsidRPr="00327D12" w:rsidTr="006E5D75">
        <w:trPr>
          <w:gridAfter w:val="4"/>
          <w:wAfter w:w="2783" w:type="dxa"/>
          <w:trHeight w:val="255"/>
        </w:trPr>
        <w:tc>
          <w:tcPr>
            <w:tcW w:w="502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ind w:firstLineChars="100" w:firstLine="160"/>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Income after taxes 1/</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$41.532</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$44.587</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$46.934</w:t>
            </w:r>
          </w:p>
        </w:tc>
        <w:tc>
          <w:tcPr>
            <w:tcW w:w="10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$48.596</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$52.287</w:t>
            </w:r>
          </w:p>
        </w:tc>
        <w:tc>
          <w:tcPr>
            <w:tcW w:w="1040" w:type="dxa"/>
            <w:gridSpan w:val="2"/>
            <w:tcBorders>
              <w:top w:val="nil"/>
              <w:left w:val="nil"/>
              <w:bottom w:val="nil"/>
              <w:right w:val="nil"/>
            </w:tcBorders>
            <w:shd w:val="clear" w:color="auto" w:fill="auto"/>
            <w:noWrap/>
            <w:vAlign w:val="bottom"/>
            <w:hideMark/>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$56.304</w:t>
            </w:r>
          </w:p>
        </w:tc>
      </w:tr>
      <w:tr w:rsidR="006E5D75" w:rsidRPr="00327D12" w:rsidTr="006E5D75">
        <w:trPr>
          <w:gridAfter w:val="4"/>
          <w:wAfter w:w="2783" w:type="dxa"/>
          <w:trHeight w:val="255"/>
        </w:trPr>
        <w:tc>
          <w:tcPr>
            <w:tcW w:w="5020" w:type="dxa"/>
            <w:tcBorders>
              <w:top w:val="nil"/>
              <w:left w:val="nil"/>
              <w:bottom w:val="nil"/>
              <w:right w:val="nil"/>
            </w:tcBorders>
            <w:shd w:val="clear" w:color="auto" w:fill="auto"/>
            <w:noWrap/>
            <w:vAlign w:val="bottom"/>
          </w:tcPr>
          <w:p w:rsidR="006E5D75" w:rsidRDefault="006E5D75" w:rsidP="006E5D75">
            <w:pPr>
              <w:spacing w:after="0" w:line="240" w:lineRule="auto"/>
              <w:ind w:firstLineChars="100" w:firstLine="160"/>
              <w:rPr>
                <w:rFonts w:ascii="Arial" w:eastAsia="Times New Roman" w:hAnsi="Arial" w:cs="Arial"/>
                <w:color w:val="000000"/>
                <w:sz w:val="16"/>
                <w:szCs w:val="16"/>
                <w:lang w:eastAsia="es-ES"/>
              </w:rPr>
            </w:pPr>
          </w:p>
          <w:p w:rsidR="006E5D75" w:rsidRPr="00327D12" w:rsidRDefault="006E5D75" w:rsidP="006E5D75">
            <w:pPr>
              <w:spacing w:after="0" w:line="240" w:lineRule="auto"/>
              <w:ind w:firstLineChars="100" w:firstLine="160"/>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1040" w:type="dxa"/>
            <w:gridSpan w:val="2"/>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1040" w:type="dxa"/>
            <w:gridSpan w:val="2"/>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r>
      <w:tr w:rsidR="006E5D75" w:rsidRPr="00327D12" w:rsidTr="006E5D75">
        <w:trPr>
          <w:trHeight w:val="255"/>
        </w:trPr>
        <w:tc>
          <w:tcPr>
            <w:tcW w:w="9463" w:type="dxa"/>
            <w:gridSpan w:val="6"/>
            <w:tcBorders>
              <w:top w:val="nil"/>
              <w:left w:val="nil"/>
              <w:bottom w:val="nil"/>
              <w:right w:val="nil"/>
            </w:tcBorders>
            <w:shd w:val="clear" w:color="auto" w:fill="auto"/>
            <w:noWrap/>
            <w:vAlign w:val="bottom"/>
          </w:tcPr>
          <w:tbl>
            <w:tblPr>
              <w:tblW w:w="11260" w:type="dxa"/>
              <w:tblInd w:w="55" w:type="dxa"/>
              <w:tblCellMar>
                <w:left w:w="70" w:type="dxa"/>
                <w:right w:w="70" w:type="dxa"/>
              </w:tblCellMar>
              <w:tblLook w:val="04A0"/>
            </w:tblPr>
            <w:tblGrid>
              <w:gridCol w:w="4373"/>
              <w:gridCol w:w="921"/>
              <w:gridCol w:w="921"/>
              <w:gridCol w:w="921"/>
              <w:gridCol w:w="921"/>
              <w:gridCol w:w="921"/>
              <w:gridCol w:w="921"/>
            </w:tblGrid>
            <w:tr w:rsidR="006E5D75" w:rsidRPr="000806BB" w:rsidTr="006E5D75">
              <w:trPr>
                <w:trHeight w:val="255"/>
              </w:trPr>
              <w:tc>
                <w:tcPr>
                  <w:tcW w:w="502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b/>
                      <w:bCs/>
                      <w:color w:val="000000"/>
                      <w:sz w:val="16"/>
                      <w:szCs w:val="16"/>
                      <w:lang w:eastAsia="es-ES"/>
                    </w:rPr>
                  </w:pPr>
                  <w:r w:rsidRPr="000806BB">
                    <w:rPr>
                      <w:rFonts w:ascii="Arial" w:eastAsia="Times New Roman" w:hAnsi="Arial" w:cs="Arial"/>
                      <w:b/>
                      <w:bCs/>
                      <w:color w:val="000000"/>
                      <w:sz w:val="16"/>
                      <w:szCs w:val="16"/>
                      <w:lang w:eastAsia="es-ES"/>
                    </w:rPr>
                    <w:t>Average annual expenditures</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$38.045</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$39.518</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$40.677</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$40.817</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$43.395</w:t>
                  </w:r>
                </w:p>
              </w:tc>
              <w:tc>
                <w:tcPr>
                  <w:tcW w:w="10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$46.409</w:t>
                  </w:r>
                </w:p>
              </w:tc>
            </w:tr>
          </w:tbl>
          <w:p w:rsidR="006E5D75" w:rsidRDefault="006E5D75" w:rsidP="006E5D75">
            <w:pPr>
              <w:spacing w:after="0" w:line="240" w:lineRule="auto"/>
              <w:rPr>
                <w:rFonts w:ascii="Arial" w:eastAsia="Times New Roman" w:hAnsi="Arial" w:cs="Arial"/>
                <w:color w:val="000000"/>
                <w:sz w:val="16"/>
                <w:szCs w:val="16"/>
                <w:lang w:eastAsia="es-ES"/>
              </w:rPr>
            </w:pPr>
          </w:p>
          <w:p w:rsidR="006E5D75" w:rsidRDefault="006E5D75" w:rsidP="006E5D75">
            <w:pPr>
              <w:spacing w:after="0" w:line="240" w:lineRule="auto"/>
              <w:rPr>
                <w:rFonts w:ascii="Arial" w:eastAsia="Times New Roman" w:hAnsi="Arial" w:cs="Arial"/>
                <w:color w:val="000000"/>
                <w:sz w:val="16"/>
                <w:szCs w:val="16"/>
                <w:lang w:eastAsia="es-ES"/>
              </w:rPr>
            </w:pPr>
          </w:p>
          <w:tbl>
            <w:tblPr>
              <w:tblW w:w="11600" w:type="dxa"/>
              <w:tblCellMar>
                <w:left w:w="70" w:type="dxa"/>
                <w:right w:w="70" w:type="dxa"/>
              </w:tblCellMar>
              <w:tblLook w:val="04A0"/>
            </w:tblPr>
            <w:tblGrid>
              <w:gridCol w:w="4255"/>
              <w:gridCol w:w="815"/>
              <w:gridCol w:w="814"/>
              <w:gridCol w:w="814"/>
              <w:gridCol w:w="814"/>
              <w:gridCol w:w="814"/>
              <w:gridCol w:w="814"/>
              <w:gridCol w:w="814"/>
            </w:tblGrid>
            <w:tr w:rsidR="006E5D75" w:rsidRPr="008B56EF" w:rsidTr="006E5D75">
              <w:trPr>
                <w:trHeight w:val="255"/>
              </w:trPr>
              <w:tc>
                <w:tcPr>
                  <w:tcW w:w="11600" w:type="dxa"/>
                  <w:gridSpan w:val="8"/>
                  <w:tcBorders>
                    <w:top w:val="nil"/>
                    <w:left w:val="nil"/>
                    <w:bottom w:val="nil"/>
                    <w:right w:val="nil"/>
                  </w:tcBorders>
                  <w:shd w:val="clear" w:color="auto" w:fill="auto"/>
                  <w:vAlign w:val="center"/>
                  <w:hideMark/>
                </w:tcPr>
                <w:p w:rsidR="006E5D75" w:rsidRPr="000806BB" w:rsidRDefault="006E5D75" w:rsidP="006E5D75">
                  <w:pPr>
                    <w:spacing w:after="0" w:line="240" w:lineRule="auto"/>
                    <w:rPr>
                      <w:rFonts w:ascii="Arial" w:eastAsia="Times New Roman" w:hAnsi="Arial" w:cs="Arial"/>
                      <w:b/>
                      <w:bCs/>
                      <w:sz w:val="18"/>
                      <w:szCs w:val="18"/>
                      <w:lang w:val="en-US" w:eastAsia="es-ES"/>
                    </w:rPr>
                  </w:pPr>
                  <w:r w:rsidRPr="000806BB">
                    <w:rPr>
                      <w:rFonts w:ascii="Arial" w:eastAsia="Times New Roman" w:hAnsi="Arial" w:cs="Arial"/>
                      <w:b/>
                      <w:bCs/>
                      <w:sz w:val="18"/>
                      <w:szCs w:val="18"/>
                      <w:lang w:val="en-US" w:eastAsia="es-ES"/>
                    </w:rPr>
                    <w:t>Average annual expenditures and characteristics of all consumer units, Consumer Expenditure Survey, 2006-2012</w:t>
                  </w:r>
                </w:p>
              </w:tc>
            </w:tr>
            <w:tr w:rsidR="006E5D75" w:rsidRPr="008B56EF" w:rsidTr="006E5D75">
              <w:trPr>
                <w:trHeight w:val="255"/>
              </w:trPr>
              <w:tc>
                <w:tcPr>
                  <w:tcW w:w="502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val="en-US" w:eastAsia="es-ES"/>
                    </w:rPr>
                  </w:pPr>
                </w:p>
              </w:tc>
            </w:tr>
            <w:tr w:rsidR="006E5D75" w:rsidRPr="000806BB" w:rsidTr="006E5D75">
              <w:trPr>
                <w:trHeight w:val="255"/>
              </w:trPr>
              <w:tc>
                <w:tcPr>
                  <w:tcW w:w="50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Item</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2006</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2007</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2008</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2009</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2010</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2011</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6E5D75" w:rsidRPr="000806BB" w:rsidRDefault="006E5D75" w:rsidP="006E5D75">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2012</w:t>
                  </w: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rPr>
                      <w:rFonts w:ascii="Arial" w:eastAsia="Times New Roman" w:hAnsi="Arial" w:cs="Arial"/>
                      <w:b/>
                      <w:bCs/>
                      <w:sz w:val="16"/>
                      <w:szCs w:val="16"/>
                      <w:lang w:val="en-US" w:eastAsia="es-ES"/>
                    </w:rPr>
                  </w:pPr>
                  <w:r w:rsidRPr="000806BB">
                    <w:rPr>
                      <w:rFonts w:ascii="Arial" w:eastAsia="Times New Roman" w:hAnsi="Arial" w:cs="Arial"/>
                      <w:b/>
                      <w:bCs/>
                      <w:sz w:val="16"/>
                      <w:szCs w:val="16"/>
                      <w:lang w:val="en-US" w:eastAsia="es-ES"/>
                    </w:rPr>
                    <w:t>Number of consumer units (in thousands)</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118.843</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120.171</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120.770</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120.847</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121.107</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122.287</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124.416</w:t>
                  </w: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rPr>
                      <w:rFonts w:ascii="Arial" w:eastAsia="Times New Roman" w:hAnsi="Arial" w:cs="Arial"/>
                      <w:sz w:val="16"/>
                      <w:szCs w:val="16"/>
                      <w:lang w:eastAsia="es-ES"/>
                    </w:rPr>
                  </w:pPr>
                  <w:r w:rsidRPr="000806BB">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Consumer unit characteristics:</w:t>
                  </w: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rPr>
                      <w:rFonts w:ascii="Arial" w:eastAsia="Times New Roman" w:hAnsi="Arial" w:cs="Arial"/>
                      <w:sz w:val="16"/>
                      <w:szCs w:val="16"/>
                      <w:lang w:eastAsia="es-ES"/>
                    </w:rPr>
                  </w:pPr>
                  <w:r w:rsidRPr="000806BB">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ind w:firstLineChars="100" w:firstLine="160"/>
                    <w:rPr>
                      <w:rFonts w:ascii="Arial" w:eastAsia="Times New Roman" w:hAnsi="Arial" w:cs="Arial"/>
                      <w:sz w:val="16"/>
                      <w:szCs w:val="16"/>
                      <w:lang w:eastAsia="es-ES"/>
                    </w:rPr>
                  </w:pPr>
                  <w:r w:rsidRPr="000806BB">
                    <w:rPr>
                      <w:rFonts w:ascii="Arial" w:eastAsia="Times New Roman" w:hAnsi="Arial" w:cs="Arial"/>
                      <w:sz w:val="16"/>
                      <w:szCs w:val="16"/>
                      <w:lang w:eastAsia="es-ES"/>
                    </w:rPr>
                    <w:t>Income before taxes a/</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$60.533</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$63.091</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$63.563</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$62.857</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$62.481</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$63.685</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$65.596</w:t>
                  </w:r>
                </w:p>
              </w:tc>
            </w:tr>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ind w:firstLineChars="100" w:firstLine="160"/>
                    <w:rPr>
                      <w:rFonts w:ascii="Arial" w:eastAsia="Times New Roman" w:hAnsi="Arial" w:cs="Arial"/>
                      <w:sz w:val="16"/>
                      <w:szCs w:val="16"/>
                      <w:lang w:eastAsia="es-ES"/>
                    </w:rPr>
                  </w:pPr>
                  <w:r w:rsidRPr="000806BB">
                    <w:rPr>
                      <w:rFonts w:ascii="Arial" w:eastAsia="Times New Roman" w:hAnsi="Arial" w:cs="Arial"/>
                      <w:sz w:val="16"/>
                      <w:szCs w:val="16"/>
                      <w:lang w:eastAsia="es-ES"/>
                    </w:rPr>
                    <w:t>Income after taxes a/</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58.101</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60.858</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61.774</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60.753</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60.712</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61.673</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63.370</w:t>
                  </w:r>
                </w:p>
              </w:tc>
            </w:tr>
          </w:tbl>
          <w:p w:rsidR="006E5D75" w:rsidRDefault="006E5D75" w:rsidP="006E5D75">
            <w:pPr>
              <w:spacing w:after="0" w:line="240" w:lineRule="auto"/>
              <w:rPr>
                <w:rFonts w:ascii="Arial" w:eastAsia="Times New Roman" w:hAnsi="Arial" w:cs="Arial"/>
                <w:color w:val="000000"/>
                <w:sz w:val="16"/>
                <w:szCs w:val="16"/>
                <w:lang w:eastAsia="es-ES"/>
              </w:rPr>
            </w:pPr>
          </w:p>
          <w:tbl>
            <w:tblPr>
              <w:tblW w:w="11600" w:type="dxa"/>
              <w:tblCellMar>
                <w:left w:w="70" w:type="dxa"/>
                <w:right w:w="70" w:type="dxa"/>
              </w:tblCellMar>
              <w:tblLook w:val="04A0"/>
            </w:tblPr>
            <w:tblGrid>
              <w:gridCol w:w="5020"/>
              <w:gridCol w:w="940"/>
              <w:gridCol w:w="940"/>
              <w:gridCol w:w="940"/>
              <w:gridCol w:w="940"/>
              <w:gridCol w:w="940"/>
              <w:gridCol w:w="940"/>
              <w:gridCol w:w="940"/>
            </w:tblGrid>
            <w:tr w:rsidR="006E5D75" w:rsidRPr="000806BB"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0806BB" w:rsidRDefault="006E5D75" w:rsidP="006E5D75">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Average annual expenditures</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$48.400</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$49.638</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$50.486</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$49.067</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$48.109</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$49.705</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$51.442</w:t>
                  </w:r>
                </w:p>
              </w:tc>
            </w:tr>
          </w:tbl>
          <w:p w:rsidR="006E5D75" w:rsidRDefault="006E5D75" w:rsidP="006E5D75">
            <w:pPr>
              <w:spacing w:after="0" w:line="240" w:lineRule="auto"/>
              <w:rPr>
                <w:rFonts w:ascii="Arial" w:eastAsia="Times New Roman" w:hAnsi="Arial" w:cs="Arial"/>
                <w:color w:val="000000"/>
                <w:sz w:val="16"/>
                <w:szCs w:val="16"/>
                <w:lang w:eastAsia="es-ES"/>
              </w:rPr>
            </w:pPr>
          </w:p>
          <w:tbl>
            <w:tblPr>
              <w:tblW w:w="10660" w:type="dxa"/>
              <w:tblCellMar>
                <w:left w:w="70" w:type="dxa"/>
                <w:right w:w="70" w:type="dxa"/>
              </w:tblCellMar>
              <w:tblLook w:val="04A0"/>
            </w:tblPr>
            <w:tblGrid>
              <w:gridCol w:w="4663"/>
              <w:gridCol w:w="881"/>
              <w:gridCol w:w="882"/>
              <w:gridCol w:w="882"/>
              <w:gridCol w:w="882"/>
              <w:gridCol w:w="882"/>
              <w:gridCol w:w="882"/>
            </w:tblGrid>
            <w:tr w:rsidR="006E5D75" w:rsidRPr="008B56EF" w:rsidTr="006E5D75">
              <w:trPr>
                <w:trHeight w:val="510"/>
              </w:trPr>
              <w:tc>
                <w:tcPr>
                  <w:tcW w:w="10660" w:type="dxa"/>
                  <w:gridSpan w:val="7"/>
                  <w:tcBorders>
                    <w:top w:val="nil"/>
                    <w:left w:val="nil"/>
                    <w:bottom w:val="nil"/>
                    <w:right w:val="nil"/>
                  </w:tcBorders>
                  <w:shd w:val="clear" w:color="auto" w:fill="auto"/>
                  <w:vAlign w:val="center"/>
                  <w:hideMark/>
                </w:tcPr>
                <w:p w:rsidR="006E5D75" w:rsidRPr="00327D12" w:rsidRDefault="006E5D75" w:rsidP="006E5D75">
                  <w:pPr>
                    <w:spacing w:after="0" w:line="240" w:lineRule="auto"/>
                    <w:rPr>
                      <w:rFonts w:ascii="Arial" w:eastAsia="Times New Roman" w:hAnsi="Arial" w:cs="Arial"/>
                      <w:b/>
                      <w:bCs/>
                      <w:sz w:val="18"/>
                      <w:szCs w:val="18"/>
                      <w:lang w:val="en-US" w:eastAsia="es-ES"/>
                    </w:rPr>
                  </w:pPr>
                  <w:r w:rsidRPr="00327D12">
                    <w:rPr>
                      <w:rFonts w:ascii="Arial" w:eastAsia="Times New Roman" w:hAnsi="Arial" w:cs="Arial"/>
                      <w:b/>
                      <w:bCs/>
                      <w:sz w:val="18"/>
                      <w:szCs w:val="18"/>
                      <w:lang w:val="en-US" w:eastAsia="es-ES"/>
                    </w:rPr>
                    <w:t>Average annual expenditures and characteristics of all consumer units, Consumer Expenditure Survey, 2013-2018</w:t>
                  </w:r>
                </w:p>
              </w:tc>
            </w:tr>
            <w:tr w:rsidR="006E5D75" w:rsidRPr="008B56EF" w:rsidTr="006E5D75">
              <w:trPr>
                <w:trHeight w:val="255"/>
              </w:trPr>
              <w:tc>
                <w:tcPr>
                  <w:tcW w:w="502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val="en-US" w:eastAsia="es-ES"/>
                    </w:rPr>
                  </w:pPr>
                </w:p>
              </w:tc>
            </w:tr>
            <w:tr w:rsidR="006E5D75" w:rsidRPr="00327D12" w:rsidTr="006E5D75">
              <w:trPr>
                <w:trHeight w:val="255"/>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Item</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2013</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2014</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2015</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2016</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E5D75" w:rsidRPr="00327D12" w:rsidRDefault="006E5D75" w:rsidP="006E5D75">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2018</w:t>
                  </w:r>
                </w:p>
              </w:tc>
            </w:tr>
            <w:tr w:rsidR="006E5D75" w:rsidRPr="00327D12" w:rsidTr="006E5D75">
              <w:trPr>
                <w:trHeight w:val="255"/>
              </w:trPr>
              <w:tc>
                <w:tcPr>
                  <w:tcW w:w="5020" w:type="dxa"/>
                  <w:tcBorders>
                    <w:top w:val="nil"/>
                    <w:left w:val="nil"/>
                    <w:bottom w:val="nil"/>
                    <w:right w:val="single" w:sz="4" w:space="0" w:color="auto"/>
                  </w:tcBorders>
                  <w:shd w:val="clear" w:color="auto" w:fill="auto"/>
                  <w:vAlign w:val="center"/>
                  <w:hideMark/>
                </w:tcPr>
                <w:p w:rsidR="006E5D75" w:rsidRPr="00327D12" w:rsidRDefault="006E5D75" w:rsidP="006E5D75">
                  <w:pPr>
                    <w:spacing w:after="0" w:line="240" w:lineRule="auto"/>
                    <w:rPr>
                      <w:rFonts w:ascii="Arial" w:eastAsia="Times New Roman" w:hAnsi="Arial" w:cs="Arial"/>
                      <w:b/>
                      <w:bCs/>
                      <w:sz w:val="16"/>
                      <w:szCs w:val="16"/>
                      <w:lang w:val="en-US" w:eastAsia="es-ES"/>
                    </w:rPr>
                  </w:pPr>
                  <w:r w:rsidRPr="00327D12">
                    <w:rPr>
                      <w:rFonts w:ascii="Arial" w:eastAsia="Times New Roman" w:hAnsi="Arial" w:cs="Arial"/>
                      <w:b/>
                      <w:bCs/>
                      <w:sz w:val="16"/>
                      <w:szCs w:val="16"/>
                      <w:lang w:val="en-US" w:eastAsia="es-ES"/>
                    </w:rPr>
                    <w:t>Number of consumer units (in thousands)</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125.670</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127.006</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128.437</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129.549</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130.001</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131.439</w:t>
                  </w:r>
                </w:p>
              </w:tc>
            </w:tr>
            <w:tr w:rsidR="006E5D75" w:rsidRPr="00327D12" w:rsidTr="006E5D75">
              <w:trPr>
                <w:trHeight w:val="255"/>
              </w:trPr>
              <w:tc>
                <w:tcPr>
                  <w:tcW w:w="5020" w:type="dxa"/>
                  <w:tcBorders>
                    <w:top w:val="nil"/>
                    <w:left w:val="nil"/>
                    <w:bottom w:val="nil"/>
                    <w:right w:val="single" w:sz="4" w:space="0" w:color="auto"/>
                  </w:tcBorders>
                  <w:shd w:val="clear" w:color="auto" w:fill="auto"/>
                  <w:vAlign w:val="center"/>
                  <w:hideMark/>
                </w:tcPr>
                <w:p w:rsidR="006E5D75" w:rsidRPr="00327D12" w:rsidRDefault="006E5D75" w:rsidP="006E5D75">
                  <w:pPr>
                    <w:spacing w:after="0" w:line="240" w:lineRule="auto"/>
                    <w:rPr>
                      <w:rFonts w:ascii="Arial" w:eastAsia="Times New Roman" w:hAnsi="Arial" w:cs="Arial"/>
                      <w:sz w:val="16"/>
                      <w:szCs w:val="16"/>
                      <w:lang w:eastAsia="es-ES"/>
                    </w:rPr>
                  </w:pPr>
                  <w:r w:rsidRPr="00327D12">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r>
            <w:tr w:rsidR="006E5D75" w:rsidRPr="00327D12" w:rsidTr="006E5D75">
              <w:trPr>
                <w:trHeight w:val="255"/>
              </w:trPr>
              <w:tc>
                <w:tcPr>
                  <w:tcW w:w="5020" w:type="dxa"/>
                  <w:tcBorders>
                    <w:top w:val="nil"/>
                    <w:left w:val="nil"/>
                    <w:bottom w:val="nil"/>
                    <w:right w:val="single" w:sz="4" w:space="0" w:color="auto"/>
                  </w:tcBorders>
                  <w:shd w:val="clear" w:color="auto" w:fill="auto"/>
                  <w:vAlign w:val="center"/>
                  <w:hideMark/>
                </w:tcPr>
                <w:p w:rsidR="006E5D75" w:rsidRPr="00327D12" w:rsidRDefault="006E5D75" w:rsidP="006E5D75">
                  <w:pPr>
                    <w:spacing w:after="0" w:line="240" w:lineRule="auto"/>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Consumer unit characteristics:</w:t>
                  </w: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r>
            <w:tr w:rsidR="006E5D75" w:rsidRPr="00327D12" w:rsidTr="006E5D75">
              <w:trPr>
                <w:trHeight w:val="255"/>
              </w:trPr>
              <w:tc>
                <w:tcPr>
                  <w:tcW w:w="5020" w:type="dxa"/>
                  <w:tcBorders>
                    <w:top w:val="nil"/>
                    <w:left w:val="nil"/>
                    <w:bottom w:val="nil"/>
                    <w:right w:val="single" w:sz="4" w:space="0" w:color="auto"/>
                  </w:tcBorders>
                  <w:shd w:val="clear" w:color="auto" w:fill="auto"/>
                  <w:vAlign w:val="center"/>
                  <w:hideMark/>
                </w:tcPr>
                <w:p w:rsidR="006E5D75" w:rsidRPr="00327D12" w:rsidRDefault="006E5D75" w:rsidP="006E5D75">
                  <w:pPr>
                    <w:spacing w:after="0" w:line="240" w:lineRule="auto"/>
                    <w:rPr>
                      <w:rFonts w:ascii="Arial" w:eastAsia="Times New Roman" w:hAnsi="Arial" w:cs="Arial"/>
                      <w:sz w:val="16"/>
                      <w:szCs w:val="16"/>
                      <w:lang w:eastAsia="es-ES"/>
                    </w:rPr>
                  </w:pPr>
                  <w:r w:rsidRPr="00327D12">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6E5D75" w:rsidRPr="00327D12" w:rsidRDefault="006E5D75" w:rsidP="006E5D75">
                  <w:pPr>
                    <w:spacing w:after="0" w:line="240" w:lineRule="auto"/>
                    <w:rPr>
                      <w:rFonts w:ascii="Arial" w:eastAsia="Times New Roman" w:hAnsi="Arial" w:cs="Arial"/>
                      <w:sz w:val="20"/>
                      <w:szCs w:val="20"/>
                      <w:lang w:eastAsia="es-ES"/>
                    </w:rPr>
                  </w:pPr>
                </w:p>
              </w:tc>
            </w:tr>
            <w:tr w:rsidR="006E5D75" w:rsidRPr="00327D12"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327D12" w:rsidRDefault="006E5D75" w:rsidP="006E5D75">
                  <w:pPr>
                    <w:spacing w:after="0" w:line="240" w:lineRule="auto"/>
                    <w:ind w:firstLineChars="200" w:firstLine="320"/>
                    <w:rPr>
                      <w:rFonts w:ascii="Arial" w:eastAsia="Times New Roman" w:hAnsi="Arial" w:cs="Arial"/>
                      <w:sz w:val="16"/>
                      <w:szCs w:val="16"/>
                      <w:lang w:eastAsia="es-ES"/>
                    </w:rPr>
                  </w:pPr>
                  <w:r w:rsidRPr="00327D12">
                    <w:rPr>
                      <w:rFonts w:ascii="Arial" w:eastAsia="Times New Roman" w:hAnsi="Arial" w:cs="Arial"/>
                      <w:sz w:val="16"/>
                      <w:szCs w:val="16"/>
                      <w:lang w:eastAsia="es-ES"/>
                    </w:rPr>
                    <w:t>Income before taxes</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$63.784</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$66.877</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$69.627</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$74.664</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$73.573</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$78.635</w:t>
                  </w:r>
                </w:p>
              </w:tc>
            </w:tr>
            <w:tr w:rsidR="006E5D75" w:rsidRPr="00327D12" w:rsidTr="006E5D75">
              <w:trPr>
                <w:trHeight w:val="255"/>
              </w:trPr>
              <w:tc>
                <w:tcPr>
                  <w:tcW w:w="5020" w:type="dxa"/>
                  <w:tcBorders>
                    <w:top w:val="nil"/>
                    <w:left w:val="nil"/>
                    <w:bottom w:val="nil"/>
                    <w:right w:val="single" w:sz="4" w:space="0" w:color="000000"/>
                  </w:tcBorders>
                  <w:shd w:val="clear" w:color="auto" w:fill="auto"/>
                  <w:vAlign w:val="center"/>
                  <w:hideMark/>
                </w:tcPr>
                <w:p w:rsidR="006E5D75" w:rsidRPr="00327D12" w:rsidRDefault="006E5D75" w:rsidP="006E5D75">
                  <w:pPr>
                    <w:spacing w:after="0" w:line="240" w:lineRule="auto"/>
                    <w:ind w:firstLineChars="200" w:firstLine="320"/>
                    <w:rPr>
                      <w:rFonts w:ascii="Arial" w:eastAsia="Times New Roman" w:hAnsi="Arial" w:cs="Arial"/>
                      <w:sz w:val="16"/>
                      <w:szCs w:val="16"/>
                      <w:lang w:eastAsia="es-ES"/>
                    </w:rPr>
                  </w:pPr>
                  <w:r w:rsidRPr="00327D12">
                    <w:rPr>
                      <w:rFonts w:ascii="Arial" w:eastAsia="Times New Roman" w:hAnsi="Arial" w:cs="Arial"/>
                      <w:sz w:val="16"/>
                      <w:szCs w:val="16"/>
                      <w:lang w:eastAsia="es-ES"/>
                    </w:rPr>
                    <w:t>Income after taxes*</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56.352</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58.364</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60.448</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64.175</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63.606</w:t>
                  </w:r>
                </w:p>
              </w:tc>
              <w:tc>
                <w:tcPr>
                  <w:tcW w:w="940" w:type="dxa"/>
                  <w:tcBorders>
                    <w:top w:val="nil"/>
                    <w:left w:val="nil"/>
                    <w:bottom w:val="nil"/>
                    <w:right w:val="nil"/>
                  </w:tcBorders>
                  <w:shd w:val="clear" w:color="auto" w:fill="auto"/>
                  <w:noWrap/>
                  <w:vAlign w:val="center"/>
                  <w:hideMark/>
                </w:tcPr>
                <w:p w:rsidR="006E5D75" w:rsidRPr="00327D12" w:rsidRDefault="006E5D75" w:rsidP="006E5D75">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67.241</w:t>
                  </w:r>
                </w:p>
              </w:tc>
            </w:tr>
          </w:tbl>
          <w:p w:rsidR="006E5D75" w:rsidRPr="00327D12" w:rsidRDefault="006E5D75" w:rsidP="006E5D75">
            <w:pPr>
              <w:spacing w:after="0" w:line="240" w:lineRule="auto"/>
              <w:rPr>
                <w:rFonts w:ascii="Arial" w:eastAsia="Times New Roman" w:hAnsi="Arial" w:cs="Arial"/>
                <w:color w:val="000000"/>
                <w:sz w:val="16"/>
                <w:szCs w:val="16"/>
                <w:lang w:eastAsia="es-ES"/>
              </w:rPr>
            </w:pPr>
          </w:p>
        </w:tc>
        <w:tc>
          <w:tcPr>
            <w:tcW w:w="916" w:type="dxa"/>
            <w:gridSpan w:val="2"/>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916" w:type="dxa"/>
            <w:gridSpan w:val="2"/>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6E5D75" w:rsidRPr="00327D12" w:rsidRDefault="006E5D75" w:rsidP="006E5D75">
            <w:pPr>
              <w:spacing w:after="0" w:line="240" w:lineRule="auto"/>
              <w:jc w:val="right"/>
              <w:rPr>
                <w:rFonts w:ascii="Arial" w:eastAsia="Times New Roman" w:hAnsi="Arial" w:cs="Arial"/>
                <w:color w:val="000000"/>
                <w:sz w:val="16"/>
                <w:szCs w:val="16"/>
                <w:lang w:eastAsia="es-ES"/>
              </w:rPr>
            </w:pPr>
          </w:p>
        </w:tc>
      </w:tr>
    </w:tbl>
    <w:p w:rsidR="006E5D75" w:rsidRPr="00327D12" w:rsidRDefault="006E5D75" w:rsidP="006E5D75">
      <w:pPr>
        <w:spacing w:after="0" w:line="240" w:lineRule="auto"/>
        <w:jc w:val="both"/>
        <w:rPr>
          <w:rFonts w:ascii="Arial" w:eastAsia="Times New Roman" w:hAnsi="Arial" w:cs="Arial"/>
          <w:b/>
          <w:bCs/>
          <w:color w:val="000000"/>
          <w:sz w:val="16"/>
          <w:szCs w:val="16"/>
          <w:lang w:eastAsia="es-ES"/>
        </w:rPr>
      </w:pPr>
    </w:p>
    <w:tbl>
      <w:tblPr>
        <w:tblW w:w="11620" w:type="dxa"/>
        <w:tblInd w:w="55" w:type="dxa"/>
        <w:tblCellMar>
          <w:left w:w="70" w:type="dxa"/>
          <w:right w:w="70" w:type="dxa"/>
        </w:tblCellMar>
        <w:tblLook w:val="04A0"/>
      </w:tblPr>
      <w:tblGrid>
        <w:gridCol w:w="5020"/>
        <w:gridCol w:w="940"/>
        <w:gridCol w:w="940"/>
        <w:gridCol w:w="940"/>
        <w:gridCol w:w="940"/>
        <w:gridCol w:w="940"/>
        <w:gridCol w:w="940"/>
        <w:gridCol w:w="960"/>
      </w:tblGrid>
      <w:tr w:rsidR="006E5D75" w:rsidRPr="000806BB" w:rsidTr="006E5D75">
        <w:trPr>
          <w:trHeight w:val="255"/>
        </w:trPr>
        <w:tc>
          <w:tcPr>
            <w:tcW w:w="5020" w:type="dxa"/>
            <w:tcBorders>
              <w:top w:val="nil"/>
              <w:left w:val="nil"/>
              <w:bottom w:val="nil"/>
              <w:right w:val="single" w:sz="4" w:space="0" w:color="auto"/>
            </w:tcBorders>
            <w:shd w:val="clear" w:color="auto" w:fill="auto"/>
            <w:vAlign w:val="center"/>
            <w:hideMark/>
          </w:tcPr>
          <w:p w:rsidR="006E5D75" w:rsidRPr="000806BB" w:rsidRDefault="006E5D75" w:rsidP="006E5D75">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Average annual expenditures</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$51.100</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$53.495</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$55.978</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$57.311</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$60.060</w:t>
            </w:r>
          </w:p>
        </w:tc>
        <w:tc>
          <w:tcPr>
            <w:tcW w:w="940" w:type="dxa"/>
            <w:tcBorders>
              <w:top w:val="nil"/>
              <w:left w:val="nil"/>
              <w:bottom w:val="nil"/>
              <w:right w:val="nil"/>
            </w:tcBorders>
            <w:shd w:val="clear" w:color="auto" w:fill="auto"/>
            <w:noWrap/>
            <w:vAlign w:val="center"/>
            <w:hideMark/>
          </w:tcPr>
          <w:p w:rsidR="006E5D75" w:rsidRPr="000806BB" w:rsidRDefault="006E5D75" w:rsidP="006E5D75">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$61.224</w:t>
            </w:r>
          </w:p>
        </w:tc>
        <w:tc>
          <w:tcPr>
            <w:tcW w:w="960" w:type="dxa"/>
            <w:tcBorders>
              <w:top w:val="nil"/>
              <w:left w:val="nil"/>
              <w:bottom w:val="nil"/>
              <w:right w:val="nil"/>
            </w:tcBorders>
            <w:shd w:val="clear" w:color="auto" w:fill="auto"/>
            <w:noWrap/>
            <w:vAlign w:val="bottom"/>
            <w:hideMark/>
          </w:tcPr>
          <w:p w:rsidR="006E5D75" w:rsidRPr="000806BB" w:rsidRDefault="006E5D75" w:rsidP="006E5D75">
            <w:pPr>
              <w:spacing w:after="0" w:line="240" w:lineRule="auto"/>
              <w:rPr>
                <w:rFonts w:ascii="Arial" w:eastAsia="Times New Roman" w:hAnsi="Arial" w:cs="Arial"/>
                <w:sz w:val="20"/>
                <w:szCs w:val="20"/>
                <w:lang w:eastAsia="es-ES"/>
              </w:rPr>
            </w:pPr>
          </w:p>
        </w:tc>
      </w:tr>
    </w:tbl>
    <w:p w:rsidR="006E5D75" w:rsidRDefault="006E5D75" w:rsidP="006E5D75">
      <w:pPr>
        <w:spacing w:line="240" w:lineRule="auto"/>
        <w:jc w:val="both"/>
        <w:rPr>
          <w:rFonts w:ascii="Times New Roman" w:hAnsi="Times New Roman" w:cs="Times New Roman"/>
          <w:sz w:val="24"/>
          <w:szCs w:val="24"/>
          <w:lang w:val="en-US"/>
        </w:rPr>
        <w:sectPr w:rsidR="006E5D75" w:rsidSect="006E5D75">
          <w:pgSz w:w="16838" w:h="11906" w:orient="landscape"/>
          <w:pgMar w:top="1440" w:right="1440" w:bottom="1440" w:left="1440" w:header="709" w:footer="709" w:gutter="0"/>
          <w:cols w:space="708"/>
          <w:docGrid w:linePitch="360"/>
        </w:sectPr>
      </w:pPr>
    </w:p>
    <w:p w:rsidR="006E5D75" w:rsidRPr="00E3686F" w:rsidRDefault="006E5D75" w:rsidP="006E5D75">
      <w:pPr>
        <w:jc w:val="both"/>
        <w:rPr>
          <w:rFonts w:ascii="Times New Roman" w:hAnsi="Times New Roman" w:cs="Times New Roman"/>
          <w:b/>
          <w:sz w:val="24"/>
          <w:szCs w:val="24"/>
        </w:rPr>
      </w:pPr>
      <w:r w:rsidRPr="00E3686F">
        <w:rPr>
          <w:rFonts w:ascii="Times New Roman" w:hAnsi="Times New Roman" w:cs="Times New Roman"/>
          <w:b/>
          <w:sz w:val="24"/>
          <w:szCs w:val="24"/>
        </w:rPr>
        <w:lastRenderedPageBreak/>
        <w:t>Cálculos para observar los beneficios para el consumidor de la globalización</w:t>
      </w:r>
    </w:p>
    <w:p w:rsidR="006E5D75" w:rsidRDefault="006E5D75" w:rsidP="006E5D75">
      <w:pPr>
        <w:jc w:val="both"/>
        <w:rPr>
          <w:rFonts w:ascii="Times New Roman" w:hAnsi="Times New Roman" w:cs="Times New Roman"/>
          <w:b/>
          <w:sz w:val="24"/>
          <w:szCs w:val="24"/>
        </w:rPr>
      </w:pPr>
      <w:r w:rsidRPr="00EA5F02">
        <w:rPr>
          <w:rFonts w:ascii="Times New Roman" w:hAnsi="Times New Roman" w:cs="Times New Roman"/>
          <w:b/>
          <w:sz w:val="24"/>
          <w:szCs w:val="24"/>
        </w:rPr>
        <w:t>Estados Unidos</w:t>
      </w:r>
    </w:p>
    <w:p w:rsidR="006E5D75" w:rsidRDefault="006E5D75" w:rsidP="006E5D75">
      <w:pPr>
        <w:jc w:val="both"/>
        <w:rPr>
          <w:rFonts w:ascii="Times New Roman" w:hAnsi="Times New Roman" w:cs="Times New Roman"/>
          <w:sz w:val="24"/>
          <w:szCs w:val="24"/>
        </w:rPr>
      </w:pPr>
      <w:r w:rsidRPr="00EA5F02">
        <w:rPr>
          <w:rFonts w:ascii="Times New Roman" w:hAnsi="Times New Roman" w:cs="Times New Roman"/>
          <w:sz w:val="24"/>
          <w:szCs w:val="24"/>
        </w:rPr>
        <w:t>Año 2000 - Annual Payroll ($ 1.000) 3.879.430.052</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2001 - Annual Payroll ($ 1.000)</w:t>
      </w:r>
      <w:r w:rsidRPr="00EA5F02">
        <w:rPr>
          <w:rFonts w:ascii="Times New Roman" w:eastAsia="Times New Roman" w:hAnsi="Times New Roman" w:cs="Times New Roman"/>
          <w:sz w:val="24"/>
          <w:szCs w:val="24"/>
          <w:lang w:val="en-US" w:eastAsia="es-ES"/>
        </w:rPr>
        <w:t>3.989.086.323</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2002 - Annual Payroll ($ 1.000)3.943.179.606</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2003 - Annual Payroll ($ 1.000)4.040.888.841</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2004 - Annual Payroll ($ 1.000)4.253.995.732</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2005 - Annual Payroll ($ 1.000)4.482.722.481</w:t>
      </w:r>
    </w:p>
    <w:p w:rsidR="006E5D75"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2006 - Annual Payroll ($ 1.000)</w:t>
      </w:r>
      <w:r w:rsidRPr="000F32E7">
        <w:rPr>
          <w:rFonts w:ascii="Times New Roman" w:hAnsi="Times New Roman" w:cs="Times New Roman"/>
          <w:sz w:val="24"/>
          <w:szCs w:val="24"/>
          <w:lang w:val="en-US"/>
        </w:rPr>
        <w:t>4.792.429.911</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2007 - Annual Payroll ($ 1.000)</w:t>
      </w:r>
      <w:r w:rsidRPr="000F32E7">
        <w:rPr>
          <w:rFonts w:ascii="Times New Roman" w:hAnsi="Times New Roman" w:cs="Times New Roman"/>
          <w:sz w:val="24"/>
          <w:szCs w:val="24"/>
          <w:lang w:val="en-US"/>
        </w:rPr>
        <w:t>5.026.778.232</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2008 - Annual Payroll ($ 1.000)</w:t>
      </w:r>
      <w:r w:rsidRPr="000F32E7">
        <w:rPr>
          <w:rFonts w:ascii="Times New Roman" w:hAnsi="Times New Roman" w:cs="Times New Roman"/>
          <w:sz w:val="24"/>
          <w:szCs w:val="24"/>
          <w:lang w:val="en-US"/>
        </w:rPr>
        <w:t>5.130.509.178</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2009 - Annual Payroll ($ 1.000)</w:t>
      </w:r>
      <w:r w:rsidRPr="000F32E7">
        <w:rPr>
          <w:rFonts w:ascii="Times New Roman" w:hAnsi="Times New Roman" w:cs="Times New Roman"/>
          <w:sz w:val="24"/>
          <w:szCs w:val="24"/>
          <w:lang w:val="en-US"/>
        </w:rPr>
        <w:t>4.855.545.239</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2010 - Annual Payroll ($ 1.000)</w:t>
      </w:r>
      <w:r w:rsidRPr="000F32E7">
        <w:rPr>
          <w:rFonts w:ascii="Times New Roman" w:hAnsi="Times New Roman" w:cs="Times New Roman"/>
          <w:sz w:val="24"/>
          <w:szCs w:val="24"/>
          <w:lang w:val="en-US"/>
        </w:rPr>
        <w:t>4.940.983.369</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2011 - Annual Payroll ($ 1.000)</w:t>
      </w:r>
      <w:r w:rsidRPr="000F32E7">
        <w:rPr>
          <w:rFonts w:ascii="Times New Roman" w:hAnsi="Times New Roman" w:cs="Times New Roman"/>
          <w:sz w:val="24"/>
          <w:szCs w:val="24"/>
          <w:lang w:val="en-US"/>
        </w:rPr>
        <w:t>5.164.897.905</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2012 - Annual Payroll ($ 1.000)</w:t>
      </w:r>
      <w:r w:rsidRPr="000F32E7">
        <w:rPr>
          <w:rFonts w:ascii="Times New Roman" w:hAnsi="Times New Roman" w:cs="Times New Roman"/>
          <w:sz w:val="24"/>
          <w:szCs w:val="24"/>
          <w:lang w:val="en-US"/>
        </w:rPr>
        <w:t>5.414.255.995</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2013 - Annual Payroll ($ 1.000)</w:t>
      </w:r>
      <w:r w:rsidRPr="000F32E7">
        <w:rPr>
          <w:rFonts w:ascii="Times New Roman" w:hAnsi="Times New Roman" w:cs="Times New Roman"/>
          <w:sz w:val="24"/>
          <w:szCs w:val="24"/>
          <w:lang w:val="en-US"/>
        </w:rPr>
        <w:t>5.621.697.325</w:t>
      </w:r>
    </w:p>
    <w:p w:rsidR="006E5D75"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2014 - Annual Payroll ($ 1.000)</w:t>
      </w:r>
      <w:r w:rsidRPr="000F32E7">
        <w:rPr>
          <w:rFonts w:ascii="Times New Roman" w:hAnsi="Times New Roman" w:cs="Times New Roman"/>
          <w:sz w:val="24"/>
          <w:szCs w:val="24"/>
          <w:lang w:val="en-US"/>
        </w:rPr>
        <w:t>5.940.186.911</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2015 - Annual Payroll ($ 1.000)</w:t>
      </w:r>
      <w:r w:rsidRPr="000F32E7">
        <w:rPr>
          <w:rFonts w:ascii="Times New Roman" w:hAnsi="Times New Roman" w:cs="Times New Roman"/>
          <w:sz w:val="24"/>
          <w:szCs w:val="24"/>
          <w:lang w:val="en-US"/>
        </w:rPr>
        <w:t>6.253.488.252</w:t>
      </w:r>
    </w:p>
    <w:p w:rsidR="006E5D75" w:rsidRPr="00EA5F02" w:rsidRDefault="006E5D75" w:rsidP="006E5D75">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2016 - Annual Payroll ($ 1.000)</w:t>
      </w:r>
      <w:r w:rsidRPr="000F32E7">
        <w:rPr>
          <w:rFonts w:ascii="Times New Roman" w:hAnsi="Times New Roman" w:cs="Times New Roman"/>
          <w:sz w:val="24"/>
          <w:szCs w:val="24"/>
          <w:lang w:val="en-US"/>
        </w:rPr>
        <w:t>6.435.142.055</w:t>
      </w:r>
    </w:p>
    <w:p w:rsidR="006E5D75" w:rsidRDefault="006E5D75" w:rsidP="006E5D75">
      <w:pPr>
        <w:jc w:val="both"/>
        <w:rPr>
          <w:rFonts w:ascii="Times New Roman" w:hAnsi="Times New Roman" w:cs="Times New Roman"/>
          <w:sz w:val="24"/>
          <w:szCs w:val="24"/>
          <w:lang w:val="en-US"/>
        </w:rPr>
      </w:pPr>
      <w:r w:rsidRPr="000F32E7">
        <w:rPr>
          <w:rFonts w:ascii="Times New Roman" w:hAnsi="Times New Roman" w:cs="Times New Roman"/>
          <w:sz w:val="24"/>
          <w:szCs w:val="24"/>
          <w:lang w:val="en-US"/>
        </w:rPr>
        <w:t>Año 2017 - Annual Payroll ($ 1.000) 6.725.346.754</w:t>
      </w:r>
    </w:p>
    <w:p w:rsidR="006E5D75" w:rsidRDefault="006E5D75" w:rsidP="006E5D75">
      <w:pPr>
        <w:jc w:val="both"/>
        <w:rPr>
          <w:rFonts w:ascii="Times New Roman" w:hAnsi="Times New Roman" w:cs="Times New Roman"/>
          <w:sz w:val="24"/>
          <w:szCs w:val="24"/>
          <w:lang w:val="en-US"/>
        </w:rPr>
      </w:pPr>
      <w:r w:rsidRPr="00FA7FB5">
        <w:rPr>
          <w:rFonts w:ascii="Times New Roman" w:hAnsi="Times New Roman" w:cs="Times New Roman"/>
          <w:noProof/>
          <w:sz w:val="24"/>
          <w:szCs w:val="24"/>
          <w:lang w:val="en-GB" w:eastAsia="zh-CN"/>
        </w:rPr>
        <w:drawing>
          <wp:inline distT="0" distB="0" distL="0" distR="0">
            <wp:extent cx="5391903" cy="211484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391903" cy="2114845"/>
                    </a:xfrm>
                    <a:prstGeom prst="rect">
                      <a:avLst/>
                    </a:prstGeom>
                  </pic:spPr>
                </pic:pic>
              </a:graphicData>
            </a:graphic>
          </wp:inline>
        </w:drawing>
      </w:r>
    </w:p>
    <w:p w:rsidR="006E5D75" w:rsidRDefault="006E5D75" w:rsidP="006E5D75">
      <w:pPr>
        <w:jc w:val="both"/>
        <w:rPr>
          <w:rFonts w:ascii="Times New Roman" w:hAnsi="Times New Roman" w:cs="Times New Roman"/>
          <w:sz w:val="24"/>
          <w:szCs w:val="24"/>
          <w:lang w:val="en-US"/>
        </w:rPr>
      </w:pPr>
      <w:r w:rsidRPr="001E1268">
        <w:rPr>
          <w:rFonts w:ascii="Times New Roman" w:hAnsi="Times New Roman" w:cs="Times New Roman"/>
          <w:noProof/>
          <w:sz w:val="24"/>
          <w:szCs w:val="24"/>
          <w:lang w:val="en-GB" w:eastAsia="zh-CN"/>
        </w:rPr>
        <w:lastRenderedPageBreak/>
        <w:drawing>
          <wp:inline distT="0" distB="0" distL="0" distR="0">
            <wp:extent cx="5734231" cy="5062818"/>
            <wp:effectExtent l="0" t="0" r="0" b="508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5060415"/>
                    </a:xfrm>
                    <a:prstGeom prst="rect">
                      <a:avLst/>
                    </a:prstGeom>
                  </pic:spPr>
                </pic:pic>
              </a:graphicData>
            </a:graphic>
          </wp:inline>
        </w:drawing>
      </w:r>
    </w:p>
    <w:p w:rsidR="006E5D75" w:rsidRDefault="006E5D75" w:rsidP="006E5D75">
      <w:pPr>
        <w:jc w:val="both"/>
        <w:rPr>
          <w:rFonts w:ascii="Times New Roman" w:hAnsi="Times New Roman" w:cs="Times New Roman"/>
          <w:sz w:val="24"/>
          <w:szCs w:val="24"/>
          <w:lang w:val="en-US"/>
        </w:rPr>
      </w:pPr>
      <w:r w:rsidRPr="006248AA">
        <w:rPr>
          <w:rFonts w:ascii="Times New Roman" w:hAnsi="Times New Roman" w:cs="Times New Roman"/>
          <w:noProof/>
          <w:sz w:val="24"/>
          <w:szCs w:val="24"/>
          <w:lang w:val="en-GB" w:eastAsia="zh-CN"/>
        </w:rPr>
        <w:drawing>
          <wp:inline distT="0" distB="0" distL="0" distR="0">
            <wp:extent cx="5735171" cy="3509682"/>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3507442"/>
                    </a:xfrm>
                    <a:prstGeom prst="rect">
                      <a:avLst/>
                    </a:prstGeom>
                  </pic:spPr>
                </pic:pic>
              </a:graphicData>
            </a:graphic>
          </wp:inline>
        </w:drawing>
      </w:r>
    </w:p>
    <w:p w:rsidR="006E5D75" w:rsidRPr="006248AA" w:rsidRDefault="006E5D75" w:rsidP="006E5D75">
      <w:pPr>
        <w:jc w:val="both"/>
        <w:rPr>
          <w:rFonts w:ascii="Times New Roman" w:hAnsi="Times New Roman" w:cs="Times New Roman"/>
          <w:sz w:val="24"/>
          <w:szCs w:val="24"/>
          <w:lang w:val="en-US"/>
        </w:rPr>
      </w:pPr>
      <w:r w:rsidRPr="000F32E7">
        <w:rPr>
          <w:rFonts w:ascii="Times New Roman" w:hAnsi="Times New Roman" w:cs="Times New Roman"/>
          <w:b/>
          <w:sz w:val="24"/>
          <w:szCs w:val="24"/>
          <w:lang w:val="en-US"/>
        </w:rPr>
        <w:lastRenderedPageBreak/>
        <w:t>Unión Europea</w:t>
      </w:r>
    </w:p>
    <w:p w:rsidR="006E5D75" w:rsidRDefault="006E5D75" w:rsidP="006E5D75">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val="en-GB" w:eastAsia="zh-CN"/>
        </w:rPr>
        <w:drawing>
          <wp:inline distT="0" distB="0" distL="0" distR="0">
            <wp:extent cx="5731510" cy="17390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173905"/>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val="en-GB" w:eastAsia="zh-CN"/>
        </w:rPr>
        <w:drawing>
          <wp:inline distT="0" distB="0" distL="0" distR="0">
            <wp:extent cx="5731510" cy="172068"/>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172068"/>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val="en-GB" w:eastAsia="zh-CN"/>
        </w:rPr>
        <w:drawing>
          <wp:inline distT="0" distB="0" distL="0" distR="0">
            <wp:extent cx="5731510" cy="189826"/>
            <wp:effectExtent l="0" t="0" r="0" b="127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18982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val="en-GB" w:eastAsia="zh-CN"/>
        </w:rPr>
        <w:drawing>
          <wp:inline distT="0" distB="0" distL="0" distR="0">
            <wp:extent cx="5854700" cy="139700"/>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6039384" cy="144107"/>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p>
    <w:p w:rsidR="006E5D75" w:rsidRDefault="006E5D75" w:rsidP="006E5D75">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val="en-GB" w:eastAsia="zh-CN"/>
        </w:rPr>
        <w:drawing>
          <wp:inline distT="0" distB="0" distL="0" distR="0">
            <wp:extent cx="5731510" cy="216156"/>
            <wp:effectExtent l="0" t="0" r="254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21615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val="en-GB" w:eastAsia="zh-CN"/>
        </w:rPr>
        <w:drawing>
          <wp:inline distT="0" distB="0" distL="0" distR="0">
            <wp:extent cx="5731510" cy="220443"/>
            <wp:effectExtent l="0" t="0" r="2540" b="8255"/>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20443"/>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val="en-GB" w:eastAsia="zh-CN"/>
        </w:rPr>
        <w:drawing>
          <wp:inline distT="0" distB="0" distL="0" distR="0">
            <wp:extent cx="4692650" cy="23495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4745339" cy="237588"/>
                    </a:xfrm>
                    <a:prstGeom prst="rect">
                      <a:avLst/>
                    </a:prstGeom>
                  </pic:spPr>
                </pic:pic>
              </a:graphicData>
            </a:graphic>
          </wp:inline>
        </w:drawing>
      </w:r>
      <w:r w:rsidRPr="00DD1E4E">
        <w:rPr>
          <w:rFonts w:ascii="Times New Roman" w:hAnsi="Times New Roman" w:cs="Times New Roman"/>
          <w:b/>
          <w:noProof/>
          <w:sz w:val="24"/>
          <w:szCs w:val="24"/>
          <w:lang w:val="en-GB" w:eastAsia="zh-CN"/>
        </w:rPr>
        <w:drawing>
          <wp:inline distT="0" distB="0" distL="0" distR="0">
            <wp:extent cx="927100" cy="196850"/>
            <wp:effectExtent l="0" t="0" r="635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938820" cy="199339"/>
                    </a:xfrm>
                    <a:prstGeom prst="rect">
                      <a:avLst/>
                    </a:prstGeom>
                  </pic:spPr>
                </pic:pic>
              </a:graphicData>
            </a:graphic>
          </wp:inline>
        </w:drawing>
      </w:r>
    </w:p>
    <w:p w:rsidR="006E5D75" w:rsidRPr="000F32E7" w:rsidRDefault="006E5D75" w:rsidP="006E5D75">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val="en-GB" w:eastAsia="zh-CN"/>
        </w:rPr>
        <w:drawing>
          <wp:inline distT="0" distB="0" distL="0" distR="0">
            <wp:extent cx="5778500" cy="247650"/>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75940" cy="247540"/>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lang w:val="en-US"/>
        </w:rPr>
      </w:pPr>
    </w:p>
    <w:p w:rsidR="006E5D75" w:rsidRDefault="006E5D75" w:rsidP="006E5D75">
      <w:pPr>
        <w:jc w:val="both"/>
        <w:rPr>
          <w:rFonts w:ascii="Times New Roman" w:hAnsi="Times New Roman" w:cs="Times New Roman"/>
          <w:b/>
          <w:sz w:val="24"/>
          <w:szCs w:val="24"/>
          <w:lang w:val="en-US"/>
        </w:rPr>
      </w:pPr>
      <w:r w:rsidRPr="0081420A">
        <w:rPr>
          <w:rFonts w:ascii="Times New Roman" w:hAnsi="Times New Roman" w:cs="Times New Roman"/>
          <w:b/>
          <w:noProof/>
          <w:sz w:val="24"/>
          <w:szCs w:val="24"/>
          <w:lang w:val="en-GB" w:eastAsia="zh-CN"/>
        </w:rPr>
        <w:drawing>
          <wp:inline distT="0" distB="0" distL="0" distR="0">
            <wp:extent cx="6007100" cy="1739900"/>
            <wp:effectExtent l="0" t="0" r="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6004439" cy="1739129"/>
                    </a:xfrm>
                    <a:prstGeom prst="rect">
                      <a:avLst/>
                    </a:prstGeom>
                  </pic:spPr>
                </pic:pic>
              </a:graphicData>
            </a:graphic>
          </wp:inline>
        </w:drawing>
      </w:r>
    </w:p>
    <w:p w:rsidR="006E5D75" w:rsidRPr="00EA5F02" w:rsidRDefault="006E5D75" w:rsidP="006E5D75">
      <w:pPr>
        <w:jc w:val="both"/>
        <w:rPr>
          <w:rFonts w:ascii="Times New Roman" w:hAnsi="Times New Roman" w:cs="Times New Roman"/>
          <w:b/>
          <w:sz w:val="24"/>
          <w:szCs w:val="24"/>
          <w:lang w:val="en-US"/>
        </w:rPr>
      </w:pPr>
      <w:r w:rsidRPr="0081420A">
        <w:rPr>
          <w:rFonts w:ascii="Times New Roman" w:hAnsi="Times New Roman" w:cs="Times New Roman"/>
          <w:b/>
          <w:noProof/>
          <w:sz w:val="24"/>
          <w:szCs w:val="24"/>
          <w:lang w:val="en-GB" w:eastAsia="zh-CN"/>
        </w:rPr>
        <w:drawing>
          <wp:inline distT="0" distB="0" distL="0" distR="0">
            <wp:extent cx="6051550" cy="1416050"/>
            <wp:effectExtent l="0" t="0" r="635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6061004" cy="1418262"/>
                    </a:xfrm>
                    <a:prstGeom prst="rect">
                      <a:avLst/>
                    </a:prstGeom>
                  </pic:spPr>
                </pic:pic>
              </a:graphicData>
            </a:graphic>
          </wp:inline>
        </w:drawing>
      </w:r>
    </w:p>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rPr>
      </w:pPr>
    </w:p>
    <w:p w:rsidR="006E5D75" w:rsidRDefault="006E5D75" w:rsidP="006E5D75">
      <w:pPr>
        <w:rPr>
          <w:rFonts w:ascii="Times New Roman" w:hAnsi="Times New Roman" w:cs="Times New Roman"/>
          <w:b/>
          <w:sz w:val="24"/>
          <w:szCs w:val="24"/>
        </w:rPr>
      </w:pPr>
    </w:p>
    <w:p w:rsidR="006E5D75" w:rsidRDefault="006E5D75" w:rsidP="006E5D75">
      <w:pPr>
        <w:rPr>
          <w:rFonts w:ascii="Times New Roman" w:hAnsi="Times New Roman" w:cs="Times New Roman"/>
          <w:b/>
          <w:sz w:val="24"/>
          <w:szCs w:val="24"/>
        </w:rPr>
      </w:pPr>
    </w:p>
    <w:p w:rsidR="006E5D75" w:rsidRDefault="006E5D75" w:rsidP="006E5D75">
      <w:pPr>
        <w:rPr>
          <w:rFonts w:ascii="Times New Roman" w:hAnsi="Times New Roman" w:cs="Times New Roman"/>
          <w:b/>
          <w:sz w:val="24"/>
          <w:szCs w:val="24"/>
        </w:rPr>
      </w:pPr>
    </w:p>
    <w:p w:rsidR="006E5D75" w:rsidRDefault="006E5D75" w:rsidP="006E5D75">
      <w:pPr>
        <w:rPr>
          <w:rFonts w:ascii="Times New Roman" w:hAnsi="Times New Roman" w:cs="Times New Roman"/>
          <w:b/>
          <w:sz w:val="24"/>
          <w:szCs w:val="24"/>
        </w:rPr>
      </w:pPr>
      <w:r>
        <w:rPr>
          <w:rFonts w:ascii="Times New Roman" w:hAnsi="Times New Roman" w:cs="Times New Roman"/>
          <w:b/>
          <w:sz w:val="24"/>
          <w:szCs w:val="24"/>
        </w:rPr>
        <w:lastRenderedPageBreak/>
        <w:t xml:space="preserve">Tablas anuales </w:t>
      </w:r>
      <w:r w:rsidRPr="0024472D">
        <w:rPr>
          <w:rFonts w:ascii="Times New Roman" w:hAnsi="Times New Roman" w:cs="Times New Roman"/>
          <w:b/>
          <w:sz w:val="24"/>
          <w:szCs w:val="24"/>
        </w:rPr>
        <w:t>de inflación de Unión Europea</w:t>
      </w:r>
      <w:r>
        <w:rPr>
          <w:rFonts w:ascii="Times New Roman" w:hAnsi="Times New Roman" w:cs="Times New Roman"/>
          <w:b/>
          <w:sz w:val="24"/>
          <w:szCs w:val="24"/>
        </w:rPr>
        <w:t xml:space="preserve"> (StatBureau - 25/5/20)</w:t>
      </w:r>
    </w:p>
    <w:p w:rsidR="006E5D75" w:rsidRDefault="006E5D75" w:rsidP="006E5D75">
      <w:pPr>
        <w:rPr>
          <w:rFonts w:ascii="Times New Roman" w:hAnsi="Times New Roman" w:cs="Times New Roman"/>
          <w:b/>
          <w:sz w:val="24"/>
          <w:szCs w:val="24"/>
        </w:rPr>
      </w:pPr>
      <w:r w:rsidRPr="0024472D">
        <w:rPr>
          <w:rFonts w:ascii="Times New Roman" w:hAnsi="Times New Roman" w:cs="Times New Roman"/>
          <w:b/>
          <w:noProof/>
          <w:sz w:val="24"/>
          <w:szCs w:val="24"/>
          <w:lang w:val="en-GB" w:eastAsia="zh-CN"/>
        </w:rPr>
        <w:drawing>
          <wp:inline distT="0" distB="0" distL="0" distR="0">
            <wp:extent cx="578224" cy="4652682"/>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81106" cy="4675872"/>
                    </a:xfrm>
                    <a:prstGeom prst="rect">
                      <a:avLst/>
                    </a:prstGeom>
                  </pic:spPr>
                </pic:pic>
              </a:graphicData>
            </a:graphic>
          </wp:inline>
        </w:drawing>
      </w:r>
      <w:r w:rsidRPr="0024472D">
        <w:rPr>
          <w:rFonts w:ascii="Times New Roman" w:hAnsi="Times New Roman" w:cs="Times New Roman"/>
          <w:b/>
          <w:noProof/>
          <w:sz w:val="24"/>
          <w:szCs w:val="24"/>
          <w:lang w:val="en-GB" w:eastAsia="zh-CN"/>
        </w:rPr>
        <w:drawing>
          <wp:inline distT="0" distB="0" distL="0" distR="0">
            <wp:extent cx="665629" cy="4605617"/>
            <wp:effectExtent l="0" t="0" r="1270" b="508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666843" cy="4614018"/>
                    </a:xfrm>
                    <a:prstGeom prst="rect">
                      <a:avLst/>
                    </a:prstGeom>
                  </pic:spPr>
                </pic:pic>
              </a:graphicData>
            </a:graphic>
          </wp:inline>
        </w:drawing>
      </w:r>
      <w:r w:rsidRPr="00A952CC">
        <w:rPr>
          <w:rFonts w:ascii="Times New Roman" w:hAnsi="Times New Roman" w:cs="Times New Roman"/>
          <w:b/>
          <w:noProof/>
          <w:sz w:val="24"/>
          <w:szCs w:val="24"/>
          <w:lang w:val="en-GB" w:eastAsia="zh-CN"/>
        </w:rPr>
        <w:drawing>
          <wp:inline distT="0" distB="0" distL="0" distR="0">
            <wp:extent cx="552527" cy="1409897"/>
            <wp:effectExtent l="0" t="0" r="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52527" cy="1409897"/>
                    </a:xfrm>
                    <a:prstGeom prst="rect">
                      <a:avLst/>
                    </a:prstGeom>
                  </pic:spPr>
                </pic:pic>
              </a:graphicData>
            </a:graphic>
          </wp:inline>
        </w:drawing>
      </w:r>
      <w:r w:rsidRPr="00A952CC">
        <w:rPr>
          <w:noProof/>
          <w:lang w:val="en-GB" w:eastAsia="zh-CN"/>
        </w:rPr>
        <w:drawing>
          <wp:inline distT="0" distB="0" distL="0" distR="0">
            <wp:extent cx="457264" cy="1381318"/>
            <wp:effectExtent l="0" t="0" r="0" b="9525"/>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457264" cy="1381318"/>
                    </a:xfrm>
                    <a:prstGeom prst="rect">
                      <a:avLst/>
                    </a:prstGeom>
                  </pic:spPr>
                </pic:pic>
              </a:graphicData>
            </a:graphic>
          </wp:inline>
        </w:drawing>
      </w:r>
    </w:p>
    <w:p w:rsidR="006E5D75" w:rsidRPr="0024472D" w:rsidRDefault="006E5D75" w:rsidP="006E5D75">
      <w:pPr>
        <w:rPr>
          <w:rFonts w:ascii="Times New Roman" w:hAnsi="Times New Roman" w:cs="Times New Roman"/>
          <w:b/>
          <w:sz w:val="24"/>
          <w:szCs w:val="24"/>
        </w:rPr>
        <w:sectPr w:rsidR="006E5D75" w:rsidRPr="0024472D" w:rsidSect="006E5D75">
          <w:pgSz w:w="11906" w:h="16838"/>
          <w:pgMar w:top="1440" w:right="1440" w:bottom="1440" w:left="1440" w:header="709" w:footer="709" w:gutter="0"/>
          <w:cols w:space="708"/>
          <w:docGrid w:linePitch="360"/>
        </w:sectPr>
      </w:pPr>
      <w:r w:rsidRPr="006248AA">
        <w:rPr>
          <w:rFonts w:ascii="Times New Roman" w:hAnsi="Times New Roman" w:cs="Times New Roman"/>
          <w:b/>
          <w:noProof/>
          <w:sz w:val="24"/>
          <w:szCs w:val="24"/>
          <w:lang w:val="en-GB" w:eastAsia="zh-CN"/>
        </w:rPr>
        <w:drawing>
          <wp:inline distT="0" distB="0" distL="0" distR="0">
            <wp:extent cx="5728225" cy="3516406"/>
            <wp:effectExtent l="0" t="0" r="6350" b="825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518422"/>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FE130B">
        <w:rPr>
          <w:rFonts w:ascii="Times New Roman" w:hAnsi="Times New Roman" w:cs="Times New Roman"/>
          <w:color w:val="FF0000"/>
          <w:sz w:val="24"/>
          <w:szCs w:val="24"/>
        </w:rPr>
        <w:lastRenderedPageBreak/>
        <w:t xml:space="preserve">Para el cálculo de los “beneficios para el consumidor” que podría haber generado el proceso de globalización </w:t>
      </w:r>
      <w:r>
        <w:rPr>
          <w:rFonts w:ascii="Times New Roman" w:hAnsi="Times New Roman" w:cs="Times New Roman"/>
          <w:sz w:val="24"/>
          <w:szCs w:val="24"/>
        </w:rPr>
        <w:t>se asume (como supuesto teórico) el ahorro en los gastos en consumo por un menor Índice de Precios al Consumo en cada año, desde 2000 a 2017/18, en comparación con el IPC promedio 1990-1999 (EEUU) y 1996-1999 (UE), período en el que puede asumirse que la globalización no tenía tanta implicación.</w:t>
      </w:r>
    </w:p>
    <w:p w:rsidR="006E5D75" w:rsidRDefault="006E5D75" w:rsidP="006E5D75">
      <w:pPr>
        <w:jc w:val="both"/>
        <w:rPr>
          <w:rFonts w:ascii="Times New Roman" w:hAnsi="Times New Roman" w:cs="Times New Roman"/>
          <w:b/>
          <w:sz w:val="24"/>
          <w:szCs w:val="24"/>
        </w:rPr>
      </w:pPr>
      <w:r w:rsidRPr="00EA5F02">
        <w:rPr>
          <w:rFonts w:ascii="Times New Roman" w:hAnsi="Times New Roman" w:cs="Times New Roman"/>
          <w:b/>
          <w:sz w:val="24"/>
          <w:szCs w:val="24"/>
        </w:rPr>
        <w:t>Estados Unidos</w:t>
      </w:r>
    </w:p>
    <w:p w:rsidR="006E5D75" w:rsidRPr="00E6325C" w:rsidRDefault="006E5D75" w:rsidP="006E5D75">
      <w:pPr>
        <w:jc w:val="both"/>
        <w:rPr>
          <w:rFonts w:ascii="Times New Roman" w:hAnsi="Times New Roman" w:cs="Times New Roman"/>
          <w:b/>
          <w:sz w:val="24"/>
          <w:szCs w:val="24"/>
        </w:rPr>
      </w:pPr>
      <w:r>
        <w:rPr>
          <w:rFonts w:ascii="Times New Roman" w:hAnsi="Times New Roman" w:cs="Times New Roman"/>
          <w:sz w:val="24"/>
          <w:szCs w:val="24"/>
        </w:rPr>
        <w:t xml:space="preserve">Año base Promedio </w:t>
      </w:r>
      <w:r w:rsidRPr="00E6325C">
        <w:rPr>
          <w:rFonts w:ascii="Times New Roman" w:hAnsi="Times New Roman" w:cs="Times New Roman"/>
          <w:sz w:val="24"/>
          <w:szCs w:val="24"/>
        </w:rPr>
        <w:t>IPC</w:t>
      </w:r>
      <w:r>
        <w:rPr>
          <w:rFonts w:ascii="Times New Roman" w:hAnsi="Times New Roman" w:cs="Times New Roman"/>
          <w:sz w:val="24"/>
          <w:szCs w:val="24"/>
        </w:rPr>
        <w:t xml:space="preserve"> 1990-1999: 2,93  (Fuente: BM - FMI - </w:t>
      </w:r>
      <w:r w:rsidRPr="00A952CC">
        <w:rPr>
          <w:rFonts w:ascii="Times New Roman" w:hAnsi="Times New Roman" w:cs="Times New Roman"/>
          <w:sz w:val="24"/>
          <w:szCs w:val="24"/>
        </w:rPr>
        <w:t>StatBureau - 25/5/20)</w:t>
      </w:r>
    </w:p>
    <w:p w:rsidR="006E5D75" w:rsidRPr="003F3385" w:rsidRDefault="006E5D75" w:rsidP="006E5D75">
      <w:pPr>
        <w:jc w:val="both"/>
        <w:rPr>
          <w:rFonts w:ascii="Times New Roman" w:hAnsi="Times New Roman" w:cs="Times New Roman"/>
          <w:sz w:val="24"/>
          <w:szCs w:val="24"/>
        </w:rPr>
      </w:pPr>
      <w:r w:rsidRPr="003F3385">
        <w:rPr>
          <w:rFonts w:ascii="Times New Roman" w:hAnsi="Times New Roman" w:cs="Times New Roman"/>
          <w:sz w:val="24"/>
          <w:szCs w:val="24"/>
        </w:rPr>
        <w:t>Año 2000 - Annual Payroll ($ 1.000) 3.879.430.052 - IPC 3,39</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Pr="003F3385" w:rsidRDefault="006E5D75" w:rsidP="006E5D75">
      <w:pPr>
        <w:jc w:val="both"/>
        <w:rPr>
          <w:rFonts w:ascii="Times New Roman" w:hAnsi="Times New Roman" w:cs="Times New Roman"/>
          <w:sz w:val="24"/>
          <w:szCs w:val="24"/>
        </w:rPr>
      </w:pPr>
      <w:r w:rsidRPr="003F3385">
        <w:rPr>
          <w:rFonts w:ascii="Times New Roman" w:hAnsi="Times New Roman" w:cs="Times New Roman"/>
          <w:sz w:val="24"/>
          <w:szCs w:val="24"/>
        </w:rPr>
        <w:t xml:space="preserve">Año 2001 - Annual Payroll ($ 1.000) </w:t>
      </w:r>
      <w:r w:rsidRPr="003F3385">
        <w:rPr>
          <w:rFonts w:ascii="Times New Roman" w:eastAsia="Times New Roman" w:hAnsi="Times New Roman" w:cs="Times New Roman"/>
          <w:sz w:val="24"/>
          <w:szCs w:val="24"/>
          <w:lang w:eastAsia="es-ES"/>
        </w:rPr>
        <w:t xml:space="preserve">3.989.086.323 </w:t>
      </w:r>
      <w:r w:rsidRPr="003F3385">
        <w:rPr>
          <w:rFonts w:ascii="Times New Roman" w:hAnsi="Times New Roman" w:cs="Times New Roman"/>
          <w:sz w:val="24"/>
          <w:szCs w:val="24"/>
        </w:rPr>
        <w:t>- IPC 1,55</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2,93 - 1,55 = 1,38 </w:t>
      </w:r>
      <w:r>
        <w:rPr>
          <w:rFonts w:ascii="Times New Roman" w:hAnsi="Times New Roman" w:cs="Times New Roman"/>
          <w:sz w:val="24"/>
          <w:szCs w:val="24"/>
        </w:rPr>
        <w:t xml:space="preserve"> x 3.989,1 ($ m. de mill.) = 55,05 m. de mill.</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Año 2002 - Annual Payroll ($ 1.000) 3.943.179.606 - IPC 2,38</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 Se produce beneficio teórico 2,93 </w:t>
      </w:r>
      <w:r>
        <w:rPr>
          <w:rFonts w:ascii="Times New Roman" w:hAnsi="Times New Roman" w:cs="Times New Roman"/>
          <w:sz w:val="24"/>
          <w:szCs w:val="24"/>
        </w:rPr>
        <w:t xml:space="preserve">- 2,38 </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0,55 x 3.943,2 ($ m. de mill.) = 21,69 m. de mil.  </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Año 2003 - Annual Payroll ($ 1.000) 4.040.888.841 - IPC 1,88</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Se produce beneficio teórico 2,93 - 1,</w:t>
      </w:r>
      <w:r>
        <w:rPr>
          <w:rFonts w:ascii="Times New Roman" w:hAnsi="Times New Roman" w:cs="Times New Roman"/>
          <w:sz w:val="24"/>
          <w:szCs w:val="24"/>
        </w:rPr>
        <w:t>88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1,05 x 4.040,9 ($ m. de mill.) = 42,42 m. de mill.</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2004 - Annual Payroll ($ 1.000) 4.253.995.732 - IPC 3,26</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Pr="005D133F"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2005 - Annual Payroll ($ 1.000) 4.482.722.481 - IPC 3,42</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2006 - Annual Payroll ($ 1.000) 4.792.429.911 - IPC 2,54 </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- 2,54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0,39 x 4.792,4 ($ m. de mill.) = 18,69 m. de mil.</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2007 - Annual Payroll ($ 1.000) 5.026.778.232 - IPC 4,08 </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Pr="005D133F"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2008 - Annual Payroll ($ 1.000) 5.130.509.178 - IPC 0,09</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- 0,09</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2,84 x 5.130,5 ($ m. de mill.) = 145,70 m. de mill.</w:t>
      </w:r>
    </w:p>
    <w:p w:rsidR="006E5D75" w:rsidRPr="00D5127D" w:rsidRDefault="006E5D75" w:rsidP="006E5D75">
      <w:pPr>
        <w:jc w:val="both"/>
        <w:rPr>
          <w:rFonts w:ascii="Times New Roman" w:hAnsi="Times New Roman" w:cs="Times New Roman"/>
          <w:sz w:val="24"/>
          <w:szCs w:val="24"/>
        </w:rPr>
      </w:pPr>
      <w:r w:rsidRPr="00D5127D">
        <w:rPr>
          <w:rFonts w:ascii="Times New Roman" w:hAnsi="Times New Roman" w:cs="Times New Roman"/>
          <w:sz w:val="24"/>
          <w:szCs w:val="24"/>
        </w:rPr>
        <w:t>Año 2009 - Annual Payroll ($ 1.000) 4.855.545.239 - IPC 2,72</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- 2,72</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0,21x 4.855,5 ($ m. de mill.) = 10,20 m. de mill.</w:t>
      </w:r>
    </w:p>
    <w:p w:rsidR="006E5D75" w:rsidRPr="00D5127D" w:rsidRDefault="006E5D75" w:rsidP="006E5D75">
      <w:pPr>
        <w:jc w:val="both"/>
        <w:rPr>
          <w:rFonts w:ascii="Times New Roman" w:hAnsi="Times New Roman" w:cs="Times New Roman"/>
          <w:sz w:val="24"/>
          <w:szCs w:val="24"/>
        </w:rPr>
      </w:pPr>
      <w:r w:rsidRPr="00D5127D">
        <w:rPr>
          <w:rFonts w:ascii="Times New Roman" w:hAnsi="Times New Roman" w:cs="Times New Roman"/>
          <w:sz w:val="24"/>
          <w:szCs w:val="24"/>
        </w:rPr>
        <w:t>Año 2010 - Annual Payroll ($ 1.000) 4.940.983.369 - IPC 1,50</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- 1,50</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1,43 x 4.941,0 ($ m. de mill.) = 70,66 m. de mill.</w:t>
      </w:r>
    </w:p>
    <w:p w:rsidR="006E5D75" w:rsidRPr="005D133F"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lastRenderedPageBreak/>
        <w:t>Año 2011 - Annual Payroll ($ 1.000) 5.164.897.905 - IPC 2,96</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2012 - Annual Payroll ($ 1.000) 5.414.255.995 - IPC 1,74  </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- 1,74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1,19 x 5.414,3 ($ m. de mill.) = 64,43 m. de mill.</w:t>
      </w:r>
    </w:p>
    <w:p w:rsidR="006E5D75" w:rsidRPr="005D133F"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2013 - Annual Payroll ($ 1.000) 5.621.697.325 - IPC 1,50 </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- 1,50</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1,43 x 5.621,7 ($ m. de mill.) = 80,39 m. de mill.</w:t>
      </w:r>
    </w:p>
    <w:p w:rsidR="006E5D75" w:rsidRPr="00A16F1C" w:rsidRDefault="006E5D75" w:rsidP="006E5D75">
      <w:pPr>
        <w:jc w:val="both"/>
        <w:rPr>
          <w:rFonts w:ascii="Times New Roman" w:hAnsi="Times New Roman" w:cs="Times New Roman"/>
          <w:sz w:val="24"/>
          <w:szCs w:val="24"/>
        </w:rPr>
      </w:pPr>
      <w:r w:rsidRPr="00A16F1C">
        <w:rPr>
          <w:rFonts w:ascii="Times New Roman" w:hAnsi="Times New Roman" w:cs="Times New Roman"/>
          <w:sz w:val="24"/>
          <w:szCs w:val="24"/>
        </w:rPr>
        <w:t>Año 2014 - Annual Payroll ($ 1.000) 5.940.186.911- IPC 0,76</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- 0,76</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2,17x 5940,2 ($ m. de mill.) = 128,90 m. de mill.</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2015 - Annual Payroll ($ 1.000) 6.253.488.252 - IPC 0,73</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- 0,73</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2,20 x 6.253,5 ($ m. de mill.) = 137,58 m. de mill.</w:t>
      </w:r>
    </w:p>
    <w:p w:rsidR="006E5D75" w:rsidRPr="00A16F1C" w:rsidRDefault="006E5D75" w:rsidP="006E5D75">
      <w:pPr>
        <w:jc w:val="both"/>
        <w:rPr>
          <w:rFonts w:ascii="Times New Roman" w:hAnsi="Times New Roman" w:cs="Times New Roman"/>
          <w:sz w:val="24"/>
          <w:szCs w:val="24"/>
        </w:rPr>
      </w:pPr>
      <w:r w:rsidRPr="00A16F1C">
        <w:rPr>
          <w:rFonts w:ascii="Times New Roman" w:hAnsi="Times New Roman" w:cs="Times New Roman"/>
          <w:sz w:val="24"/>
          <w:szCs w:val="24"/>
        </w:rPr>
        <w:t>Año 2016 - Annual Payroll ($ 1.000) 6.435.142.055 - IPC 2,07</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- 2,07</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0,86 x 6.435,1 ($ m. de mill.) = 55,34 m. de mill.</w:t>
      </w:r>
    </w:p>
    <w:p w:rsidR="006E5D75" w:rsidRDefault="006E5D75" w:rsidP="006E5D75">
      <w:pPr>
        <w:jc w:val="both"/>
        <w:rPr>
          <w:rFonts w:ascii="Times New Roman" w:hAnsi="Times New Roman" w:cs="Times New Roman"/>
          <w:sz w:val="24"/>
          <w:szCs w:val="24"/>
        </w:rPr>
      </w:pPr>
      <w:r w:rsidRPr="005875EE">
        <w:rPr>
          <w:rFonts w:ascii="Times New Roman" w:hAnsi="Times New Roman" w:cs="Times New Roman"/>
          <w:sz w:val="24"/>
          <w:szCs w:val="24"/>
        </w:rPr>
        <w:t>Año 2017 - Annual Payroll ($ 1.000) 6.725.346.754 - IPC 2,11</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- 2,11</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0.82 x 6.725,3 ($ m. de mill.) = 55,15 m. de mill.</w:t>
      </w:r>
    </w:p>
    <w:p w:rsidR="006E5D75" w:rsidRPr="005D133F" w:rsidRDefault="006E5D75" w:rsidP="006E5D75">
      <w:pPr>
        <w:jc w:val="both"/>
        <w:rPr>
          <w:rFonts w:ascii="Times New Roman" w:hAnsi="Times New Roman" w:cs="Times New Roman"/>
          <w:sz w:val="24"/>
          <w:szCs w:val="24"/>
        </w:rPr>
      </w:pPr>
      <w:r w:rsidRPr="00A52973">
        <w:rPr>
          <w:rFonts w:ascii="Times New Roman" w:hAnsi="Times New Roman" w:cs="Times New Roman"/>
          <w:b/>
          <w:sz w:val="24"/>
          <w:szCs w:val="24"/>
        </w:rPr>
        <w:t>Unión Europea</w:t>
      </w:r>
    </w:p>
    <w:p w:rsidR="006E5D75" w:rsidRDefault="006E5D75" w:rsidP="006E5D75">
      <w:pPr>
        <w:jc w:val="both"/>
        <w:rPr>
          <w:rFonts w:ascii="Times New Roman" w:hAnsi="Times New Roman" w:cs="Times New Roman"/>
          <w:b/>
          <w:sz w:val="24"/>
          <w:szCs w:val="24"/>
        </w:rPr>
      </w:pPr>
      <w:r>
        <w:rPr>
          <w:rFonts w:ascii="Times New Roman" w:hAnsi="Times New Roman" w:cs="Times New Roman"/>
          <w:sz w:val="24"/>
          <w:szCs w:val="24"/>
        </w:rPr>
        <w:t xml:space="preserve">Año base Promedio </w:t>
      </w:r>
      <w:r w:rsidRPr="00E6325C">
        <w:rPr>
          <w:rFonts w:ascii="Times New Roman" w:hAnsi="Times New Roman" w:cs="Times New Roman"/>
          <w:sz w:val="24"/>
          <w:szCs w:val="24"/>
        </w:rPr>
        <w:t>IPC</w:t>
      </w:r>
      <w:r>
        <w:rPr>
          <w:rFonts w:ascii="Times New Roman" w:hAnsi="Times New Roman" w:cs="Times New Roman"/>
          <w:sz w:val="24"/>
          <w:szCs w:val="24"/>
        </w:rPr>
        <w:t xml:space="preserve"> 1996-1999: 1,57  (Fuente: BM - FMI - </w:t>
      </w:r>
      <w:r w:rsidRPr="00A952CC">
        <w:rPr>
          <w:rFonts w:ascii="Times New Roman" w:hAnsi="Times New Roman" w:cs="Times New Roman"/>
          <w:sz w:val="24"/>
          <w:szCs w:val="24"/>
        </w:rPr>
        <w:t>StatBureau - 25/5/20)</w:t>
      </w:r>
    </w:p>
    <w:p w:rsidR="006E5D75" w:rsidRDefault="006E5D75" w:rsidP="006E5D75">
      <w:pPr>
        <w:jc w:val="both"/>
        <w:rPr>
          <w:rFonts w:ascii="Times New Roman" w:hAnsi="Times New Roman" w:cs="Times New Roman"/>
          <w:sz w:val="24"/>
          <w:szCs w:val="24"/>
          <w:lang w:val="en-US"/>
        </w:rPr>
      </w:pPr>
      <w:r w:rsidRPr="003F3385">
        <w:rPr>
          <w:rFonts w:ascii="Times New Roman" w:hAnsi="Times New Roman" w:cs="Times New Roman"/>
          <w:sz w:val="24"/>
          <w:szCs w:val="24"/>
          <w:lang w:val="en-US"/>
        </w:rPr>
        <w:t>Año 2000 - Final consumption expe</w:t>
      </w:r>
      <w:r w:rsidRPr="00F61400">
        <w:rPr>
          <w:rFonts w:ascii="Times New Roman" w:hAnsi="Times New Roman" w:cs="Times New Roman"/>
          <w:sz w:val="24"/>
          <w:szCs w:val="24"/>
          <w:lang w:val="en-US"/>
        </w:rPr>
        <w:t>nditure ($ 1.000) 6.866.633.235</w:t>
      </w:r>
      <w:r>
        <w:rPr>
          <w:rFonts w:ascii="Times New Roman" w:hAnsi="Times New Roman" w:cs="Times New Roman"/>
          <w:sz w:val="24"/>
          <w:szCs w:val="24"/>
          <w:lang w:val="en-US"/>
        </w:rPr>
        <w:t xml:space="preserve"> - </w:t>
      </w:r>
      <w:r w:rsidRPr="00F61400">
        <w:rPr>
          <w:rFonts w:ascii="Times New Roman" w:hAnsi="Times New Roman" w:cs="Times New Roman"/>
          <w:sz w:val="24"/>
          <w:szCs w:val="24"/>
          <w:lang w:val="en-US"/>
        </w:rPr>
        <w:t xml:space="preserve">IPC </w:t>
      </w:r>
      <w:r>
        <w:rPr>
          <w:rFonts w:ascii="Times New Roman" w:hAnsi="Times New Roman" w:cs="Times New Roman"/>
          <w:sz w:val="24"/>
          <w:szCs w:val="24"/>
          <w:lang w:val="en-US"/>
        </w:rPr>
        <w:t>2,22</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2010 - Final consumption expenditure ($ 1.000) 13.360.030.902 - IPC 2,67</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Default="006E5D75" w:rsidP="006E5D75">
      <w:pPr>
        <w:jc w:val="both"/>
        <w:rPr>
          <w:rFonts w:ascii="Times New Roman" w:hAnsi="Times New Roman" w:cs="Times New Roman"/>
          <w:sz w:val="24"/>
          <w:szCs w:val="24"/>
        </w:rPr>
      </w:pPr>
      <w:r w:rsidRPr="005D133F">
        <w:rPr>
          <w:rFonts w:ascii="Times New Roman" w:hAnsi="Times New Roman" w:cs="Times New Roman"/>
          <w:sz w:val="24"/>
          <w:szCs w:val="24"/>
        </w:rPr>
        <w:t>Año 2011 - Final consumption expenditure ($ 1.000) 14.322.303.385 - IPC 3,04</w:t>
      </w:r>
    </w:p>
    <w:p w:rsidR="006E5D75" w:rsidRPr="005D133F"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Pr="001E6FAE" w:rsidRDefault="006E5D75" w:rsidP="006E5D75">
      <w:pPr>
        <w:jc w:val="both"/>
        <w:rPr>
          <w:rFonts w:ascii="Times New Roman" w:hAnsi="Times New Roman" w:cs="Times New Roman"/>
          <w:sz w:val="24"/>
          <w:szCs w:val="24"/>
        </w:rPr>
      </w:pPr>
      <w:r w:rsidRPr="001E6FAE">
        <w:rPr>
          <w:rFonts w:ascii="Times New Roman" w:hAnsi="Times New Roman" w:cs="Times New Roman"/>
          <w:sz w:val="24"/>
          <w:szCs w:val="24"/>
        </w:rPr>
        <w:t>Año 2012 - Final consumption expenditure ($ 1.000) 13.551.751.384 - IPC 2,35</w:t>
      </w:r>
    </w:p>
    <w:p w:rsidR="006E5D75" w:rsidRPr="00A952CC"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6E5D75" w:rsidRDefault="006E5D75" w:rsidP="006E5D75">
      <w:pPr>
        <w:jc w:val="both"/>
        <w:rPr>
          <w:rFonts w:ascii="Times New Roman" w:hAnsi="Times New Roman" w:cs="Times New Roman"/>
          <w:sz w:val="24"/>
          <w:szCs w:val="24"/>
        </w:rPr>
      </w:pPr>
      <w:r w:rsidRPr="00622A59">
        <w:rPr>
          <w:rFonts w:ascii="Times New Roman" w:hAnsi="Times New Roman" w:cs="Times New Roman"/>
          <w:sz w:val="24"/>
          <w:szCs w:val="24"/>
        </w:rPr>
        <w:t>Año 2013 - Final consumption expenditure ($ 1.000) 14.080.722.862 - IPC 0,98</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1,57- 0,98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0,59 x 14.080,7 ($ m. de mill.) = 83,08 m.de mill.</w:t>
      </w:r>
    </w:p>
    <w:p w:rsidR="006E5D75" w:rsidRPr="00622A59" w:rsidRDefault="006E5D75" w:rsidP="006E5D75">
      <w:pPr>
        <w:jc w:val="both"/>
        <w:rPr>
          <w:rFonts w:ascii="Times New Roman" w:hAnsi="Times New Roman" w:cs="Times New Roman"/>
          <w:sz w:val="24"/>
          <w:szCs w:val="24"/>
        </w:rPr>
      </w:pPr>
    </w:p>
    <w:p w:rsidR="006E5D75" w:rsidRPr="00E97FD3" w:rsidRDefault="006E5D75" w:rsidP="006E5D75">
      <w:pPr>
        <w:jc w:val="both"/>
        <w:rPr>
          <w:rFonts w:ascii="Times New Roman" w:hAnsi="Times New Roman" w:cs="Times New Roman"/>
          <w:sz w:val="24"/>
          <w:szCs w:val="24"/>
        </w:rPr>
      </w:pPr>
      <w:r w:rsidRPr="00E97FD3">
        <w:rPr>
          <w:rFonts w:ascii="Times New Roman" w:hAnsi="Times New Roman" w:cs="Times New Roman"/>
          <w:sz w:val="24"/>
          <w:szCs w:val="24"/>
        </w:rPr>
        <w:lastRenderedPageBreak/>
        <w:t xml:space="preserve">Año 2014 - Final </w:t>
      </w:r>
      <w:proofErr w:type="spellStart"/>
      <w:r w:rsidRPr="00E97FD3">
        <w:rPr>
          <w:rFonts w:ascii="Times New Roman" w:hAnsi="Times New Roman" w:cs="Times New Roman"/>
          <w:sz w:val="24"/>
          <w:szCs w:val="24"/>
        </w:rPr>
        <w:t>consumptionexpenditure</w:t>
      </w:r>
      <w:proofErr w:type="spellEnd"/>
      <w:r w:rsidRPr="00E97FD3">
        <w:rPr>
          <w:rFonts w:ascii="Times New Roman" w:hAnsi="Times New Roman" w:cs="Times New Roman"/>
          <w:sz w:val="24"/>
          <w:szCs w:val="24"/>
        </w:rPr>
        <w:t xml:space="preserve"> ($ 1.000) 14.449.139.902 - IPC -0,08  </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 -0,08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1,65 x 14.449,1($ m. de mill.) = 238,41 m.de mill.</w:t>
      </w:r>
    </w:p>
    <w:p w:rsidR="006E5D75" w:rsidRPr="00E97FD3" w:rsidRDefault="006E5D75" w:rsidP="006E5D75">
      <w:pPr>
        <w:jc w:val="both"/>
        <w:rPr>
          <w:rFonts w:ascii="Times New Roman" w:hAnsi="Times New Roman" w:cs="Times New Roman"/>
          <w:sz w:val="24"/>
          <w:szCs w:val="24"/>
        </w:rPr>
      </w:pPr>
      <w:r w:rsidRPr="00E97FD3">
        <w:rPr>
          <w:rFonts w:ascii="Times New Roman" w:hAnsi="Times New Roman" w:cs="Times New Roman"/>
          <w:sz w:val="24"/>
          <w:szCs w:val="24"/>
        </w:rPr>
        <w:t xml:space="preserve">Año 2015 - Final </w:t>
      </w:r>
      <w:proofErr w:type="spellStart"/>
      <w:r w:rsidRPr="00E97FD3">
        <w:rPr>
          <w:rFonts w:ascii="Times New Roman" w:hAnsi="Times New Roman" w:cs="Times New Roman"/>
          <w:sz w:val="24"/>
          <w:szCs w:val="24"/>
        </w:rPr>
        <w:t>consumptionexpenditure</w:t>
      </w:r>
      <w:proofErr w:type="spellEnd"/>
      <w:r w:rsidRPr="00E97FD3">
        <w:rPr>
          <w:rFonts w:ascii="Times New Roman" w:hAnsi="Times New Roman" w:cs="Times New Roman"/>
          <w:sz w:val="24"/>
          <w:szCs w:val="24"/>
        </w:rPr>
        <w:t xml:space="preserve"> ($ 1.000) 12.592.258.537 - IPC 0,18 </w:t>
      </w:r>
    </w:p>
    <w:p w:rsidR="006E5D75" w:rsidRPr="00622A59"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1,57- 0,18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1,39 x 12.592,3 ($ m. de mill.) = 175,0 m.de mill.</w:t>
      </w:r>
    </w:p>
    <w:p w:rsidR="006E5D75" w:rsidRPr="00E97FD3" w:rsidRDefault="006E5D75" w:rsidP="006E5D75">
      <w:pPr>
        <w:jc w:val="both"/>
        <w:rPr>
          <w:rFonts w:ascii="Times New Roman" w:hAnsi="Times New Roman" w:cs="Times New Roman"/>
          <w:sz w:val="24"/>
          <w:szCs w:val="24"/>
        </w:rPr>
      </w:pPr>
      <w:r w:rsidRPr="00E97FD3">
        <w:rPr>
          <w:rFonts w:ascii="Times New Roman" w:hAnsi="Times New Roman" w:cs="Times New Roman"/>
          <w:sz w:val="24"/>
          <w:szCs w:val="24"/>
        </w:rPr>
        <w:t xml:space="preserve">Año 2016 - Final </w:t>
      </w:r>
      <w:proofErr w:type="spellStart"/>
      <w:r w:rsidRPr="00E97FD3">
        <w:rPr>
          <w:rFonts w:ascii="Times New Roman" w:hAnsi="Times New Roman" w:cs="Times New Roman"/>
          <w:sz w:val="24"/>
          <w:szCs w:val="24"/>
        </w:rPr>
        <w:t>consumptionexpenditure</w:t>
      </w:r>
      <w:proofErr w:type="spellEnd"/>
      <w:r w:rsidRPr="00E97FD3">
        <w:rPr>
          <w:rFonts w:ascii="Times New Roman" w:hAnsi="Times New Roman" w:cs="Times New Roman"/>
          <w:sz w:val="24"/>
          <w:szCs w:val="24"/>
        </w:rPr>
        <w:t xml:space="preserve"> ($ 1.000) 12.622.162.337 - IPC 1,14 </w:t>
      </w:r>
    </w:p>
    <w:p w:rsidR="006E5D75" w:rsidRDefault="006E5D75" w:rsidP="006E5D75">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1,57- 1,14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0,43 x 12.622,2 ($ m. de mill.) = 54,28 m.de mill.</w:t>
      </w:r>
    </w:p>
    <w:p w:rsidR="006E5D75" w:rsidRPr="00E97FD3" w:rsidRDefault="006E5D75" w:rsidP="006E5D75">
      <w:pPr>
        <w:jc w:val="both"/>
        <w:rPr>
          <w:rFonts w:ascii="Times New Roman" w:hAnsi="Times New Roman" w:cs="Times New Roman"/>
          <w:sz w:val="24"/>
          <w:szCs w:val="24"/>
        </w:rPr>
      </w:pPr>
      <w:r w:rsidRPr="00E97FD3">
        <w:rPr>
          <w:rFonts w:ascii="Times New Roman" w:hAnsi="Times New Roman" w:cs="Times New Roman"/>
          <w:sz w:val="24"/>
          <w:szCs w:val="24"/>
        </w:rPr>
        <w:t xml:space="preserve">Año 2017 - Final </w:t>
      </w:r>
      <w:proofErr w:type="spellStart"/>
      <w:r w:rsidRPr="00E97FD3">
        <w:rPr>
          <w:rFonts w:ascii="Times New Roman" w:hAnsi="Times New Roman" w:cs="Times New Roman"/>
          <w:sz w:val="24"/>
          <w:szCs w:val="24"/>
        </w:rPr>
        <w:t>consumptionexpenditure</w:t>
      </w:r>
      <w:proofErr w:type="spellEnd"/>
      <w:r w:rsidRPr="00E97FD3">
        <w:rPr>
          <w:rFonts w:ascii="Times New Roman" w:hAnsi="Times New Roman" w:cs="Times New Roman"/>
          <w:sz w:val="24"/>
          <w:szCs w:val="24"/>
        </w:rPr>
        <w:t xml:space="preserve"> ($ 1.000) 13.137.450.083 - IPC 1,64    </w:t>
      </w:r>
    </w:p>
    <w:p w:rsidR="006E5D75" w:rsidRPr="00622A59"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No se produce beneficio teórico </w:t>
      </w:r>
    </w:p>
    <w:p w:rsidR="006E5D75" w:rsidRPr="00E97FD3" w:rsidRDefault="006E5D75" w:rsidP="006E5D75">
      <w:pPr>
        <w:jc w:val="both"/>
        <w:rPr>
          <w:rFonts w:ascii="Times New Roman" w:hAnsi="Times New Roman" w:cs="Times New Roman"/>
          <w:sz w:val="24"/>
          <w:szCs w:val="24"/>
          <w:lang w:val="en-US"/>
        </w:rPr>
      </w:pPr>
      <w:proofErr w:type="spellStart"/>
      <w:r w:rsidRPr="00E97FD3">
        <w:rPr>
          <w:rFonts w:ascii="Times New Roman" w:hAnsi="Times New Roman" w:cs="Times New Roman"/>
          <w:sz w:val="24"/>
          <w:szCs w:val="24"/>
          <w:lang w:val="en-US"/>
        </w:rPr>
        <w:t>Año</w:t>
      </w:r>
      <w:proofErr w:type="spellEnd"/>
      <w:r w:rsidRPr="00E97FD3">
        <w:rPr>
          <w:rFonts w:ascii="Times New Roman" w:hAnsi="Times New Roman" w:cs="Times New Roman"/>
          <w:sz w:val="24"/>
          <w:szCs w:val="24"/>
          <w:lang w:val="en-US"/>
        </w:rPr>
        <w:t xml:space="preserve"> 2018 - Final consumption expenditure ($ 1.000) 14.166.647.005 - IPC 1</w:t>
      </w:r>
      <w:proofErr w:type="gramStart"/>
      <w:r w:rsidRPr="00E97FD3">
        <w:rPr>
          <w:rFonts w:ascii="Times New Roman" w:hAnsi="Times New Roman" w:cs="Times New Roman"/>
          <w:sz w:val="24"/>
          <w:szCs w:val="24"/>
          <w:lang w:val="en-US"/>
        </w:rPr>
        <w:t>,63</w:t>
      </w:r>
      <w:proofErr w:type="gramEnd"/>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No s</w:t>
      </w:r>
      <w:r w:rsidRPr="00A952CC">
        <w:rPr>
          <w:rFonts w:ascii="Times New Roman" w:hAnsi="Times New Roman" w:cs="Times New Roman"/>
          <w:sz w:val="24"/>
          <w:szCs w:val="24"/>
        </w:rPr>
        <w:t>e</w:t>
      </w:r>
      <w:r>
        <w:rPr>
          <w:rFonts w:ascii="Times New Roman" w:hAnsi="Times New Roman" w:cs="Times New Roman"/>
          <w:sz w:val="24"/>
          <w:szCs w:val="24"/>
        </w:rPr>
        <w:t xml:space="preserve"> produce beneficio teórico</w:t>
      </w:r>
    </w:p>
    <w:p w:rsidR="006E5D75" w:rsidRPr="0028715F" w:rsidRDefault="006E5D75" w:rsidP="006E5D75">
      <w:pPr>
        <w:jc w:val="both"/>
        <w:rPr>
          <w:rFonts w:ascii="Times New Roman" w:hAnsi="Times New Roman" w:cs="Times New Roman"/>
          <w:b/>
          <w:sz w:val="24"/>
          <w:szCs w:val="24"/>
        </w:rPr>
      </w:pPr>
      <w:r w:rsidRPr="0028715F">
        <w:rPr>
          <w:rFonts w:ascii="Times New Roman" w:hAnsi="Times New Roman" w:cs="Times New Roman"/>
          <w:b/>
          <w:sz w:val="24"/>
          <w:szCs w:val="24"/>
        </w:rPr>
        <w:t xml:space="preserve">Cálculos sobre capitalización bursátil </w:t>
      </w:r>
    </w:p>
    <w:p w:rsidR="006E5D75" w:rsidRPr="009E22FE" w:rsidRDefault="006E5D75" w:rsidP="006E5D75">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Mayor rentabilidad de las empresas por la importa</w:t>
      </w:r>
      <w:r w:rsidR="006F3112">
        <w:rPr>
          <w:rFonts w:ascii="Times New Roman" w:hAnsi="Times New Roman" w:cs="Times New Roman"/>
          <w:b/>
          <w:color w:val="FF0000"/>
          <w:sz w:val="24"/>
          <w:szCs w:val="24"/>
          <w:shd w:val="clear" w:color="auto" w:fill="FFFFFF"/>
        </w:rPr>
        <w:t>ción de productos a menor costo</w:t>
      </w:r>
    </w:p>
    <w:p w:rsidR="006E5D75" w:rsidRPr="009E22FE" w:rsidRDefault="006E5D75" w:rsidP="006E5D75">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xml:space="preserve">(+) Mayor valor en bolsa de las acciones de las empresas que importan productos a menor </w:t>
      </w:r>
      <w:r w:rsidR="006F3112">
        <w:rPr>
          <w:rFonts w:ascii="Times New Roman" w:hAnsi="Times New Roman" w:cs="Times New Roman"/>
          <w:b/>
          <w:color w:val="FF0000"/>
          <w:sz w:val="24"/>
          <w:szCs w:val="24"/>
          <w:shd w:val="clear" w:color="auto" w:fill="FFFFFF"/>
        </w:rPr>
        <w:t>costo</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Mayores dividendos pagados por las empresas que i</w:t>
      </w:r>
      <w:r w:rsidR="006F3112">
        <w:rPr>
          <w:rFonts w:ascii="Times New Roman" w:hAnsi="Times New Roman" w:cs="Times New Roman"/>
          <w:b/>
          <w:color w:val="FF0000"/>
          <w:sz w:val="24"/>
          <w:szCs w:val="24"/>
          <w:shd w:val="clear" w:color="auto" w:fill="FFFFFF"/>
        </w:rPr>
        <w:t>mportan productos a menor costo</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PwC</w:t>
      </w:r>
    </w:p>
    <w:p w:rsidR="006E5D75" w:rsidRDefault="006E5D75" w:rsidP="006E5D75">
      <w:pPr>
        <w:spacing w:line="240" w:lineRule="auto"/>
        <w:jc w:val="both"/>
        <w:rPr>
          <w:rFonts w:ascii="Times New Roman" w:hAnsi="Times New Roman" w:cs="Times New Roman"/>
          <w:b/>
          <w:sz w:val="24"/>
          <w:szCs w:val="24"/>
        </w:rPr>
      </w:pPr>
      <w:r w:rsidRPr="00587B7A">
        <w:rPr>
          <w:rFonts w:ascii="Times New Roman" w:hAnsi="Times New Roman" w:cs="Times New Roman"/>
          <w:b/>
          <w:noProof/>
          <w:sz w:val="24"/>
          <w:szCs w:val="24"/>
          <w:lang w:val="en-GB" w:eastAsia="zh-CN"/>
        </w:rPr>
        <w:drawing>
          <wp:inline distT="0" distB="0" distL="0" distR="0">
            <wp:extent cx="5728446" cy="3234017"/>
            <wp:effectExtent l="0" t="0" r="5715" b="508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23574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lang w:val="en-US"/>
        </w:rPr>
      </w:pPr>
      <w:r>
        <w:rPr>
          <w:noProof/>
          <w:lang w:val="en-GB" w:eastAsia="zh-CN"/>
        </w:rPr>
        <w:lastRenderedPageBreak/>
        <w:drawing>
          <wp:inline distT="0" distB="0" distL="0" distR="0">
            <wp:extent cx="5728446" cy="3193676"/>
            <wp:effectExtent l="0" t="0" r="0" b="0"/>
            <wp:docPr id="322" name="Imagen 322" descr="https://www.pwc.es/es/publicaciones/auditoria/assets/capitalizacion-bursat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wc.es/es/publicaciones/auditoria/assets/capitalizacion-bursatil.png"/>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95384"/>
                    </a:xfrm>
                    <a:prstGeom prst="rect">
                      <a:avLst/>
                    </a:prstGeom>
                    <a:noFill/>
                    <a:ln>
                      <a:noFill/>
                    </a:ln>
                  </pic:spPr>
                </pic:pic>
              </a:graphicData>
            </a:graphic>
          </wp:inline>
        </w:drawing>
      </w:r>
    </w:p>
    <w:p w:rsidR="006E5D75" w:rsidRDefault="006E5D75" w:rsidP="006E5D75">
      <w:pPr>
        <w:rPr>
          <w:rFonts w:ascii="Times New Roman" w:hAnsi="Times New Roman" w:cs="Times New Roman"/>
          <w:b/>
          <w:sz w:val="24"/>
          <w:szCs w:val="24"/>
          <w:lang w:val="en-US"/>
        </w:rPr>
      </w:pPr>
      <w:r w:rsidRPr="00FF25F5">
        <w:rPr>
          <w:rFonts w:ascii="Times New Roman" w:hAnsi="Times New Roman" w:cs="Times New Roman"/>
          <w:b/>
          <w:sz w:val="24"/>
          <w:szCs w:val="24"/>
          <w:lang w:val="en-US"/>
        </w:rPr>
        <w:t>Global Top 100 Compan</w:t>
      </w:r>
      <w:r>
        <w:rPr>
          <w:rFonts w:ascii="Times New Roman" w:hAnsi="Times New Roman" w:cs="Times New Roman"/>
          <w:b/>
          <w:sz w:val="24"/>
          <w:szCs w:val="24"/>
          <w:lang w:val="en-US"/>
        </w:rPr>
        <w:t>ies by market capitalization (Pw</w:t>
      </w:r>
      <w:r w:rsidRPr="00FF25F5">
        <w:rPr>
          <w:rFonts w:ascii="Times New Roman" w:hAnsi="Times New Roman" w:cs="Times New Roman"/>
          <w:b/>
          <w:sz w:val="24"/>
          <w:szCs w:val="24"/>
          <w:lang w:val="en-US"/>
        </w:rPr>
        <w:t>C - 31 March 2016 update)</w:t>
      </w:r>
    </w:p>
    <w:p w:rsidR="006E5D75" w:rsidRPr="00967079" w:rsidRDefault="006E5D75" w:rsidP="006E5D75">
      <w:pPr>
        <w:rPr>
          <w:rFonts w:ascii="Times New Roman" w:hAnsi="Times New Roman" w:cs="Times New Roman"/>
          <w:b/>
          <w:sz w:val="24"/>
          <w:szCs w:val="24"/>
          <w:lang w:val="en-US"/>
        </w:rPr>
      </w:pPr>
      <w:r w:rsidRPr="00FF25F5">
        <w:rPr>
          <w:rFonts w:ascii="Times New Roman" w:hAnsi="Times New Roman" w:cs="Times New Roman"/>
          <w:b/>
          <w:noProof/>
          <w:sz w:val="24"/>
          <w:szCs w:val="24"/>
          <w:lang w:val="en-GB" w:eastAsia="zh-CN"/>
        </w:rPr>
        <w:drawing>
          <wp:inline distT="0" distB="0" distL="0" distR="0">
            <wp:extent cx="4564009" cy="4632512"/>
            <wp:effectExtent l="0" t="0" r="8255"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563112" cy="4631602"/>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lang w:val="en-US"/>
        </w:rPr>
      </w:pPr>
      <w:r w:rsidRPr="00FF25F5">
        <w:rPr>
          <w:rFonts w:ascii="Times New Roman" w:hAnsi="Times New Roman" w:cs="Times New Roman"/>
          <w:b/>
          <w:noProof/>
          <w:sz w:val="24"/>
          <w:szCs w:val="24"/>
          <w:lang w:val="en-GB" w:eastAsia="zh-CN"/>
        </w:rPr>
        <w:lastRenderedPageBreak/>
        <w:drawing>
          <wp:inline distT="0" distB="0" distL="0" distR="0">
            <wp:extent cx="5729476" cy="3905250"/>
            <wp:effectExtent l="0" t="0" r="508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90663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lang w:val="en-US"/>
        </w:rPr>
      </w:pPr>
    </w:p>
    <w:p w:rsidR="006E5D75" w:rsidRDefault="006E5D75" w:rsidP="006E5D75">
      <w:pPr>
        <w:spacing w:line="240" w:lineRule="auto"/>
        <w:jc w:val="both"/>
        <w:rPr>
          <w:rFonts w:ascii="Times New Roman" w:hAnsi="Times New Roman" w:cs="Times New Roman"/>
          <w:b/>
          <w:sz w:val="24"/>
          <w:szCs w:val="24"/>
          <w:lang w:val="en-US"/>
        </w:rPr>
      </w:pPr>
    </w:p>
    <w:p w:rsidR="006E5D75" w:rsidRDefault="006E5D75" w:rsidP="006E5D75">
      <w:pPr>
        <w:rPr>
          <w:rFonts w:ascii="Times New Roman" w:hAnsi="Times New Roman" w:cs="Times New Roman"/>
          <w:sz w:val="24"/>
          <w:szCs w:val="24"/>
        </w:rPr>
      </w:pPr>
      <w:r w:rsidRPr="008060CC">
        <w:rPr>
          <w:rFonts w:ascii="Times New Roman" w:hAnsi="Times New Roman" w:cs="Times New Roman"/>
          <w:b/>
          <w:sz w:val="24"/>
          <w:szCs w:val="24"/>
        </w:rPr>
        <w:t>Capitalización bursátil</w:t>
      </w:r>
      <w:r>
        <w:rPr>
          <w:rFonts w:ascii="Times New Roman" w:hAnsi="Times New Roman" w:cs="Times New Roman"/>
          <w:b/>
          <w:sz w:val="24"/>
          <w:szCs w:val="24"/>
        </w:rPr>
        <w:t xml:space="preserve"> de las Global Top 100 por área geográfica </w:t>
      </w:r>
      <w:r>
        <w:rPr>
          <w:rFonts w:ascii="Times New Roman" w:hAnsi="Times New Roman" w:cs="Times New Roman"/>
          <w:sz w:val="24"/>
          <w:szCs w:val="24"/>
        </w:rPr>
        <w:t>(Número de empresas)</w:t>
      </w:r>
    </w:p>
    <w:p w:rsidR="006E5D75" w:rsidRPr="00470A82" w:rsidRDefault="006E5D75" w:rsidP="006E5D75">
      <w:pPr>
        <w:rPr>
          <w:rFonts w:ascii="Times New Roman" w:hAnsi="Times New Roman" w:cs="Times New Roman"/>
          <w:b/>
          <w:sz w:val="24"/>
          <w:szCs w:val="24"/>
        </w:rPr>
      </w:pPr>
    </w:p>
    <w:p w:rsidR="006E5D75" w:rsidRDefault="006E5D75" w:rsidP="006E5D75">
      <w:pPr>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Año 2009</w:t>
      </w:r>
      <w:r>
        <w:rPr>
          <w:rFonts w:ascii="Times New Roman" w:hAnsi="Times New Roman" w:cs="Times New Roman"/>
          <w:b/>
          <w:sz w:val="24"/>
          <w:szCs w:val="24"/>
        </w:rPr>
        <w:tab/>
      </w:r>
      <w:r>
        <w:rPr>
          <w:rFonts w:ascii="Times New Roman" w:hAnsi="Times New Roman" w:cs="Times New Roman"/>
          <w:b/>
          <w:sz w:val="24"/>
          <w:szCs w:val="24"/>
        </w:rPr>
        <w:tab/>
        <w:t>Año 2019</w:t>
      </w:r>
    </w:p>
    <w:p w:rsidR="006E5D75" w:rsidRDefault="006E5D75" w:rsidP="006E5D75">
      <w:pPr>
        <w:rPr>
          <w:rFonts w:ascii="Times New Roman" w:hAnsi="Times New Roman" w:cs="Times New Roman"/>
          <w:sz w:val="24"/>
          <w:szCs w:val="24"/>
        </w:rPr>
      </w:pPr>
      <w:r>
        <w:rPr>
          <w:rFonts w:ascii="Times New Roman" w:hAnsi="Times New Roman" w:cs="Times New Roman"/>
          <w:b/>
          <w:sz w:val="24"/>
          <w:szCs w:val="24"/>
        </w:rPr>
        <w:t>EEUU</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060CC">
        <w:rPr>
          <w:rFonts w:ascii="Times New Roman" w:hAnsi="Times New Roman" w:cs="Times New Roman"/>
          <w:sz w:val="24"/>
          <w:szCs w:val="24"/>
        </w:rPr>
        <w:t>42                               54</w:t>
      </w:r>
    </w:p>
    <w:p w:rsidR="006E5D75" w:rsidRDefault="006E5D75" w:rsidP="006E5D75">
      <w:pPr>
        <w:rPr>
          <w:rFonts w:ascii="Times New Roman" w:hAnsi="Times New Roman" w:cs="Times New Roman"/>
          <w:sz w:val="24"/>
          <w:szCs w:val="24"/>
        </w:rPr>
      </w:pPr>
      <w:r w:rsidRPr="008060CC">
        <w:rPr>
          <w:rFonts w:ascii="Times New Roman" w:hAnsi="Times New Roman" w:cs="Times New Roman"/>
          <w:b/>
          <w:sz w:val="24"/>
          <w:szCs w:val="24"/>
        </w:rPr>
        <w:t>Europa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060CC">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20</w:t>
      </w:r>
    </w:p>
    <w:p w:rsidR="006E5D75" w:rsidRDefault="006E5D75" w:rsidP="006E5D75">
      <w:pPr>
        <w:rPr>
          <w:rFonts w:ascii="Times New Roman" w:hAnsi="Times New Roman" w:cs="Times New Roman"/>
          <w:sz w:val="24"/>
          <w:szCs w:val="24"/>
        </w:rPr>
      </w:pPr>
      <w:r w:rsidRPr="008060CC">
        <w:rPr>
          <w:rFonts w:ascii="Times New Roman" w:hAnsi="Times New Roman" w:cs="Times New Roman"/>
          <w:b/>
          <w:sz w:val="24"/>
          <w:szCs w:val="24"/>
        </w:rPr>
        <w:t>China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060CC">
        <w:rPr>
          <w:rFonts w:ascii="Times New Roman" w:hAnsi="Times New Roman" w:cs="Times New Roman"/>
          <w:sz w:val="24"/>
          <w:szCs w:val="24"/>
        </w:rPr>
        <w:t>16</w:t>
      </w:r>
      <w:r>
        <w:rPr>
          <w:rFonts w:ascii="Times New Roman" w:hAnsi="Times New Roman" w:cs="Times New Roman"/>
          <w:sz w:val="24"/>
          <w:szCs w:val="24"/>
        </w:rPr>
        <w:tab/>
      </w:r>
      <w:r>
        <w:rPr>
          <w:rFonts w:ascii="Times New Roman" w:hAnsi="Times New Roman" w:cs="Times New Roman"/>
          <w:sz w:val="24"/>
          <w:szCs w:val="24"/>
        </w:rPr>
        <w:tab/>
        <w:t xml:space="preserve">                  11</w:t>
      </w:r>
    </w:p>
    <w:p w:rsidR="006E5D75" w:rsidRDefault="006E5D75" w:rsidP="006E5D75">
      <w:pPr>
        <w:rPr>
          <w:rFonts w:ascii="Times New Roman" w:hAnsi="Times New Roman" w:cs="Times New Roman"/>
          <w:sz w:val="24"/>
          <w:szCs w:val="24"/>
        </w:rPr>
      </w:pPr>
      <w:r w:rsidRPr="008060CC">
        <w:rPr>
          <w:rFonts w:ascii="Times New Roman" w:hAnsi="Times New Roman" w:cs="Times New Roman"/>
          <w:b/>
          <w:sz w:val="24"/>
          <w:szCs w:val="24"/>
        </w:rPr>
        <w:t>Resto del Mundo</w:t>
      </w:r>
      <w:r>
        <w:rPr>
          <w:rFonts w:ascii="Times New Roman" w:hAnsi="Times New Roman" w:cs="Times New Roman"/>
          <w:b/>
          <w:sz w:val="24"/>
          <w:szCs w:val="24"/>
        </w:rPr>
        <w:tab/>
      </w:r>
      <w:r>
        <w:rPr>
          <w:rFonts w:ascii="Times New Roman" w:hAnsi="Times New Roman" w:cs="Times New Roman"/>
          <w:b/>
          <w:sz w:val="24"/>
          <w:szCs w:val="24"/>
        </w:rPr>
        <w:tab/>
      </w:r>
      <w:r w:rsidRPr="008060CC">
        <w:rPr>
          <w:rFonts w:ascii="Times New Roman" w:hAnsi="Times New Roman" w:cs="Times New Roman"/>
          <w:sz w:val="24"/>
          <w:szCs w:val="24"/>
        </w:rPr>
        <w:t xml:space="preserve">      11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15</w:t>
      </w: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En el cuadro anterior puede observarse que en EEUU, el número de empresas integradas en el Global Top 100 se incrementa en un 28,51 % en el período 2009-2019. Europa decrece en un 35,48 %, China decrece en un 31,25 % y el Resto del Mundo crece un 36,36 %. De las tres regiones bajo análisis, EEUU resulta el país más beneficiado en cuanto al número de empresas integradas en el Global Top 100, durante el período 2009-2019.</w:t>
      </w:r>
    </w:p>
    <w:p w:rsidR="006E5D75" w:rsidRDefault="006E5D75" w:rsidP="006E5D75">
      <w:pPr>
        <w:jc w:val="both"/>
        <w:rPr>
          <w:rFonts w:ascii="Times New Roman" w:hAnsi="Times New Roman" w:cs="Times New Roman"/>
          <w:b/>
          <w:sz w:val="24"/>
          <w:szCs w:val="24"/>
        </w:rPr>
      </w:pPr>
    </w:p>
    <w:p w:rsidR="006E5D75" w:rsidRDefault="006E5D75" w:rsidP="006E5D75">
      <w:pPr>
        <w:jc w:val="both"/>
        <w:rPr>
          <w:rFonts w:ascii="Times New Roman" w:hAnsi="Times New Roman" w:cs="Times New Roman"/>
          <w:b/>
          <w:sz w:val="24"/>
          <w:szCs w:val="24"/>
        </w:rPr>
      </w:pPr>
    </w:p>
    <w:p w:rsidR="006E5D75" w:rsidRPr="00470A82" w:rsidRDefault="006E5D75" w:rsidP="006E5D75">
      <w:pPr>
        <w:jc w:val="both"/>
        <w:rPr>
          <w:rFonts w:ascii="Times New Roman" w:hAnsi="Times New Roman" w:cs="Times New Roman"/>
          <w:b/>
          <w:sz w:val="24"/>
          <w:szCs w:val="24"/>
        </w:rPr>
      </w:pPr>
      <w:r w:rsidRPr="008060CC">
        <w:rPr>
          <w:rFonts w:ascii="Times New Roman" w:hAnsi="Times New Roman" w:cs="Times New Roman"/>
          <w:b/>
          <w:sz w:val="24"/>
          <w:szCs w:val="24"/>
        </w:rPr>
        <w:lastRenderedPageBreak/>
        <w:t>Capitalización bursátil</w:t>
      </w:r>
      <w:r>
        <w:rPr>
          <w:rFonts w:ascii="Times New Roman" w:hAnsi="Times New Roman" w:cs="Times New Roman"/>
          <w:b/>
          <w:sz w:val="24"/>
          <w:szCs w:val="24"/>
        </w:rPr>
        <w:t xml:space="preserve"> total de las Global Top 100 </w:t>
      </w:r>
      <w:r>
        <w:rPr>
          <w:rFonts w:ascii="Times New Roman" w:hAnsi="Times New Roman" w:cs="Times New Roman"/>
          <w:sz w:val="24"/>
          <w:szCs w:val="24"/>
        </w:rPr>
        <w:t>($ bn)</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2008 - 13,652    </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2009 -   8,402   Diferencia de capitalización con respecto al año anterior =  (5,25)</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2010 - 12,047   Diferencia de capitalización con respecto al año anterior =   4,72</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2011 - 12,974   Diferencia de capitalización con respecto al año anterior =   0,927</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2012 - 12,917   Diferencia de capitalización con respecto al año anterior =  (0,057)</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2013 - 13,597   Diferencia de capitalización con respecto al año anterior =   0,68</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2014 - 15,021   Diferencia de capitalización con respecto al año anterior =   1,424</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2015 - 16,245   Diferencia de capitalización con respecto al año anterior =   1,224</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2016 - 15,577   Diferencia de capitalización con respecto al año anterior =  (0,668)</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2017 - 17,438   Diferencia de capitalización con respecto al año anterior =   1,861</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2018 - 20,035   Diferencia de capitalización con respecto al año anterior =   2,597</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2019 - 21,075   Diferencia de capitalización con respecto al año anterior =   1,04</w:t>
      </w:r>
    </w:p>
    <w:p w:rsidR="006E5D75" w:rsidRDefault="006E5D75" w:rsidP="006E5D75">
      <w:pPr>
        <w:jc w:val="both"/>
        <w:rPr>
          <w:rFonts w:ascii="Times New Roman" w:hAnsi="Times New Roman" w:cs="Times New Roman"/>
          <w:sz w:val="24"/>
          <w:szCs w:val="24"/>
        </w:rPr>
      </w:pPr>
      <w:r w:rsidRPr="006516C4">
        <w:rPr>
          <w:rFonts w:ascii="Times New Roman" w:hAnsi="Times New Roman" w:cs="Times New Roman"/>
          <w:b/>
          <w:sz w:val="24"/>
          <w:szCs w:val="24"/>
        </w:rPr>
        <w:t>La mayor empresa del mundo por capitalización bursátil</w:t>
      </w:r>
      <w:r>
        <w:rPr>
          <w:rFonts w:ascii="Times New Roman" w:hAnsi="Times New Roman" w:cs="Times New Roman"/>
          <w:sz w:val="24"/>
          <w:szCs w:val="24"/>
        </w:rPr>
        <w:t>($ bn)</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2009 - Exxon Mobil - 337</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2010 - Exxon Mobil - 329</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2011 - Petro China -   417</w:t>
      </w:r>
    </w:p>
    <w:p w:rsidR="006E5D75" w:rsidRPr="0051733C" w:rsidRDefault="006E5D75" w:rsidP="006E5D75">
      <w:pPr>
        <w:jc w:val="both"/>
        <w:rPr>
          <w:rFonts w:ascii="Times New Roman" w:hAnsi="Times New Roman" w:cs="Times New Roman"/>
          <w:sz w:val="24"/>
          <w:szCs w:val="24"/>
          <w:lang w:val="en-US"/>
        </w:rPr>
      </w:pPr>
      <w:r w:rsidRPr="0051733C">
        <w:rPr>
          <w:rFonts w:ascii="Times New Roman" w:hAnsi="Times New Roman" w:cs="Times New Roman"/>
          <w:sz w:val="24"/>
          <w:szCs w:val="24"/>
          <w:lang w:val="en-US"/>
        </w:rPr>
        <w:t>2012 - Apple -           559</w:t>
      </w:r>
    </w:p>
    <w:p w:rsidR="006E5D75" w:rsidRPr="0051733C" w:rsidRDefault="006E5D75" w:rsidP="006E5D75">
      <w:pPr>
        <w:jc w:val="both"/>
        <w:rPr>
          <w:rFonts w:ascii="Times New Roman" w:hAnsi="Times New Roman" w:cs="Times New Roman"/>
          <w:sz w:val="24"/>
          <w:szCs w:val="24"/>
          <w:lang w:val="en-US"/>
        </w:rPr>
      </w:pPr>
      <w:r>
        <w:rPr>
          <w:rFonts w:ascii="Times New Roman" w:hAnsi="Times New Roman" w:cs="Times New Roman"/>
          <w:sz w:val="24"/>
          <w:szCs w:val="24"/>
          <w:lang w:val="en-US"/>
        </w:rPr>
        <w:t>2013-</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416</w:t>
      </w:r>
    </w:p>
    <w:p w:rsidR="006E5D75" w:rsidRPr="0051733C" w:rsidRDefault="006E5D75" w:rsidP="006E5D75">
      <w:pPr>
        <w:jc w:val="both"/>
        <w:rPr>
          <w:rFonts w:ascii="Times New Roman" w:hAnsi="Times New Roman" w:cs="Times New Roman"/>
          <w:sz w:val="24"/>
          <w:szCs w:val="24"/>
          <w:lang w:val="en-US"/>
        </w:rPr>
      </w:pPr>
      <w:r>
        <w:rPr>
          <w:rFonts w:ascii="Times New Roman" w:hAnsi="Times New Roman" w:cs="Times New Roman"/>
          <w:sz w:val="24"/>
          <w:szCs w:val="24"/>
          <w:lang w:val="en-US"/>
        </w:rPr>
        <w:t>2014-</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469</w:t>
      </w:r>
    </w:p>
    <w:p w:rsidR="006E5D75" w:rsidRPr="0051733C" w:rsidRDefault="006E5D75" w:rsidP="006E5D75">
      <w:pPr>
        <w:jc w:val="both"/>
        <w:rPr>
          <w:rFonts w:ascii="Times New Roman" w:hAnsi="Times New Roman" w:cs="Times New Roman"/>
          <w:sz w:val="24"/>
          <w:szCs w:val="24"/>
          <w:lang w:val="en-US"/>
        </w:rPr>
      </w:pPr>
      <w:r>
        <w:rPr>
          <w:rFonts w:ascii="Times New Roman" w:hAnsi="Times New Roman" w:cs="Times New Roman"/>
          <w:sz w:val="24"/>
          <w:szCs w:val="24"/>
          <w:lang w:val="en-US"/>
        </w:rPr>
        <w:t>2015-</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725</w:t>
      </w:r>
    </w:p>
    <w:p w:rsidR="006E5D75" w:rsidRPr="0051733C" w:rsidRDefault="006E5D75" w:rsidP="006E5D75">
      <w:pPr>
        <w:jc w:val="both"/>
        <w:rPr>
          <w:rFonts w:ascii="Times New Roman" w:hAnsi="Times New Roman" w:cs="Times New Roman"/>
          <w:sz w:val="24"/>
          <w:szCs w:val="24"/>
          <w:lang w:val="en-US"/>
        </w:rPr>
      </w:pPr>
      <w:r>
        <w:rPr>
          <w:rFonts w:ascii="Times New Roman" w:hAnsi="Times New Roman" w:cs="Times New Roman"/>
          <w:sz w:val="24"/>
          <w:szCs w:val="24"/>
          <w:lang w:val="en-US"/>
        </w:rPr>
        <w:t>2016-</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604</w:t>
      </w:r>
    </w:p>
    <w:p w:rsidR="006E5D75" w:rsidRPr="00D020E8" w:rsidRDefault="006E5D75" w:rsidP="006E5D75">
      <w:pPr>
        <w:jc w:val="both"/>
        <w:rPr>
          <w:rFonts w:ascii="Times New Roman" w:hAnsi="Times New Roman" w:cs="Times New Roman"/>
          <w:sz w:val="24"/>
          <w:szCs w:val="24"/>
        </w:rPr>
      </w:pPr>
      <w:r w:rsidRPr="00D020E8">
        <w:rPr>
          <w:rFonts w:ascii="Times New Roman" w:hAnsi="Times New Roman" w:cs="Times New Roman"/>
          <w:sz w:val="24"/>
          <w:szCs w:val="24"/>
        </w:rPr>
        <w:t>2017 - Apple -           754</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2018 - Apple -           851</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2019 - Microsoft -     905</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Este listado donde se comprueba el avance (y consolidación) de las empresas de alta tecnología, como las de mayor capitalización bursátil, adquiere más significación si se </w:t>
      </w:r>
      <w:r>
        <w:rPr>
          <w:rFonts w:ascii="Times New Roman" w:hAnsi="Times New Roman" w:cs="Times New Roman"/>
          <w:sz w:val="24"/>
          <w:szCs w:val="24"/>
        </w:rPr>
        <w:lastRenderedPageBreak/>
        <w:t xml:space="preserve">compara con las corporaciones (y sectores) que componían el </w:t>
      </w:r>
      <w:r w:rsidRPr="00C10155">
        <w:rPr>
          <w:rFonts w:ascii="Times New Roman" w:hAnsi="Times New Roman" w:cs="Times New Roman"/>
          <w:b/>
          <w:sz w:val="24"/>
          <w:szCs w:val="24"/>
        </w:rPr>
        <w:t>Top 10</w:t>
      </w:r>
      <w:r w:rsidRPr="002B085E">
        <w:rPr>
          <w:rFonts w:ascii="Times New Roman" w:hAnsi="Times New Roman" w:cs="Times New Roman"/>
          <w:b/>
          <w:sz w:val="24"/>
          <w:szCs w:val="24"/>
        </w:rPr>
        <w:t xml:space="preserve">Fortune </w:t>
      </w:r>
      <w:r>
        <w:rPr>
          <w:rFonts w:ascii="Times New Roman" w:hAnsi="Times New Roman" w:cs="Times New Roman"/>
          <w:b/>
          <w:sz w:val="24"/>
          <w:szCs w:val="24"/>
        </w:rPr>
        <w:t xml:space="preserve">Global </w:t>
      </w:r>
      <w:r w:rsidRPr="002B085E">
        <w:rPr>
          <w:rFonts w:ascii="Times New Roman" w:hAnsi="Times New Roman" w:cs="Times New Roman"/>
          <w:b/>
          <w:sz w:val="24"/>
          <w:szCs w:val="24"/>
        </w:rPr>
        <w:t>500</w:t>
      </w:r>
      <w:r>
        <w:rPr>
          <w:rFonts w:ascii="Times New Roman" w:hAnsi="Times New Roman" w:cs="Times New Roman"/>
          <w:b/>
          <w:sz w:val="24"/>
          <w:szCs w:val="24"/>
        </w:rPr>
        <w:t xml:space="preserve"> - Revenues (por ingresos) </w:t>
      </w:r>
      <w:r w:rsidRPr="005B4938">
        <w:rPr>
          <w:rFonts w:ascii="Times New Roman" w:hAnsi="Times New Roman" w:cs="Times New Roman"/>
          <w:sz w:val="24"/>
          <w:szCs w:val="24"/>
        </w:rPr>
        <w:t>en años anteriores</w:t>
      </w:r>
      <w:r>
        <w:rPr>
          <w:rFonts w:ascii="Times New Roman" w:hAnsi="Times New Roman" w:cs="Times New Roman"/>
          <w:sz w:val="24"/>
          <w:szCs w:val="24"/>
        </w:rPr>
        <w:t>.</w:t>
      </w:r>
    </w:p>
    <w:p w:rsidR="006E5D75" w:rsidRPr="005B4938" w:rsidRDefault="006E5D75" w:rsidP="006E5D75">
      <w:pPr>
        <w:jc w:val="both"/>
        <w:rPr>
          <w:rFonts w:ascii="Times New Roman" w:hAnsi="Times New Roman" w:cs="Times New Roman"/>
          <w:b/>
          <w:sz w:val="24"/>
          <w:szCs w:val="24"/>
        </w:rPr>
      </w:pPr>
      <w:r w:rsidRPr="005B4938">
        <w:rPr>
          <w:rFonts w:ascii="Times New Roman" w:hAnsi="Times New Roman" w:cs="Times New Roman"/>
          <w:b/>
          <w:sz w:val="24"/>
          <w:szCs w:val="24"/>
        </w:rPr>
        <w:t>Año 2000</w:t>
      </w:r>
    </w:p>
    <w:p w:rsidR="006E5D75" w:rsidRDefault="006E5D75" w:rsidP="006E5D75">
      <w:pPr>
        <w:jc w:val="both"/>
        <w:rPr>
          <w:rFonts w:ascii="Times New Roman" w:hAnsi="Times New Roman" w:cs="Times New Roman"/>
          <w:sz w:val="24"/>
          <w:szCs w:val="24"/>
        </w:rPr>
      </w:pPr>
      <w:r w:rsidRPr="0098195B">
        <w:rPr>
          <w:rFonts w:ascii="Times New Roman" w:hAnsi="Times New Roman" w:cs="Times New Roman"/>
          <w:b/>
          <w:noProof/>
          <w:sz w:val="24"/>
          <w:szCs w:val="24"/>
          <w:lang w:val="en-GB" w:eastAsia="zh-CN"/>
        </w:rPr>
        <w:drawing>
          <wp:inline distT="0" distB="0" distL="0" distR="0">
            <wp:extent cx="4000500" cy="3509682"/>
            <wp:effectExtent l="0" t="0" r="0" b="0"/>
            <wp:docPr id="407" name="Imagen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001059" cy="3510173"/>
                    </a:xfrm>
                    <a:prstGeom prst="rect">
                      <a:avLst/>
                    </a:prstGeom>
                  </pic:spPr>
                </pic:pic>
              </a:graphicData>
            </a:graphic>
          </wp:inline>
        </w:drawing>
      </w:r>
    </w:p>
    <w:p w:rsidR="006E5D75" w:rsidRPr="005B4938" w:rsidRDefault="006E5D75" w:rsidP="006E5D75">
      <w:pPr>
        <w:jc w:val="both"/>
        <w:rPr>
          <w:rFonts w:ascii="Times New Roman" w:hAnsi="Times New Roman" w:cs="Times New Roman"/>
          <w:b/>
          <w:sz w:val="24"/>
          <w:szCs w:val="24"/>
        </w:rPr>
      </w:pPr>
      <w:r w:rsidRPr="005B4938">
        <w:rPr>
          <w:rFonts w:ascii="Times New Roman" w:hAnsi="Times New Roman" w:cs="Times New Roman"/>
          <w:b/>
          <w:sz w:val="24"/>
          <w:szCs w:val="24"/>
        </w:rPr>
        <w:t>Año 2001</w:t>
      </w:r>
    </w:p>
    <w:p w:rsidR="006E5D75" w:rsidRDefault="006E5D75" w:rsidP="006E5D75">
      <w:pPr>
        <w:spacing w:line="240" w:lineRule="auto"/>
        <w:jc w:val="both"/>
        <w:rPr>
          <w:rFonts w:ascii="Times New Roman" w:hAnsi="Times New Roman" w:cs="Times New Roman"/>
          <w:sz w:val="24"/>
          <w:szCs w:val="24"/>
        </w:rPr>
      </w:pPr>
      <w:r w:rsidRPr="0098195B">
        <w:rPr>
          <w:rFonts w:ascii="Times New Roman" w:hAnsi="Times New Roman" w:cs="Times New Roman"/>
          <w:b/>
          <w:noProof/>
          <w:sz w:val="24"/>
          <w:szCs w:val="24"/>
          <w:lang w:val="en-GB" w:eastAsia="zh-CN"/>
        </w:rPr>
        <w:drawing>
          <wp:inline distT="0" distB="0" distL="0" distR="0">
            <wp:extent cx="4114800" cy="3556747"/>
            <wp:effectExtent l="0" t="0" r="0" b="5715"/>
            <wp:docPr id="406" name="Imagen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115375" cy="3557244"/>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p>
    <w:p w:rsidR="006E5D75" w:rsidRPr="005B4938" w:rsidRDefault="006E5D75" w:rsidP="006E5D75">
      <w:pPr>
        <w:jc w:val="both"/>
        <w:rPr>
          <w:rFonts w:ascii="Times New Roman" w:hAnsi="Times New Roman" w:cs="Times New Roman"/>
          <w:b/>
          <w:sz w:val="24"/>
          <w:szCs w:val="24"/>
        </w:rPr>
      </w:pPr>
      <w:r w:rsidRPr="005B4938">
        <w:rPr>
          <w:rFonts w:ascii="Times New Roman" w:hAnsi="Times New Roman" w:cs="Times New Roman"/>
          <w:b/>
          <w:sz w:val="24"/>
          <w:szCs w:val="24"/>
        </w:rPr>
        <w:lastRenderedPageBreak/>
        <w:t>Año 2002</w:t>
      </w:r>
    </w:p>
    <w:p w:rsidR="006E5D75" w:rsidRDefault="006E5D75" w:rsidP="006E5D75">
      <w:pPr>
        <w:jc w:val="both"/>
        <w:rPr>
          <w:rFonts w:ascii="Times New Roman" w:hAnsi="Times New Roman" w:cs="Times New Roman"/>
          <w:sz w:val="24"/>
          <w:szCs w:val="24"/>
        </w:rPr>
      </w:pPr>
      <w:r w:rsidRPr="0098195B">
        <w:rPr>
          <w:rFonts w:ascii="Times New Roman" w:hAnsi="Times New Roman" w:cs="Times New Roman"/>
          <w:b/>
          <w:noProof/>
          <w:sz w:val="24"/>
          <w:szCs w:val="24"/>
          <w:lang w:val="en-GB" w:eastAsia="zh-CN"/>
        </w:rPr>
        <w:drawing>
          <wp:inline distT="0" distB="0" distL="0" distR="0">
            <wp:extent cx="3993776" cy="3630706"/>
            <wp:effectExtent l="0" t="0" r="6985" b="8255"/>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991532" cy="362866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r w:rsidRPr="005B4938">
        <w:rPr>
          <w:rFonts w:ascii="Times New Roman" w:hAnsi="Times New Roman" w:cs="Times New Roman"/>
          <w:b/>
          <w:sz w:val="24"/>
          <w:szCs w:val="24"/>
        </w:rPr>
        <w:t>Año 2003</w:t>
      </w:r>
    </w:p>
    <w:p w:rsidR="006E5D75" w:rsidRDefault="006E5D75" w:rsidP="006E5D75">
      <w:pPr>
        <w:jc w:val="both"/>
        <w:rPr>
          <w:rFonts w:ascii="Times New Roman" w:hAnsi="Times New Roman" w:cs="Times New Roman"/>
          <w:b/>
          <w:sz w:val="24"/>
          <w:szCs w:val="24"/>
        </w:rPr>
      </w:pPr>
      <w:r w:rsidRPr="0098195B">
        <w:rPr>
          <w:rFonts w:ascii="Times New Roman" w:hAnsi="Times New Roman" w:cs="Times New Roman"/>
          <w:b/>
          <w:noProof/>
          <w:sz w:val="24"/>
          <w:szCs w:val="24"/>
          <w:lang w:val="en-GB" w:eastAsia="zh-CN"/>
        </w:rPr>
        <w:drawing>
          <wp:inline distT="0" distB="0" distL="0" distR="0">
            <wp:extent cx="3953427" cy="3982006"/>
            <wp:effectExtent l="0" t="0" r="9525"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953427" cy="398200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p>
    <w:p w:rsidR="006E5D75" w:rsidRDefault="006E5D75" w:rsidP="006E5D75">
      <w:pPr>
        <w:jc w:val="both"/>
        <w:rPr>
          <w:rFonts w:ascii="Times New Roman" w:hAnsi="Times New Roman" w:cs="Times New Roman"/>
          <w:b/>
          <w:sz w:val="24"/>
          <w:szCs w:val="24"/>
        </w:rPr>
      </w:pPr>
      <w:r>
        <w:rPr>
          <w:rFonts w:ascii="Times New Roman" w:hAnsi="Times New Roman" w:cs="Times New Roman"/>
          <w:b/>
          <w:sz w:val="24"/>
          <w:szCs w:val="24"/>
        </w:rPr>
        <w:lastRenderedPageBreak/>
        <w:t>Año 2004</w:t>
      </w:r>
    </w:p>
    <w:p w:rsidR="006E5D75" w:rsidRDefault="006E5D75" w:rsidP="006E5D75">
      <w:pPr>
        <w:jc w:val="both"/>
        <w:rPr>
          <w:rFonts w:ascii="Times New Roman" w:hAnsi="Times New Roman" w:cs="Times New Roman"/>
          <w:b/>
          <w:sz w:val="24"/>
          <w:szCs w:val="24"/>
        </w:rPr>
      </w:pPr>
      <w:r w:rsidRPr="0027069C">
        <w:rPr>
          <w:rFonts w:ascii="Times New Roman" w:hAnsi="Times New Roman" w:cs="Times New Roman"/>
          <w:b/>
          <w:noProof/>
          <w:sz w:val="24"/>
          <w:szCs w:val="24"/>
          <w:lang w:val="en-GB" w:eastAsia="zh-CN"/>
        </w:rPr>
        <w:drawing>
          <wp:inline distT="0" distB="0" distL="0" distR="0">
            <wp:extent cx="4058815" cy="3603812"/>
            <wp:effectExtent l="0" t="0" r="0" b="0"/>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4058217" cy="3603281"/>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r>
        <w:rPr>
          <w:rFonts w:ascii="Times New Roman" w:hAnsi="Times New Roman" w:cs="Times New Roman"/>
          <w:b/>
          <w:sz w:val="24"/>
          <w:szCs w:val="24"/>
        </w:rPr>
        <w:t>Año 2005</w:t>
      </w:r>
    </w:p>
    <w:p w:rsidR="006E5D75" w:rsidRDefault="006E5D75" w:rsidP="006E5D75">
      <w:pPr>
        <w:jc w:val="both"/>
        <w:rPr>
          <w:rFonts w:ascii="Times New Roman" w:hAnsi="Times New Roman" w:cs="Times New Roman"/>
          <w:b/>
          <w:sz w:val="24"/>
          <w:szCs w:val="24"/>
        </w:rPr>
      </w:pPr>
      <w:r w:rsidRPr="0027069C">
        <w:rPr>
          <w:rFonts w:ascii="Times New Roman" w:hAnsi="Times New Roman" w:cs="Times New Roman"/>
          <w:b/>
          <w:noProof/>
          <w:sz w:val="24"/>
          <w:szCs w:val="24"/>
          <w:lang w:val="en-GB" w:eastAsia="zh-CN"/>
        </w:rPr>
        <w:drawing>
          <wp:inline distT="0" distB="0" distL="0" distR="0">
            <wp:extent cx="3972480" cy="3982006"/>
            <wp:effectExtent l="0" t="0" r="9525" b="0"/>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972480" cy="398200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p>
    <w:p w:rsidR="006E5D75" w:rsidRDefault="006E5D75" w:rsidP="006E5D75">
      <w:pPr>
        <w:jc w:val="both"/>
        <w:rPr>
          <w:rFonts w:ascii="Times New Roman" w:hAnsi="Times New Roman" w:cs="Times New Roman"/>
          <w:b/>
          <w:sz w:val="24"/>
          <w:szCs w:val="24"/>
        </w:rPr>
      </w:pPr>
      <w:r>
        <w:rPr>
          <w:rFonts w:ascii="Times New Roman" w:hAnsi="Times New Roman" w:cs="Times New Roman"/>
          <w:b/>
          <w:sz w:val="24"/>
          <w:szCs w:val="24"/>
        </w:rPr>
        <w:lastRenderedPageBreak/>
        <w:t>Año 2006</w:t>
      </w:r>
    </w:p>
    <w:p w:rsidR="006E5D75" w:rsidRDefault="006E5D75" w:rsidP="006E5D75">
      <w:pPr>
        <w:jc w:val="both"/>
        <w:rPr>
          <w:rFonts w:ascii="Times New Roman" w:hAnsi="Times New Roman" w:cs="Times New Roman"/>
          <w:b/>
          <w:sz w:val="24"/>
          <w:szCs w:val="24"/>
        </w:rPr>
      </w:pPr>
      <w:r w:rsidRPr="0027069C">
        <w:rPr>
          <w:rFonts w:ascii="Times New Roman" w:hAnsi="Times New Roman" w:cs="Times New Roman"/>
          <w:b/>
          <w:noProof/>
          <w:sz w:val="24"/>
          <w:szCs w:val="24"/>
          <w:lang w:val="en-GB" w:eastAsia="zh-CN"/>
        </w:rPr>
        <w:drawing>
          <wp:inline distT="0" distB="0" distL="0" distR="0">
            <wp:extent cx="3924848" cy="3953427"/>
            <wp:effectExtent l="0" t="0" r="0" b="9525"/>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3924848" cy="3953427"/>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r w:rsidRPr="00C10155">
        <w:rPr>
          <w:rFonts w:ascii="Times New Roman" w:hAnsi="Times New Roman" w:cs="Times New Roman"/>
          <w:b/>
          <w:sz w:val="24"/>
          <w:szCs w:val="24"/>
        </w:rPr>
        <w:t>Año 2007</w:t>
      </w:r>
    </w:p>
    <w:p w:rsidR="006E5D75" w:rsidRDefault="006E5D75" w:rsidP="006E5D75">
      <w:pPr>
        <w:jc w:val="both"/>
        <w:rPr>
          <w:rFonts w:ascii="Times New Roman" w:hAnsi="Times New Roman" w:cs="Times New Roman"/>
          <w:b/>
          <w:sz w:val="24"/>
          <w:szCs w:val="24"/>
        </w:rPr>
      </w:pPr>
      <w:r w:rsidRPr="0027069C">
        <w:rPr>
          <w:rFonts w:ascii="Times New Roman" w:hAnsi="Times New Roman" w:cs="Times New Roman"/>
          <w:b/>
          <w:noProof/>
          <w:sz w:val="24"/>
          <w:szCs w:val="24"/>
          <w:lang w:val="en-GB" w:eastAsia="zh-CN"/>
        </w:rPr>
        <w:drawing>
          <wp:inline distT="0" distB="0" distL="0" distR="0">
            <wp:extent cx="4114800" cy="3919818"/>
            <wp:effectExtent l="0" t="0" r="0" b="508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115375" cy="3920366"/>
                    </a:xfrm>
                    <a:prstGeom prst="rect">
                      <a:avLst/>
                    </a:prstGeom>
                  </pic:spPr>
                </pic:pic>
              </a:graphicData>
            </a:graphic>
          </wp:inline>
        </w:drawing>
      </w:r>
    </w:p>
    <w:p w:rsidR="006E5D75" w:rsidRDefault="006E5D75" w:rsidP="006E5D75">
      <w:pPr>
        <w:jc w:val="both"/>
        <w:rPr>
          <w:rFonts w:ascii="Times New Roman" w:hAnsi="Times New Roman" w:cs="Times New Roman"/>
          <w:b/>
          <w:sz w:val="24"/>
          <w:szCs w:val="24"/>
        </w:rPr>
      </w:pPr>
      <w:r>
        <w:rPr>
          <w:rFonts w:ascii="Times New Roman" w:hAnsi="Times New Roman" w:cs="Times New Roman"/>
          <w:b/>
          <w:sz w:val="24"/>
          <w:szCs w:val="24"/>
        </w:rPr>
        <w:lastRenderedPageBreak/>
        <w:t>Año 2008</w:t>
      </w:r>
    </w:p>
    <w:p w:rsidR="006E5D75" w:rsidRDefault="006E5D75" w:rsidP="006E5D75">
      <w:pPr>
        <w:jc w:val="both"/>
        <w:rPr>
          <w:rFonts w:ascii="Times New Roman" w:hAnsi="Times New Roman" w:cs="Times New Roman"/>
          <w:b/>
          <w:sz w:val="24"/>
          <w:szCs w:val="24"/>
        </w:rPr>
      </w:pPr>
      <w:r w:rsidRPr="0098195B">
        <w:rPr>
          <w:rFonts w:ascii="Times New Roman" w:hAnsi="Times New Roman" w:cs="Times New Roman"/>
          <w:b/>
          <w:noProof/>
          <w:sz w:val="24"/>
          <w:szCs w:val="24"/>
          <w:lang w:val="en-GB" w:eastAsia="zh-CN"/>
        </w:rPr>
        <w:drawing>
          <wp:inline distT="0" distB="0" distL="0" distR="0">
            <wp:extent cx="4044950" cy="3879850"/>
            <wp:effectExtent l="0" t="0" r="0" b="6350"/>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4048690" cy="3883437"/>
                    </a:xfrm>
                    <a:prstGeom prst="rect">
                      <a:avLst/>
                    </a:prstGeom>
                  </pic:spPr>
                </pic:pic>
              </a:graphicData>
            </a:graphic>
          </wp:inline>
        </w:drawing>
      </w:r>
    </w:p>
    <w:p w:rsidR="006E5D75" w:rsidRPr="0028715F" w:rsidRDefault="006E5D75" w:rsidP="006E5D75">
      <w:pPr>
        <w:jc w:val="both"/>
        <w:rPr>
          <w:rFonts w:ascii="Times New Roman" w:hAnsi="Times New Roman" w:cs="Times New Roman"/>
          <w:b/>
          <w:sz w:val="24"/>
          <w:szCs w:val="24"/>
        </w:rPr>
      </w:pPr>
      <w:r>
        <w:rPr>
          <w:rFonts w:ascii="Times New Roman" w:hAnsi="Times New Roman" w:cs="Times New Roman"/>
          <w:sz w:val="24"/>
          <w:szCs w:val="24"/>
        </w:rPr>
        <w:t xml:space="preserve">Recién en el listado correspondiente al año </w:t>
      </w:r>
      <w:r w:rsidRPr="00C10155">
        <w:rPr>
          <w:rFonts w:ascii="Times New Roman" w:hAnsi="Times New Roman" w:cs="Times New Roman"/>
          <w:b/>
          <w:sz w:val="24"/>
          <w:szCs w:val="24"/>
        </w:rPr>
        <w:t>2016</w:t>
      </w:r>
      <w:r>
        <w:rPr>
          <w:rFonts w:ascii="Times New Roman" w:hAnsi="Times New Roman" w:cs="Times New Roman"/>
          <w:sz w:val="24"/>
          <w:szCs w:val="24"/>
        </w:rPr>
        <w:t xml:space="preserve"> aparece Apple en el puesto 9 del Top 10 por nivel de ingresos (revenues).</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Resulta interesante observar la declinación del sector automotriz y del sector petrolero a lo largo del período 2000-2019. Posiblemente, por no haber podido beneficiarse, como otros sectores económicos, del proceso de deslocalización / globalización.</w:t>
      </w:r>
    </w:p>
    <w:p w:rsidR="006E5D75" w:rsidRDefault="006E5D75" w:rsidP="006E5D75">
      <w:pPr>
        <w:jc w:val="both"/>
        <w:rPr>
          <w:rFonts w:ascii="Times New Roman" w:hAnsi="Times New Roman" w:cs="Times New Roman"/>
          <w:b/>
          <w:sz w:val="24"/>
          <w:szCs w:val="24"/>
        </w:rPr>
      </w:pPr>
      <w:r w:rsidRPr="008060CC">
        <w:rPr>
          <w:rFonts w:ascii="Times New Roman" w:hAnsi="Times New Roman" w:cs="Times New Roman"/>
          <w:b/>
          <w:sz w:val="24"/>
          <w:szCs w:val="24"/>
        </w:rPr>
        <w:t>Capitalización bursátil</w:t>
      </w:r>
      <w:r>
        <w:rPr>
          <w:rFonts w:ascii="Times New Roman" w:hAnsi="Times New Roman" w:cs="Times New Roman"/>
          <w:b/>
          <w:sz w:val="24"/>
          <w:szCs w:val="24"/>
        </w:rPr>
        <w:t xml:space="preserve"> de las Global Top 100 por área geográfica </w:t>
      </w:r>
      <w:r w:rsidRPr="008F3A47">
        <w:rPr>
          <w:rFonts w:ascii="Times New Roman" w:hAnsi="Times New Roman" w:cs="Times New Roman"/>
          <w:sz w:val="24"/>
          <w:szCs w:val="24"/>
        </w:rPr>
        <w:t>($ bn)</w:t>
      </w:r>
    </w:p>
    <w:p w:rsidR="006E5D75" w:rsidRDefault="006E5D75" w:rsidP="006E5D75">
      <w:pPr>
        <w:jc w:val="both"/>
        <w:rPr>
          <w:rFonts w:ascii="Times New Roman" w:hAnsi="Times New Roman" w:cs="Times New Roman"/>
          <w:sz w:val="24"/>
          <w:szCs w:val="24"/>
        </w:rPr>
      </w:pPr>
      <w:r w:rsidRPr="00783C19">
        <w:rPr>
          <w:noProof/>
          <w:lang w:val="en-GB" w:eastAsia="zh-CN"/>
        </w:rPr>
        <w:drawing>
          <wp:inline distT="0" distB="0" distL="0" distR="0">
            <wp:extent cx="5477094" cy="2876550"/>
            <wp:effectExtent l="0" t="0" r="9525"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9415" cy="2877769"/>
                    </a:xfrm>
                    <a:prstGeom prst="rect">
                      <a:avLst/>
                    </a:prstGeom>
                    <a:noFill/>
                    <a:ln>
                      <a:noFill/>
                    </a:ln>
                  </pic:spPr>
                </pic:pic>
              </a:graphicData>
            </a:graphic>
          </wp:inline>
        </w:drawing>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En el cuadro anterior vuelve a observarse que EEUU ha sido el más beneficiado en cuanto a  capitalización bursátil durante el período 2008-2019. </w:t>
      </w:r>
    </w:p>
    <w:p w:rsidR="006E5D75" w:rsidRDefault="006E5D75" w:rsidP="006E5D75">
      <w:pPr>
        <w:jc w:val="both"/>
        <w:rPr>
          <w:rFonts w:ascii="Times New Roman" w:hAnsi="Times New Roman" w:cs="Times New Roman"/>
          <w:sz w:val="24"/>
          <w:szCs w:val="24"/>
        </w:rPr>
      </w:pPr>
      <w:r w:rsidRPr="00FF25F5">
        <w:rPr>
          <w:rFonts w:ascii="Times New Roman" w:hAnsi="Times New Roman" w:cs="Times New Roman"/>
          <w:b/>
          <w:noProof/>
          <w:sz w:val="24"/>
          <w:szCs w:val="24"/>
          <w:lang w:val="en-GB" w:eastAsia="zh-CN"/>
        </w:rPr>
        <w:drawing>
          <wp:inline distT="0" distB="0" distL="0" distR="0">
            <wp:extent cx="5731510" cy="3474085"/>
            <wp:effectExtent l="0" t="0" r="254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347408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en el número de empresas en el Top 100 por localización, las compañías norteamericanas mantienen su privilegio, 42 empresas en el año 2009 y 54 empresas en el año 2016 (crecimiento equivalente al 28,57 % en el número de empresas en el Top 100).</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Los demás países reseñados (China, Reino Unido, Alemania, Francia y Japón), reducen su participación o no cambian el número de sus empresas en el Top 100.</w:t>
      </w:r>
    </w:p>
    <w:p w:rsidR="006E5D75" w:rsidRDefault="006E5D75" w:rsidP="006E5D75">
      <w:pPr>
        <w:spacing w:line="240" w:lineRule="auto"/>
        <w:jc w:val="both"/>
        <w:rPr>
          <w:rFonts w:ascii="Times New Roman" w:hAnsi="Times New Roman" w:cs="Times New Roman"/>
          <w:sz w:val="24"/>
          <w:szCs w:val="24"/>
        </w:rPr>
      </w:pPr>
      <w:r w:rsidRPr="00D82C9A">
        <w:rPr>
          <w:rFonts w:ascii="Times New Roman" w:hAnsi="Times New Roman" w:cs="Times New Roman"/>
          <w:b/>
          <w:noProof/>
          <w:sz w:val="24"/>
          <w:szCs w:val="24"/>
          <w:lang w:val="en-GB" w:eastAsia="zh-CN"/>
        </w:rPr>
        <w:drawing>
          <wp:inline distT="0" distB="0" distL="0" distR="0">
            <wp:extent cx="5732203" cy="3435723"/>
            <wp:effectExtent l="0" t="0" r="1905"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343530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el período de observación se amplía hasta el año 2018, el cuadro confirma lo dicho anteriormente, sobre la amplia participación de las empresas de los EEUU en el Top 100, con una leve variación positiva de China, que pasa de tener 9 empresas en el listado, a tener 12 empresas en el Top 100 (variación equivalente al 33,33 %).</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De los cuadros que se presentan a continuación quiero destacar (y reiterar) la importancia de las corporaciones norteamericanas (Global Top 100) en la capitalización de mercado 2018 vs. 2009, en comparación con sus inmediatas competidoras (China y el Reino Unido).</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El “market cap” de las Global Top 100 de EEUU aumenta un 236 % (2018 vs. 2009), el “index” aumenta un 231 % (2018 vs. 2009). En el caso de China los aumentos son del 175 % y 55 %, y para el Reino Unido los incrementos representan el 73 % y el 80 %, respectivamente.</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cuadro sobre las 20 empresas del Global Top 100, que han registrado una mayor valorización de mercado (2018 vs. 2009), se destacan las empresas tecnológicas, Apple con una variación en la capitalización de mercado de $ 757 bn, y una capitalización de $ 851 bn,  Apple con una variación en la capitalización de mercado de $ 757 bn, y una capitalización de $ 851 bn, Amazon con una variación en la capitalización de mercado de $ 670 bn, y una capitalización de $ 701 bn, Alphabet con una variación en la capitalización de mercado de $ 609 bn, y una capitalización de $ 719 bn, Microsoft con una variación en la capitalización de mercado de $ 540 bn, y una capitalización de $ 703 bn; recién en el 5º puesto aparece una empresa China (Tencent Holdings) y en el 7º puesto una empresa financiera (Berkshire Hathaway - USA).   </w:t>
      </w: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val="en-GB" w:eastAsia="zh-CN"/>
        </w:rPr>
        <w:drawing>
          <wp:inline distT="0" distB="0" distL="0" distR="0">
            <wp:extent cx="5731510" cy="4022725"/>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02272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val="en-GB" w:eastAsia="zh-CN"/>
        </w:rPr>
        <w:lastRenderedPageBreak/>
        <w:drawing>
          <wp:inline distT="0" distB="0" distL="0" distR="0">
            <wp:extent cx="5731510" cy="4140835"/>
            <wp:effectExtent l="0" t="0" r="254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414083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val="en-GB" w:eastAsia="zh-CN"/>
        </w:rPr>
        <w:drawing>
          <wp:inline distT="0" distB="0" distL="0" distR="0">
            <wp:extent cx="5727176" cy="3482788"/>
            <wp:effectExtent l="0" t="0" r="6985" b="381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348542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Entre las 20 compañías con mayor incremento de capitalización de mercado del Global Top 100 (2018 vs. 2009) nuevamente se destacan las empresas tecnológicas norteamericanas (Netflix 4.167 %, NVIDIA 2.700 %, Amazon 2161 %, Adobe 864 %, Apple 805 %), incorporándose a tan encumbrada lista una empresa China, también tecnológica (Tencent 3.715 %). Alphabet, se queda rezagada en esta carrera, presentando solo un 554 % de variac.</w:t>
      </w:r>
    </w:p>
    <w:p w:rsidR="006E5D75" w:rsidRDefault="006E5D75" w:rsidP="006E5D75">
      <w:pPr>
        <w:jc w:val="both"/>
        <w:rPr>
          <w:rFonts w:ascii="Times New Roman" w:hAnsi="Times New Roman" w:cs="Times New Roman"/>
          <w:sz w:val="24"/>
          <w:szCs w:val="24"/>
        </w:rPr>
      </w:pPr>
      <w:r w:rsidRPr="00AB1BB0">
        <w:rPr>
          <w:rFonts w:ascii="Times New Roman" w:hAnsi="Times New Roman" w:cs="Times New Roman"/>
          <w:b/>
          <w:noProof/>
          <w:sz w:val="24"/>
          <w:szCs w:val="24"/>
          <w:lang w:val="en-GB" w:eastAsia="zh-CN"/>
        </w:rPr>
        <w:lastRenderedPageBreak/>
        <w:drawing>
          <wp:inline distT="0" distB="0" distL="0" distR="0">
            <wp:extent cx="5725392" cy="3509683"/>
            <wp:effectExtent l="0" t="0" r="889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3513433"/>
                    </a:xfrm>
                    <a:prstGeom prst="rect">
                      <a:avLst/>
                    </a:prstGeom>
                  </pic:spPr>
                </pic:pic>
              </a:graphicData>
            </a:graphic>
          </wp:inline>
        </w:drawing>
      </w:r>
    </w:p>
    <w:p w:rsidR="006E5D75" w:rsidRDefault="006E5D75" w:rsidP="006E5D75">
      <w:pPr>
        <w:jc w:val="both"/>
        <w:rPr>
          <w:rFonts w:ascii="Times New Roman" w:hAnsi="Times New Roman" w:cs="Times New Roman"/>
          <w:sz w:val="24"/>
          <w:szCs w:val="24"/>
        </w:rPr>
      </w:pPr>
    </w:p>
    <w:p w:rsidR="006E5D75" w:rsidRDefault="006E5D75" w:rsidP="006E5D75">
      <w:pPr>
        <w:jc w:val="both"/>
        <w:rPr>
          <w:rFonts w:ascii="Times New Roman" w:hAnsi="Times New Roman" w:cs="Times New Roman"/>
          <w:sz w:val="24"/>
          <w:szCs w:val="24"/>
        </w:rPr>
      </w:pPr>
      <w:r w:rsidRPr="00AB1BB0">
        <w:rPr>
          <w:rFonts w:ascii="Times New Roman" w:hAnsi="Times New Roman" w:cs="Times New Roman"/>
          <w:b/>
          <w:noProof/>
          <w:sz w:val="24"/>
          <w:szCs w:val="24"/>
          <w:lang w:val="en-GB" w:eastAsia="zh-CN"/>
        </w:rPr>
        <w:drawing>
          <wp:inline distT="0" distB="0" distL="0" distR="0">
            <wp:extent cx="5731510" cy="1491589"/>
            <wp:effectExtent l="0" t="0" r="254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1491589"/>
                    </a:xfrm>
                    <a:prstGeom prst="rect">
                      <a:avLst/>
                    </a:prstGeom>
                  </pic:spPr>
                </pic:pic>
              </a:graphicData>
            </a:graphic>
          </wp:inline>
        </w:drawing>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El cuadro anterior confirma la reducción de importancia en cuanto a la capitalización de mercado (2018 vs. 2009) de las grandes corporaciones petroleras.</w:t>
      </w:r>
    </w:p>
    <w:p w:rsidR="006E5D75" w:rsidRDefault="006E5D75" w:rsidP="006E5D75">
      <w:pPr>
        <w:jc w:val="both"/>
        <w:rPr>
          <w:rFonts w:ascii="Times New Roman" w:hAnsi="Times New Roman" w:cs="Times New Roman"/>
          <w:sz w:val="24"/>
          <w:szCs w:val="24"/>
        </w:rPr>
      </w:pPr>
      <w:r w:rsidRPr="002B0655">
        <w:rPr>
          <w:rFonts w:ascii="Times New Roman" w:hAnsi="Times New Roman" w:cs="Times New Roman"/>
          <w:b/>
          <w:noProof/>
          <w:sz w:val="24"/>
          <w:szCs w:val="24"/>
          <w:lang w:val="en-GB" w:eastAsia="zh-CN"/>
        </w:rPr>
        <w:drawing>
          <wp:inline distT="0" distB="0" distL="0" distR="0">
            <wp:extent cx="5731510" cy="2481580"/>
            <wp:effectExtent l="0" t="0" r="254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248158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Este cuadro permite destacar (reiterar) la importancia absoluta y relativa del sector tecnológico (de los EEUU, en particular) en cuanto a capitalización de mercado, número de compañías, incremento de la capitalización de mercado (2018 vs. 2009), variación del índice bursátil sectorial, y variación del índice de superación del mercado. </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A esta altura del análisis, si tuviera que elegir un país que se ha beneficiado de la globalización, diría que ha sido China, si tuviera que elegir un país cuyas empresas se han beneficiado de la globalización, diría que ha sido Estados Unidos, y si tengo que elegir un sector que se ha beneficiado de la globalización, diría que ha sido el sector tecnológico (principalmente de Estados Unidos)… Pero queda mucho por evaluar. Continuemos.</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cuanto a la distribución de utilidades a los accionistas (dividendos), en el siguiente cuadro (año 2018) se observa la alta participación de las empresas de los EEUU, que equivalen al 71,4 % de los dividendos repartidos por los Global Top 100, en el ejercicio 2017, cuando China, el segundo en la lista, solo alcanza el 9,9 % de los dividendos repartidos. </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Con respecto a la distribución utilidades por sector económico (año 2018), se confirma la importancia del sector tecnológico, que representa el 26,7 % del total de las utilidades distribuidas, siendo el sector financiero el segundo en importancia con un 22,1 %.</w:t>
      </w: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drawing>
          <wp:inline distT="0" distB="0" distL="0" distR="0">
            <wp:extent cx="5727699" cy="3803650"/>
            <wp:effectExtent l="0" t="0" r="6985" b="635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3806180"/>
                    </a:xfrm>
                    <a:prstGeom prst="rect">
                      <a:avLst/>
                    </a:prstGeom>
                  </pic:spPr>
                </pic:pic>
              </a:graphicData>
            </a:graphic>
          </wp:inline>
        </w:drawing>
      </w:r>
    </w:p>
    <w:p w:rsidR="006E5D75" w:rsidRDefault="006E5D75" w:rsidP="006E5D75">
      <w:pPr>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lastRenderedPageBreak/>
        <w:drawing>
          <wp:inline distT="0" distB="0" distL="0" distR="0">
            <wp:extent cx="5734049" cy="3975100"/>
            <wp:effectExtent l="0" t="0" r="635"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973340"/>
                    </a:xfrm>
                    <a:prstGeom prst="rect">
                      <a:avLst/>
                    </a:prstGeom>
                  </pic:spPr>
                </pic:pic>
              </a:graphicData>
            </a:graphic>
          </wp:inline>
        </w:drawing>
      </w:r>
    </w:p>
    <w:p w:rsidR="006E5D75" w:rsidRDefault="006E5D75" w:rsidP="006E5D75">
      <w:pPr>
        <w:jc w:val="both"/>
        <w:rPr>
          <w:rFonts w:ascii="Times New Roman" w:hAnsi="Times New Roman" w:cs="Times New Roman"/>
          <w:sz w:val="24"/>
          <w:szCs w:val="24"/>
        </w:rPr>
      </w:pPr>
    </w:p>
    <w:p w:rsidR="006E5D75" w:rsidRDefault="006E5D75" w:rsidP="006E5D75">
      <w:pPr>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drawing>
          <wp:inline distT="0" distB="0" distL="0" distR="0">
            <wp:extent cx="5731510" cy="4256405"/>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425640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Del cuadro anterior se puede destacar el gran salto adelante en la capitalización de las empresas (Global Top 100) durante el período 2009-2019. Cuando en el año 2009 había 73 compañías del Global Top 100 que tenían un valor de mercado por debajo de los $ 100 bn, para el año 2019 solo había 5 compañías del Global Top 100, cuyo valor de mercado estaba por debajo de los $ 100 bn.</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El valor de mercado promedio (de las empresas del Global Top 100) era de $ 84 bn, para el 31/3/2009, llegando a $ 210 bn de valor de mercado promedio, para el 31/3/2019.</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siguiente cuadro comparativo de capitalización de mercado de las Global Top 100 (2019 vs. 2009), vuelve a destacarse la amplia participación de las corporaciones de los Estados Unidos, pasando de $ 3.805 bn con 42 compañías, en el año 2009, a $ 13.292 bn con 54 compañías, en el año 2019. </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Siendo China, el segundo país en orden de importancia, con una pasando de $ 1.238 bn con 11 compañías, en el año 2009, a $ 3.197 bn con 15 compañías, en el año 2019.  </w:t>
      </w:r>
    </w:p>
    <w:p w:rsidR="006E5D75" w:rsidRDefault="006E5D75" w:rsidP="006E5D75">
      <w:pPr>
        <w:spacing w:line="240" w:lineRule="auto"/>
        <w:jc w:val="both"/>
        <w:rPr>
          <w:rFonts w:ascii="Times New Roman" w:hAnsi="Times New Roman" w:cs="Times New Roman"/>
          <w:sz w:val="24"/>
          <w:szCs w:val="24"/>
        </w:rPr>
      </w:pPr>
    </w:p>
    <w:p w:rsidR="006E5D75" w:rsidRDefault="006E5D75" w:rsidP="006E5D75">
      <w:pPr>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drawing>
          <wp:inline distT="0" distB="0" distL="0" distR="0">
            <wp:extent cx="5731510" cy="3810000"/>
            <wp:effectExtent l="0" t="0" r="254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3810000"/>
                    </a:xfrm>
                    <a:prstGeom prst="rect">
                      <a:avLst/>
                    </a:prstGeom>
                  </pic:spPr>
                </pic:pic>
              </a:graphicData>
            </a:graphic>
          </wp:inline>
        </w:drawing>
      </w:r>
    </w:p>
    <w:p w:rsidR="006E5D75" w:rsidRDefault="006E5D75" w:rsidP="006E5D75">
      <w:pPr>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lastRenderedPageBreak/>
        <w:drawing>
          <wp:inline distT="0" distB="0" distL="0" distR="0">
            <wp:extent cx="5731510" cy="3778250"/>
            <wp:effectExtent l="0" t="0" r="254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77825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En el cuadro anterior puede observarse el destacado incremento en el valor de mercado (capitalización) de las corporaciones de los EEUU (276 %, de crecimiento 2009-2019). Aunque hay otros países con un mayor margen de capitalización  bursátil (Irlanda, Corea del Sur, India, Bélgica, Dinamarca o Sudáfrica), ninguno tiene un volumen de mercado significativo. Ni siquiera la suma de todos los mercados representados en el Global Top 100 (incluyendo a China), alcanzan una magnitud comparable con el de los Estados Unidos.</w:t>
      </w:r>
    </w:p>
    <w:p w:rsidR="006E5D75" w:rsidRDefault="006E5D75" w:rsidP="006E5D75">
      <w:pPr>
        <w:spacing w:line="240" w:lineRule="auto"/>
        <w:jc w:val="both"/>
        <w:rPr>
          <w:rFonts w:ascii="Times New Roman" w:hAnsi="Times New Roman" w:cs="Times New Roman"/>
          <w:sz w:val="24"/>
          <w:szCs w:val="24"/>
        </w:rPr>
      </w:pPr>
      <w:r w:rsidRPr="0028715F">
        <w:rPr>
          <w:rFonts w:ascii="Times New Roman" w:hAnsi="Times New Roman" w:cs="Times New Roman"/>
          <w:noProof/>
          <w:sz w:val="24"/>
          <w:szCs w:val="24"/>
          <w:lang w:val="en-GB" w:eastAsia="zh-CN"/>
        </w:rPr>
        <w:drawing>
          <wp:inline distT="0" distB="0" distL="0" distR="0">
            <wp:extent cx="5734050" cy="2813050"/>
            <wp:effectExtent l="0" t="0" r="0" b="6350"/>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281180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El cuadro anterior confirma lo señalado hasta el momento: la amplia ventaja del sector tecnológico en el ranking de las 10 empresas con mayor capitalización de mercado del Global Top 100, en valores absolutos, en el período 2009-2019.</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Solo 3 de las 10 empresas no son del sector tecnológico (o con negocios vinculados con el sector). </w:t>
      </w:r>
    </w:p>
    <w:p w:rsidR="006E5D75" w:rsidRDefault="006E5D75" w:rsidP="006E5D75">
      <w:pPr>
        <w:spacing w:line="240" w:lineRule="auto"/>
        <w:jc w:val="both"/>
        <w:rPr>
          <w:rFonts w:ascii="Times New Roman" w:hAnsi="Times New Roman" w:cs="Times New Roman"/>
          <w:sz w:val="24"/>
          <w:szCs w:val="24"/>
        </w:rPr>
      </w:pPr>
      <w:r w:rsidRPr="00DA16C6">
        <w:rPr>
          <w:rFonts w:ascii="Times New Roman" w:hAnsi="Times New Roman" w:cs="Times New Roman"/>
          <w:b/>
          <w:noProof/>
          <w:sz w:val="24"/>
          <w:szCs w:val="24"/>
          <w:lang w:val="en-GB" w:eastAsia="zh-CN"/>
        </w:rPr>
        <w:drawing>
          <wp:inline distT="0" distB="0" distL="0" distR="0">
            <wp:extent cx="5734050" cy="2825750"/>
            <wp:effectExtent l="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282449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la comparación la hacemos en valores relativos, como porcentaje de crecimiento en el período (2009-2019), observamos que hay compañías tecnológicas que han alcanzado un incremento del 6.081 % en su valor de mercado (Netflix), seguida de Tencent, con un incremento del 3.187 %. La primera empresa industrial de la lista (DowDuPont) registra un incremento del 1.443 %, y la primera empresa financiera representada (Mastercard) alcanza un incremento del 1.015 %. El sector tecnológico saca ventaja también en cuanto a crecimiento relativo (% de incremento del valor de mercado) en el período 2009-2019. </w:t>
      </w:r>
    </w:p>
    <w:p w:rsidR="006E5D75" w:rsidRDefault="006E5D75" w:rsidP="006E5D75">
      <w:pPr>
        <w:spacing w:line="240" w:lineRule="auto"/>
        <w:jc w:val="both"/>
        <w:rPr>
          <w:rFonts w:ascii="Times New Roman" w:hAnsi="Times New Roman" w:cs="Times New Roman"/>
          <w:sz w:val="24"/>
          <w:szCs w:val="24"/>
        </w:rPr>
      </w:pPr>
      <w:r w:rsidRPr="00492C9F">
        <w:rPr>
          <w:rFonts w:ascii="Times New Roman" w:hAnsi="Times New Roman" w:cs="Times New Roman"/>
          <w:b/>
          <w:noProof/>
          <w:sz w:val="24"/>
          <w:szCs w:val="24"/>
          <w:lang w:val="en-GB" w:eastAsia="zh-CN"/>
        </w:rPr>
        <w:drawing>
          <wp:inline distT="0" distB="0" distL="0" distR="0">
            <wp:extent cx="5734049" cy="2844800"/>
            <wp:effectExtent l="0" t="0" r="635"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284354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cuadro anterior, destaca la importancia del sector tecnológico en comparación con los demás sectores en cuanto porcentaje de cambio en el valor de mercado, así como en la mejora en el índice de performance. Resulta interesante comprobar la “decadencia” de los sectores “Consumer Goods” y “Oil &amp; Gas”, cuyos índices de performance permanecen “underperformed” en el periodo analizado (2009-2019). Todo un símbolo de los nuevos tiempos. </w:t>
      </w:r>
    </w:p>
    <w:p w:rsidR="006E5D75" w:rsidRPr="002774AC" w:rsidRDefault="006E5D75" w:rsidP="006E5D75">
      <w:pPr>
        <w:spacing w:line="240" w:lineRule="auto"/>
        <w:jc w:val="both"/>
        <w:rPr>
          <w:rFonts w:ascii="Times New Roman" w:hAnsi="Times New Roman" w:cs="Times New Roman"/>
          <w:sz w:val="24"/>
          <w:szCs w:val="24"/>
        </w:rPr>
      </w:pPr>
      <w:r w:rsidRPr="00FE130B">
        <w:rPr>
          <w:rFonts w:ascii="Times New Roman" w:hAnsi="Times New Roman" w:cs="Times New Roman"/>
          <w:color w:val="FF0000"/>
          <w:sz w:val="24"/>
          <w:szCs w:val="24"/>
        </w:rPr>
        <w:lastRenderedPageBreak/>
        <w:t>Para aquellos interesados en los datos más recientes (al momento de realizar el estudio)</w:t>
      </w:r>
      <w:r>
        <w:rPr>
          <w:rFonts w:ascii="Times New Roman" w:hAnsi="Times New Roman" w:cs="Times New Roman"/>
          <w:sz w:val="24"/>
          <w:szCs w:val="24"/>
        </w:rPr>
        <w:t>, les dejo alguna información de referencia. A partir de ella, pueden ustedes, hacer más cálculos.</w:t>
      </w:r>
    </w:p>
    <w:p w:rsidR="006E5D75" w:rsidRDefault="006E5D75" w:rsidP="006E5D75">
      <w:pPr>
        <w:rPr>
          <w:rFonts w:ascii="Times New Roman" w:hAnsi="Times New Roman" w:cs="Times New Roman"/>
          <w:b/>
          <w:sz w:val="24"/>
          <w:szCs w:val="24"/>
        </w:rPr>
      </w:pPr>
      <w:r w:rsidRPr="00587670">
        <w:rPr>
          <w:rFonts w:ascii="Times New Roman" w:hAnsi="Times New Roman" w:cs="Times New Roman"/>
          <w:b/>
          <w:noProof/>
          <w:sz w:val="24"/>
          <w:szCs w:val="24"/>
          <w:lang w:val="en-GB" w:eastAsia="zh-CN"/>
        </w:rPr>
        <w:drawing>
          <wp:inline distT="0" distB="0" distL="0" distR="0">
            <wp:extent cx="2791215" cy="314369"/>
            <wp:effectExtent l="0" t="0" r="0" b="9525"/>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791215" cy="314369"/>
                    </a:xfrm>
                    <a:prstGeom prst="rect">
                      <a:avLst/>
                    </a:prstGeom>
                  </pic:spPr>
                </pic:pic>
              </a:graphicData>
            </a:graphic>
          </wp:inline>
        </w:drawing>
      </w:r>
      <w:r w:rsidRPr="00587670">
        <w:rPr>
          <w:rFonts w:ascii="Times New Roman" w:hAnsi="Times New Roman" w:cs="Times New Roman"/>
          <w:b/>
          <w:noProof/>
          <w:sz w:val="24"/>
          <w:szCs w:val="24"/>
          <w:lang w:val="en-GB" w:eastAsia="zh-CN"/>
        </w:rPr>
        <w:drawing>
          <wp:inline distT="0" distB="0" distL="0" distR="0">
            <wp:extent cx="1705213" cy="314369"/>
            <wp:effectExtent l="0" t="0" r="0" b="9525"/>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1705213" cy="314369"/>
                    </a:xfrm>
                    <a:prstGeom prst="rect">
                      <a:avLst/>
                    </a:prstGeom>
                  </pic:spPr>
                </pic:pic>
              </a:graphicData>
            </a:graphic>
          </wp:inline>
        </w:drawing>
      </w:r>
    </w:p>
    <w:p w:rsidR="006E5D75" w:rsidRDefault="006E5D75" w:rsidP="006E5D75">
      <w:pPr>
        <w:rPr>
          <w:rFonts w:ascii="Times New Roman" w:hAnsi="Times New Roman" w:cs="Times New Roman"/>
          <w:b/>
          <w:sz w:val="24"/>
          <w:szCs w:val="24"/>
        </w:rPr>
      </w:pPr>
      <w:r>
        <w:rPr>
          <w:rFonts w:ascii="Times New Roman" w:hAnsi="Times New Roman" w:cs="Times New Roman"/>
          <w:b/>
          <w:sz w:val="24"/>
          <w:szCs w:val="24"/>
        </w:rPr>
        <w:t>(Datos al 21/5/20)</w:t>
      </w:r>
    </w:p>
    <w:p w:rsidR="006E5D75" w:rsidRDefault="006E5D75" w:rsidP="006E5D75">
      <w:pPr>
        <w:rPr>
          <w:rFonts w:ascii="Times New Roman" w:hAnsi="Times New Roman" w:cs="Times New Roman"/>
          <w:b/>
          <w:sz w:val="24"/>
          <w:szCs w:val="24"/>
        </w:rPr>
      </w:pPr>
      <w:r w:rsidRPr="00587670">
        <w:rPr>
          <w:rFonts w:ascii="Times New Roman" w:hAnsi="Times New Roman" w:cs="Times New Roman"/>
          <w:b/>
          <w:noProof/>
          <w:sz w:val="24"/>
          <w:szCs w:val="24"/>
          <w:lang w:val="en-GB" w:eastAsia="zh-CN"/>
        </w:rPr>
        <w:drawing>
          <wp:inline distT="0" distB="0" distL="0" distR="0">
            <wp:extent cx="5728443" cy="2561664"/>
            <wp:effectExtent l="0" t="0" r="5715"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2563035"/>
                    </a:xfrm>
                    <a:prstGeom prst="rect">
                      <a:avLst/>
                    </a:prstGeom>
                  </pic:spPr>
                </pic:pic>
              </a:graphicData>
            </a:graphic>
          </wp:inline>
        </w:drawing>
      </w:r>
    </w:p>
    <w:p w:rsidR="006E5D75" w:rsidRDefault="006E5D75" w:rsidP="006E5D75">
      <w:pPr>
        <w:rPr>
          <w:noProof/>
          <w:lang w:eastAsia="es-ES"/>
        </w:rPr>
      </w:pPr>
      <w:r w:rsidRPr="00587670">
        <w:rPr>
          <w:rFonts w:ascii="Times New Roman" w:hAnsi="Times New Roman" w:cs="Times New Roman"/>
          <w:b/>
          <w:noProof/>
          <w:sz w:val="24"/>
          <w:szCs w:val="24"/>
          <w:lang w:val="en-GB" w:eastAsia="zh-CN"/>
        </w:rPr>
        <w:drawing>
          <wp:inline distT="0" distB="0" distL="0" distR="0">
            <wp:extent cx="2790265" cy="3684494"/>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2791928" cy="3686690"/>
                    </a:xfrm>
                    <a:prstGeom prst="rect">
                      <a:avLst/>
                    </a:prstGeom>
                  </pic:spPr>
                </pic:pic>
              </a:graphicData>
            </a:graphic>
          </wp:inline>
        </w:drawing>
      </w:r>
      <w:r w:rsidRPr="00587670">
        <w:rPr>
          <w:rFonts w:ascii="Times New Roman" w:hAnsi="Times New Roman" w:cs="Times New Roman"/>
          <w:b/>
          <w:noProof/>
          <w:sz w:val="24"/>
          <w:szCs w:val="24"/>
          <w:lang w:val="en-GB" w:eastAsia="zh-CN"/>
        </w:rPr>
        <w:drawing>
          <wp:inline distT="0" distB="0" distL="0" distR="0">
            <wp:extent cx="2810436" cy="3657600"/>
            <wp:effectExtent l="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810829" cy="3658111"/>
                    </a:xfrm>
                    <a:prstGeom prst="rect">
                      <a:avLst/>
                    </a:prstGeom>
                  </pic:spPr>
                </pic:pic>
              </a:graphicData>
            </a:graphic>
          </wp:inline>
        </w:drawing>
      </w:r>
    </w:p>
    <w:p w:rsidR="006E5D75" w:rsidRDefault="006E5D75" w:rsidP="006E5D75">
      <w:pPr>
        <w:rPr>
          <w:noProof/>
          <w:lang w:eastAsia="es-ES"/>
        </w:rPr>
      </w:pPr>
      <w:r>
        <w:rPr>
          <w:noProof/>
          <w:lang w:val="en-GB" w:eastAsia="zh-CN"/>
        </w:rPr>
        <w:lastRenderedPageBreak/>
        <w:drawing>
          <wp:inline distT="0" distB="0" distL="0" distR="0">
            <wp:extent cx="5727700" cy="8801100"/>
            <wp:effectExtent l="0" t="0" r="6350" b="0"/>
            <wp:docPr id="458" name="Imagen 458" descr="Inditex se cuela en la lista de las 100 empresas más grandes del mundo d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itex se cuela en la lista de las 100 empresas más grandes del mundo de 2019"/>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8806954"/>
                    </a:xfrm>
                    <a:prstGeom prst="rect">
                      <a:avLst/>
                    </a:prstGeom>
                    <a:noFill/>
                    <a:ln>
                      <a:noFill/>
                    </a:ln>
                  </pic:spPr>
                </pic:pic>
              </a:graphicData>
            </a:graphic>
          </wp:inline>
        </w:drawing>
      </w:r>
    </w:p>
    <w:p w:rsidR="006E5D75" w:rsidRDefault="006E5D75" w:rsidP="006E5D75">
      <w:pPr>
        <w:rPr>
          <w:noProof/>
          <w:lang w:eastAsia="es-ES"/>
        </w:rPr>
      </w:pPr>
      <w:r>
        <w:rPr>
          <w:noProof/>
          <w:lang w:val="en-GB" w:eastAsia="zh-CN"/>
        </w:rPr>
        <w:lastRenderedPageBreak/>
        <w:drawing>
          <wp:inline distT="0" distB="0" distL="0" distR="0">
            <wp:extent cx="5731510" cy="8014970"/>
            <wp:effectExtent l="0" t="0" r="2540" b="5080"/>
            <wp:docPr id="459" name="Imagen 459" descr="Inditex se cuela en la lista de las 100 empresas más grandes del mundo d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ditex se cuela en la lista de las 100 empresas más grandes del mundo de 2019"/>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8014970"/>
                    </a:xfrm>
                    <a:prstGeom prst="rect">
                      <a:avLst/>
                    </a:prstGeom>
                    <a:noFill/>
                    <a:ln>
                      <a:noFill/>
                    </a:ln>
                  </pic:spPr>
                </pic:pic>
              </a:graphicData>
            </a:graphic>
          </wp:inline>
        </w:drawing>
      </w:r>
    </w:p>
    <w:p w:rsidR="006E5D75" w:rsidRDefault="006E5D75" w:rsidP="006E5D75">
      <w:pPr>
        <w:rPr>
          <w:noProof/>
          <w:lang w:eastAsia="es-ES"/>
        </w:rPr>
      </w:pPr>
    </w:p>
    <w:p w:rsidR="006E5D75" w:rsidRPr="00304772" w:rsidRDefault="006E5D75" w:rsidP="006E5D75">
      <w:pPr>
        <w:rPr>
          <w:rFonts w:ascii="Times New Roman" w:hAnsi="Times New Roman" w:cs="Times New Roman"/>
          <w:b/>
          <w:sz w:val="24"/>
          <w:szCs w:val="24"/>
        </w:rPr>
      </w:pPr>
      <w:r w:rsidRPr="00587670">
        <w:rPr>
          <w:rFonts w:ascii="Times New Roman" w:hAnsi="Times New Roman" w:cs="Times New Roman"/>
          <w:b/>
          <w:noProof/>
          <w:sz w:val="24"/>
          <w:szCs w:val="24"/>
          <w:lang w:val="en-GB" w:eastAsia="zh-CN"/>
        </w:rPr>
        <w:lastRenderedPageBreak/>
        <w:drawing>
          <wp:inline distT="0" distB="0" distL="0" distR="0">
            <wp:extent cx="6223000" cy="2482850"/>
            <wp:effectExtent l="0" t="0" r="635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6223667" cy="2483116"/>
                    </a:xfrm>
                    <a:prstGeom prst="rect">
                      <a:avLst/>
                    </a:prstGeom>
                  </pic:spPr>
                </pic:pic>
              </a:graphicData>
            </a:graphic>
          </wp:inline>
        </w:drawing>
      </w:r>
      <w:r w:rsidRPr="000470ED">
        <w:rPr>
          <w:rFonts w:ascii="Times New Roman" w:hAnsi="Times New Roman" w:cs="Times New Roman"/>
          <w:sz w:val="24"/>
          <w:szCs w:val="24"/>
        </w:rPr>
        <w:t xml:space="preserve">(Fuente: Empresas por capitalización de mercado  -  Wikipedia - </w:t>
      </w:r>
      <w:r w:rsidRPr="00C13757">
        <w:rPr>
          <w:rFonts w:ascii="Times New Roman" w:hAnsi="Times New Roman" w:cs="Times New Roman"/>
          <w:b/>
          <w:sz w:val="24"/>
          <w:szCs w:val="24"/>
        </w:rPr>
        <w:t>22/5/20</w:t>
      </w:r>
      <w:r w:rsidRPr="000470ED">
        <w:rPr>
          <w:rFonts w:ascii="Times New Roman" w:hAnsi="Times New Roman" w:cs="Times New Roman"/>
          <w:sz w:val="24"/>
          <w:szCs w:val="24"/>
        </w:rPr>
        <w:t>)</w:t>
      </w:r>
    </w:p>
    <w:p w:rsidR="006E5D75" w:rsidRPr="00FB4B04" w:rsidRDefault="006E5D75" w:rsidP="006E5D75">
      <w:pPr>
        <w:spacing w:line="240" w:lineRule="auto"/>
        <w:jc w:val="both"/>
        <w:rPr>
          <w:rFonts w:ascii="Times New Roman" w:hAnsi="Times New Roman" w:cs="Times New Roman"/>
          <w:b/>
          <w:sz w:val="24"/>
          <w:szCs w:val="24"/>
        </w:rPr>
      </w:pPr>
      <w:r w:rsidRPr="00FB4B04">
        <w:rPr>
          <w:rFonts w:ascii="Times New Roman" w:hAnsi="Times New Roman" w:cs="Times New Roman"/>
          <w:b/>
          <w:sz w:val="24"/>
          <w:szCs w:val="24"/>
        </w:rPr>
        <w:t>Ahora, vamos a las prim</w:t>
      </w:r>
      <w:r>
        <w:rPr>
          <w:rFonts w:ascii="Times New Roman" w:hAnsi="Times New Roman" w:cs="Times New Roman"/>
          <w:b/>
          <w:sz w:val="24"/>
          <w:szCs w:val="24"/>
        </w:rPr>
        <w:t>eras radiografías del mercado en</w:t>
      </w:r>
      <w:r w:rsidRPr="00FB4B04">
        <w:rPr>
          <w:rFonts w:ascii="Times New Roman" w:hAnsi="Times New Roman" w:cs="Times New Roman"/>
          <w:b/>
          <w:sz w:val="24"/>
          <w:szCs w:val="24"/>
        </w:rPr>
        <w:t xml:space="preserve"> la cris</w:t>
      </w:r>
      <w:r>
        <w:rPr>
          <w:rFonts w:ascii="Times New Roman" w:hAnsi="Times New Roman" w:cs="Times New Roman"/>
          <w:b/>
          <w:sz w:val="24"/>
          <w:szCs w:val="24"/>
        </w:rPr>
        <w:t>is sanitaria (Covid-</w:t>
      </w:r>
      <w:r w:rsidRPr="00FB4B04">
        <w:rPr>
          <w:rFonts w:ascii="Times New Roman" w:hAnsi="Times New Roman" w:cs="Times New Roman"/>
          <w:b/>
          <w:sz w:val="24"/>
          <w:szCs w:val="24"/>
        </w:rPr>
        <w:t>19)</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25203" cy="2933700"/>
            <wp:effectExtent l="0" t="0" r="8890" b="0"/>
            <wp:docPr id="30" name="Imagen 30" descr="https://www.vozpopuli.com/2020/05/20/opinion/SP500-Earnings-Covid19-Riestra-Delgado_1356774416_15024957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ozpopuli.com/2020/05/20/opinion/SP500-Earnings-Covid19-Riestra-Delgado_1356774416_15024957_660x371.jpg"/>
                    <pic:cNvPicPr>
                      <a:picLocks noChangeAspect="1" noChangeArrowheads="1"/>
                    </pic:cNvPicPr>
                  </pic:nvPicPr>
                  <pic:blipFill>
                    <a:blip r:embed="rId2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36932"/>
                    </a:xfrm>
                    <a:prstGeom prst="rect">
                      <a:avLst/>
                    </a:prstGeom>
                    <a:noFill/>
                    <a:ln>
                      <a:noFill/>
                    </a:ln>
                  </pic:spPr>
                </pic:pic>
              </a:graphicData>
            </a:graphic>
          </wp:inline>
        </w:drawing>
      </w:r>
    </w:p>
    <w:p w:rsidR="006E5D75" w:rsidRDefault="006E5D75" w:rsidP="006E5D75">
      <w:pPr>
        <w:spacing w:line="240" w:lineRule="auto"/>
        <w:jc w:val="both"/>
      </w:pPr>
      <w:r>
        <w:rPr>
          <w:noProof/>
          <w:lang w:val="en-GB" w:eastAsia="zh-CN"/>
        </w:rPr>
        <w:drawing>
          <wp:inline distT="0" distB="0" distL="0" distR="0">
            <wp:extent cx="5727700" cy="2432050"/>
            <wp:effectExtent l="0" t="0" r="6350" b="6350"/>
            <wp:docPr id="31" name="Imagen 31" descr="https://www.vozpopuli.com/2020/05/20/opinion/Operating-Margin-Covid19-Riestra-Delgado_1356774417_15024997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ozpopuli.com/2020/05/20/opinion/Operating-Margin-Covid19-Riestra-Delgado_1356774417_15024997_660x371.jpg"/>
                    <pic:cNvPicPr>
                      <a:picLocks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5203" cy="2430990"/>
                    </a:xfrm>
                    <a:prstGeom prst="rect">
                      <a:avLst/>
                    </a:prstGeom>
                    <a:noFill/>
                    <a:ln>
                      <a:noFill/>
                    </a:ln>
                  </pic:spPr>
                </pic:pic>
              </a:graphicData>
            </a:graphic>
          </wp:inline>
        </w:drawing>
      </w:r>
    </w:p>
    <w:p w:rsidR="006E5D75" w:rsidRDefault="006E5D75" w:rsidP="006E5D75">
      <w:pPr>
        <w:spacing w:line="240" w:lineRule="auto"/>
        <w:jc w:val="both"/>
      </w:pPr>
      <w:r>
        <w:rPr>
          <w:noProof/>
          <w:lang w:val="en-GB" w:eastAsia="zh-CN"/>
        </w:rPr>
        <w:lastRenderedPageBreak/>
        <w:drawing>
          <wp:inline distT="0" distB="0" distL="0" distR="0">
            <wp:extent cx="5726136" cy="2209800"/>
            <wp:effectExtent l="0" t="0" r="8255" b="0"/>
            <wp:docPr id="32" name="Imagen 32" descr="https://www.vozpopuli.com/2020/05/20/opinion/Operating-Changes-Covid19-Riestra-Delgado_1356774418_15025042_660x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vozpopuli.com/2020/05/20/opinion/Operating-Changes-Covid19-Riestra-Delgado_1356774418_15025042_660x335.jpg"/>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11874"/>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4050" cy="2978150"/>
            <wp:effectExtent l="0" t="0" r="0" b="0"/>
            <wp:docPr id="33" name="Imagen 33" descr="https://www.vozpopuli.com/2020/05/20/opinion/SP500-Covid19-Luis-Riestra-Delgado_1356774419_1502507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vozpopuli.com/2020/05/20/opinion/SP500-Covid19-Luis-Riestra-Delgado_1356774419_15025078_660x371.jpg"/>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76831"/>
                    </a:xfrm>
                    <a:prstGeom prst="rect">
                      <a:avLst/>
                    </a:prstGeom>
                    <a:noFill/>
                    <a:ln>
                      <a:noFill/>
                    </a:ln>
                  </pic:spPr>
                </pic:pic>
              </a:graphicData>
            </a:graphic>
          </wp:inline>
        </w:drawing>
      </w:r>
    </w:p>
    <w:p w:rsidR="006E5D75" w:rsidRPr="00010E6C"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4050" cy="2692400"/>
            <wp:effectExtent l="0" t="0" r="0" b="0"/>
            <wp:docPr id="250" name="Imagen 250" descr="https://www.vozpopuli.com/2020/05/20/opinion/SP500-Earnings-Covid19-Riestra-Delgado_1356774420_1502511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vozpopuli.com/2020/05/20/opinion/SP500-Earnings-Covid19-Riestra-Delgado_1356774420_15025118_660x371.jpg"/>
                    <pic:cNvPicPr>
                      <a:picLocks noChangeAspect="1" noChangeArrowheads="1"/>
                    </pic:cNvPicPr>
                  </pic:nvPicPr>
                  <pic:blipFill>
                    <a:blip r:embed="rId2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91207"/>
                    </a:xfrm>
                    <a:prstGeom prst="rect">
                      <a:avLst/>
                    </a:prstGeom>
                    <a:noFill/>
                    <a:ln>
                      <a:noFill/>
                    </a:ln>
                  </pic:spPr>
                </pic:pic>
              </a:graphicData>
            </a:graphic>
          </wp:inline>
        </w:drawing>
      </w:r>
    </w:p>
    <w:p w:rsidR="006E5D75" w:rsidRPr="00D2333E" w:rsidRDefault="006E5D75" w:rsidP="006E5D75">
      <w:pPr>
        <w:spacing w:line="240" w:lineRule="auto"/>
        <w:jc w:val="both"/>
        <w:rPr>
          <w:rFonts w:ascii="Times New Roman" w:hAnsi="Times New Roman" w:cs="Times New Roman"/>
          <w:sz w:val="24"/>
          <w:szCs w:val="24"/>
        </w:rPr>
      </w:pPr>
      <w:r w:rsidRPr="00D2333E">
        <w:rPr>
          <w:rFonts w:ascii="Times New Roman" w:hAnsi="Times New Roman" w:cs="Times New Roman"/>
          <w:sz w:val="24"/>
          <w:szCs w:val="24"/>
        </w:rPr>
        <w:t xml:space="preserve">Los dos cuadros anteriores presentan una panorámica histórica más amplia, que permiten analizar la evolución del S &amp; P 500 en un período largo, así como el impacto de varias crisis. </w:t>
      </w:r>
    </w:p>
    <w:p w:rsidR="006E5D75" w:rsidRPr="00FB4B04" w:rsidRDefault="006E5D75" w:rsidP="006E5D75">
      <w:pPr>
        <w:spacing w:line="240" w:lineRule="auto"/>
        <w:jc w:val="both"/>
        <w:rPr>
          <w:rFonts w:ascii="Times New Roman" w:hAnsi="Times New Roman" w:cs="Times New Roman"/>
          <w:sz w:val="24"/>
          <w:szCs w:val="24"/>
        </w:rPr>
      </w:pPr>
      <w:r w:rsidRPr="00FB4B04">
        <w:rPr>
          <w:rFonts w:ascii="Times New Roman" w:hAnsi="Times New Roman" w:cs="Times New Roman"/>
          <w:b/>
          <w:sz w:val="24"/>
          <w:szCs w:val="24"/>
        </w:rPr>
        <w:lastRenderedPageBreak/>
        <w:t>Una “passeggiata” por Wall Street (con la “intercesión” de San Google): Mayo 2020</w:t>
      </w:r>
    </w:p>
    <w:p w:rsidR="006E5D75" w:rsidRDefault="006E5D75" w:rsidP="006E5D75">
      <w:pPr>
        <w:spacing w:line="240" w:lineRule="auto"/>
        <w:jc w:val="both"/>
        <w:rPr>
          <w:rFonts w:ascii="Times New Roman" w:hAnsi="Times New Roman" w:cs="Times New Roman"/>
          <w:b/>
          <w:color w:val="FF0000"/>
          <w:sz w:val="24"/>
          <w:szCs w:val="24"/>
          <w:lang w:val="en-US"/>
        </w:rPr>
      </w:pPr>
      <w:r>
        <w:rPr>
          <w:noProof/>
          <w:lang w:val="en-GB" w:eastAsia="zh-CN"/>
        </w:rPr>
        <w:drawing>
          <wp:inline distT="0" distB="0" distL="0" distR="0">
            <wp:extent cx="5734050" cy="2355850"/>
            <wp:effectExtent l="0" t="0" r="0" b="6350"/>
            <wp:docPr id="448" name="Imagen 448" descr="Evolución histórica del 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histórica del S&amp;P 500"/>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54806"/>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lang w:val="en-US"/>
        </w:rPr>
      </w:pPr>
      <w:r>
        <w:rPr>
          <w:noProof/>
          <w:lang w:val="en-GB" w:eastAsia="zh-CN"/>
        </w:rPr>
        <w:drawing>
          <wp:inline distT="0" distB="0" distL="0" distR="0">
            <wp:extent cx="5726780" cy="2850777"/>
            <wp:effectExtent l="0" t="0" r="7620" b="6985"/>
            <wp:docPr id="449" name="Imagen 449" descr="Evolución histórica del SP 500 desde 196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volución histórica del SP 500 desde 1964-2016"/>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53132"/>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lang w:val="en-US"/>
        </w:rPr>
      </w:pPr>
      <w:r>
        <w:rPr>
          <w:noProof/>
          <w:lang w:val="en-GB" w:eastAsia="zh-CN"/>
        </w:rPr>
        <w:drawing>
          <wp:inline distT="0" distB="0" distL="0" distR="0">
            <wp:extent cx="5726429" cy="2756647"/>
            <wp:effectExtent l="0" t="0" r="8255" b="5715"/>
            <wp:docPr id="450" name="Imagen 450" descr="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mp;P 500"/>
                    <pic:cNvPicPr>
                      <a:picLocks noChangeAspect="1" noChangeArrowheads="1"/>
                    </pic:cNvPicPr>
                  </pic:nvPicPr>
                  <pic:blipFill>
                    <a:blip r:embed="rId2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59093"/>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Pr>
          <w:noProof/>
          <w:lang w:val="en-GB" w:eastAsia="zh-CN"/>
        </w:rPr>
        <w:lastRenderedPageBreak/>
        <w:drawing>
          <wp:inline distT="0" distB="0" distL="0" distR="0">
            <wp:extent cx="5735169" cy="2480982"/>
            <wp:effectExtent l="0" t="0" r="0" b="0"/>
            <wp:docPr id="451" name="Imagen 451" descr="El S&amp;P 500 bate récord en resultados gracias a la reforma fisc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S&amp;P 500 bate récord en resultados gracias a la reforma fiscal ..."/>
                    <pic:cNvPicPr>
                      <a:picLocks noChangeAspect="1" noChangeArrowheads="1"/>
                    </pic:cNvPicPr>
                  </pic:nvPicPr>
                  <pic:blipFill>
                    <a:blip r:embed="rId2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79399"/>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Pr>
          <w:noProof/>
          <w:lang w:val="en-GB" w:eastAsia="zh-CN"/>
        </w:rPr>
        <w:drawing>
          <wp:inline distT="0" distB="0" distL="0" distR="0">
            <wp:extent cx="5728447" cy="3771900"/>
            <wp:effectExtent l="0" t="0" r="5715" b="0"/>
            <wp:docPr id="452" name="Imagen 452" descr="El S&amp;P 500 lleva una década subiendo al 17,5% anual, y este 201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l S&amp;P 500 lleva una década subiendo al 17,5% anual, y este 2019 ..."/>
                    <pic:cNvPicPr>
                      <a:picLocks noChangeAspect="1" noChangeArrowheads="1"/>
                    </pic:cNvPicPr>
                  </pic:nvPicPr>
                  <pic:blipFill>
                    <a:blip r:embed="rId2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73917"/>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S&amp;P 500 (El Economista - </w:t>
      </w:r>
      <w:r w:rsidRPr="001B4ACC">
        <w:rPr>
          <w:rFonts w:ascii="Times New Roman" w:hAnsi="Times New Roman" w:cs="Times New Roman"/>
          <w:b/>
          <w:sz w:val="24"/>
          <w:szCs w:val="24"/>
          <w:lang w:val="en-US"/>
        </w:rPr>
        <w:t>23/5/20</w:t>
      </w:r>
      <w:r>
        <w:rPr>
          <w:rFonts w:ascii="Times New Roman" w:hAnsi="Times New Roman" w:cs="Times New Roman"/>
          <w:sz w:val="24"/>
          <w:szCs w:val="24"/>
          <w:lang w:val="en-US"/>
        </w:rPr>
        <w:t>)</w:t>
      </w:r>
    </w:p>
    <w:p w:rsidR="006E5D75" w:rsidRDefault="006E5D75" w:rsidP="006E5D75">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val="en-GB" w:eastAsia="zh-CN"/>
        </w:rPr>
        <w:drawing>
          <wp:inline distT="0" distB="0" distL="0" distR="0">
            <wp:extent cx="5721060" cy="1969994"/>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721060" cy="196999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6F489F">
        <w:rPr>
          <w:rFonts w:ascii="Times New Roman" w:hAnsi="Times New Roman" w:cs="Times New Roman"/>
          <w:noProof/>
          <w:sz w:val="24"/>
          <w:szCs w:val="24"/>
          <w:lang w:val="en-GB" w:eastAsia="zh-CN"/>
        </w:rPr>
        <w:lastRenderedPageBreak/>
        <w:drawing>
          <wp:inline distT="0" distB="0" distL="0" distR="0">
            <wp:extent cx="5727699" cy="2787650"/>
            <wp:effectExtent l="0" t="0" r="6985"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31510" cy="278950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val="en-GB" w:eastAsia="zh-CN"/>
        </w:rPr>
        <w:drawing>
          <wp:inline distT="0" distB="0" distL="0" distR="0">
            <wp:extent cx="5730203" cy="2749550"/>
            <wp:effectExtent l="0" t="0" r="4445"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275017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EURO STOXX 50®</w:t>
      </w:r>
    </w:p>
    <w:p w:rsidR="006E5D75" w:rsidRDefault="006E5D75" w:rsidP="006E5D75">
      <w:pPr>
        <w:spacing w:line="240" w:lineRule="auto"/>
        <w:jc w:val="both"/>
        <w:rPr>
          <w:rFonts w:ascii="Times New Roman" w:hAnsi="Times New Roman" w:cs="Times New Roman"/>
          <w:noProof/>
          <w:sz w:val="24"/>
          <w:szCs w:val="24"/>
          <w:shd w:val="clear" w:color="auto" w:fill="FFFFFF"/>
          <w:lang w:eastAsia="es-ES"/>
        </w:rPr>
        <w:sectPr w:rsidR="006E5D75" w:rsidSect="006E5D75">
          <w:pgSz w:w="11906" w:h="16838"/>
          <w:pgMar w:top="1440" w:right="1440" w:bottom="1440" w:left="1440" w:header="709" w:footer="709" w:gutter="0"/>
          <w:cols w:space="708"/>
          <w:docGrid w:linePitch="360"/>
        </w:sectPr>
      </w:pPr>
      <w:r>
        <w:rPr>
          <w:rFonts w:ascii="Times New Roman" w:hAnsi="Times New Roman" w:cs="Times New Roman"/>
          <w:noProof/>
          <w:sz w:val="24"/>
          <w:szCs w:val="24"/>
          <w:shd w:val="clear" w:color="auto" w:fill="FFFFFF"/>
          <w:lang w:eastAsia="es-ES"/>
        </w:rPr>
        <w:t>n</w:t>
      </w:r>
      <w:r w:rsidRPr="00DD5436">
        <w:rPr>
          <w:rFonts w:ascii="Times New Roman" w:hAnsi="Times New Roman" w:cs="Times New Roman"/>
          <w:noProof/>
          <w:sz w:val="24"/>
          <w:szCs w:val="24"/>
          <w:shd w:val="clear" w:color="auto" w:fill="FFFFFF"/>
          <w:lang w:val="en-GB" w:eastAsia="zh-CN"/>
        </w:rPr>
        <w:drawing>
          <wp:inline distT="0" distB="0" distL="0" distR="0">
            <wp:extent cx="5731510" cy="2445385"/>
            <wp:effectExtent l="0" t="0" r="2540" b="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2445385"/>
                    </a:xfrm>
                    <a:prstGeom prst="rect">
                      <a:avLst/>
                    </a:prstGeom>
                  </pic:spPr>
                </pic:pic>
              </a:graphicData>
            </a:graphic>
          </wp:inline>
        </w:drawing>
      </w:r>
    </w:p>
    <w:p w:rsidR="006E5D75" w:rsidRPr="00797BBF"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Cálculo </w:t>
      </w:r>
      <w:r w:rsidRPr="00797BBF">
        <w:rPr>
          <w:rFonts w:ascii="Times New Roman" w:hAnsi="Times New Roman" w:cs="Times New Roman"/>
          <w:b/>
          <w:sz w:val="24"/>
          <w:szCs w:val="24"/>
          <w:shd w:val="clear" w:color="auto" w:fill="FFFFFF"/>
        </w:rPr>
        <w:t>de las “pérdidas</w:t>
      </w:r>
      <w:r>
        <w:rPr>
          <w:rFonts w:ascii="Times New Roman" w:hAnsi="Times New Roman" w:cs="Times New Roman"/>
          <w:b/>
          <w:sz w:val="24"/>
          <w:szCs w:val="24"/>
          <w:shd w:val="clear" w:color="auto" w:fill="FFFFFF"/>
        </w:rPr>
        <w:t>” (o perdedores) en el proceso de</w:t>
      </w:r>
      <w:r w:rsidRPr="00797BBF">
        <w:rPr>
          <w:rFonts w:ascii="Times New Roman" w:hAnsi="Times New Roman" w:cs="Times New Roman"/>
          <w:b/>
          <w:sz w:val="24"/>
          <w:szCs w:val="24"/>
          <w:shd w:val="clear" w:color="auto" w:fill="FFFFFF"/>
        </w:rPr>
        <w:t xml:space="preserve"> globalización</w:t>
      </w:r>
    </w:p>
    <w:p w:rsidR="006E5D75" w:rsidRPr="002F06AB" w:rsidRDefault="006E5D75" w:rsidP="006E5D75">
      <w:pPr>
        <w:spacing w:line="240" w:lineRule="auto"/>
        <w:jc w:val="both"/>
        <w:rPr>
          <w:rFonts w:ascii="Times New Roman" w:hAnsi="Times New Roman" w:cs="Times New Roman"/>
          <w:color w:val="FF0000"/>
          <w:sz w:val="24"/>
          <w:szCs w:val="24"/>
          <w:shd w:val="clear" w:color="auto" w:fill="FFFFFF"/>
        </w:rPr>
      </w:pPr>
      <w:r w:rsidRPr="00F40786">
        <w:rPr>
          <w:rFonts w:ascii="Times New Roman" w:hAnsi="Times New Roman" w:cs="Times New Roman"/>
          <w:b/>
          <w:color w:val="FF0000"/>
          <w:sz w:val="24"/>
          <w:szCs w:val="24"/>
          <w:shd w:val="clear" w:color="auto" w:fill="FFFFFF"/>
        </w:rPr>
        <w:t>(-) Aumento de las importaciones dura</w:t>
      </w:r>
      <w:r>
        <w:rPr>
          <w:rFonts w:ascii="Times New Roman" w:hAnsi="Times New Roman" w:cs="Times New Roman"/>
          <w:b/>
          <w:color w:val="FF0000"/>
          <w:sz w:val="24"/>
          <w:szCs w:val="24"/>
          <w:shd w:val="clear" w:color="auto" w:fill="FFFFFF"/>
        </w:rPr>
        <w:t>nte el proceso de globalización</w:t>
      </w:r>
    </w:p>
    <w:p w:rsidR="006E5D75" w:rsidRDefault="006E5D75" w:rsidP="006E5D75">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val="en-GB" w:eastAsia="zh-CN"/>
        </w:rPr>
        <w:drawing>
          <wp:inline distT="0" distB="0" distL="0" distR="0">
            <wp:extent cx="7461250" cy="1930400"/>
            <wp:effectExtent l="0" t="0" r="635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7476385" cy="193431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405,4 miles de millones de dólares; Año 2018, 2.830,8 miles de millones de dólares; Var. 598 %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829,2 miles de millones de dólares; Año 2018, 1.832,3 miles de millones de dólares; Var. 121 %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1.829,4 miles de millones de dólares; Año 2018, 4.874,0 miles de millones de dólares; Var. 166 %</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9C40A4" w:rsidRDefault="006E5D75" w:rsidP="006E5D75">
      <w:pPr>
        <w:spacing w:line="240" w:lineRule="auto"/>
        <w:jc w:val="both"/>
        <w:rPr>
          <w:rFonts w:ascii="Times New Roman" w:eastAsia="Times New Roman" w:hAnsi="Times New Roman" w:cs="Times New Roman"/>
          <w:b/>
          <w:bCs/>
          <w:color w:val="111111"/>
          <w:kern w:val="36"/>
          <w:sz w:val="24"/>
          <w:szCs w:val="24"/>
          <w:lang w:eastAsia="es-ES"/>
        </w:rPr>
      </w:pPr>
    </w:p>
    <w:p w:rsidR="006E5D75" w:rsidRPr="00F40786" w:rsidRDefault="006E5D75" w:rsidP="006E5D75">
      <w:pPr>
        <w:spacing w:line="240" w:lineRule="auto"/>
        <w:jc w:val="both"/>
        <w:rPr>
          <w:rFonts w:ascii="Times New Roman" w:hAnsi="Times New Roman" w:cs="Times New Roman"/>
          <w:b/>
          <w:sz w:val="24"/>
          <w:szCs w:val="24"/>
          <w:lang w:val="en-US"/>
        </w:rPr>
      </w:pPr>
      <w:r w:rsidRPr="00105A2A">
        <w:rPr>
          <w:rFonts w:ascii="Times New Roman" w:eastAsia="Times New Roman" w:hAnsi="Times New Roman" w:cs="Times New Roman"/>
          <w:b/>
          <w:bCs/>
          <w:color w:val="111111"/>
          <w:kern w:val="36"/>
          <w:sz w:val="24"/>
          <w:szCs w:val="24"/>
          <w:lang w:val="en-US" w:eastAsia="es-ES"/>
        </w:rPr>
        <w:lastRenderedPageBreak/>
        <w:t>Global value chains and trade</w:t>
      </w:r>
      <w:r>
        <w:rPr>
          <w:rFonts w:ascii="Times New Roman" w:eastAsia="Times New Roman" w:hAnsi="Times New Roman" w:cs="Times New Roman"/>
          <w:b/>
          <w:bCs/>
          <w:color w:val="111111"/>
          <w:kern w:val="36"/>
          <w:sz w:val="24"/>
          <w:szCs w:val="24"/>
          <w:lang w:val="en-US" w:eastAsia="es-ES"/>
        </w:rPr>
        <w:t xml:space="preserve"> (</w:t>
      </w:r>
      <w:r w:rsidRPr="00F40786">
        <w:rPr>
          <w:rFonts w:ascii="Times New Roman" w:hAnsi="Times New Roman" w:cs="Times New Roman"/>
          <w:b/>
          <w:sz w:val="24"/>
          <w:szCs w:val="24"/>
          <w:lang w:val="en-US"/>
        </w:rPr>
        <w:t>OECD Economic Surveys: China 2019</w:t>
      </w:r>
      <w:r>
        <w:rPr>
          <w:rFonts w:ascii="Times New Roman" w:hAnsi="Times New Roman" w:cs="Times New Roman"/>
          <w:b/>
          <w:sz w:val="24"/>
          <w:szCs w:val="24"/>
          <w:lang w:val="en-US"/>
        </w:rPr>
        <w:t>)</w:t>
      </w:r>
    </w:p>
    <w:p w:rsidR="006E5D75" w:rsidRDefault="006E5D75" w:rsidP="006E5D75">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val="en-GB" w:eastAsia="zh-CN"/>
        </w:rPr>
        <w:drawing>
          <wp:inline distT="0" distB="0" distL="0" distR="0">
            <wp:extent cx="7799294" cy="1438836"/>
            <wp:effectExtent l="0" t="0" r="0" b="9525"/>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829649" cy="1444436"/>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188259"/>
            <wp:effectExtent l="0" t="0" r="0" b="254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799294" cy="188259"/>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201706"/>
            <wp:effectExtent l="0" t="0" r="0" b="8255"/>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799294" cy="201706"/>
                    </a:xfrm>
                    <a:prstGeom prst="rect">
                      <a:avLst/>
                    </a:prstGeom>
                  </pic:spPr>
                </pic:pic>
              </a:graphicData>
            </a:graphic>
          </wp:inline>
        </w:drawing>
      </w:r>
      <w:r w:rsidRPr="00026A23">
        <w:rPr>
          <w:rFonts w:ascii="Times New Roman" w:hAnsi="Times New Roman" w:cs="Times New Roman"/>
          <w:noProof/>
          <w:sz w:val="24"/>
          <w:szCs w:val="24"/>
          <w:lang w:val="en-GB" w:eastAsia="zh-CN"/>
        </w:rPr>
        <w:drawing>
          <wp:inline distT="0" distB="0" distL="0" distR="0">
            <wp:extent cx="7799294" cy="853888"/>
            <wp:effectExtent l="0" t="0" r="0" b="381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799303" cy="853889"/>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val="en-GB" w:eastAsia="zh-CN"/>
        </w:rPr>
        <w:drawing>
          <wp:inline distT="0" distB="0" distL="0" distR="0">
            <wp:extent cx="7745506" cy="1371600"/>
            <wp:effectExtent l="0" t="0" r="8255" b="0"/>
            <wp:docPr id="460" name="Imagen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7759336" cy="1374049"/>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181536"/>
            <wp:effectExtent l="0" t="0" r="0" b="9525"/>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745506" cy="181536"/>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168088"/>
            <wp:effectExtent l="0" t="0" r="0" b="381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888280" cy="171186"/>
                    </a:xfrm>
                    <a:prstGeom prst="rect">
                      <a:avLst/>
                    </a:prstGeom>
                  </pic:spPr>
                </pic:pic>
              </a:graphicData>
            </a:graphic>
          </wp:inline>
        </w:drawing>
      </w:r>
      <w:r w:rsidRPr="002944EB">
        <w:rPr>
          <w:rFonts w:ascii="Times New Roman" w:hAnsi="Times New Roman" w:cs="Times New Roman"/>
          <w:noProof/>
          <w:sz w:val="24"/>
          <w:szCs w:val="24"/>
          <w:lang w:val="en-GB" w:eastAsia="zh-CN"/>
        </w:rPr>
        <w:drawing>
          <wp:inline distT="0" distB="0" distL="0" distR="0">
            <wp:extent cx="7745506" cy="853888"/>
            <wp:effectExtent l="0" t="0" r="0" b="381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745506" cy="85388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val="en-GB" w:eastAsia="zh-CN"/>
        </w:rPr>
        <w:lastRenderedPageBreak/>
        <w:drawing>
          <wp:inline distT="0" distB="0" distL="0" distR="0">
            <wp:extent cx="7469841" cy="1202690"/>
            <wp:effectExtent l="0" t="0" r="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7469841" cy="1202690"/>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469841" cy="141194"/>
            <wp:effectExtent l="0" t="0" r="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7609113" cy="143827"/>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469841" cy="692523"/>
            <wp:effectExtent l="0" t="0" r="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7469841" cy="69252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val="en-GB" w:eastAsia="zh-CN"/>
        </w:rPr>
        <w:drawing>
          <wp:inline distT="0" distB="0" distL="0" distR="0">
            <wp:extent cx="7510182" cy="1391771"/>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7510182" cy="1391771"/>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550524" cy="168088"/>
            <wp:effectExtent l="0" t="0" r="0" b="381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7550524" cy="168088"/>
                    </a:xfrm>
                    <a:prstGeom prst="rect">
                      <a:avLst/>
                    </a:prstGeom>
                  </pic:spPr>
                </pic:pic>
              </a:graphicData>
            </a:graphic>
          </wp:inline>
        </w:drawing>
      </w:r>
      <w:r w:rsidRPr="003C399C">
        <w:rPr>
          <w:rFonts w:ascii="Times New Roman" w:hAnsi="Times New Roman" w:cs="Times New Roman"/>
          <w:noProof/>
          <w:sz w:val="24"/>
          <w:szCs w:val="24"/>
          <w:lang w:val="en-GB" w:eastAsia="zh-CN"/>
        </w:rPr>
        <w:drawing>
          <wp:inline distT="0" distB="0" distL="0" distR="0">
            <wp:extent cx="7550524" cy="679077"/>
            <wp:effectExtent l="0" t="0" r="0" b="6985"/>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50524" cy="67907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val="en-GB" w:eastAsia="zh-CN"/>
        </w:rPr>
        <w:lastRenderedPageBreak/>
        <w:drawing>
          <wp:inline distT="0" distB="0" distL="0" distR="0">
            <wp:extent cx="7873253" cy="1539688"/>
            <wp:effectExtent l="0" t="0" r="0" b="381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888923" cy="1542752"/>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147917"/>
            <wp:effectExtent l="0" t="0" r="0" b="508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972922" cy="149790"/>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194982"/>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7873253" cy="194982"/>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873253" cy="813547"/>
            <wp:effectExtent l="0" t="0" r="0" b="571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7873253" cy="81354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val="en-GB" w:eastAsia="zh-CN"/>
        </w:rPr>
        <w:drawing>
          <wp:inline distT="0" distB="0" distL="0" distR="0">
            <wp:extent cx="7698441" cy="1385047"/>
            <wp:effectExtent l="0" t="0" r="0" b="571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7715896" cy="1388187"/>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698441" cy="188259"/>
            <wp:effectExtent l="0" t="0" r="0" b="254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7698441" cy="188259"/>
                    </a:xfrm>
                    <a:prstGeom prst="rect">
                      <a:avLst/>
                    </a:prstGeom>
                  </pic:spPr>
                </pic:pic>
              </a:graphicData>
            </a:graphic>
          </wp:inline>
        </w:drawing>
      </w:r>
      <w:r w:rsidRPr="00002DC7">
        <w:rPr>
          <w:rFonts w:ascii="Times New Roman" w:hAnsi="Times New Roman" w:cs="Times New Roman"/>
          <w:noProof/>
          <w:sz w:val="24"/>
          <w:szCs w:val="24"/>
          <w:lang w:val="en-GB" w:eastAsia="zh-CN"/>
        </w:rPr>
        <w:drawing>
          <wp:inline distT="0" distB="0" distL="0" distR="0">
            <wp:extent cx="7698435" cy="161365"/>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7733434" cy="162099"/>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698431" cy="806824"/>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7698441" cy="80682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val="en-GB" w:eastAsia="zh-CN"/>
        </w:rPr>
        <w:lastRenderedPageBreak/>
        <w:drawing>
          <wp:inline distT="0" distB="0" distL="0" distR="0">
            <wp:extent cx="7738782" cy="1398494"/>
            <wp:effectExtent l="0" t="0" r="0"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7741565" cy="1398997"/>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82" cy="154641"/>
            <wp:effectExtent l="0" t="0" r="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7738782" cy="154641"/>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67" cy="168088"/>
            <wp:effectExtent l="0" t="0" r="0" b="381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7954748" cy="172779"/>
                    </a:xfrm>
                    <a:prstGeom prst="rect">
                      <a:avLst/>
                    </a:prstGeom>
                  </pic:spPr>
                </pic:pic>
              </a:graphicData>
            </a:graphic>
          </wp:inline>
        </w:drawing>
      </w:r>
      <w:r w:rsidRPr="00866F5A">
        <w:rPr>
          <w:rFonts w:ascii="Times New Roman" w:hAnsi="Times New Roman" w:cs="Times New Roman"/>
          <w:noProof/>
          <w:sz w:val="24"/>
          <w:szCs w:val="24"/>
          <w:lang w:val="en-GB" w:eastAsia="zh-CN"/>
        </w:rPr>
        <w:drawing>
          <wp:inline distT="0" distB="0" distL="0" distR="0">
            <wp:extent cx="7738782" cy="786653"/>
            <wp:effectExtent l="0" t="0" r="0"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7738782" cy="78665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pPr>
    </w:p>
    <w:p w:rsidR="006E5D75" w:rsidRDefault="006E5D75" w:rsidP="006E5D75">
      <w:pPr>
        <w:spacing w:line="240" w:lineRule="auto"/>
        <w:jc w:val="both"/>
        <w:rPr>
          <w:rFonts w:ascii="Times New Roman" w:hAnsi="Times New Roman" w:cs="Times New Roman"/>
          <w:sz w:val="24"/>
          <w:szCs w:val="24"/>
          <w:lang w:val="en-US"/>
        </w:rPr>
      </w:pPr>
      <w:r w:rsidRPr="00E0630D">
        <w:rPr>
          <w:rFonts w:ascii="Times New Roman" w:hAnsi="Times New Roman" w:cs="Times New Roman"/>
          <w:b/>
          <w:noProof/>
          <w:sz w:val="24"/>
          <w:szCs w:val="24"/>
          <w:lang w:val="en-GB" w:eastAsia="zh-CN"/>
        </w:rPr>
        <w:drawing>
          <wp:inline distT="0" distB="0" distL="0" distR="0">
            <wp:extent cx="7543800" cy="2336800"/>
            <wp:effectExtent l="0" t="0" r="0" b="635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7553725" cy="233987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lang w:val="en-US"/>
        </w:rPr>
        <w:sectPr w:rsidR="006E5D75" w:rsidSect="006E5D75">
          <w:pgSz w:w="16838" w:h="11906" w:orient="landscape"/>
          <w:pgMar w:top="1440" w:right="1440" w:bottom="1440" w:left="1440" w:header="709" w:footer="709" w:gutter="0"/>
          <w:cols w:space="708"/>
          <w:docGrid w:linePitch="360"/>
        </w:sectPr>
      </w:pPr>
    </w:p>
    <w:p w:rsidR="006E5D75" w:rsidRDefault="006E5D75" w:rsidP="006E5D75">
      <w:pPr>
        <w:spacing w:line="240" w:lineRule="auto"/>
        <w:jc w:val="both"/>
        <w:rPr>
          <w:rFonts w:ascii="Times New Roman" w:hAnsi="Times New Roman" w:cs="Times New Roman"/>
          <w:b/>
          <w:sz w:val="24"/>
          <w:szCs w:val="24"/>
          <w:lang w:val="en-US"/>
        </w:rPr>
      </w:pPr>
      <w:r w:rsidRPr="00D062A9">
        <w:rPr>
          <w:rFonts w:ascii="Times New Roman" w:hAnsi="Times New Roman" w:cs="Times New Roman"/>
          <w:b/>
          <w:sz w:val="24"/>
          <w:szCs w:val="24"/>
          <w:lang w:val="en-US"/>
        </w:rPr>
        <w:lastRenderedPageBreak/>
        <w:t>The Trade in Value Added (TiVA)</w:t>
      </w:r>
      <w:r>
        <w:rPr>
          <w:rFonts w:ascii="Times New Roman" w:hAnsi="Times New Roman" w:cs="Times New Roman"/>
          <w:b/>
          <w:sz w:val="24"/>
          <w:szCs w:val="24"/>
          <w:lang w:val="en-US"/>
        </w:rPr>
        <w:t xml:space="preserve"> - Principal Indicators</w:t>
      </w:r>
    </w:p>
    <w:p w:rsidR="006E5D75" w:rsidRPr="00FE130B" w:rsidRDefault="006E5D75" w:rsidP="006E5D75">
      <w:pPr>
        <w:spacing w:line="240" w:lineRule="auto"/>
        <w:jc w:val="both"/>
        <w:rPr>
          <w:rFonts w:ascii="Times New Roman" w:hAnsi="Times New Roman" w:cs="Times New Roman"/>
          <w:color w:val="FF0000"/>
          <w:sz w:val="24"/>
          <w:szCs w:val="24"/>
          <w:shd w:val="clear" w:color="auto" w:fill="FFFFFF"/>
        </w:rPr>
      </w:pPr>
      <w:r w:rsidRPr="00FE130B">
        <w:rPr>
          <w:rFonts w:ascii="Times New Roman" w:hAnsi="Times New Roman" w:cs="Times New Roman"/>
          <w:b/>
          <w:color w:val="FF0000"/>
          <w:sz w:val="24"/>
          <w:szCs w:val="24"/>
        </w:rPr>
        <w:t>Gross imports</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146,2 miles de millones de dólares; Año 2015, 557,5 miles de millones de dólares; Var. 3,81 - Un incremento equivalente al 281%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854,6 miles de millones de dólares; Año 2015, 1.254,4 miles de millones de dólares; Var. 1,47 - Un incremento equivalente al 47%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613,6 miles de millones de dólares; Año 2015, 888,9 miles de millones de dólares; Var. 1,45 - Un incremento equivalente al 45%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606,7 miles de millones de dólares; Año 2015, 849,3 miles de millones de dólares; Var. 1,40 - Un incremento equivalente al 40% (2015-2005)</w:t>
      </w:r>
    </w:p>
    <w:p w:rsidR="006E5D75" w:rsidRPr="00FE130B" w:rsidRDefault="006E5D75" w:rsidP="006E5D75">
      <w:pPr>
        <w:spacing w:line="240" w:lineRule="auto"/>
        <w:jc w:val="both"/>
        <w:rPr>
          <w:rFonts w:ascii="Times New Roman" w:hAnsi="Times New Roman" w:cs="Times New Roman"/>
          <w:b/>
          <w:color w:val="FF0000"/>
          <w:sz w:val="24"/>
          <w:szCs w:val="24"/>
          <w:shd w:val="clear" w:color="auto" w:fill="FFFFFF"/>
          <w:lang w:val="en-US"/>
        </w:rPr>
      </w:pPr>
      <w:r w:rsidRPr="00FE130B">
        <w:rPr>
          <w:rFonts w:ascii="Times New Roman" w:hAnsi="Times New Roman" w:cs="Times New Roman"/>
          <w:b/>
          <w:color w:val="FF0000"/>
          <w:sz w:val="24"/>
          <w:szCs w:val="24"/>
          <w:shd w:val="clear" w:color="auto" w:fill="FFFFFF"/>
          <w:lang w:val="en-US"/>
        </w:rPr>
        <w:t xml:space="preserve">Domestic value added content of gross imports </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11,9 miles de millones de dólares; Año 2015, 67,3 miles de millones de dólares; Var. 6,66 - Un incremento equivalente al 566%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87,6 miles de millones de dólares; Año 2015, 117,0 miles de millones de dólares; Var. 1,34 - Un incremento equivalente al 34%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78,9 miles de millones de dólares; Año 2015, 91,4 miles de millones de dólares; Var. 1,16 - Un incremento equivalente al 16%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Euro Área: Año 2005,  89,4 miles de millones de dólares; Año 2015, 113,0 miles de millones de dólares; Var. 1,26 - Un incremento equivalente al 26% (2015-2005)</w:t>
      </w:r>
    </w:p>
    <w:p w:rsidR="006E5D75" w:rsidRPr="00FE130B" w:rsidRDefault="006E5D75" w:rsidP="006E5D75">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Value added</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2.135,5 miles de millones de dólares; Año 2015, 10.485,7 miles de millones de dólares; Var. 4,91 - Un incremento equivalente al 391%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12.748,1 miles de millones de dólares; Año 2015, 17.662,3 miles de millones de dólares; Var. 1,39 - Un incremento equivalente al 39%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13.510,9 miles de millones de dólares; Año 2015, 15.473,2 miles de millones de dólares; Var. 1,15 - Un incremento equivalente al 15%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9.850,5 miles de millones de dólares; Año 2015, 11.005,7 miles de millones de dólares; Var. 1,12 - Un incremento equivalente al 12% (2015-2005)</w:t>
      </w:r>
    </w:p>
    <w:p w:rsidR="006E5D75" w:rsidRPr="00FE130B" w:rsidRDefault="006E5D75" w:rsidP="006E5D75">
      <w:pPr>
        <w:spacing w:line="240" w:lineRule="auto"/>
        <w:jc w:val="both"/>
        <w:rPr>
          <w:rFonts w:ascii="Times New Roman" w:hAnsi="Times New Roman" w:cs="Times New Roman"/>
          <w:b/>
          <w:color w:val="FF0000"/>
          <w:sz w:val="24"/>
          <w:szCs w:val="24"/>
          <w:shd w:val="clear" w:color="auto" w:fill="FFFFFF"/>
          <w:lang w:val="en-US"/>
        </w:rPr>
      </w:pPr>
      <w:r w:rsidRPr="00FE130B">
        <w:rPr>
          <w:rFonts w:ascii="Times New Roman" w:hAnsi="Times New Roman" w:cs="Times New Roman"/>
          <w:b/>
          <w:color w:val="FF0000"/>
          <w:sz w:val="24"/>
          <w:szCs w:val="24"/>
          <w:shd w:val="clear" w:color="auto" w:fill="FFFFFF"/>
          <w:lang w:val="en-US"/>
        </w:rPr>
        <w:t>Foreign value added embodied in domestic final demand</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405,9 miles de millones de dólares; Año 2015, 1.444,5 miles de millones de dólares; Var.  3,56 - Un incremento equivalente al 256%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1.673,6 miles de millones de dólares; Año 2015, 2.222,1 miles de millones de dólares; Var. 1,33 - Un incremento equivalente al 33%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1.358,8 miles de millones de dólares; Año 2015, 1.857,8 miles de millones de dólares; Var.  1,37 - Un incremento equivalente al 37%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1.293,4 miles de millones de dólares; Año 2015, 1.711,9 miles de millones de dólares; Var. 1,32 - Un incremento equivalente al 32% (2015-2005)</w:t>
      </w:r>
    </w:p>
    <w:p w:rsidR="006E5D75" w:rsidRPr="00FE130B" w:rsidRDefault="006E5D75" w:rsidP="006E5D75">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 xml:space="preserve">Gross trade balance </w:t>
      </w:r>
    </w:p>
    <w:p w:rsidR="006E5D75" w:rsidRDefault="006E5D75" w:rsidP="006E5D75">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96,9 miles de millones de dólares; Año 2015, 305,8  miles de millones de dólares; Var. 3,16 - Un incremento equivalente al 216% (2015-2005)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(700,8) miles de millones de dólares; Año 2015, (507,0) miles de millones de dólares; Var. -0,28 - Una reducción equivalente al -28%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90.0 miles de millones de dólares; Año 2015, 476,1 miles de millones de dólares; Var. 5,29 - Un incremento equivalente al 429%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144,5 miles de millones de dólares; Año 2015, 456,7 miles de millones de dólares; Var. 3,16 - Un incremento equivalente al 216% (2015-2005)</w:t>
      </w:r>
    </w:p>
    <w:p w:rsidR="006E5D75" w:rsidRPr="00FE130B" w:rsidRDefault="006E5D75" w:rsidP="006E5D75">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Gross imports, partner shares</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8,7 %; Año 2015, 12,6 %; Var. 1,45 - Un incremento equivalente al 45%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19,4 %; Año 2015, 19,9 %; Var. 1,03 - Un incremento equivalente al 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13,4 %; Año 2015, 14,6 %; Var. 1,08 - Un incremento equivalente al 8%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10,9 %; Año 2015,  19,3 %; Var. 1,77 - Un incremento equivalente al 77%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8,0 %; Año 2015, 15,4 %; Var. 1,93 - Un incremento equivalente al 93%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5,4 %; Año 2015, 10,3 %; Var. 1,91 - Un incremento equivalente al 91% (2015-2005)</w:t>
      </w:r>
    </w:p>
    <w:p w:rsidR="006E5D75" w:rsidRPr="005F016C"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6E5D75" w:rsidRDefault="006E5D75" w:rsidP="006E5D75">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17,0 %; Año 2015,  16,5 %; Var. -0,03 - Una reducción equivalente al -3% (2015-2005)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11,3 %; Año 2015,  12,3 %; Var. 1,09 - Un incremento equivalente al 9% (2015-2005)</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Pr="000E4E0C" w:rsidRDefault="006E5D75" w:rsidP="006E5D75">
      <w:pPr>
        <w:spacing w:line="240" w:lineRule="auto"/>
        <w:jc w:val="both"/>
        <w:rPr>
          <w:rFonts w:ascii="Times New Roman" w:hAnsi="Times New Roman" w:cs="Times New Roman"/>
          <w:b/>
          <w:sz w:val="24"/>
          <w:szCs w:val="24"/>
          <w:shd w:val="clear" w:color="auto" w:fill="FFFFFF"/>
        </w:rPr>
      </w:pPr>
      <w:r w:rsidRPr="000E4E0C">
        <w:rPr>
          <w:rFonts w:ascii="Times New Roman" w:hAnsi="Times New Roman" w:cs="Times New Roman"/>
          <w:b/>
          <w:sz w:val="24"/>
          <w:szCs w:val="24"/>
          <w:shd w:val="clear" w:color="auto" w:fill="FFFFFF"/>
        </w:rPr>
        <w:lastRenderedPageBreak/>
        <w:t xml:space="preserve">Cálculo de lado de la perdidas </w:t>
      </w:r>
      <w:r>
        <w:rPr>
          <w:rFonts w:ascii="Times New Roman" w:hAnsi="Times New Roman" w:cs="Times New Roman"/>
          <w:b/>
          <w:sz w:val="24"/>
          <w:szCs w:val="24"/>
          <w:shd w:val="clear" w:color="auto" w:fill="FFFFFF"/>
        </w:rPr>
        <w:t>(continuación)</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Pr>
          <w:rFonts w:ascii="Times New Roman" w:hAnsi="Times New Roman" w:cs="Times New Roman"/>
          <w:b/>
          <w:color w:val="FF0000"/>
          <w:sz w:val="24"/>
          <w:szCs w:val="24"/>
          <w:shd w:val="clear" w:color="auto" w:fill="FFFFFF"/>
        </w:rPr>
        <w:t>) Impacto en el nivel de empleo</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Empleo</w:t>
      </w:r>
    </w:p>
    <w:p w:rsidR="006E5D75" w:rsidRDefault="006E5D75" w:rsidP="006E5D75">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74,9% en el año 2000, al 65,6% en el año 2019 -Variación 2000-2019: (12,42%)</w:t>
      </w:r>
    </w:p>
    <w:p w:rsidR="006E5D75" w:rsidRPr="00CD7FD8"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51,5% en el año 2000, al 53,9% en el año 2019 -Variación 2000-2019: 4,66%</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59,8% en el año 2019 -Variación 2000-2019: (6,27%)</w:t>
      </w:r>
    </w:p>
    <w:p w:rsidR="006E5D75" w:rsidRPr="00040759" w:rsidRDefault="006E5D75" w:rsidP="006E5D75">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Empleo por sectores</w:t>
      </w:r>
    </w:p>
    <w:p w:rsidR="006E5D75" w:rsidRPr="00040759" w:rsidRDefault="006E5D75" w:rsidP="006E5D75">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China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50% en el año 2000, al 25% en el año 2019 -Variación 2000-2019: (50%)</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22% en el año 2000, al 48% en el año 2019 -Variación 2000-2019: 120,45%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27% en el año 2000, al 46% en el año 2019 -Variación 2000-2019: 70,37%</w:t>
      </w:r>
    </w:p>
    <w:p w:rsidR="006E5D75" w:rsidRPr="00040759"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Europa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6% en el año 2000, al 3% en el año 2019 -Variación 2000-2019: (50%)</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29% en el año 2000, al 22% en el año 2019 -Variación 2000-2019: (24,14%)</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66% en el año 2000, al 75% en el año 2019 -Variación 2000-2019: 14%</w:t>
      </w:r>
    </w:p>
    <w:p w:rsidR="006E5D75" w:rsidRPr="00040759"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2% en el año 2000, al 1% en el año 2019 -Variación 2000-2019: (50%)</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24% en el año 2000, al 20% en el año 2019 -Variación 2000-2019: (16,67%)</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74% en el año 2000, al 79% en el año 2019 -Variación 2000-2019: 6,98%</w:t>
      </w:r>
    </w:p>
    <w:p w:rsidR="006E5D75" w:rsidRDefault="006E5D75" w:rsidP="006E5D75">
      <w:pPr>
        <w:spacing w:line="240" w:lineRule="auto"/>
        <w:jc w:val="both"/>
        <w:rPr>
          <w:rFonts w:ascii="Times New Roman" w:hAnsi="Times New Roman" w:cs="Times New Roman"/>
          <w:b/>
          <w:sz w:val="24"/>
          <w:szCs w:val="24"/>
          <w:shd w:val="clear" w:color="auto" w:fill="FFFFFF"/>
        </w:rPr>
      </w:pPr>
      <w:r w:rsidRPr="008E78AD">
        <w:rPr>
          <w:rFonts w:ascii="Times New Roman" w:hAnsi="Times New Roman" w:cs="Times New Roman"/>
          <w:b/>
          <w:sz w:val="24"/>
          <w:szCs w:val="24"/>
          <w:shd w:val="clear" w:color="auto" w:fill="FFFFFF"/>
        </w:rPr>
        <w:t>Fuerza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6E5D75" w:rsidRDefault="006E5D75" w:rsidP="006E5D75">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66,4% en el año 2000, al 62,1% en el año 2019 -Variación 2000-2019: (6,48%)</w:t>
      </w:r>
    </w:p>
    <w:p w:rsidR="006E5D75" w:rsidRPr="00CD7FD8"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56,5% en el año 2000, al 53,9% en el año 2019 -Variación 2000-2019: (4,60%)</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58% en el año 2019 -Variación 2000-2019: (9,09%)</w:t>
      </w:r>
    </w:p>
    <w:p w:rsidR="006E5D75" w:rsidRDefault="006E5D75" w:rsidP="006E5D75">
      <w:pPr>
        <w:spacing w:line="240" w:lineRule="auto"/>
        <w:jc w:val="both"/>
        <w:rPr>
          <w:rFonts w:ascii="Times New Roman" w:hAnsi="Times New Roman" w:cs="Times New Roman"/>
          <w:b/>
          <w:sz w:val="24"/>
          <w:szCs w:val="24"/>
          <w:shd w:val="clear" w:color="auto" w:fill="FFFFFF"/>
        </w:rPr>
      </w:pPr>
      <w:r w:rsidRPr="008E78AD">
        <w:rPr>
          <w:rFonts w:ascii="Times New Roman" w:hAnsi="Times New Roman" w:cs="Times New Roman"/>
          <w:b/>
          <w:sz w:val="24"/>
          <w:szCs w:val="24"/>
          <w:shd w:val="clear" w:color="auto" w:fill="FFFFFF"/>
        </w:rPr>
        <w:lastRenderedPageBreak/>
        <w:t>F</w:t>
      </w:r>
      <w:r>
        <w:rPr>
          <w:rFonts w:ascii="Times New Roman" w:hAnsi="Times New Roman" w:cs="Times New Roman"/>
          <w:b/>
          <w:sz w:val="24"/>
          <w:szCs w:val="24"/>
          <w:shd w:val="clear" w:color="auto" w:fill="FFFFFF"/>
        </w:rPr>
        <w:t>uera de la f</w:t>
      </w:r>
      <w:r w:rsidRPr="008E78AD">
        <w:rPr>
          <w:rFonts w:ascii="Times New Roman" w:hAnsi="Times New Roman" w:cs="Times New Roman"/>
          <w:b/>
          <w:sz w:val="24"/>
          <w:szCs w:val="24"/>
          <w:shd w:val="clear" w:color="auto" w:fill="FFFFFF"/>
        </w:rPr>
        <w:t>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6E5D75" w:rsidRDefault="006E5D75" w:rsidP="006E5D75">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22,6% en el año 2000, al 32% en el año 2019 -Variación 2000-2019: 47,59%</w:t>
      </w:r>
    </w:p>
    <w:p w:rsidR="006E5D75" w:rsidRPr="00CD7FD8"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43,5% en el año 2000, al 42% en el año 2019 -Variación 2000-2019: (3,45%)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33,6% en el año 2000, al 38% en el año 2019 -Variación 2000-2019: 13,10%</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Aumento del nivel de </w:t>
      </w:r>
      <w:r>
        <w:rPr>
          <w:rFonts w:ascii="Times New Roman" w:hAnsi="Times New Roman" w:cs="Times New Roman"/>
          <w:b/>
          <w:color w:val="FF0000"/>
          <w:sz w:val="24"/>
          <w:szCs w:val="24"/>
          <w:shd w:val="clear" w:color="auto" w:fill="FFFFFF"/>
        </w:rPr>
        <w:t>desempleo</w:t>
      </w:r>
    </w:p>
    <w:p w:rsidR="006E5D75" w:rsidRDefault="006E5D75" w:rsidP="006E5D75">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3,3% en el año 2000, al 4,3% en el año 2019 -Variación 2000-2019: 30,30%</w:t>
      </w:r>
    </w:p>
    <w:p w:rsidR="006E5D75" w:rsidRPr="00CD7FD8"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8,8% en el año 2000, al 7,0% en el año 2019 -Variación 2000-2019: (20,45%)</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4,0% en el año 2000, al 3,7% en el año 2019 -Variación 2000-2019: (7,5%)</w:t>
      </w:r>
    </w:p>
    <w:p w:rsidR="006E5D75" w:rsidRPr="00942B25" w:rsidRDefault="006E5D75" w:rsidP="006E5D75">
      <w:pPr>
        <w:spacing w:line="240" w:lineRule="auto"/>
        <w:jc w:val="both"/>
        <w:rPr>
          <w:rFonts w:ascii="Times New Roman" w:hAnsi="Times New Roman" w:cs="Times New Roman"/>
          <w:b/>
          <w:sz w:val="24"/>
          <w:szCs w:val="24"/>
          <w:shd w:val="clear" w:color="auto" w:fill="FFFFFF"/>
        </w:rPr>
      </w:pPr>
      <w:r w:rsidRPr="00942B25">
        <w:rPr>
          <w:rFonts w:ascii="Times New Roman" w:hAnsi="Times New Roman" w:cs="Times New Roman"/>
          <w:b/>
          <w:sz w:val="24"/>
          <w:szCs w:val="24"/>
          <w:shd w:val="clear" w:color="auto" w:fill="FFFFFF"/>
        </w:rPr>
        <w:t>Europa</w:t>
      </w:r>
    </w:p>
    <w:p w:rsidR="006E5D75" w:rsidRPr="00E12BB1" w:rsidRDefault="006E5D75" w:rsidP="006E5D75">
      <w:pPr>
        <w:spacing w:line="240" w:lineRule="auto"/>
        <w:jc w:val="both"/>
        <w:rPr>
          <w:rFonts w:ascii="Times New Roman" w:hAnsi="Times New Roman" w:cs="Times New Roman"/>
          <w:sz w:val="24"/>
          <w:szCs w:val="24"/>
          <w:shd w:val="clear" w:color="auto" w:fill="FFFFFF"/>
        </w:rPr>
      </w:pPr>
      <w:r w:rsidRPr="00E12BB1">
        <w:rPr>
          <w:rFonts w:ascii="Times New Roman" w:hAnsi="Times New Roman" w:cs="Times New Roman"/>
          <w:sz w:val="24"/>
          <w:szCs w:val="24"/>
          <w:shd w:val="clear" w:color="auto" w:fill="FFFFFF"/>
        </w:rPr>
        <w:t>Para el cálculo del costo del desempleo en Europa (seguridad social) se asumen los siguientes supuestos teóricos:</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calcula el</w:t>
      </w:r>
      <w:r w:rsidRPr="00E12BB1">
        <w:rPr>
          <w:rFonts w:ascii="Times New Roman" w:hAnsi="Times New Roman" w:cs="Times New Roman"/>
          <w:sz w:val="24"/>
          <w:szCs w:val="24"/>
          <w:shd w:val="clear" w:color="auto" w:fill="FFFFFF"/>
        </w:rPr>
        <w:t xml:space="preserve"> promedio del costo del desempl</w:t>
      </w:r>
      <w:r>
        <w:rPr>
          <w:rFonts w:ascii="Times New Roman" w:hAnsi="Times New Roman" w:cs="Times New Roman"/>
          <w:sz w:val="24"/>
          <w:szCs w:val="24"/>
          <w:shd w:val="clear" w:color="auto" w:fill="FFFFFF"/>
        </w:rPr>
        <w:t>eo de los años 1993 a 1999 (EU-15) en base a los datos históricos de Eurostat. (146.386 millones de euros). Años anteriores no disponibles.</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Luego se compara ese costo promedio teórico (1993-1999) con los datos correspondientes al costo del desempleo de los años 2000 a 2017 (Eurostat), asumiendo que la diferencia anual (positiva o negativa) puede ser atribuible al proceso de globalización económica.</w:t>
      </w:r>
    </w:p>
    <w:p w:rsidR="006E5D75" w:rsidRPr="00D26EEA"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Promedio años 1993-1999 - EU-15: </w:t>
      </w:r>
      <w:r w:rsidRPr="00D26EEA">
        <w:rPr>
          <w:rFonts w:ascii="Times New Roman" w:hAnsi="Times New Roman" w:cs="Times New Roman"/>
          <w:sz w:val="24"/>
          <w:szCs w:val="24"/>
          <w:shd w:val="clear" w:color="auto" w:fill="FFFFFF"/>
        </w:rPr>
        <w:t>146.386</w:t>
      </w:r>
      <w:r>
        <w:rPr>
          <w:rFonts w:ascii="Times New Roman" w:hAnsi="Times New Roman" w:cs="Times New Roman"/>
          <w:sz w:val="24"/>
          <w:szCs w:val="24"/>
          <w:shd w:val="clear" w:color="auto" w:fill="FFFFFF"/>
        </w:rPr>
        <w:t xml:space="preserve"> (mill. euros) </w:t>
      </w:r>
    </w:p>
    <w:p w:rsidR="006E5D75" w:rsidRDefault="006E5D75" w:rsidP="006E5D75">
      <w:pPr>
        <w:spacing w:line="240" w:lineRule="auto"/>
        <w:jc w:val="both"/>
        <w:rPr>
          <w:rFonts w:ascii="Times New Roman" w:hAnsi="Times New Roman" w:cs="Times New Roman"/>
          <w:b/>
          <w:sz w:val="24"/>
          <w:szCs w:val="24"/>
          <w:shd w:val="clear" w:color="auto" w:fill="FFFFFF"/>
        </w:rPr>
      </w:pPr>
      <w:r w:rsidRPr="004D61F2">
        <w:rPr>
          <w:rFonts w:ascii="Times New Roman" w:hAnsi="Times New Roman" w:cs="Times New Roman"/>
          <w:b/>
          <w:sz w:val="24"/>
          <w:szCs w:val="24"/>
          <w:shd w:val="clear" w:color="auto" w:fill="FFFFFF"/>
        </w:rPr>
        <w:t>Año 2000</w:t>
      </w:r>
      <w:r>
        <w:rPr>
          <w:rFonts w:ascii="Times New Roman" w:hAnsi="Times New Roman" w:cs="Times New Roman"/>
          <w:b/>
          <w:sz w:val="24"/>
          <w:szCs w:val="24"/>
          <w:shd w:val="clear" w:color="auto" w:fill="FFFFFF"/>
        </w:rPr>
        <w:t xml:space="preserve"> - EU-15:</w:t>
      </w:r>
      <w:r w:rsidRPr="00D26EEA">
        <w:rPr>
          <w:rFonts w:ascii="Times New Roman" w:hAnsi="Times New Roman" w:cs="Times New Roman"/>
          <w:sz w:val="24"/>
          <w:szCs w:val="24"/>
          <w:shd w:val="clear" w:color="auto" w:fill="FFFFFF"/>
        </w:rPr>
        <w:t>136.268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(2000 vs. prom. 93/99) = (10.118) </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2001 - EU-15:</w:t>
      </w:r>
      <w:r>
        <w:rPr>
          <w:rFonts w:ascii="Times New Roman" w:hAnsi="Times New Roman" w:cs="Times New Roman"/>
          <w:sz w:val="24"/>
          <w:szCs w:val="24"/>
          <w:shd w:val="clear" w:color="auto" w:fill="FFFFFF"/>
        </w:rPr>
        <w:t>142.103</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Variación (2001 vs. prom. 93/99) = </w:t>
      </w:r>
      <w:r w:rsidRPr="00EE5015">
        <w:rPr>
          <w:rFonts w:ascii="Times New Roman" w:hAnsi="Times New Roman" w:cs="Times New Roman"/>
          <w:sz w:val="24"/>
          <w:szCs w:val="24"/>
          <w:shd w:val="clear" w:color="auto" w:fill="FFFFFF"/>
        </w:rPr>
        <w:t>(4.</w:t>
      </w:r>
      <w:r>
        <w:rPr>
          <w:rFonts w:ascii="Times New Roman" w:hAnsi="Times New Roman" w:cs="Times New Roman"/>
          <w:sz w:val="24"/>
          <w:szCs w:val="24"/>
          <w:shd w:val="clear" w:color="auto" w:fill="FFFFFF"/>
        </w:rPr>
        <w:t>283)</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2002 - EU-15:</w:t>
      </w:r>
      <w:r>
        <w:rPr>
          <w:rFonts w:ascii="Times New Roman" w:hAnsi="Times New Roman" w:cs="Times New Roman"/>
          <w:sz w:val="24"/>
          <w:szCs w:val="24"/>
          <w:shd w:val="clear" w:color="auto" w:fill="FFFFFF"/>
        </w:rPr>
        <w:t>149.560</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(2002 vs. prom. 93/99) =  </w:t>
      </w:r>
      <w:r w:rsidRPr="00D40007">
        <w:rPr>
          <w:rFonts w:ascii="Times New Roman" w:hAnsi="Times New Roman" w:cs="Times New Roman"/>
          <w:sz w:val="24"/>
          <w:szCs w:val="24"/>
          <w:shd w:val="clear" w:color="auto" w:fill="FFFFFF"/>
        </w:rPr>
        <w:t>3,174</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2003 - EU-15:</w:t>
      </w:r>
      <w:r>
        <w:rPr>
          <w:rFonts w:ascii="Times New Roman" w:hAnsi="Times New Roman" w:cs="Times New Roman"/>
          <w:sz w:val="24"/>
          <w:szCs w:val="24"/>
          <w:shd w:val="clear" w:color="auto" w:fill="FFFFFF"/>
        </w:rPr>
        <w:t>160.166</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Variación (2003 vs. prom. 93/99) = </w:t>
      </w:r>
      <w:r w:rsidRPr="00D40007">
        <w:rPr>
          <w:rFonts w:ascii="Times New Roman" w:hAnsi="Times New Roman" w:cs="Times New Roman"/>
          <w:sz w:val="24"/>
          <w:szCs w:val="24"/>
          <w:shd w:val="clear" w:color="auto" w:fill="FFFFFF"/>
        </w:rPr>
        <w:t xml:space="preserve"> 13.780</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2004 - EU-15:</w:t>
      </w:r>
      <w:r>
        <w:rPr>
          <w:rFonts w:ascii="Times New Roman" w:hAnsi="Times New Roman" w:cs="Times New Roman"/>
          <w:sz w:val="24"/>
          <w:szCs w:val="24"/>
          <w:shd w:val="clear" w:color="auto" w:fill="FFFFFF"/>
        </w:rPr>
        <w:t>164.841</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(2004 vs. prom. 93/99) = 18.455</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2005 - EU-27:</w:t>
      </w:r>
      <w:r>
        <w:rPr>
          <w:rFonts w:ascii="Times New Roman" w:hAnsi="Times New Roman" w:cs="Times New Roman"/>
          <w:sz w:val="24"/>
          <w:szCs w:val="24"/>
          <w:shd w:val="clear" w:color="auto" w:fill="FFFFFF"/>
        </w:rPr>
        <w:t>167.979</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(2005 vs. prom. 93/99) = 21.593</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2006 - EU-27:</w:t>
      </w:r>
      <w:r>
        <w:rPr>
          <w:rFonts w:ascii="Times New Roman" w:hAnsi="Times New Roman" w:cs="Times New Roman"/>
          <w:sz w:val="24"/>
          <w:szCs w:val="24"/>
          <w:shd w:val="clear" w:color="auto" w:fill="FFFFFF"/>
        </w:rPr>
        <w:t>161.745</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(2006 vs. prom. 93/99) = 15.359</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2007 - EU-27:</w:t>
      </w:r>
      <w:r>
        <w:rPr>
          <w:rFonts w:ascii="Times New Roman" w:hAnsi="Times New Roman" w:cs="Times New Roman"/>
          <w:sz w:val="24"/>
          <w:szCs w:val="24"/>
          <w:shd w:val="clear" w:color="auto" w:fill="FFFFFF"/>
        </w:rPr>
        <w:t>160.652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(2007 vs. prom. 93/99) = 14.266</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2008 - EU-28:</w:t>
      </w:r>
      <w:r>
        <w:rPr>
          <w:rFonts w:ascii="Times New Roman" w:hAnsi="Times New Roman" w:cs="Times New Roman"/>
          <w:sz w:val="24"/>
          <w:szCs w:val="24"/>
          <w:shd w:val="clear" w:color="auto" w:fill="FFFFFF"/>
        </w:rPr>
        <w:t>163.502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(2008 vs. prom. 93/99) = 17.116</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EU-28: </w:t>
      </w:r>
      <w:r>
        <w:rPr>
          <w:rFonts w:ascii="Times New Roman" w:hAnsi="Times New Roman" w:cs="Times New Roman"/>
          <w:sz w:val="24"/>
          <w:szCs w:val="24"/>
          <w:shd w:val="clear" w:color="auto" w:fill="FFFFFF"/>
        </w:rPr>
        <w:t>210.177</w:t>
      </w:r>
      <w:r w:rsidRPr="00D26EEA">
        <w:rPr>
          <w:rFonts w:ascii="Times New Roman" w:hAnsi="Times New Roman" w:cs="Times New Roman"/>
          <w:sz w:val="24"/>
          <w:szCs w:val="24"/>
          <w:shd w:val="clear" w:color="auto" w:fill="FFFFFF"/>
        </w:rPr>
        <w:t xml:space="preserve"> (mi</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l.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(2009 vs. prom. 93/99) = 63.791</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EU-28: </w:t>
      </w:r>
      <w:r>
        <w:rPr>
          <w:rFonts w:ascii="Times New Roman" w:hAnsi="Times New Roman" w:cs="Times New Roman"/>
          <w:sz w:val="24"/>
          <w:szCs w:val="24"/>
          <w:shd w:val="clear" w:color="auto" w:fill="FFFFFF"/>
        </w:rPr>
        <w:t>211.881</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(2010 vs. prom. 93/99) = 65.495</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EU-28: </w:t>
      </w:r>
      <w:r w:rsidRPr="007B3EFC">
        <w:rPr>
          <w:rFonts w:ascii="Times New Roman" w:hAnsi="Times New Roman" w:cs="Times New Roman"/>
          <w:sz w:val="24"/>
          <w:szCs w:val="24"/>
          <w:shd w:val="clear" w:color="auto" w:fill="FFFFFF"/>
        </w:rPr>
        <w:t>205.556</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Variación (2011 vs. prom. 93/99) = </w:t>
      </w:r>
      <w:r w:rsidRPr="00D40007">
        <w:rPr>
          <w:rFonts w:ascii="Times New Roman" w:hAnsi="Times New Roman" w:cs="Times New Roman"/>
          <w:sz w:val="24"/>
          <w:szCs w:val="24"/>
          <w:shd w:val="clear" w:color="auto" w:fill="FFFFFF"/>
        </w:rPr>
        <w:t>59.</w:t>
      </w:r>
      <w:r>
        <w:rPr>
          <w:rFonts w:ascii="Times New Roman" w:hAnsi="Times New Roman" w:cs="Times New Roman"/>
          <w:sz w:val="24"/>
          <w:szCs w:val="24"/>
          <w:shd w:val="clear" w:color="auto" w:fill="FFFFFF"/>
        </w:rPr>
        <w:t>170</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2012 - EU-28: </w:t>
      </w:r>
      <w:r>
        <w:rPr>
          <w:rFonts w:ascii="Times New Roman" w:hAnsi="Times New Roman" w:cs="Times New Roman"/>
          <w:sz w:val="24"/>
          <w:szCs w:val="24"/>
          <w:shd w:val="clear" w:color="auto" w:fill="FFFFFF"/>
        </w:rPr>
        <w:t>204.749</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(2012 vs. prom. 93/99) = 58.363</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2013 - EU-28:</w:t>
      </w:r>
      <w:r>
        <w:rPr>
          <w:rFonts w:ascii="Times New Roman" w:hAnsi="Times New Roman" w:cs="Times New Roman"/>
          <w:sz w:val="24"/>
          <w:szCs w:val="24"/>
          <w:shd w:val="clear" w:color="auto" w:fill="FFFFFF"/>
        </w:rPr>
        <w:t xml:space="preserve"> 208.802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(2013 vs. prom. 93/99) = 52.881</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EU-28:</w:t>
      </w:r>
      <w:r>
        <w:rPr>
          <w:rFonts w:ascii="Times New Roman" w:hAnsi="Times New Roman" w:cs="Times New Roman"/>
          <w:sz w:val="24"/>
          <w:szCs w:val="24"/>
          <w:shd w:val="clear" w:color="auto" w:fill="FFFFFF"/>
        </w:rPr>
        <w:t xml:space="preserve"> 199.267</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(2014 vs. prom. 93/99) = 53.438</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2015 - EU-28:</w:t>
      </w:r>
      <w:r>
        <w:rPr>
          <w:rFonts w:ascii="Times New Roman" w:hAnsi="Times New Roman" w:cs="Times New Roman"/>
          <w:sz w:val="24"/>
          <w:szCs w:val="24"/>
          <w:shd w:val="clear" w:color="auto" w:fill="FFFFFF"/>
        </w:rPr>
        <w:t>192.824</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(2015 vs. prom. 93/99) = 46.438</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2016 - EU-28:</w:t>
      </w:r>
      <w:r>
        <w:rPr>
          <w:rFonts w:ascii="Times New Roman" w:hAnsi="Times New Roman" w:cs="Times New Roman"/>
          <w:sz w:val="24"/>
          <w:szCs w:val="24"/>
          <w:shd w:val="clear" w:color="auto" w:fill="FFFFFF"/>
        </w:rPr>
        <w:t>187.962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Variación (2016 vs. prom. 93/99) = </w:t>
      </w:r>
      <w:r w:rsidRPr="00D40007">
        <w:rPr>
          <w:rFonts w:ascii="Times New Roman" w:hAnsi="Times New Roman" w:cs="Times New Roman"/>
          <w:sz w:val="24"/>
          <w:szCs w:val="24"/>
          <w:shd w:val="clear" w:color="auto" w:fill="FFFFFF"/>
        </w:rPr>
        <w:t>41.576</w:t>
      </w:r>
    </w:p>
    <w:p w:rsidR="006E5D75" w:rsidRPr="00D40007"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2017 - EU-28:</w:t>
      </w:r>
      <w:r>
        <w:rPr>
          <w:rFonts w:ascii="Times New Roman" w:hAnsi="Times New Roman" w:cs="Times New Roman"/>
          <w:sz w:val="24"/>
          <w:szCs w:val="24"/>
          <w:shd w:val="clear" w:color="auto" w:fill="FFFFFF"/>
        </w:rPr>
        <w:t>181.643</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Variación (2017 vs. prom. 93/99) = 35.257</w:t>
      </w:r>
    </w:p>
    <w:p w:rsidR="006E5D75" w:rsidRDefault="006E5D75" w:rsidP="006E5D75">
      <w:pPr>
        <w:spacing w:line="240" w:lineRule="auto"/>
        <w:jc w:val="both"/>
        <w:rPr>
          <w:rFonts w:ascii="Times New Roman" w:hAnsi="Times New Roman" w:cs="Times New Roman"/>
          <w:b/>
          <w:sz w:val="24"/>
          <w:szCs w:val="24"/>
          <w:shd w:val="clear" w:color="auto" w:fill="FFFFFF"/>
        </w:rPr>
      </w:pPr>
      <w:r w:rsidRPr="00C17D91">
        <w:rPr>
          <w:rFonts w:ascii="Times New Roman" w:hAnsi="Times New Roman" w:cs="Times New Roman"/>
          <w:b/>
          <w:sz w:val="24"/>
          <w:szCs w:val="24"/>
          <w:shd w:val="clear" w:color="auto" w:fill="FFFFFF"/>
        </w:rPr>
        <w:t>EEUU</w:t>
      </w:r>
    </w:p>
    <w:p w:rsidR="006E5D75" w:rsidRPr="00E12BB1" w:rsidRDefault="006E5D75" w:rsidP="006E5D75">
      <w:pPr>
        <w:spacing w:line="240" w:lineRule="auto"/>
        <w:jc w:val="both"/>
        <w:rPr>
          <w:rFonts w:ascii="Times New Roman" w:hAnsi="Times New Roman" w:cs="Times New Roman"/>
          <w:sz w:val="24"/>
          <w:szCs w:val="24"/>
          <w:shd w:val="clear" w:color="auto" w:fill="FFFFFF"/>
        </w:rPr>
      </w:pPr>
      <w:r w:rsidRPr="00E12BB1">
        <w:rPr>
          <w:rFonts w:ascii="Times New Roman" w:hAnsi="Times New Roman" w:cs="Times New Roman"/>
          <w:sz w:val="24"/>
          <w:szCs w:val="24"/>
          <w:shd w:val="clear" w:color="auto" w:fill="FFFFFF"/>
        </w:rPr>
        <w:t xml:space="preserve">Para el cálculo del costo del </w:t>
      </w:r>
      <w:r>
        <w:rPr>
          <w:rFonts w:ascii="Times New Roman" w:hAnsi="Times New Roman" w:cs="Times New Roman"/>
          <w:sz w:val="24"/>
          <w:szCs w:val="24"/>
          <w:shd w:val="clear" w:color="auto" w:fill="FFFFFF"/>
        </w:rPr>
        <w:t>desempleo en EEUU (unemployment insurance</w:t>
      </w:r>
      <w:r w:rsidRPr="00E12BB1">
        <w:rPr>
          <w:rFonts w:ascii="Times New Roman" w:hAnsi="Times New Roman" w:cs="Times New Roman"/>
          <w:sz w:val="24"/>
          <w:szCs w:val="24"/>
          <w:shd w:val="clear" w:color="auto" w:fill="FFFFFF"/>
        </w:rPr>
        <w:t>) se asumen los siguientes supuestos teóricos:</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calcula el</w:t>
      </w:r>
      <w:r w:rsidRPr="00E12BB1">
        <w:rPr>
          <w:rFonts w:ascii="Times New Roman" w:hAnsi="Times New Roman" w:cs="Times New Roman"/>
          <w:sz w:val="24"/>
          <w:szCs w:val="24"/>
          <w:shd w:val="clear" w:color="auto" w:fill="FFFFFF"/>
        </w:rPr>
        <w:t xml:space="preserve"> promedio del costo del desempl</w:t>
      </w:r>
      <w:r>
        <w:rPr>
          <w:rFonts w:ascii="Times New Roman" w:hAnsi="Times New Roman" w:cs="Times New Roman"/>
          <w:sz w:val="24"/>
          <w:szCs w:val="24"/>
          <w:shd w:val="clear" w:color="auto" w:fill="FFFFFF"/>
        </w:rPr>
        <w:t xml:space="preserve">eo de los años 1995 a 1999 (all categories) en base a los datos históricos de U.S. Department of Labor (miles de dólares).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Luego se compara ese costo promedio teórico (1995-1999) con los datos correspondientes al costo del desempleo de los años 2000 a 2017 (U.S. Department of Labor), asumiendo que la diferencia anual (positiva o negativa) puede ser atribuible al proceso de globalización económica.  No se emplean los años posteriores para homogeneizar con la serie de la UE.</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val="en-GB" w:eastAsia="zh-CN"/>
        </w:rPr>
        <w:drawing>
          <wp:inline distT="0" distB="0" distL="0" distR="0">
            <wp:extent cx="2761293" cy="1835523"/>
            <wp:effectExtent l="0" t="0" r="127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2762636" cy="1836416"/>
                    </a:xfrm>
                    <a:prstGeom prst="rect">
                      <a:avLst/>
                    </a:prstGeom>
                  </pic:spPr>
                </pic:pic>
              </a:graphicData>
            </a:graphic>
          </wp:inline>
        </w:drawing>
      </w:r>
      <w:r w:rsidRPr="002D6217">
        <w:rPr>
          <w:rFonts w:ascii="Times New Roman" w:hAnsi="Times New Roman" w:cs="Times New Roman"/>
          <w:noProof/>
          <w:sz w:val="24"/>
          <w:szCs w:val="24"/>
          <w:shd w:val="clear" w:color="auto" w:fill="FFFFFF"/>
          <w:lang w:val="en-GB" w:eastAsia="zh-CN"/>
        </w:rPr>
        <w:drawing>
          <wp:inline distT="0" distB="0" distL="0" distR="0">
            <wp:extent cx="2791797" cy="2225488"/>
            <wp:effectExtent l="0" t="0" r="8890" b="381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2791215" cy="222502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val="en-GB" w:eastAsia="zh-CN"/>
        </w:rPr>
        <w:lastRenderedPageBreak/>
        <w:drawing>
          <wp:inline distT="0" distB="0" distL="0" distR="0">
            <wp:extent cx="2781300" cy="2433918"/>
            <wp:effectExtent l="0" t="0" r="0" b="508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2781688" cy="2434258"/>
                    </a:xfrm>
                    <a:prstGeom prst="rect">
                      <a:avLst/>
                    </a:prstGeom>
                  </pic:spPr>
                </pic:pic>
              </a:graphicData>
            </a:graphic>
          </wp:inline>
        </w:drawing>
      </w:r>
      <w:r w:rsidRPr="002D6217">
        <w:rPr>
          <w:rFonts w:ascii="Times New Roman" w:hAnsi="Times New Roman" w:cs="Times New Roman"/>
          <w:noProof/>
          <w:sz w:val="24"/>
          <w:szCs w:val="24"/>
          <w:shd w:val="clear" w:color="auto" w:fill="FFFFFF"/>
          <w:lang w:val="en-GB" w:eastAsia="zh-CN"/>
        </w:rPr>
        <w:drawing>
          <wp:inline distT="0" distB="0" distL="0" distR="0">
            <wp:extent cx="2722730" cy="2070847"/>
            <wp:effectExtent l="0" t="0" r="1905" b="5715"/>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724530" cy="207221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A20833">
        <w:rPr>
          <w:rFonts w:ascii="Times New Roman" w:hAnsi="Times New Roman" w:cs="Times New Roman"/>
          <w:noProof/>
          <w:sz w:val="24"/>
          <w:szCs w:val="24"/>
          <w:shd w:val="clear" w:color="auto" w:fill="FFFFFF"/>
          <w:lang w:val="en-GB" w:eastAsia="zh-CN"/>
        </w:rPr>
        <w:drawing>
          <wp:inline distT="0" distB="0" distL="0" distR="0">
            <wp:extent cx="2763371" cy="2581835"/>
            <wp:effectExtent l="0" t="0" r="0" b="952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762636" cy="2581148"/>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val="en-GB" w:eastAsia="zh-CN"/>
        </w:rPr>
        <w:drawing>
          <wp:inline distT="0" distB="0" distL="0" distR="0">
            <wp:extent cx="2677944" cy="2696135"/>
            <wp:effectExtent l="0" t="0" r="8255" b="9525"/>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676899" cy="269508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val="en-GB" w:eastAsia="zh-CN"/>
        </w:rPr>
        <w:lastRenderedPageBreak/>
        <w:drawing>
          <wp:inline distT="0" distB="0" distL="0" distR="0">
            <wp:extent cx="2783541" cy="1808629"/>
            <wp:effectExtent l="0" t="0" r="0" b="127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781688" cy="1807425"/>
                    </a:xfrm>
                    <a:prstGeom prst="rect">
                      <a:avLst/>
                    </a:prstGeom>
                  </pic:spPr>
                </pic:pic>
              </a:graphicData>
            </a:graphic>
          </wp:inline>
        </w:drawing>
      </w:r>
    </w:p>
    <w:p w:rsidR="006E5D75" w:rsidRDefault="006E5D75" w:rsidP="006E5D75">
      <w:pPr>
        <w:spacing w:line="240" w:lineRule="auto"/>
        <w:jc w:val="both"/>
        <w:rPr>
          <w:noProof/>
          <w:lang w:eastAsia="es-ES"/>
        </w:rPr>
      </w:pPr>
      <w:r w:rsidRPr="009317FA">
        <w:rPr>
          <w:rFonts w:ascii="Times New Roman" w:hAnsi="Times New Roman" w:cs="Times New Roman"/>
          <w:noProof/>
          <w:sz w:val="24"/>
          <w:szCs w:val="24"/>
          <w:shd w:val="clear" w:color="auto" w:fill="FFFFFF"/>
          <w:lang w:val="en-GB" w:eastAsia="zh-CN"/>
        </w:rPr>
        <w:drawing>
          <wp:inline distT="0" distB="0" distL="0" distR="0">
            <wp:extent cx="2716306" cy="2938182"/>
            <wp:effectExtent l="0" t="0" r="8255"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2715004" cy="293677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val="en-GB" w:eastAsia="zh-CN"/>
        </w:rPr>
        <w:drawing>
          <wp:inline distT="0" distB="0" distL="0" distR="0">
            <wp:extent cx="2678054" cy="2306171"/>
            <wp:effectExtent l="0" t="0" r="8255"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2676899" cy="230517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val="en-GB" w:eastAsia="zh-CN"/>
        </w:rPr>
        <w:lastRenderedPageBreak/>
        <w:drawing>
          <wp:inline distT="0" distB="0" distL="0" distR="0">
            <wp:extent cx="2723029" cy="2696135"/>
            <wp:effectExtent l="0" t="0" r="1270" b="9525"/>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2724530" cy="2697621"/>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shd w:val="clear" w:color="auto" w:fill="FFFFFF"/>
        </w:rPr>
      </w:pPr>
    </w:p>
    <w:p w:rsidR="006E5D75" w:rsidRPr="00D26EEA"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Promedio años 1995-1999 - EEUU: </w:t>
      </w:r>
      <w:r>
        <w:rPr>
          <w:rFonts w:ascii="Times New Roman" w:hAnsi="Times New Roman" w:cs="Times New Roman"/>
          <w:sz w:val="24"/>
          <w:szCs w:val="24"/>
          <w:shd w:val="clear" w:color="auto" w:fill="FFFFFF"/>
        </w:rPr>
        <w:t xml:space="preserve">19,72 (miles de mill. de dólares) </w:t>
      </w:r>
    </w:p>
    <w:p w:rsidR="006E5D75" w:rsidRDefault="006E5D75" w:rsidP="006E5D75">
      <w:pPr>
        <w:spacing w:line="240" w:lineRule="auto"/>
        <w:jc w:val="both"/>
        <w:rPr>
          <w:rFonts w:ascii="Times New Roman" w:hAnsi="Times New Roman" w:cs="Times New Roman"/>
          <w:b/>
          <w:sz w:val="24"/>
          <w:szCs w:val="24"/>
          <w:shd w:val="clear" w:color="auto" w:fill="FFFFFF"/>
        </w:rPr>
      </w:pPr>
      <w:r w:rsidRPr="004D61F2">
        <w:rPr>
          <w:rFonts w:ascii="Times New Roman" w:hAnsi="Times New Roman" w:cs="Times New Roman"/>
          <w:b/>
          <w:sz w:val="24"/>
          <w:szCs w:val="24"/>
          <w:shd w:val="clear" w:color="auto" w:fill="FFFFFF"/>
        </w:rPr>
        <w:t>Año 2000</w:t>
      </w:r>
      <w:r>
        <w:rPr>
          <w:rFonts w:ascii="Times New Roman" w:hAnsi="Times New Roman" w:cs="Times New Roman"/>
          <w:b/>
          <w:sz w:val="24"/>
          <w:szCs w:val="24"/>
          <w:shd w:val="clear" w:color="auto" w:fill="FFFFFF"/>
        </w:rPr>
        <w:t xml:space="preserve"> -  EEUU: </w:t>
      </w:r>
      <w:r>
        <w:rPr>
          <w:rFonts w:ascii="Times New Roman" w:hAnsi="Times New Roman" w:cs="Times New Roman"/>
          <w:sz w:val="24"/>
          <w:szCs w:val="24"/>
          <w:shd w:val="clear" w:color="auto" w:fill="FFFFFF"/>
        </w:rPr>
        <w:t xml:space="preserve">20,5 </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(2000 vs. prom. 95/99) = </w:t>
      </w:r>
      <w:r w:rsidRPr="005D04A6">
        <w:rPr>
          <w:rFonts w:ascii="Times New Roman" w:hAnsi="Times New Roman" w:cs="Times New Roman"/>
          <w:sz w:val="24"/>
          <w:szCs w:val="24"/>
          <w:shd w:val="clear" w:color="auto" w:fill="FFFFFF"/>
        </w:rPr>
        <w:t>0,78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2001 - EEUU: </w:t>
      </w:r>
      <w:r w:rsidRPr="00592D52">
        <w:rPr>
          <w:rFonts w:ascii="Times New Roman" w:hAnsi="Times New Roman" w:cs="Times New Roman"/>
          <w:sz w:val="24"/>
          <w:szCs w:val="24"/>
          <w:shd w:val="clear" w:color="auto" w:fill="FFFFFF"/>
        </w:rPr>
        <w:t>31,5</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Variación (2001 vs. prom. 95/99) =  11,78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2002 - EEUU:</w:t>
      </w:r>
      <w:r>
        <w:rPr>
          <w:rFonts w:ascii="Times New Roman" w:hAnsi="Times New Roman" w:cs="Times New Roman"/>
          <w:sz w:val="24"/>
          <w:szCs w:val="24"/>
          <w:shd w:val="clear" w:color="auto" w:fill="FFFFFF"/>
        </w:rPr>
        <w:t xml:space="preserve"> 41,7</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(2002 vs. prom. 95/99) = 21,98 </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2003 - EEUU:</w:t>
      </w:r>
      <w:r>
        <w:rPr>
          <w:rFonts w:ascii="Times New Roman" w:hAnsi="Times New Roman" w:cs="Times New Roman"/>
          <w:sz w:val="24"/>
          <w:szCs w:val="24"/>
          <w:shd w:val="clear" w:color="auto" w:fill="FFFFFF"/>
        </w:rPr>
        <w:t xml:space="preserve"> 41,3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Variación (2003 vs. prom. 95/99) = 21,58 </w:t>
      </w:r>
    </w:p>
    <w:p w:rsidR="006E5D75" w:rsidRPr="005D04A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2004 - EEUU:</w:t>
      </w:r>
      <w:r>
        <w:rPr>
          <w:rFonts w:ascii="Times New Roman" w:hAnsi="Times New Roman" w:cs="Times New Roman"/>
          <w:sz w:val="24"/>
          <w:szCs w:val="24"/>
          <w:shd w:val="clear" w:color="auto" w:fill="FFFFFF"/>
        </w:rPr>
        <w:t xml:space="preserve"> 34,3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Variación (2004 vs. prom. 95/99) = </w:t>
      </w:r>
      <w:r w:rsidRPr="005D04A6">
        <w:rPr>
          <w:rFonts w:ascii="Times New Roman" w:hAnsi="Times New Roman" w:cs="Times New Roman"/>
          <w:sz w:val="24"/>
          <w:szCs w:val="24"/>
          <w:shd w:val="clear" w:color="auto" w:fill="FFFFFF"/>
        </w:rPr>
        <w:t>14,58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2005 - EEUU:</w:t>
      </w:r>
      <w:r>
        <w:rPr>
          <w:rFonts w:ascii="Times New Roman" w:hAnsi="Times New Roman" w:cs="Times New Roman"/>
          <w:sz w:val="24"/>
          <w:szCs w:val="24"/>
          <w:shd w:val="clear" w:color="auto" w:fill="FFFFFF"/>
        </w:rPr>
        <w:t xml:space="preserve"> 31,3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 Variación (2005 vs. prom. 95/99) = 11,58</w:t>
      </w:r>
    </w:p>
    <w:p w:rsidR="006E5D75" w:rsidRPr="005D04A6"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2006 - EEUU:</w:t>
      </w:r>
      <w:r>
        <w:rPr>
          <w:rFonts w:ascii="Times New Roman" w:hAnsi="Times New Roman" w:cs="Times New Roman"/>
          <w:sz w:val="24"/>
          <w:szCs w:val="24"/>
          <w:shd w:val="clear" w:color="auto" w:fill="FFFFFF"/>
        </w:rPr>
        <w:t xml:space="preserve"> 30,0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 Variación (2006 vs. prom. 95/99) = 10,28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2007 - EEUU:</w:t>
      </w:r>
      <w:r>
        <w:rPr>
          <w:rFonts w:ascii="Times New Roman" w:hAnsi="Times New Roman" w:cs="Times New Roman"/>
          <w:sz w:val="24"/>
          <w:szCs w:val="24"/>
          <w:shd w:val="clear" w:color="auto" w:fill="FFFFFF"/>
        </w:rPr>
        <w:t xml:space="preserve"> 32,5</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(2007 vs. prom. 95/99) = 12,78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2008 - EEUU:</w:t>
      </w:r>
      <w:r>
        <w:rPr>
          <w:rFonts w:ascii="Times New Roman" w:hAnsi="Times New Roman" w:cs="Times New Roman"/>
          <w:sz w:val="24"/>
          <w:szCs w:val="24"/>
          <w:shd w:val="clear" w:color="auto" w:fill="FFFFFF"/>
        </w:rPr>
        <w:t xml:space="preserve"> 43,0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(2008 vs. prom. 95/99) = 23,28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79,5</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l.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(2009 vs. prom. 95/99) = 59,78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58,4</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(2010 vs. prom. 95/99) = 38,68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47,1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(2011 vs. prom. 95/99) = 27,38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43,2</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(2012 vs. prom. 95/99) = 23,48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2013 - EEUU:</w:t>
      </w:r>
      <w:r>
        <w:rPr>
          <w:rFonts w:ascii="Times New Roman" w:hAnsi="Times New Roman" w:cs="Times New Roman"/>
          <w:sz w:val="24"/>
          <w:szCs w:val="24"/>
          <w:shd w:val="clear" w:color="auto" w:fill="FFFFFF"/>
        </w:rPr>
        <w:t xml:space="preserve"> 39,4</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(2013 vs. prom. 95/99) = 19,68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 xml:space="preserve"> 35,0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Variación (2014 vs. prom. 95/99) = 15,28 </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2015 - EEUU:</w:t>
      </w:r>
      <w:r>
        <w:rPr>
          <w:rFonts w:ascii="Times New Roman" w:hAnsi="Times New Roman" w:cs="Times New Roman"/>
          <w:sz w:val="24"/>
          <w:szCs w:val="24"/>
          <w:shd w:val="clear" w:color="auto" w:fill="FFFFFF"/>
        </w:rPr>
        <w:t xml:space="preserve"> 32,1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(2015 vs. prom. 95/99) = 12,38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2016 - EEUU:</w:t>
      </w:r>
      <w:r>
        <w:rPr>
          <w:rFonts w:ascii="Times New Roman" w:hAnsi="Times New Roman" w:cs="Times New Roman"/>
          <w:sz w:val="24"/>
          <w:szCs w:val="24"/>
          <w:shd w:val="clear" w:color="auto" w:fill="FFFFFF"/>
        </w:rPr>
        <w:t xml:space="preserve"> 31,8</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(2016 vs. prom. 95/99) = 12,08</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2017 - EEUU:</w:t>
      </w:r>
      <w:r>
        <w:rPr>
          <w:rFonts w:ascii="Times New Roman" w:hAnsi="Times New Roman" w:cs="Times New Roman"/>
          <w:sz w:val="24"/>
          <w:szCs w:val="24"/>
          <w:shd w:val="clear" w:color="auto" w:fill="FFFFFF"/>
        </w:rPr>
        <w:t xml:space="preserve"> 32,1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Variación (2017 vs. prom. 95/99) = 12,38</w:t>
      </w:r>
    </w:p>
    <w:p w:rsidR="006E5D75" w:rsidRPr="00740C91" w:rsidRDefault="006E5D75" w:rsidP="006E5D75">
      <w:pPr>
        <w:spacing w:line="240" w:lineRule="auto"/>
        <w:jc w:val="both"/>
        <w:rPr>
          <w:rFonts w:ascii="Times New Roman" w:hAnsi="Times New Roman" w:cs="Times New Roman"/>
          <w:b/>
          <w:sz w:val="24"/>
          <w:szCs w:val="24"/>
          <w:shd w:val="clear" w:color="auto" w:fill="FFFFFF"/>
        </w:rPr>
      </w:pPr>
      <w:r w:rsidRPr="009E14E8">
        <w:rPr>
          <w:rFonts w:ascii="Times New Roman" w:hAnsi="Times New Roman" w:cs="Times New Roman"/>
          <w:b/>
          <w:color w:val="FF0000"/>
          <w:sz w:val="24"/>
          <w:szCs w:val="24"/>
          <w:shd w:val="clear" w:color="auto" w:fill="FFFFFF"/>
        </w:rPr>
        <w:lastRenderedPageBreak/>
        <w:t>(-) Disminución de los ingresos de l</w:t>
      </w:r>
      <w:r>
        <w:rPr>
          <w:rFonts w:ascii="Times New Roman" w:hAnsi="Times New Roman" w:cs="Times New Roman"/>
          <w:b/>
          <w:color w:val="FF0000"/>
          <w:sz w:val="24"/>
          <w:szCs w:val="24"/>
          <w:shd w:val="clear" w:color="auto" w:fill="FFFFFF"/>
        </w:rPr>
        <w:t xml:space="preserve">os trabajadores </w:t>
      </w:r>
    </w:p>
    <w:p w:rsidR="006E5D75" w:rsidRDefault="006E5D75" w:rsidP="006E5D75">
      <w:pPr>
        <w:spacing w:line="240" w:lineRule="auto"/>
        <w:jc w:val="both"/>
        <w:rPr>
          <w:rFonts w:ascii="Times New Roman" w:hAnsi="Times New Roman" w:cs="Times New Roman"/>
          <w:b/>
          <w:sz w:val="24"/>
          <w:szCs w:val="24"/>
          <w:shd w:val="clear" w:color="auto" w:fill="FFFFFF"/>
        </w:rPr>
      </w:pPr>
      <w:r w:rsidRPr="00661CEA">
        <w:rPr>
          <w:rFonts w:ascii="Times New Roman" w:hAnsi="Times New Roman" w:cs="Times New Roman"/>
          <w:b/>
          <w:sz w:val="24"/>
          <w:szCs w:val="24"/>
          <w:shd w:val="clear" w:color="auto" w:fill="FFFFFF"/>
        </w:rPr>
        <w:t>Europa</w:t>
      </w:r>
    </w:p>
    <w:p w:rsidR="006E5D75" w:rsidRPr="00661CEA"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 la disminución de los ingresos de los trabajadores se utiliza la serie Eurostat: Mean and median income by age and sex (2000-2018). Como en los primeros años hay variación en la cantidad de países miembro, se indica en cada caso.</w:t>
      </w:r>
    </w:p>
    <w:p w:rsidR="006E5D75" w:rsidRDefault="006E5D75" w:rsidP="006E5D75">
      <w:pPr>
        <w:spacing w:line="240" w:lineRule="auto"/>
        <w:jc w:val="both"/>
        <w:rPr>
          <w:rFonts w:ascii="Times New Roman" w:hAnsi="Times New Roman" w:cs="Times New Roman"/>
          <w:b/>
          <w:sz w:val="24"/>
          <w:szCs w:val="24"/>
        </w:rPr>
      </w:pPr>
      <w:r w:rsidRPr="00233C3D">
        <w:rPr>
          <w:rFonts w:ascii="Times New Roman" w:hAnsi="Times New Roman" w:cs="Times New Roman"/>
          <w:b/>
          <w:noProof/>
          <w:sz w:val="24"/>
          <w:szCs w:val="24"/>
          <w:lang w:val="en-GB" w:eastAsia="zh-CN"/>
        </w:rPr>
        <w:drawing>
          <wp:inline distT="0" distB="0" distL="0" distR="0">
            <wp:extent cx="6306671" cy="2655570"/>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6303656" cy="265430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r w:rsidRPr="00233C3D">
        <w:rPr>
          <w:rFonts w:ascii="Times New Roman" w:hAnsi="Times New Roman" w:cs="Times New Roman"/>
          <w:b/>
          <w:noProof/>
          <w:sz w:val="24"/>
          <w:szCs w:val="24"/>
          <w:lang w:val="en-GB" w:eastAsia="zh-CN"/>
        </w:rPr>
        <w:drawing>
          <wp:inline distT="0" distB="0" distL="0" distR="0">
            <wp:extent cx="6306671" cy="2425700"/>
            <wp:effectExtent l="0" t="0" r="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6316256" cy="242938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Año 2000 - EU-15 - </w:t>
      </w:r>
      <w:r w:rsidRPr="009D4525">
        <w:rPr>
          <w:rFonts w:ascii="Times New Roman" w:hAnsi="Times New Roman" w:cs="Times New Roman"/>
          <w:sz w:val="24"/>
          <w:szCs w:val="24"/>
        </w:rPr>
        <w:t>13.009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2001 - EU-15 - </w:t>
      </w:r>
      <w:r>
        <w:rPr>
          <w:rFonts w:ascii="Times New Roman" w:hAnsi="Times New Roman" w:cs="Times New Roman"/>
          <w:sz w:val="24"/>
          <w:szCs w:val="24"/>
        </w:rPr>
        <w:t>13.866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(2001 vs. 2000): 857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2002 - EU-15 - </w:t>
      </w:r>
      <w:r>
        <w:rPr>
          <w:rFonts w:ascii="Times New Roman" w:hAnsi="Times New Roman" w:cs="Times New Roman"/>
          <w:sz w:val="24"/>
          <w:szCs w:val="24"/>
        </w:rPr>
        <w:t>N/D</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2003 - EU-15 - </w:t>
      </w:r>
      <w:r>
        <w:rPr>
          <w:rFonts w:ascii="Times New Roman" w:hAnsi="Times New Roman" w:cs="Times New Roman"/>
          <w:sz w:val="24"/>
          <w:szCs w:val="24"/>
        </w:rPr>
        <w:t>N/D</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2004 - EU-15 - </w:t>
      </w:r>
      <w:r>
        <w:rPr>
          <w:rFonts w:ascii="Times New Roman" w:hAnsi="Times New Roman" w:cs="Times New Roman"/>
          <w:sz w:val="24"/>
          <w:szCs w:val="24"/>
        </w:rPr>
        <w:t>N/D</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2005 - EU-27 - </w:t>
      </w:r>
      <w:r>
        <w:rPr>
          <w:rFonts w:ascii="Times New Roman" w:hAnsi="Times New Roman" w:cs="Times New Roman"/>
          <w:sz w:val="24"/>
          <w:szCs w:val="24"/>
        </w:rPr>
        <w:t>12.646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(2005 vs. 2000): (363)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Año 2006 - EU-27 - </w:t>
      </w:r>
      <w:r>
        <w:rPr>
          <w:rFonts w:ascii="Times New Roman" w:hAnsi="Times New Roman" w:cs="Times New Roman"/>
          <w:sz w:val="24"/>
          <w:szCs w:val="24"/>
        </w:rPr>
        <w:t>12.953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(2006 vs. 2000):    (56)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2007 - EU-27 - </w:t>
      </w:r>
      <w:r w:rsidRPr="009D4525">
        <w:rPr>
          <w:rFonts w:ascii="Times New Roman" w:hAnsi="Times New Roman" w:cs="Times New Roman"/>
          <w:sz w:val="24"/>
          <w:szCs w:val="24"/>
        </w:rPr>
        <w:t>13.</w:t>
      </w:r>
      <w:r>
        <w:rPr>
          <w:rFonts w:ascii="Times New Roman" w:hAnsi="Times New Roman" w:cs="Times New Roman"/>
          <w:sz w:val="24"/>
          <w:szCs w:val="24"/>
        </w:rPr>
        <w:t>919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 xml:space="preserve">Variación (2007 vs. 2000):    905 euros </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2008 - EU-27 - </w:t>
      </w:r>
      <w:r>
        <w:rPr>
          <w:rFonts w:ascii="Times New Roman" w:hAnsi="Times New Roman" w:cs="Times New Roman"/>
          <w:sz w:val="24"/>
          <w:szCs w:val="24"/>
        </w:rPr>
        <w:t>14.623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(2008 vs. 2000): 1.614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2009 - EU-27 - </w:t>
      </w:r>
      <w:r>
        <w:rPr>
          <w:rFonts w:ascii="Times New Roman" w:hAnsi="Times New Roman" w:cs="Times New Roman"/>
          <w:sz w:val="24"/>
          <w:szCs w:val="24"/>
        </w:rPr>
        <w:t>14.775</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(2009 vs. 2000): 1.766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2010 - EU-28 - </w:t>
      </w:r>
      <w:r>
        <w:rPr>
          <w:rFonts w:ascii="Times New Roman" w:hAnsi="Times New Roman" w:cs="Times New Roman"/>
          <w:sz w:val="24"/>
          <w:szCs w:val="24"/>
        </w:rPr>
        <w:t>14.841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(2010 vs. 2000): 1.832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2011 - EU-28 - </w:t>
      </w:r>
      <w:r>
        <w:rPr>
          <w:rFonts w:ascii="Times New Roman" w:hAnsi="Times New Roman" w:cs="Times New Roman"/>
          <w:sz w:val="24"/>
          <w:szCs w:val="24"/>
        </w:rPr>
        <w:t>14.960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(2011 vs. 2000): 1,951 euros</w:t>
      </w:r>
    </w:p>
    <w:p w:rsidR="006E5D75" w:rsidRPr="00414C1D"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2012 - EU-28 - </w:t>
      </w:r>
      <w:r>
        <w:rPr>
          <w:rFonts w:ascii="Times New Roman" w:hAnsi="Times New Roman" w:cs="Times New Roman"/>
          <w:sz w:val="24"/>
          <w:szCs w:val="24"/>
        </w:rPr>
        <w:t>15.456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(2012 vs. 2000): 2,447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2013 - EU-28 - </w:t>
      </w:r>
      <w:r>
        <w:rPr>
          <w:rFonts w:ascii="Times New Roman" w:hAnsi="Times New Roman" w:cs="Times New Roman"/>
          <w:sz w:val="24"/>
          <w:szCs w:val="24"/>
        </w:rPr>
        <w:t>15.433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(2013 vs. 2000): 2.424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2014 - EU-28 - </w:t>
      </w:r>
      <w:r>
        <w:rPr>
          <w:rFonts w:ascii="Times New Roman" w:hAnsi="Times New Roman" w:cs="Times New Roman"/>
          <w:sz w:val="24"/>
          <w:szCs w:val="24"/>
        </w:rPr>
        <w:t>15.790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(2014 vs. 2000): 2.781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2015 - EU-28 - </w:t>
      </w:r>
      <w:r>
        <w:rPr>
          <w:rFonts w:ascii="Times New Roman" w:hAnsi="Times New Roman" w:cs="Times New Roman"/>
          <w:sz w:val="24"/>
          <w:szCs w:val="24"/>
        </w:rPr>
        <w:t>16.128</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(2015 vs. 2000): 3.119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2016 - EU-28 - </w:t>
      </w:r>
      <w:r>
        <w:rPr>
          <w:rFonts w:ascii="Times New Roman" w:hAnsi="Times New Roman" w:cs="Times New Roman"/>
          <w:sz w:val="24"/>
          <w:szCs w:val="24"/>
        </w:rPr>
        <w:t>16.530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(2016 vs. 2000): 3.521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2017 - EU-28 - </w:t>
      </w:r>
      <w:r>
        <w:rPr>
          <w:rFonts w:ascii="Times New Roman" w:hAnsi="Times New Roman" w:cs="Times New Roman"/>
          <w:sz w:val="24"/>
          <w:szCs w:val="24"/>
        </w:rPr>
        <w:t>16.979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(2017 vs. 2000): 3.970 euros</w:t>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2018 - EU-28 - </w:t>
      </w:r>
      <w:r>
        <w:rPr>
          <w:rFonts w:ascii="Times New Roman" w:hAnsi="Times New Roman" w:cs="Times New Roman"/>
          <w:sz w:val="24"/>
          <w:szCs w:val="24"/>
        </w:rPr>
        <w:t>17.441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(2018 vs. 2000): 4.432 euros</w:t>
      </w:r>
    </w:p>
    <w:p w:rsidR="006E5D75" w:rsidRDefault="006E5D75" w:rsidP="006E5D75">
      <w:pPr>
        <w:spacing w:line="240" w:lineRule="auto"/>
        <w:jc w:val="both"/>
        <w:rPr>
          <w:rFonts w:ascii="Times New Roman" w:hAnsi="Times New Roman" w:cs="Times New Roman"/>
          <w:b/>
          <w:sz w:val="24"/>
          <w:szCs w:val="24"/>
          <w:shd w:val="clear" w:color="auto" w:fill="FFFFFF"/>
        </w:rPr>
      </w:pPr>
    </w:p>
    <w:p w:rsidR="006E5D75" w:rsidRDefault="006E5D75" w:rsidP="006E5D75">
      <w:pPr>
        <w:spacing w:line="240" w:lineRule="auto"/>
        <w:jc w:val="both"/>
        <w:rPr>
          <w:rFonts w:ascii="Times New Roman" w:hAnsi="Times New Roman" w:cs="Times New Roman"/>
          <w:b/>
          <w:sz w:val="24"/>
          <w:szCs w:val="24"/>
          <w:shd w:val="clear" w:color="auto" w:fill="FFFFFF"/>
        </w:rPr>
      </w:pPr>
      <w:r w:rsidRPr="00661CEA">
        <w:rPr>
          <w:rFonts w:ascii="Times New Roman" w:hAnsi="Times New Roman" w:cs="Times New Roman"/>
          <w:b/>
          <w:sz w:val="24"/>
          <w:szCs w:val="24"/>
          <w:shd w:val="clear" w:color="auto" w:fill="FFFFFF"/>
        </w:rPr>
        <w:t>EEUU</w:t>
      </w:r>
    </w:p>
    <w:p w:rsidR="006E5D75" w:rsidRPr="009D4525" w:rsidRDefault="006E5D75" w:rsidP="006E5D75">
      <w:pPr>
        <w:spacing w:line="240" w:lineRule="auto"/>
        <w:jc w:val="both"/>
        <w:rPr>
          <w:rFonts w:ascii="Times New Roman" w:hAnsi="Times New Roman" w:cs="Times New Roman"/>
          <w:sz w:val="24"/>
          <w:szCs w:val="24"/>
          <w:shd w:val="clear" w:color="auto" w:fill="FFFFFF"/>
        </w:rPr>
      </w:pPr>
      <w:r w:rsidRPr="00661CEA">
        <w:rPr>
          <w:rFonts w:ascii="Times New Roman" w:hAnsi="Times New Roman" w:cs="Times New Roman"/>
          <w:sz w:val="24"/>
          <w:szCs w:val="24"/>
          <w:shd w:val="clear" w:color="auto" w:fill="FFFFFF"/>
        </w:rPr>
        <w:t>Para</w:t>
      </w:r>
      <w:r>
        <w:rPr>
          <w:rFonts w:ascii="Times New Roman" w:hAnsi="Times New Roman" w:cs="Times New Roman"/>
          <w:sz w:val="24"/>
          <w:szCs w:val="24"/>
          <w:shd w:val="clear" w:color="auto" w:fill="FFFFFF"/>
        </w:rPr>
        <w:t xml:space="preserve"> el cálculo de la disminución de los salarios se utilizan los datos publicados por </w:t>
      </w:r>
      <w:r w:rsidRPr="00661CEA">
        <w:rPr>
          <w:rFonts w:ascii="Times New Roman" w:hAnsi="Times New Roman" w:cs="Times New Roman"/>
          <w:sz w:val="24"/>
          <w:szCs w:val="24"/>
          <w:shd w:val="clear" w:color="auto" w:fill="FFFFFF"/>
        </w:rPr>
        <w:t>United States Census Bureau</w:t>
      </w:r>
      <w:r>
        <w:rPr>
          <w:rFonts w:ascii="Times New Roman" w:hAnsi="Times New Roman" w:cs="Times New Roman"/>
          <w:sz w:val="24"/>
          <w:szCs w:val="24"/>
          <w:shd w:val="clear" w:color="auto" w:fill="FFFFFF"/>
        </w:rPr>
        <w:t xml:space="preserve"> (2000-2018). El importe de los salarios abonados en cada año se divide por la cantidad de empleados registrados en el mismo período, y se calcula el salario promedio para cada año.</w:t>
      </w: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- 2000</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5.652.544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7.070.048</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114.064.976</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3.879.430.052</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- 2001</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5.657.774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7.095.302</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115.061.184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3.989.086.323</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- 2002</w:t>
      </w:r>
    </w:p>
    <w:tbl>
      <w:tblPr>
        <w:tblW w:w="6020" w:type="dxa"/>
        <w:tblInd w:w="55" w:type="dxa"/>
        <w:tblCellMar>
          <w:left w:w="70" w:type="dxa"/>
          <w:right w:w="70" w:type="dxa"/>
        </w:tblCellMar>
        <w:tblLook w:val="04A0"/>
      </w:tblPr>
      <w:tblGrid>
        <w:gridCol w:w="2180"/>
        <w:gridCol w:w="2180"/>
        <w:gridCol w:w="1660"/>
      </w:tblGrid>
      <w:tr w:rsidR="006E5D75" w:rsidRPr="00A77801"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5.697.759</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7.200.770</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112.400.654</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3.943.179.606</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Receipts ($1,000)</w:t>
            </w:r>
          </w:p>
        </w:tc>
        <w:tc>
          <w:tcPr>
            <w:tcW w:w="166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22.062.528.196</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- 2003</w:t>
      </w:r>
    </w:p>
    <w:tbl>
      <w:tblPr>
        <w:tblW w:w="5700" w:type="dxa"/>
        <w:tblInd w:w="55" w:type="dxa"/>
        <w:tblCellMar>
          <w:left w:w="70" w:type="dxa"/>
          <w:right w:w="70" w:type="dxa"/>
        </w:tblCellMar>
        <w:tblLook w:val="04A0"/>
      </w:tblPr>
      <w:tblGrid>
        <w:gridCol w:w="2180"/>
        <w:gridCol w:w="2180"/>
        <w:gridCol w:w="1340"/>
      </w:tblGrid>
      <w:tr w:rsidR="006E5D75" w:rsidRPr="00A77801"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6E5D75" w:rsidRPr="00A77801"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A77801" w:rsidRDefault="006E5D75" w:rsidP="006E5D75">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5.767.127</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7.254.745</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113.398.043</w:t>
            </w:r>
          </w:p>
        </w:tc>
      </w:tr>
      <w:tr w:rsidR="006E5D75" w:rsidRPr="00A77801" w:rsidTr="006E5D75">
        <w:trPr>
          <w:trHeight w:val="225"/>
        </w:trPr>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A77801" w:rsidRDefault="006E5D75" w:rsidP="006E5D75">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4.040.888.841</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- 2004</w:t>
      </w:r>
    </w:p>
    <w:tbl>
      <w:tblPr>
        <w:tblW w:w="5700" w:type="dxa"/>
        <w:tblInd w:w="55" w:type="dxa"/>
        <w:tblCellMar>
          <w:left w:w="70" w:type="dxa"/>
          <w:right w:w="70" w:type="dxa"/>
        </w:tblCellMar>
        <w:tblLook w:val="04A0"/>
      </w:tblPr>
      <w:tblGrid>
        <w:gridCol w:w="2180"/>
        <w:gridCol w:w="2180"/>
        <w:gridCol w:w="1340"/>
      </w:tblGrid>
      <w:tr w:rsidR="006E5D75" w:rsidRPr="00D117D9"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6E5D75" w:rsidRPr="00D117D9"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D117D9" w:rsidRDefault="006E5D75" w:rsidP="006E5D75">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5.885.784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7.387.724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115.074.924</w:t>
            </w:r>
          </w:p>
        </w:tc>
      </w:tr>
      <w:tr w:rsidR="006E5D75" w:rsidRPr="00D117D9" w:rsidTr="006E5D75">
        <w:trPr>
          <w:trHeight w:val="225"/>
        </w:trPr>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6E5D75" w:rsidRPr="00D117D9" w:rsidRDefault="006E5D75" w:rsidP="006E5D75">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4.253.995.732</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- 2005</w:t>
      </w:r>
    </w:p>
    <w:tbl>
      <w:tblPr>
        <w:tblW w:w="5900" w:type="dxa"/>
        <w:tblInd w:w="55" w:type="dxa"/>
        <w:tblCellMar>
          <w:left w:w="70" w:type="dxa"/>
          <w:right w:w="70" w:type="dxa"/>
        </w:tblCellMar>
        <w:tblLook w:val="04A0"/>
      </w:tblPr>
      <w:tblGrid>
        <w:gridCol w:w="2180"/>
        <w:gridCol w:w="2180"/>
        <w:gridCol w:w="1540"/>
      </w:tblGrid>
      <w:tr w:rsidR="006E5D75" w:rsidRPr="00F71F26"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5.983.546</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7.499.702</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116.317.003</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4.482.722.481</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- 2006</w:t>
      </w:r>
    </w:p>
    <w:tbl>
      <w:tblPr>
        <w:tblW w:w="5900" w:type="dxa"/>
        <w:tblInd w:w="55" w:type="dxa"/>
        <w:tblCellMar>
          <w:left w:w="70" w:type="dxa"/>
          <w:right w:w="70" w:type="dxa"/>
        </w:tblCellMar>
        <w:tblLook w:val="04A0"/>
      </w:tblPr>
      <w:tblGrid>
        <w:gridCol w:w="2180"/>
        <w:gridCol w:w="2180"/>
        <w:gridCol w:w="1540"/>
      </w:tblGrid>
      <w:tr w:rsidR="006E5D75" w:rsidRPr="00F71F26" w:rsidTr="006E5D75">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6E5D75" w:rsidRPr="00F71F26" w:rsidTr="006E5D75">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6.022.127</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7.601.160</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119.917.165</w:t>
            </w:r>
          </w:p>
        </w:tc>
      </w:tr>
      <w:tr w:rsidR="006E5D75" w:rsidRPr="00F71F26" w:rsidTr="006E5D75">
        <w:trPr>
          <w:trHeight w:val="225"/>
        </w:trPr>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4.792.429.911</w:t>
            </w:r>
          </w:p>
        </w:tc>
      </w:tr>
    </w:tbl>
    <w:p w:rsidR="006E5D75" w:rsidRDefault="006E5D75" w:rsidP="006E5D75">
      <w:pPr>
        <w:rPr>
          <w:rFonts w:ascii="Times New Roman" w:hAnsi="Times New Roman" w:cs="Times New Roman"/>
          <w:b/>
          <w:sz w:val="24"/>
          <w:szCs w:val="24"/>
          <w:lang w:val="en-US"/>
        </w:rPr>
        <w:sectPr w:rsidR="006E5D75" w:rsidSect="006E5D75">
          <w:pgSz w:w="11906" w:h="16838"/>
          <w:pgMar w:top="1440" w:right="1440" w:bottom="1440" w:left="1440" w:header="709" w:footer="709" w:gutter="0"/>
          <w:cols w:space="708"/>
          <w:docGrid w:linePitch="360"/>
        </w:sect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- 2007</w:t>
      </w:r>
    </w:p>
    <w:tbl>
      <w:tblPr>
        <w:tblW w:w="13220" w:type="dxa"/>
        <w:tblInd w:w="55" w:type="dxa"/>
        <w:tblCellMar>
          <w:left w:w="70" w:type="dxa"/>
          <w:right w:w="70" w:type="dxa"/>
        </w:tblCellMar>
        <w:tblLook w:val="04A0"/>
      </w:tblPr>
      <w:tblGrid>
        <w:gridCol w:w="2180"/>
        <w:gridCol w:w="1340"/>
        <w:gridCol w:w="1340"/>
        <w:gridCol w:w="1660"/>
        <w:gridCol w:w="1340"/>
        <w:gridCol w:w="1340"/>
        <w:gridCol w:w="1340"/>
        <w:gridCol w:w="1340"/>
        <w:gridCol w:w="1340"/>
      </w:tblGrid>
      <w:tr w:rsidR="006E5D75" w:rsidRPr="00F71F26"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ANNUAL PAYROLL </w:t>
            </w:r>
            <w:r w:rsidRPr="00F71F26">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F71F26" w:rsidRDefault="006E5D75" w:rsidP="006E5D75">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RECEIPTS </w:t>
            </w:r>
            <w:r w:rsidRPr="00F71F26">
              <w:rPr>
                <w:rFonts w:ascii="Arial" w:eastAsia="Times New Roman" w:hAnsi="Arial" w:cs="Arial"/>
                <w:b/>
                <w:bCs/>
                <w:color w:val="FF0000"/>
                <w:sz w:val="16"/>
                <w:szCs w:val="16"/>
                <w:lang w:eastAsia="es-ES"/>
              </w:rPr>
              <w:t>($1,000)</w:t>
            </w:r>
          </w:p>
        </w:tc>
      </w:tr>
      <w:tr w:rsidR="006E5D75" w:rsidRPr="00F71F26"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r>
      <w:tr w:rsidR="006E5D75" w:rsidRPr="00F71F26"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F71F26" w:rsidRDefault="006E5D75" w:rsidP="006E5D75">
            <w:pPr>
              <w:spacing w:after="0" w:line="240" w:lineRule="auto"/>
              <w:rPr>
                <w:rFonts w:ascii="Arial" w:eastAsia="Times New Roman" w:hAnsi="Arial" w:cs="Arial"/>
                <w:b/>
                <w:bCs/>
                <w:color w:val="000000"/>
                <w:sz w:val="16"/>
                <w:szCs w:val="16"/>
                <w:lang w:eastAsia="es-ES"/>
              </w:rPr>
            </w:pPr>
          </w:p>
        </w:tc>
      </w:tr>
      <w:tr w:rsidR="006E5D75" w:rsidRPr="00F71F26"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6.049.655</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7.705.018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120.604.265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5.026.778.232</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F71F26" w:rsidRDefault="006E5D75" w:rsidP="006E5D75">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29.746.741.904</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- 2008</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5.930.132</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7.601.169</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120.903.551</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5.130.509.178</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- 2009</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5.767.306</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7.433.465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114.509.626</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4.855.545.239</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- 2010</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5.734.538</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7.396.628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111.970.095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4.940.983.369</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- 2011</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5.684.424</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7.354.043</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113.425.965</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5.164.897.905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- 2012</w:t>
      </w:r>
    </w:p>
    <w:tbl>
      <w:tblPr>
        <w:tblW w:w="13220" w:type="dxa"/>
        <w:tblInd w:w="55" w:type="dxa"/>
        <w:tblCellMar>
          <w:left w:w="70" w:type="dxa"/>
          <w:right w:w="70" w:type="dxa"/>
        </w:tblCellMar>
        <w:tblLook w:val="04A0"/>
      </w:tblPr>
      <w:tblGrid>
        <w:gridCol w:w="2180"/>
        <w:gridCol w:w="1340"/>
        <w:gridCol w:w="1340"/>
        <w:gridCol w:w="1660"/>
        <w:gridCol w:w="1340"/>
        <w:gridCol w:w="134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RECEIPTS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5.726.160</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7.431.808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115.938.468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5.414.255.995</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32.637.809.977</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- 2013</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5.775.055</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7.488.353</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118.266.253</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5.621.697.325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- 2014</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5.825.458</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7.563.084</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121.069.944</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5.940.186.911</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- 2015</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5.900.731</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7.663.938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124.085.947</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6.253.488.252</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- 2016</w:t>
      </w:r>
    </w:p>
    <w:tbl>
      <w:tblPr>
        <w:tblW w:w="10540" w:type="dxa"/>
        <w:tblInd w:w="55" w:type="dxa"/>
        <w:tblCellMar>
          <w:left w:w="70" w:type="dxa"/>
          <w:right w:w="70" w:type="dxa"/>
        </w:tblCellMar>
        <w:tblLook w:val="04A0"/>
      </w:tblPr>
      <w:tblGrid>
        <w:gridCol w:w="2180"/>
        <w:gridCol w:w="1340"/>
        <w:gridCol w:w="1340"/>
        <w:gridCol w:w="1660"/>
        <w:gridCol w:w="1340"/>
        <w:gridCol w:w="1340"/>
        <w:gridCol w:w="1340"/>
      </w:tblGrid>
      <w:tr w:rsidR="006E5D75" w:rsidRPr="002D13DD" w:rsidTr="006E5D75">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5.954.684</w:t>
            </w:r>
          </w:p>
        </w:tc>
        <w:tc>
          <w:tcPr>
            <w:tcW w:w="166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7.757.807</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126.752.238</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6.435.142.055</w:t>
            </w:r>
          </w:p>
        </w:tc>
      </w:tr>
    </w:tbl>
    <w:p w:rsidR="006E5D75" w:rsidRDefault="006E5D75" w:rsidP="006E5D75">
      <w:pPr>
        <w:rPr>
          <w:rFonts w:ascii="Times New Roman" w:hAnsi="Times New Roman" w:cs="Times New Roman"/>
          <w:b/>
          <w:sz w:val="24"/>
          <w:szCs w:val="24"/>
          <w:lang w:val="en-US"/>
        </w:rPr>
      </w:pPr>
    </w:p>
    <w:p w:rsidR="006E5D75" w:rsidRDefault="006E5D75" w:rsidP="006E5D75">
      <w:pPr>
        <w:rPr>
          <w:rFonts w:ascii="Times New Roman" w:hAnsi="Times New Roman" w:cs="Times New Roman"/>
          <w:b/>
          <w:sz w:val="24"/>
          <w:szCs w:val="24"/>
          <w:lang w:val="en-US"/>
        </w:rPr>
      </w:pPr>
      <w:r>
        <w:rPr>
          <w:rFonts w:ascii="Times New Roman" w:hAnsi="Times New Roman" w:cs="Times New Roman"/>
          <w:b/>
          <w:sz w:val="24"/>
          <w:szCs w:val="24"/>
          <w:lang w:val="en-US"/>
        </w:rPr>
        <w:t>Employment - 2017</w:t>
      </w:r>
    </w:p>
    <w:tbl>
      <w:tblPr>
        <w:tblW w:w="11060" w:type="dxa"/>
        <w:tblInd w:w="55" w:type="dxa"/>
        <w:tblCellMar>
          <w:left w:w="70" w:type="dxa"/>
          <w:right w:w="70" w:type="dxa"/>
        </w:tblCellMar>
        <w:tblLook w:val="04A0"/>
      </w:tblPr>
      <w:tblGrid>
        <w:gridCol w:w="2120"/>
        <w:gridCol w:w="1480"/>
        <w:gridCol w:w="1200"/>
        <w:gridCol w:w="1900"/>
        <w:gridCol w:w="1440"/>
        <w:gridCol w:w="1480"/>
        <w:gridCol w:w="1440"/>
      </w:tblGrid>
      <w:tr w:rsidR="006E5D75" w:rsidRPr="002D13DD" w:rsidTr="006E5D75">
        <w:trPr>
          <w:trHeight w:val="300"/>
        </w:trPr>
        <w:tc>
          <w:tcPr>
            <w:tcW w:w="21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6E5D75" w:rsidRPr="002D13DD" w:rsidRDefault="006E5D75" w:rsidP="006E5D75">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6E5D75" w:rsidRPr="002D13DD" w:rsidTr="006E5D75">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6E5D75" w:rsidRPr="002D13DD" w:rsidRDefault="006E5D75" w:rsidP="006E5D75">
            <w:pPr>
              <w:spacing w:after="0" w:line="240" w:lineRule="auto"/>
              <w:rPr>
                <w:rFonts w:ascii="Arial" w:eastAsia="Times New Roman" w:hAnsi="Arial" w:cs="Arial"/>
                <w:b/>
                <w:bCs/>
                <w:color w:val="000000"/>
                <w:sz w:val="16"/>
                <w:szCs w:val="16"/>
                <w:lang w:eastAsia="es-ES"/>
              </w:rPr>
            </w:pPr>
          </w:p>
        </w:tc>
      </w:tr>
      <w:tr w:rsidR="006E5D75" w:rsidRPr="002D13DD" w:rsidTr="006E5D75">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48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20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5.996.900</w:t>
            </w:r>
          </w:p>
        </w:tc>
        <w:tc>
          <w:tcPr>
            <w:tcW w:w="190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7.860.674</w:t>
            </w:r>
          </w:p>
        </w:tc>
        <w:tc>
          <w:tcPr>
            <w:tcW w:w="14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128.591.812</w:t>
            </w:r>
          </w:p>
        </w:tc>
        <w:tc>
          <w:tcPr>
            <w:tcW w:w="148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440" w:type="dxa"/>
            <w:tcBorders>
              <w:top w:val="nil"/>
              <w:left w:val="nil"/>
              <w:bottom w:val="single" w:sz="4" w:space="0" w:color="auto"/>
              <w:right w:val="single" w:sz="4" w:space="0" w:color="auto"/>
            </w:tcBorders>
            <w:shd w:val="clear" w:color="auto" w:fill="auto"/>
            <w:noWrap/>
            <w:vAlign w:val="bottom"/>
            <w:hideMark/>
          </w:tcPr>
          <w:p w:rsidR="006E5D75" w:rsidRPr="002D13DD" w:rsidRDefault="006E5D75" w:rsidP="006E5D75">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6.725.346.754</w:t>
            </w:r>
          </w:p>
        </w:tc>
      </w:tr>
    </w:tbl>
    <w:p w:rsidR="006E5D75" w:rsidRDefault="006E5D75" w:rsidP="006E5D75">
      <w:pPr>
        <w:rPr>
          <w:rFonts w:ascii="Times New Roman" w:hAnsi="Times New Roman" w:cs="Times New Roman"/>
          <w:b/>
          <w:sz w:val="24"/>
          <w:szCs w:val="24"/>
          <w:lang w:val="en-US"/>
        </w:rPr>
      </w:pPr>
    </w:p>
    <w:p w:rsidR="006E5D75" w:rsidRPr="00302903" w:rsidRDefault="006E5D75" w:rsidP="006E5D75">
      <w:pPr>
        <w:jc w:val="both"/>
        <w:rPr>
          <w:rFonts w:ascii="Times New Roman" w:hAnsi="Times New Roman" w:cs="Times New Roman"/>
          <w:sz w:val="24"/>
          <w:szCs w:val="24"/>
        </w:rPr>
      </w:pPr>
      <w:r w:rsidRPr="00302903">
        <w:rPr>
          <w:rFonts w:ascii="Times New Roman" w:hAnsi="Times New Roman" w:cs="Times New Roman"/>
          <w:b/>
          <w:sz w:val="24"/>
          <w:szCs w:val="24"/>
        </w:rPr>
        <w:t xml:space="preserve">Año 2000 - EEUU: </w:t>
      </w:r>
      <w:r w:rsidRPr="00302903">
        <w:rPr>
          <w:rFonts w:ascii="Times New Roman" w:hAnsi="Times New Roman" w:cs="Times New Roman"/>
          <w:sz w:val="24"/>
          <w:szCs w:val="24"/>
        </w:rPr>
        <w:t xml:space="preserve">3.879,4 (m. </w:t>
      </w:r>
      <w:r>
        <w:rPr>
          <w:rFonts w:ascii="Times New Roman" w:hAnsi="Times New Roman" w:cs="Times New Roman"/>
          <w:sz w:val="24"/>
          <w:szCs w:val="24"/>
        </w:rPr>
        <w:t xml:space="preserve">de mil. de dólares) / 114,1 (millones de trab.) = 34.000 US$ </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2001</w:t>
      </w:r>
      <w:r w:rsidRPr="00302903">
        <w:rPr>
          <w:rFonts w:ascii="Times New Roman" w:hAnsi="Times New Roman" w:cs="Times New Roman"/>
          <w:b/>
          <w:sz w:val="24"/>
          <w:szCs w:val="24"/>
        </w:rPr>
        <w:t xml:space="preserve"> - EEUU:</w:t>
      </w:r>
      <w:r>
        <w:rPr>
          <w:rFonts w:ascii="Times New Roman" w:hAnsi="Times New Roman" w:cs="Times New Roman"/>
          <w:sz w:val="24"/>
          <w:szCs w:val="24"/>
        </w:rPr>
        <w:t>3.989,1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34.658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(2001 vs. 2000):   658 dólares </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2002</w:t>
      </w:r>
      <w:r w:rsidRPr="00302903">
        <w:rPr>
          <w:rFonts w:ascii="Times New Roman" w:hAnsi="Times New Roman" w:cs="Times New Roman"/>
          <w:b/>
          <w:sz w:val="24"/>
          <w:szCs w:val="24"/>
        </w:rPr>
        <w:t xml:space="preserve"> - EEUU:</w:t>
      </w:r>
      <w:r>
        <w:rPr>
          <w:rFonts w:ascii="Times New Roman" w:hAnsi="Times New Roman" w:cs="Times New Roman"/>
          <w:sz w:val="24"/>
          <w:szCs w:val="24"/>
        </w:rPr>
        <w:t>3.943,2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112,4 (millones de trab.) = 35.082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(2002 vs. 2000): </w:t>
      </w:r>
      <w:r>
        <w:rPr>
          <w:rFonts w:ascii="Times New Roman" w:hAnsi="Times New Roman" w:cs="Times New Roman"/>
          <w:sz w:val="24"/>
          <w:szCs w:val="24"/>
        </w:rPr>
        <w:t xml:space="preserve">1.052 dólares </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lastRenderedPageBreak/>
        <w:t>Año 2003</w:t>
      </w:r>
      <w:r w:rsidRPr="00302903">
        <w:rPr>
          <w:rFonts w:ascii="Times New Roman" w:hAnsi="Times New Roman" w:cs="Times New Roman"/>
          <w:b/>
          <w:sz w:val="24"/>
          <w:szCs w:val="24"/>
        </w:rPr>
        <w:t xml:space="preserve"> - EEUU:</w:t>
      </w:r>
      <w:r>
        <w:rPr>
          <w:rFonts w:ascii="Times New Roman" w:hAnsi="Times New Roman" w:cs="Times New Roman"/>
          <w:sz w:val="24"/>
          <w:szCs w:val="24"/>
        </w:rPr>
        <w:t>4.040,9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35.634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(2003 vs. 2000): 1.634 dólares </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2004</w:t>
      </w:r>
      <w:r w:rsidRPr="00302903">
        <w:rPr>
          <w:rFonts w:ascii="Times New Roman" w:hAnsi="Times New Roman" w:cs="Times New Roman"/>
          <w:b/>
          <w:sz w:val="24"/>
          <w:szCs w:val="24"/>
        </w:rPr>
        <w:t xml:space="preserve"> - EEUU:</w:t>
      </w:r>
      <w:r>
        <w:rPr>
          <w:rFonts w:ascii="Times New Roman" w:hAnsi="Times New Roman" w:cs="Times New Roman"/>
          <w:sz w:val="24"/>
          <w:szCs w:val="24"/>
        </w:rPr>
        <w:t>4.254,0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36.959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(2004 vs. 2000): 2.559 dólares </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2005</w:t>
      </w:r>
      <w:r w:rsidRPr="00302903">
        <w:rPr>
          <w:rFonts w:ascii="Times New Roman" w:hAnsi="Times New Roman" w:cs="Times New Roman"/>
          <w:b/>
          <w:sz w:val="24"/>
          <w:szCs w:val="24"/>
        </w:rPr>
        <w:t xml:space="preserve"> - EEUU:</w:t>
      </w:r>
      <w:r>
        <w:rPr>
          <w:rFonts w:ascii="Times New Roman" w:hAnsi="Times New Roman" w:cs="Times New Roman"/>
          <w:sz w:val="24"/>
          <w:szCs w:val="24"/>
        </w:rPr>
        <w:t>4.482,7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116,3 (millones de trab.) = 38.544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(2005 vs. 2000): </w:t>
      </w:r>
      <w:r>
        <w:rPr>
          <w:rFonts w:ascii="Times New Roman" w:hAnsi="Times New Roman" w:cs="Times New Roman"/>
          <w:sz w:val="24"/>
          <w:szCs w:val="24"/>
        </w:rPr>
        <w:t>4.544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2006</w:t>
      </w:r>
      <w:r w:rsidRPr="00302903">
        <w:rPr>
          <w:rFonts w:ascii="Times New Roman" w:hAnsi="Times New Roman" w:cs="Times New Roman"/>
          <w:b/>
          <w:sz w:val="24"/>
          <w:szCs w:val="24"/>
        </w:rPr>
        <w:t xml:space="preserve"> - EEUU:</w:t>
      </w:r>
      <w:r>
        <w:rPr>
          <w:rFonts w:ascii="Times New Roman" w:hAnsi="Times New Roman" w:cs="Times New Roman"/>
          <w:sz w:val="24"/>
          <w:szCs w:val="24"/>
        </w:rPr>
        <w:t>4.792,4</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120,0 (millones de trab.) = 39.937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(2006 vs. 2000): </w:t>
      </w:r>
      <w:r>
        <w:rPr>
          <w:rFonts w:ascii="Times New Roman" w:hAnsi="Times New Roman" w:cs="Times New Roman"/>
          <w:sz w:val="24"/>
          <w:szCs w:val="24"/>
        </w:rPr>
        <w:t>5.937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2007</w:t>
      </w:r>
      <w:r w:rsidRPr="00302903">
        <w:rPr>
          <w:rFonts w:ascii="Times New Roman" w:hAnsi="Times New Roman" w:cs="Times New Roman"/>
          <w:b/>
          <w:sz w:val="24"/>
          <w:szCs w:val="24"/>
        </w:rPr>
        <w:t xml:space="preserve"> - EEUU:</w:t>
      </w:r>
      <w:r>
        <w:rPr>
          <w:rFonts w:ascii="Times New Roman" w:hAnsi="Times New Roman" w:cs="Times New Roman"/>
          <w:sz w:val="24"/>
          <w:szCs w:val="24"/>
        </w:rPr>
        <w:t>5.026,8</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120,6 (millones de trab.) = 41.682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(2007 vs. 2000): </w:t>
      </w:r>
      <w:r>
        <w:rPr>
          <w:rFonts w:ascii="Times New Roman" w:hAnsi="Times New Roman" w:cs="Times New Roman"/>
          <w:sz w:val="24"/>
          <w:szCs w:val="24"/>
        </w:rPr>
        <w:t>7.682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2008</w:t>
      </w:r>
      <w:r w:rsidRPr="00302903">
        <w:rPr>
          <w:rFonts w:ascii="Times New Roman" w:hAnsi="Times New Roman" w:cs="Times New Roman"/>
          <w:b/>
          <w:sz w:val="24"/>
          <w:szCs w:val="24"/>
        </w:rPr>
        <w:t xml:space="preserve"> - EEUU:</w:t>
      </w:r>
      <w:r>
        <w:rPr>
          <w:rFonts w:ascii="Times New Roman" w:hAnsi="Times New Roman" w:cs="Times New Roman"/>
          <w:sz w:val="24"/>
          <w:szCs w:val="24"/>
        </w:rPr>
        <w:t>5.130,5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120,9 (millones de trab.) = 42.436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(2008 vs. 2000): </w:t>
      </w:r>
      <w:r>
        <w:rPr>
          <w:rFonts w:ascii="Times New Roman" w:hAnsi="Times New Roman" w:cs="Times New Roman"/>
          <w:sz w:val="24"/>
          <w:szCs w:val="24"/>
        </w:rPr>
        <w:t>8.436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2009</w:t>
      </w:r>
      <w:r w:rsidRPr="00302903">
        <w:rPr>
          <w:rFonts w:ascii="Times New Roman" w:hAnsi="Times New Roman" w:cs="Times New Roman"/>
          <w:b/>
          <w:sz w:val="24"/>
          <w:szCs w:val="24"/>
        </w:rPr>
        <w:t xml:space="preserve"> - EEUU:</w:t>
      </w:r>
      <w:r>
        <w:rPr>
          <w:rFonts w:ascii="Times New Roman" w:hAnsi="Times New Roman" w:cs="Times New Roman"/>
          <w:sz w:val="24"/>
          <w:szCs w:val="24"/>
        </w:rPr>
        <w:t>4.855,5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114,5 (millones de trab.) = 42.406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(2009 vs. 2000): </w:t>
      </w:r>
      <w:r>
        <w:rPr>
          <w:rFonts w:ascii="Times New Roman" w:hAnsi="Times New Roman" w:cs="Times New Roman"/>
          <w:sz w:val="24"/>
          <w:szCs w:val="24"/>
        </w:rPr>
        <w:t>8.406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2010</w:t>
      </w:r>
      <w:r w:rsidRPr="00302903">
        <w:rPr>
          <w:rFonts w:ascii="Times New Roman" w:hAnsi="Times New Roman" w:cs="Times New Roman"/>
          <w:b/>
          <w:sz w:val="24"/>
          <w:szCs w:val="24"/>
        </w:rPr>
        <w:t xml:space="preserve"> - EEUU:</w:t>
      </w:r>
      <w:r>
        <w:rPr>
          <w:rFonts w:ascii="Times New Roman" w:hAnsi="Times New Roman" w:cs="Times New Roman"/>
          <w:sz w:val="24"/>
          <w:szCs w:val="24"/>
        </w:rPr>
        <w:t>4.941,0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112,0 (millones de trab.) = 44.116 US$</w:t>
      </w:r>
    </w:p>
    <w:p w:rsidR="006E5D75"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(2010 vs. 2000): 10.116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2011</w:t>
      </w:r>
      <w:r w:rsidRPr="00302903">
        <w:rPr>
          <w:rFonts w:ascii="Times New Roman" w:hAnsi="Times New Roman" w:cs="Times New Roman"/>
          <w:b/>
          <w:sz w:val="24"/>
          <w:szCs w:val="24"/>
        </w:rPr>
        <w:t xml:space="preserve"> - EEUU:</w:t>
      </w:r>
      <w:r>
        <w:rPr>
          <w:rFonts w:ascii="Times New Roman" w:hAnsi="Times New Roman" w:cs="Times New Roman"/>
          <w:sz w:val="24"/>
          <w:szCs w:val="24"/>
        </w:rPr>
        <w:t>5.164,9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45.546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(2011 vs. 2000): </w:t>
      </w:r>
      <w:r>
        <w:rPr>
          <w:rFonts w:ascii="Times New Roman" w:hAnsi="Times New Roman" w:cs="Times New Roman"/>
          <w:sz w:val="24"/>
          <w:szCs w:val="24"/>
        </w:rPr>
        <w:t>11.546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2012</w:t>
      </w:r>
      <w:r w:rsidRPr="00302903">
        <w:rPr>
          <w:rFonts w:ascii="Times New Roman" w:hAnsi="Times New Roman" w:cs="Times New Roman"/>
          <w:b/>
          <w:sz w:val="24"/>
          <w:szCs w:val="24"/>
        </w:rPr>
        <w:t xml:space="preserve"> - EEUU:</w:t>
      </w:r>
      <w:r>
        <w:rPr>
          <w:rFonts w:ascii="Times New Roman" w:hAnsi="Times New Roman" w:cs="Times New Roman"/>
          <w:sz w:val="24"/>
          <w:szCs w:val="24"/>
        </w:rPr>
        <w:t>5.414,3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115,9 (millones de trab.) = 46.715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(2012 vs. 2000): </w:t>
      </w:r>
      <w:r>
        <w:rPr>
          <w:rFonts w:ascii="Times New Roman" w:hAnsi="Times New Roman" w:cs="Times New Roman"/>
          <w:sz w:val="24"/>
          <w:szCs w:val="24"/>
        </w:rPr>
        <w:t>12.715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2013</w:t>
      </w:r>
      <w:r w:rsidRPr="00302903">
        <w:rPr>
          <w:rFonts w:ascii="Times New Roman" w:hAnsi="Times New Roman" w:cs="Times New Roman"/>
          <w:b/>
          <w:sz w:val="24"/>
          <w:szCs w:val="24"/>
        </w:rPr>
        <w:t xml:space="preserve"> - EEUU:</w:t>
      </w:r>
      <w:r>
        <w:rPr>
          <w:rFonts w:ascii="Times New Roman" w:hAnsi="Times New Roman" w:cs="Times New Roman"/>
          <w:sz w:val="24"/>
          <w:szCs w:val="24"/>
        </w:rPr>
        <w:t>5.621,7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118,3 (millones de trab.) = 47.521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(2013 vs. 2000): </w:t>
      </w:r>
      <w:r>
        <w:rPr>
          <w:rFonts w:ascii="Times New Roman" w:hAnsi="Times New Roman" w:cs="Times New Roman"/>
          <w:sz w:val="24"/>
          <w:szCs w:val="24"/>
        </w:rPr>
        <w:t>13.521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2014</w:t>
      </w:r>
      <w:r w:rsidRPr="00302903">
        <w:rPr>
          <w:rFonts w:ascii="Times New Roman" w:hAnsi="Times New Roman" w:cs="Times New Roman"/>
          <w:b/>
          <w:sz w:val="24"/>
          <w:szCs w:val="24"/>
        </w:rPr>
        <w:t xml:space="preserve"> - EEUU:</w:t>
      </w:r>
      <w:r>
        <w:rPr>
          <w:rFonts w:ascii="Times New Roman" w:hAnsi="Times New Roman" w:cs="Times New Roman"/>
          <w:sz w:val="24"/>
          <w:szCs w:val="24"/>
        </w:rPr>
        <w:t>5.940,2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121,1 (millones de trab.) = 49.052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(2014 vs. 2000): </w:t>
      </w:r>
      <w:r>
        <w:rPr>
          <w:rFonts w:ascii="Times New Roman" w:hAnsi="Times New Roman" w:cs="Times New Roman"/>
          <w:sz w:val="24"/>
          <w:szCs w:val="24"/>
        </w:rPr>
        <w:t>15.052 dólares</w:t>
      </w:r>
    </w:p>
    <w:p w:rsidR="006E5D75" w:rsidRDefault="006E5D75" w:rsidP="006E5D75">
      <w:pPr>
        <w:jc w:val="both"/>
        <w:rPr>
          <w:rFonts w:ascii="Times New Roman" w:hAnsi="Times New Roman" w:cs="Times New Roman"/>
          <w:sz w:val="24"/>
          <w:szCs w:val="24"/>
        </w:rPr>
      </w:pPr>
      <w:r>
        <w:rPr>
          <w:rFonts w:ascii="Times New Roman" w:hAnsi="Times New Roman" w:cs="Times New Roman"/>
          <w:b/>
          <w:sz w:val="24"/>
          <w:szCs w:val="24"/>
        </w:rPr>
        <w:t>Año 2015</w:t>
      </w:r>
      <w:r w:rsidRPr="00302903">
        <w:rPr>
          <w:rFonts w:ascii="Times New Roman" w:hAnsi="Times New Roman" w:cs="Times New Roman"/>
          <w:b/>
          <w:sz w:val="24"/>
          <w:szCs w:val="24"/>
        </w:rPr>
        <w:t xml:space="preserve"> - EEUU:</w:t>
      </w:r>
      <w:r>
        <w:rPr>
          <w:rFonts w:ascii="Times New Roman" w:hAnsi="Times New Roman" w:cs="Times New Roman"/>
          <w:sz w:val="24"/>
          <w:szCs w:val="24"/>
        </w:rPr>
        <w:t>6.253,5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124,1 (millones de trab.) = 50.391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(2015 vs. 2000): 16.391 dólares</w:t>
      </w:r>
    </w:p>
    <w:p w:rsidR="006E5D75" w:rsidRDefault="006E5D75" w:rsidP="006E5D75">
      <w:pPr>
        <w:jc w:val="both"/>
        <w:rPr>
          <w:rFonts w:ascii="Times New Roman" w:hAnsi="Times New Roman" w:cs="Times New Roman"/>
          <w:sz w:val="24"/>
          <w:szCs w:val="24"/>
        </w:rPr>
      </w:pPr>
      <w:r w:rsidRPr="00302903">
        <w:rPr>
          <w:rFonts w:ascii="Times New Roman" w:hAnsi="Times New Roman" w:cs="Times New Roman"/>
          <w:b/>
          <w:sz w:val="24"/>
          <w:szCs w:val="24"/>
        </w:rPr>
        <w:t>Año 2016 - EEUU:</w:t>
      </w:r>
      <w:r>
        <w:rPr>
          <w:rFonts w:ascii="Times New Roman" w:hAnsi="Times New Roman" w:cs="Times New Roman"/>
          <w:sz w:val="24"/>
          <w:szCs w:val="24"/>
        </w:rPr>
        <w:t>6.435,1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126,8 (millones de trab.) = 50.750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shd w:val="clear" w:color="auto" w:fill="FFFFFF"/>
        </w:rPr>
        <w:t xml:space="preserve">Variación (2016 vs. 2000): </w:t>
      </w:r>
      <w:r>
        <w:rPr>
          <w:rFonts w:ascii="Times New Roman" w:hAnsi="Times New Roman" w:cs="Times New Roman"/>
          <w:sz w:val="24"/>
          <w:szCs w:val="24"/>
        </w:rPr>
        <w:t>16.750 dólares</w:t>
      </w:r>
    </w:p>
    <w:p w:rsidR="006E5D75" w:rsidRDefault="006E5D75" w:rsidP="006E5D75">
      <w:pPr>
        <w:jc w:val="both"/>
        <w:rPr>
          <w:rFonts w:ascii="Times New Roman" w:hAnsi="Times New Roman" w:cs="Times New Roman"/>
          <w:sz w:val="24"/>
          <w:szCs w:val="24"/>
        </w:rPr>
      </w:pPr>
      <w:r w:rsidRPr="00302903">
        <w:rPr>
          <w:rFonts w:ascii="Times New Roman" w:hAnsi="Times New Roman" w:cs="Times New Roman"/>
          <w:b/>
          <w:sz w:val="24"/>
          <w:szCs w:val="24"/>
        </w:rPr>
        <w:t>Año 2017 - EEUU:</w:t>
      </w:r>
      <w:r>
        <w:rPr>
          <w:rFonts w:ascii="Times New Roman" w:hAnsi="Times New Roman" w:cs="Times New Roman"/>
          <w:sz w:val="24"/>
          <w:szCs w:val="24"/>
        </w:rPr>
        <w:t>6.725,3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128,6 (millones de trab.) = 52.296 US$</w:t>
      </w:r>
    </w:p>
    <w:p w:rsidR="006E5D75" w:rsidRPr="00302903" w:rsidRDefault="006E5D75" w:rsidP="006E5D75">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(2017 vs. 2000): </w:t>
      </w:r>
      <w:r>
        <w:rPr>
          <w:rFonts w:ascii="Times New Roman" w:hAnsi="Times New Roman" w:cs="Times New Roman"/>
          <w:sz w:val="24"/>
          <w:szCs w:val="24"/>
        </w:rPr>
        <w:t>18.296 dólares</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Alteración en </w:t>
      </w:r>
      <w:r>
        <w:rPr>
          <w:rFonts w:ascii="Times New Roman" w:hAnsi="Times New Roman" w:cs="Times New Roman"/>
          <w:b/>
          <w:color w:val="FF0000"/>
          <w:sz w:val="24"/>
          <w:szCs w:val="24"/>
          <w:shd w:val="clear" w:color="auto" w:fill="FFFFFF"/>
        </w:rPr>
        <w:t>la distribución de los ingresos</w:t>
      </w:r>
    </w:p>
    <w:p w:rsidR="006E5D75" w:rsidRPr="00002BEF" w:rsidRDefault="006E5D75" w:rsidP="006E5D75">
      <w:pPr>
        <w:spacing w:line="240" w:lineRule="auto"/>
        <w:jc w:val="both"/>
        <w:rPr>
          <w:rFonts w:ascii="Times New Roman" w:hAnsi="Times New Roman" w:cs="Times New Roman"/>
          <w:b/>
          <w:sz w:val="24"/>
          <w:szCs w:val="24"/>
          <w:shd w:val="clear" w:color="auto" w:fill="FFFFFF"/>
        </w:rPr>
      </w:pPr>
      <w:r w:rsidRPr="00002BEF">
        <w:rPr>
          <w:rFonts w:ascii="Times New Roman" w:hAnsi="Times New Roman" w:cs="Times New Roman"/>
          <w:b/>
          <w:sz w:val="24"/>
          <w:szCs w:val="24"/>
          <w:shd w:val="clear" w:color="auto" w:fill="FFFFFF"/>
        </w:rPr>
        <w:t>Europa</w:t>
      </w:r>
    </w:p>
    <w:p w:rsidR="006E5D75" w:rsidRDefault="006E5D75" w:rsidP="006E5D75">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Income quintile share ratio S80/S20 for disposable income - Eurostat (2004-2018). Años anteriores no disponibles.</w:t>
      </w:r>
    </w:p>
    <w:p w:rsidR="006E5D75" w:rsidRDefault="006E5D75" w:rsidP="006E5D75">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sidRPr="005019FF">
        <w:rPr>
          <w:rFonts w:ascii="Times New Roman" w:hAnsi="Times New Roman" w:cs="Times New Roman"/>
          <w:sz w:val="24"/>
          <w:szCs w:val="24"/>
          <w:shd w:val="clear" w:color="auto" w:fill="FFFFFF"/>
        </w:rPr>
        <w:t>Participación del 20% más pobre en el ingreso nacional</w:t>
      </w:r>
      <w:r>
        <w:rPr>
          <w:rFonts w:ascii="Times New Roman" w:hAnsi="Times New Roman" w:cs="Times New Roman"/>
          <w:sz w:val="24"/>
          <w:szCs w:val="24"/>
          <w:shd w:val="clear" w:color="auto" w:fill="FFFFFF"/>
        </w:rPr>
        <w:t xml:space="preserve"> (o regional). Interpretación del dato: Año 2004 Ratio 5,0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5</w:t>
      </w:r>
      <w:r w:rsidRPr="005019FF">
        <w:rPr>
          <w:rFonts w:ascii="Times New Roman" w:hAnsi="Times New Roman" w:cs="Times New Roman"/>
          <w:sz w:val="24"/>
          <w:szCs w:val="24"/>
          <w:shd w:val="clear" w:color="auto" w:fill="FFFFFF"/>
        </w:rPr>
        <w:t xml:space="preserve"> veces superior a la recibida por el quintil de renta más baja.</w:t>
      </w:r>
    </w:p>
    <w:p w:rsidR="006E5D75" w:rsidRDefault="006E5D75" w:rsidP="006E5D75">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val="en-GB" w:eastAsia="zh-CN"/>
        </w:rPr>
        <w:drawing>
          <wp:inline distT="0" distB="0" distL="0" distR="0">
            <wp:extent cx="5883088" cy="1646194"/>
            <wp:effectExtent l="0" t="0" r="381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900084" cy="165095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val="en-GB" w:eastAsia="zh-CN"/>
        </w:rPr>
        <w:drawing>
          <wp:inline distT="0" distB="0" distL="0" distR="0">
            <wp:extent cx="5909982" cy="1553135"/>
            <wp:effectExtent l="0" t="0" r="0" b="952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906209" cy="1552143"/>
                    </a:xfrm>
                    <a:prstGeom prst="rect">
                      <a:avLst/>
                    </a:prstGeom>
                  </pic:spPr>
                </pic:pic>
              </a:graphicData>
            </a:graphic>
          </wp:inline>
        </w:drawing>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w:t>
      </w:r>
      <w:r w:rsidRPr="001D24E3">
        <w:rPr>
          <w:rFonts w:ascii="Times New Roman" w:hAnsi="Times New Roman" w:cs="Times New Roman"/>
          <w:b/>
          <w:sz w:val="24"/>
          <w:szCs w:val="24"/>
          <w:shd w:val="clear" w:color="auto" w:fill="FFFFFF"/>
        </w:rPr>
        <w:t xml:space="preserve"> 2004 -</w:t>
      </w:r>
      <w:r>
        <w:rPr>
          <w:rFonts w:ascii="Times New Roman" w:hAnsi="Times New Roman" w:cs="Times New Roman"/>
          <w:b/>
          <w:sz w:val="24"/>
          <w:szCs w:val="24"/>
          <w:shd w:val="clear" w:color="auto" w:fill="FFFFFF"/>
        </w:rPr>
        <w:t xml:space="preserve"> EU-19: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5,0 - Año base para la comparación. Anteriores no disponibles.</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5,03 - Variación 2005-2004 =  6,0 %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4,95- Variación 2006-2004 = (1,0)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sidRPr="00EB4930">
        <w:rPr>
          <w:rFonts w:ascii="Times New Roman" w:hAnsi="Times New Roman" w:cs="Times New Roman"/>
          <w:sz w:val="24"/>
          <w:szCs w:val="24"/>
          <w:shd w:val="clear" w:color="auto" w:fill="FFFFFF"/>
        </w:rPr>
        <w:t>5,02</w:t>
      </w:r>
      <w:r>
        <w:rPr>
          <w:rFonts w:ascii="Times New Roman" w:hAnsi="Times New Roman" w:cs="Times New Roman"/>
          <w:sz w:val="24"/>
          <w:szCs w:val="24"/>
          <w:shd w:val="clear" w:color="auto" w:fill="FFFFFF"/>
        </w:rPr>
        <w:t xml:space="preserve"> - Variación 2007-2004 =  4,0 %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sidRPr="001D24E3">
        <w:rPr>
          <w:rFonts w:ascii="Times New Roman" w:hAnsi="Times New Roman" w:cs="Times New Roman"/>
          <w:sz w:val="24"/>
          <w:szCs w:val="24"/>
          <w:shd w:val="clear" w:color="auto" w:fill="FFFFFF"/>
        </w:rPr>
        <w:t>A</w:t>
      </w:r>
      <w:r>
        <w:rPr>
          <w:rFonts w:ascii="Times New Roman" w:hAnsi="Times New Roman" w:cs="Times New Roman"/>
          <w:b/>
          <w:sz w:val="24"/>
          <w:szCs w:val="24"/>
          <w:shd w:val="clear" w:color="auto" w:fill="FFFFFF"/>
        </w:rPr>
        <w:t>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sidRPr="00EB4930">
        <w:rPr>
          <w:rFonts w:ascii="Times New Roman" w:hAnsi="Times New Roman" w:cs="Times New Roman"/>
          <w:sz w:val="24"/>
          <w:szCs w:val="24"/>
          <w:shd w:val="clear" w:color="auto" w:fill="FFFFFF"/>
        </w:rPr>
        <w:t>5,01</w:t>
      </w:r>
      <w:r>
        <w:rPr>
          <w:rFonts w:ascii="Times New Roman" w:hAnsi="Times New Roman" w:cs="Times New Roman"/>
          <w:sz w:val="24"/>
          <w:szCs w:val="24"/>
          <w:shd w:val="clear" w:color="auto" w:fill="FFFFFF"/>
        </w:rPr>
        <w:t xml:space="preserve"> - Variación 2008-2004 =  2,0 %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4,92 - Variación 2009-2004 = (1,6)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4,94- Variación 2010-2004 = (1,2)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Ratio5,03</w:t>
      </w:r>
      <w:r>
        <w:rPr>
          <w:rFonts w:ascii="Times New Roman" w:hAnsi="Times New Roman" w:cs="Times New Roman"/>
          <w:sz w:val="24"/>
          <w:szCs w:val="24"/>
          <w:shd w:val="clear" w:color="auto" w:fill="FFFFFF"/>
        </w:rPr>
        <w:t xml:space="preserve"> - Variación 2011-2004 =  6,0 %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5,98 - Variación 2012-2004 =  19,6 %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5,0   - Variación 2013-2004 = 0</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5,20 - Variación 2014-2004 =  4,0 %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5,22 - Variación 2015-2004 =  4,4 %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5,16 - Variación 2016-2004 =  3,2 %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5,08 - Variación 2017-2004 =  1,6 %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5,12 - Variación 2018-2004 =    2,4 %</w:t>
      </w:r>
    </w:p>
    <w:p w:rsidR="006E5D75" w:rsidRDefault="006E5D75" w:rsidP="006E5D75">
      <w:pPr>
        <w:spacing w:line="240" w:lineRule="auto"/>
        <w:jc w:val="both"/>
        <w:rPr>
          <w:rFonts w:ascii="Times New Roman" w:hAnsi="Times New Roman" w:cs="Times New Roman"/>
          <w:b/>
          <w:sz w:val="24"/>
          <w:szCs w:val="24"/>
          <w:shd w:val="clear" w:color="auto" w:fill="FFFFFF"/>
        </w:rPr>
      </w:pPr>
      <w:r w:rsidRPr="00740C91">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Shares of household Income of Selected Percentiles S80/S20 (2000-2018) - </w:t>
      </w:r>
      <w:r w:rsidRPr="00740C91">
        <w:rPr>
          <w:rFonts w:ascii="Times New Roman" w:hAnsi="Times New Roman" w:cs="Times New Roman"/>
          <w:sz w:val="24"/>
          <w:szCs w:val="24"/>
          <w:shd w:val="clear" w:color="auto" w:fill="FFFFFF"/>
        </w:rPr>
        <w:t>US Census Bureau</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sidRPr="005019FF">
        <w:rPr>
          <w:rFonts w:ascii="Times New Roman" w:hAnsi="Times New Roman" w:cs="Times New Roman"/>
          <w:sz w:val="24"/>
          <w:szCs w:val="24"/>
          <w:shd w:val="clear" w:color="auto" w:fill="FFFFFF"/>
        </w:rPr>
        <w:t>Participación del 20% más pobre en el ingreso nacional</w:t>
      </w:r>
      <w:r>
        <w:rPr>
          <w:rFonts w:ascii="Times New Roman" w:hAnsi="Times New Roman" w:cs="Times New Roman"/>
          <w:sz w:val="24"/>
          <w:szCs w:val="24"/>
          <w:shd w:val="clear" w:color="auto" w:fill="FFFFFF"/>
        </w:rPr>
        <w:t xml:space="preserve"> (o regional). Interpretación del dato: Año 2000 Ratio 4,56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4,56</w:t>
      </w:r>
      <w:r w:rsidRPr="005019FF">
        <w:rPr>
          <w:rFonts w:ascii="Times New Roman" w:hAnsi="Times New Roman" w:cs="Times New Roman"/>
          <w:sz w:val="24"/>
          <w:szCs w:val="24"/>
          <w:shd w:val="clear" w:color="auto" w:fill="FFFFFF"/>
        </w:rPr>
        <w:t xml:space="preserve"> veces superior a la recibida por el quintil de renta más baja.</w:t>
      </w:r>
    </w:p>
    <w:p w:rsidR="006E5D75" w:rsidRDefault="006E5D75" w:rsidP="006E5D75">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val="en-GB" w:eastAsia="zh-CN"/>
        </w:rPr>
        <w:drawing>
          <wp:inline distT="0" distB="0" distL="0" distR="0">
            <wp:extent cx="5963771" cy="137160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988542" cy="1377297"/>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4,56 - Año base para la comparación.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4,65 - Variación 2001-2000 =  1,97 %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4,69 - Variación 2002-2000 = 2,85 %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4,83 - Variación 2003-2000 = 5,92 %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4,76 - Variación 2004-2000 = 4,39 %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4,78 - Variación 2005-2000 = 4,82 %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4,84 - Variación 2006-2000 = 6,14 %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4,93 - Variación 2007-2000 = 8,11 %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4,84 - Variación 2008-2000 = 6,14 %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4,89 - Variación 2009-2000 = 7,24 %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   - Variación 2010-2000 = 9,65 %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2011 -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5,01 - Variación 2011-2000 = 9,87 %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5,05 - Variación 2012-2000 = 10,75 %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5,16 - Variación 2013-2000 = 13,16 %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5,24 - Variación 2014-2000 = 14,92 %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5,13 - Variación 2015-2000 = 12,50 %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5,04 - Variación 2016-2000 = 10.53 %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5,13 - Variación 2017-2000 = 12,50 %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5,08 - Variación 2018-2000 = 11,40 %</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6E5D75" w:rsidRDefault="006E5D75" w:rsidP="006E5D75">
      <w:pPr>
        <w:spacing w:line="240" w:lineRule="auto"/>
        <w:jc w:val="both"/>
        <w:rPr>
          <w:rFonts w:ascii="Times New Roman" w:hAnsi="Times New Roman" w:cs="Times New Roman"/>
          <w:b/>
          <w:sz w:val="24"/>
          <w:szCs w:val="24"/>
          <w:shd w:val="clear" w:color="auto" w:fill="FFFFFF"/>
        </w:rPr>
      </w:pPr>
      <w:r w:rsidRPr="00C16A99">
        <w:rPr>
          <w:rFonts w:ascii="Times New Roman" w:hAnsi="Times New Roman" w:cs="Times New Roman"/>
          <w:b/>
          <w:sz w:val="24"/>
          <w:szCs w:val="24"/>
          <w:shd w:val="clear" w:color="auto" w:fill="FFFFFF"/>
        </w:rPr>
        <w:t>Europa</w:t>
      </w:r>
    </w:p>
    <w:p w:rsidR="006E5D75" w:rsidRPr="00185600"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la pobreza se utiliza la serie People at risk or social exclusión by age and sex de Eurostat (2008-2018).</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93208E">
        <w:rPr>
          <w:rFonts w:ascii="Times New Roman" w:hAnsi="Times New Roman" w:cs="Times New Roman"/>
          <w:b/>
          <w:noProof/>
          <w:color w:val="FF0000"/>
          <w:sz w:val="24"/>
          <w:szCs w:val="24"/>
          <w:shd w:val="clear" w:color="auto" w:fill="FFFFFF"/>
          <w:lang w:val="en-GB" w:eastAsia="zh-CN"/>
        </w:rPr>
        <w:drawing>
          <wp:inline distT="0" distB="0" distL="0" distR="0">
            <wp:extent cx="6071347" cy="1647265"/>
            <wp:effectExtent l="0" t="0" r="5715"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6067471" cy="164621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35443E">
        <w:rPr>
          <w:rFonts w:ascii="Times New Roman" w:hAnsi="Times New Roman" w:cs="Times New Roman"/>
          <w:b/>
          <w:noProof/>
          <w:color w:val="FF0000"/>
          <w:sz w:val="24"/>
          <w:szCs w:val="24"/>
          <w:shd w:val="clear" w:color="auto" w:fill="FFFFFF"/>
          <w:lang w:val="en-GB" w:eastAsia="zh-CN"/>
        </w:rPr>
        <w:drawing>
          <wp:inline distT="0" distB="0" distL="0" distR="0">
            <wp:extent cx="6138581" cy="2265829"/>
            <wp:effectExtent l="0" t="0" r="0" b="127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6144961" cy="2268184"/>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35443E">
        <w:rPr>
          <w:rFonts w:ascii="Times New Roman" w:hAnsi="Times New Roman" w:cs="Times New Roman"/>
          <w:b/>
          <w:noProof/>
          <w:color w:val="FF0000"/>
          <w:sz w:val="24"/>
          <w:szCs w:val="24"/>
          <w:shd w:val="clear" w:color="auto" w:fill="FFFFFF"/>
          <w:lang w:val="en-GB" w:eastAsia="zh-CN"/>
        </w:rPr>
        <w:lastRenderedPageBreak/>
        <w:drawing>
          <wp:inline distT="0" distB="0" distL="0" distR="0">
            <wp:extent cx="6138582" cy="2366682"/>
            <wp:effectExtent l="0" t="0" r="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6147326" cy="237005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081EA9">
        <w:rPr>
          <w:rFonts w:ascii="Times New Roman" w:hAnsi="Times New Roman" w:cs="Times New Roman"/>
          <w:b/>
          <w:noProof/>
          <w:color w:val="FF0000"/>
          <w:sz w:val="24"/>
          <w:szCs w:val="24"/>
          <w:shd w:val="clear" w:color="auto" w:fill="FFFFFF"/>
          <w:lang w:val="en-GB" w:eastAsia="zh-CN"/>
        </w:rPr>
        <w:drawing>
          <wp:inline distT="0" distB="0" distL="0" distR="0">
            <wp:extent cx="6071347" cy="1889312"/>
            <wp:effectExtent l="0" t="0" r="5715"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6082382" cy="1892746"/>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5A1A67">
        <w:rPr>
          <w:rFonts w:ascii="Times New Roman" w:hAnsi="Times New Roman" w:cs="Times New Roman"/>
          <w:b/>
          <w:noProof/>
          <w:color w:val="FF0000"/>
          <w:sz w:val="24"/>
          <w:szCs w:val="24"/>
          <w:shd w:val="clear" w:color="auto" w:fill="FFFFFF"/>
          <w:lang w:val="en-GB" w:eastAsia="zh-CN"/>
        </w:rPr>
        <w:drawing>
          <wp:inline distT="0" distB="0" distL="0" distR="0">
            <wp:extent cx="6091518" cy="1983441"/>
            <wp:effectExtent l="0" t="0" r="5080"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6090222" cy="1983019"/>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sidRPr="00A05ADC">
        <w:rPr>
          <w:rFonts w:ascii="Times New Roman" w:hAnsi="Times New Roman" w:cs="Times New Roman"/>
          <w:b/>
          <w:noProof/>
          <w:color w:val="FF0000"/>
          <w:sz w:val="24"/>
          <w:szCs w:val="24"/>
          <w:shd w:val="clear" w:color="auto" w:fill="FFFFFF"/>
          <w:lang w:val="en-GB" w:eastAsia="zh-CN"/>
        </w:rPr>
        <w:drawing>
          <wp:inline distT="0" distB="0" distL="0" distR="0">
            <wp:extent cx="6091518" cy="1969995"/>
            <wp:effectExtent l="0" t="0" r="508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6091625" cy="197003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lastRenderedPageBreak/>
        <w:t>(-) Aumento de la pobreza</w:t>
      </w:r>
    </w:p>
    <w:p w:rsidR="006E5D75" w:rsidRPr="00C16A99" w:rsidRDefault="006E5D75" w:rsidP="006E5D75">
      <w:pPr>
        <w:spacing w:line="240" w:lineRule="auto"/>
        <w:jc w:val="both"/>
        <w:rPr>
          <w:rFonts w:ascii="Times New Roman" w:hAnsi="Times New Roman" w:cs="Times New Roman"/>
          <w:sz w:val="24"/>
          <w:szCs w:val="24"/>
          <w:shd w:val="clear" w:color="auto" w:fill="FFFFFF"/>
        </w:rPr>
      </w:pPr>
      <w:r w:rsidRPr="00C16A99">
        <w:rPr>
          <w:rFonts w:ascii="Times New Roman" w:hAnsi="Times New Roman" w:cs="Times New Roman"/>
          <w:sz w:val="24"/>
          <w:szCs w:val="24"/>
          <w:shd w:val="clear" w:color="auto" w:fill="FFFFFF"/>
        </w:rPr>
        <w:t>(Datos en miles de personas)</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C16A99">
        <w:rPr>
          <w:rFonts w:ascii="Times New Roman" w:hAnsi="Times New Roman" w:cs="Times New Roman"/>
          <w:sz w:val="24"/>
          <w:szCs w:val="24"/>
          <w:shd w:val="clear" w:color="auto" w:fill="FFFFFF"/>
        </w:rPr>
        <w:t>116.070</w:t>
      </w:r>
      <w:r>
        <w:rPr>
          <w:rFonts w:ascii="Times New Roman" w:hAnsi="Times New Roman" w:cs="Times New Roman"/>
          <w:sz w:val="24"/>
          <w:szCs w:val="24"/>
          <w:shd w:val="clear" w:color="auto" w:fill="FFFFFF"/>
        </w:rPr>
        <w:t xml:space="preserve"> - Año base para la comparación. Anteriores no disponibles.</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114.390 - Variación 2009-2008 = (1,45)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117.907- Variación 2010-2008 = 1,58 %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120.858 - Variación 2011-2008 = 4,12 %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123.774 - Variación 2012-2008 =  6,64 %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122.852 - Variación 2013-2008 = 5,84 %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122.026 - Variación 2014-2008 =  5,13 %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119.077 - Variación 2015-2008 =  2,59 %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118.060 - Variación 2016-2008 =  1,71 %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112.930 - Variación 2017-2008 =   (2,71)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109.870 - Variación 2018-2008 =   (5,34) %</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6E5D75" w:rsidRPr="00C16A99"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(Porcentaje </w:t>
      </w:r>
      <w:r w:rsidRPr="00C16A99">
        <w:rPr>
          <w:rFonts w:ascii="Times New Roman" w:hAnsi="Times New Roman" w:cs="Times New Roman"/>
          <w:sz w:val="24"/>
          <w:szCs w:val="24"/>
          <w:shd w:val="clear" w:color="auto" w:fill="FFFFFF"/>
        </w:rPr>
        <w:t>de personas</w:t>
      </w:r>
      <w:r>
        <w:rPr>
          <w:rFonts w:ascii="Times New Roman" w:hAnsi="Times New Roman" w:cs="Times New Roman"/>
          <w:sz w:val="24"/>
          <w:szCs w:val="24"/>
          <w:shd w:val="clear" w:color="auto" w:fill="FFFFFF"/>
        </w:rPr>
        <w:t xml:space="preserve"> en riesgo de pobreza</w:t>
      </w:r>
      <w:r w:rsidRPr="00C16A99">
        <w:rPr>
          <w:rFonts w:ascii="Times New Roman" w:hAnsi="Times New Roman" w:cs="Times New Roman"/>
          <w:sz w:val="24"/>
          <w:szCs w:val="24"/>
          <w:shd w:val="clear" w:color="auto" w:fill="FFFFFF"/>
        </w:rPr>
        <w:t>)</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23,7 %  - Año base para la comparación. Anteriores no disponibles.</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23,3 % - Variación 2009-2008 =   (1,69)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23,8 %- Variación 2010-2008 =    0,42 %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24,3 % - Variación 2011-2008 =    2,53 %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24,8 % - Variación 2012-2008 =   4,64 %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24,6 % - Variación 2013-2008 =  3,80 %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24,4 % - Variación 2014-2008 =   2,95 %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23,8 % - Variación 2015-2008 =   0,48 %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23,5 % - Variación 2016-2008 =  (0,84)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22,4 % - Variación 2017-2008 =    (5,49)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21,8 % - Variación 2018-2008 =    (8,02) %</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trabajadores (personas que trabajan) en riesgo de pobreza se utiliza la serie In work at risk of poverty rate by sex  de Eurostat (2005-2018).</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8,2 % - Año base para la comparación.</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494701">
        <w:rPr>
          <w:rFonts w:ascii="Times New Roman" w:hAnsi="Times New Roman" w:cs="Times New Roman"/>
          <w:sz w:val="24"/>
          <w:szCs w:val="24"/>
          <w:shd w:val="clear" w:color="auto" w:fill="FFFFFF"/>
        </w:rPr>
        <w:t xml:space="preserve">8,1 % </w:t>
      </w:r>
      <w:r>
        <w:rPr>
          <w:rFonts w:ascii="Times New Roman" w:hAnsi="Times New Roman" w:cs="Times New Roman"/>
          <w:sz w:val="24"/>
          <w:szCs w:val="24"/>
          <w:shd w:val="clear" w:color="auto" w:fill="FFFFFF"/>
        </w:rPr>
        <w:t xml:space="preserve"> - Variación 2006-2005 =  (1,22) %</w:t>
      </w:r>
    </w:p>
    <w:p w:rsidR="006E5D75" w:rsidRPr="00185600"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8,3 %  - Variación 2007-2005 =   1,22 %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8,6 %  - Variación 2008-2005 =   4,88 %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8,4 % - Variación 2009-2005 =    2,44 %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8,3 %- Variación 2010-2005 =   1,22 %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8,8 % - Variación 2011-2005 = 7,32 %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8,9 % - Variación 2012-2005 = 8,54 %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9,0 % - Variación 2013-2005 =   9,76 %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9,5 % - Variación 2014-2005 =  15,85 %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9,5 % - Variación 2015-2005 =  15,85 %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9,6 % - Variación 2016-2005 =  17,07 %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9,4 % - Variación 2017-2005 =  14,63 %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9,4 % - Variación 2018-2005 =  14,63 %</w:t>
      </w:r>
    </w:p>
    <w:p w:rsidR="006E5D75" w:rsidRDefault="006E5D75" w:rsidP="006E5D75">
      <w:pPr>
        <w:spacing w:line="240" w:lineRule="auto"/>
        <w:jc w:val="both"/>
        <w:rPr>
          <w:rFonts w:ascii="Times New Roman" w:hAnsi="Times New Roman" w:cs="Times New Roman"/>
          <w:b/>
          <w:sz w:val="24"/>
          <w:szCs w:val="24"/>
          <w:shd w:val="clear" w:color="auto" w:fill="FFFFFF"/>
        </w:rPr>
      </w:pPr>
    </w:p>
    <w:p w:rsidR="006E5D75" w:rsidRDefault="006E5D75" w:rsidP="006E5D75">
      <w:pPr>
        <w:spacing w:line="240" w:lineRule="auto"/>
        <w:jc w:val="both"/>
        <w:rPr>
          <w:rFonts w:ascii="Times New Roman" w:hAnsi="Times New Roman" w:cs="Times New Roman"/>
          <w:b/>
          <w:sz w:val="24"/>
          <w:szCs w:val="24"/>
          <w:shd w:val="clear" w:color="auto" w:fill="FFFFFF"/>
        </w:rPr>
      </w:pPr>
      <w:r w:rsidRPr="004139A0">
        <w:rPr>
          <w:rFonts w:ascii="Times New Roman" w:hAnsi="Times New Roman" w:cs="Times New Roman"/>
          <w:b/>
          <w:sz w:val="24"/>
          <w:szCs w:val="24"/>
          <w:shd w:val="clear" w:color="auto" w:fill="FFFFFF"/>
        </w:rPr>
        <w:t>EEUU</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la pobreza se utiliza la información del US Census Bureau: Impact on poverty of alternative resource measures (2000-2018)</w:t>
      </w:r>
    </w:p>
    <w:p w:rsidR="006E5D75" w:rsidRPr="008C0BBB"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b/>
          <w:sz w:val="24"/>
          <w:szCs w:val="24"/>
          <w:shd w:val="clear" w:color="auto" w:fill="FFFFFF"/>
        </w:rPr>
      </w:pPr>
      <w:r w:rsidRPr="00A7265B">
        <w:rPr>
          <w:rFonts w:ascii="Times New Roman" w:hAnsi="Times New Roman" w:cs="Times New Roman"/>
          <w:b/>
          <w:noProof/>
          <w:sz w:val="24"/>
          <w:szCs w:val="24"/>
          <w:lang w:val="en-GB" w:eastAsia="zh-CN"/>
        </w:rPr>
        <w:drawing>
          <wp:inline distT="0" distB="0" distL="0" distR="0">
            <wp:extent cx="6239435" cy="2689412"/>
            <wp:effectExtent l="0" t="0" r="9525"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6238126" cy="2688848"/>
                    </a:xfrm>
                    <a:prstGeom prst="rect">
                      <a:avLst/>
                    </a:prstGeom>
                  </pic:spPr>
                </pic:pic>
              </a:graphicData>
            </a:graphic>
          </wp:inline>
        </w:drawing>
      </w:r>
    </w:p>
    <w:p w:rsidR="006E5D75" w:rsidRPr="0093208E" w:rsidRDefault="006E5D75" w:rsidP="006E5D75">
      <w:pPr>
        <w:spacing w:line="240" w:lineRule="auto"/>
        <w:jc w:val="both"/>
        <w:rPr>
          <w:rFonts w:ascii="Times New Roman" w:hAnsi="Times New Roman" w:cs="Times New Roman"/>
          <w:b/>
          <w:sz w:val="24"/>
          <w:szCs w:val="24"/>
          <w:shd w:val="clear" w:color="auto" w:fill="FFFFFF"/>
        </w:rPr>
      </w:pPr>
      <w:r w:rsidRPr="00A83E83">
        <w:rPr>
          <w:rFonts w:ascii="Times New Roman" w:hAnsi="Times New Roman" w:cs="Times New Roman"/>
          <w:b/>
          <w:noProof/>
          <w:sz w:val="24"/>
          <w:szCs w:val="24"/>
          <w:shd w:val="clear" w:color="auto" w:fill="FFFFFF"/>
          <w:lang w:val="en-GB" w:eastAsia="zh-CN"/>
        </w:rPr>
        <w:lastRenderedPageBreak/>
        <w:drawing>
          <wp:inline distT="0" distB="0" distL="0" distR="0">
            <wp:extent cx="6394076" cy="2474259"/>
            <wp:effectExtent l="0" t="0" r="6985" b="254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6397495" cy="2475582"/>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A83E83">
        <w:rPr>
          <w:rFonts w:ascii="Times New Roman" w:hAnsi="Times New Roman" w:cs="Times New Roman"/>
          <w:noProof/>
          <w:sz w:val="24"/>
          <w:szCs w:val="24"/>
          <w:shd w:val="clear" w:color="auto" w:fill="FFFFFF"/>
          <w:lang w:val="en-GB" w:eastAsia="zh-CN"/>
        </w:rPr>
        <w:drawing>
          <wp:inline distT="0" distB="0" distL="0" distR="0">
            <wp:extent cx="5728345" cy="3086100"/>
            <wp:effectExtent l="0" t="0" r="5715"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308780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A83E83">
        <w:rPr>
          <w:rFonts w:ascii="Times New Roman" w:hAnsi="Times New Roman" w:cs="Times New Roman"/>
          <w:noProof/>
          <w:sz w:val="24"/>
          <w:szCs w:val="24"/>
          <w:shd w:val="clear" w:color="auto" w:fill="FFFFFF"/>
          <w:lang w:val="en-GB" w:eastAsia="zh-CN"/>
        </w:rPr>
        <w:drawing>
          <wp:inline distT="0" distB="0" distL="0" distR="0">
            <wp:extent cx="5728447" cy="2938182"/>
            <wp:effectExtent l="0" t="0" r="5715"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2939753"/>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lastRenderedPageBreak/>
        <w:t>(-) Aumento de la pobreza</w:t>
      </w:r>
    </w:p>
    <w:p w:rsidR="006E5D75" w:rsidRPr="004139A0" w:rsidRDefault="006E5D75" w:rsidP="006E5D75">
      <w:pPr>
        <w:spacing w:line="240" w:lineRule="auto"/>
        <w:jc w:val="both"/>
        <w:rPr>
          <w:rFonts w:ascii="Times New Roman" w:hAnsi="Times New Roman" w:cs="Times New Roman"/>
          <w:sz w:val="24"/>
          <w:szCs w:val="24"/>
          <w:shd w:val="clear" w:color="auto" w:fill="FFFFFF"/>
        </w:rPr>
      </w:pPr>
      <w:r w:rsidRPr="004139A0">
        <w:rPr>
          <w:rFonts w:ascii="Times New Roman" w:hAnsi="Times New Roman" w:cs="Times New Roman"/>
          <w:sz w:val="24"/>
          <w:szCs w:val="24"/>
          <w:shd w:val="clear" w:color="auto" w:fill="FFFFFF"/>
        </w:rPr>
        <w:t>(Datos en miles de personas)</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31.581 - Año base para la comparación.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32.907 - Variación 2001-2000 =  1,04 %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31.570 - Variación 2002-2000 = (0,03)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35.861 - Variación 2003-2000 = 13,59 %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37.040 - Variación 2004-2000 = 17,29 %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36.950 - Variación 2005-2000 = 11,70 %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36.460 - Variación 2006-2000 = 15,49 %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37.276 - Variación 2007-2000 = 18,07 %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39.829 - Variación 2008-2000 = 26,16 %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43.569 - Variación 2009-2000 = 37,96 %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46.343 - Variación 2010-2000 = 46,74 %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46.247 - Variación 2011-2000 = 46,44 %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4</w:t>
      </w:r>
      <w:r w:rsidR="002D53F5">
        <w:rPr>
          <w:rFonts w:ascii="Times New Roman" w:hAnsi="Times New Roman" w:cs="Times New Roman"/>
          <w:sz w:val="24"/>
          <w:szCs w:val="24"/>
          <w:shd w:val="clear" w:color="auto" w:fill="FFFFFF"/>
        </w:rPr>
        <w:t xml:space="preserve">6.496 - Variación 2012-2000 =  </w:t>
      </w:r>
      <w:r>
        <w:rPr>
          <w:rFonts w:ascii="Times New Roman" w:hAnsi="Times New Roman" w:cs="Times New Roman"/>
          <w:sz w:val="24"/>
          <w:szCs w:val="24"/>
          <w:shd w:val="clear" w:color="auto" w:fill="FFFFFF"/>
        </w:rPr>
        <w:t>47,23 %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4</w:t>
      </w:r>
      <w:r w:rsidR="002D53F5">
        <w:rPr>
          <w:rFonts w:ascii="Times New Roman" w:hAnsi="Times New Roman" w:cs="Times New Roman"/>
          <w:sz w:val="24"/>
          <w:szCs w:val="24"/>
          <w:shd w:val="clear" w:color="auto" w:fill="FFFFFF"/>
        </w:rPr>
        <w:t xml:space="preserve">5.794 - Variación 2013-2000 =  </w:t>
      </w:r>
      <w:r>
        <w:rPr>
          <w:rFonts w:ascii="Times New Roman" w:hAnsi="Times New Roman" w:cs="Times New Roman"/>
          <w:sz w:val="24"/>
          <w:szCs w:val="24"/>
          <w:shd w:val="clear" w:color="auto" w:fill="FFFFFF"/>
        </w:rPr>
        <w:t xml:space="preserve">45,00 %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4</w:t>
      </w:r>
      <w:r w:rsidR="002D53F5">
        <w:rPr>
          <w:rFonts w:ascii="Times New Roman" w:hAnsi="Times New Roman" w:cs="Times New Roman"/>
          <w:sz w:val="24"/>
          <w:szCs w:val="24"/>
          <w:shd w:val="clear" w:color="auto" w:fill="FFFFFF"/>
        </w:rPr>
        <w:t xml:space="preserve">6.657 - Variación 2014-2000 =  </w:t>
      </w:r>
      <w:r>
        <w:rPr>
          <w:rFonts w:ascii="Times New Roman" w:hAnsi="Times New Roman" w:cs="Times New Roman"/>
          <w:sz w:val="24"/>
          <w:szCs w:val="24"/>
          <w:shd w:val="clear" w:color="auto" w:fill="FFFFFF"/>
        </w:rPr>
        <w:t>47,74 %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4</w:t>
      </w:r>
      <w:r w:rsidR="002D53F5">
        <w:rPr>
          <w:rFonts w:ascii="Times New Roman" w:hAnsi="Times New Roman" w:cs="Times New Roman"/>
          <w:sz w:val="24"/>
          <w:szCs w:val="24"/>
          <w:shd w:val="clear" w:color="auto" w:fill="FFFFFF"/>
        </w:rPr>
        <w:t xml:space="preserve">3.123 - Variación 2015-2000 =  </w:t>
      </w:r>
      <w:r>
        <w:rPr>
          <w:rFonts w:ascii="Times New Roman" w:hAnsi="Times New Roman" w:cs="Times New Roman"/>
          <w:sz w:val="24"/>
          <w:szCs w:val="24"/>
          <w:shd w:val="clear" w:color="auto" w:fill="FFFFFF"/>
        </w:rPr>
        <w:t>36,55 %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w:t>
      </w:r>
      <w:r w:rsidR="002D53F5">
        <w:rPr>
          <w:rFonts w:ascii="Times New Roman" w:hAnsi="Times New Roman" w:cs="Times New Roman"/>
          <w:sz w:val="24"/>
          <w:szCs w:val="24"/>
          <w:shd w:val="clear" w:color="auto" w:fill="FFFFFF"/>
        </w:rPr>
        <w:t xml:space="preserve">0.616 - Variación 2016-2000 =  </w:t>
      </w:r>
      <w:r>
        <w:rPr>
          <w:rFonts w:ascii="Times New Roman" w:hAnsi="Times New Roman" w:cs="Times New Roman"/>
          <w:sz w:val="24"/>
          <w:szCs w:val="24"/>
          <w:shd w:val="clear" w:color="auto" w:fill="FFFFFF"/>
        </w:rPr>
        <w:t>28,61 %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 xml:space="preserve">39.631 - Variación </w:t>
      </w:r>
      <w:r w:rsidR="002D53F5">
        <w:rPr>
          <w:rFonts w:ascii="Times New Roman" w:hAnsi="Times New Roman" w:cs="Times New Roman"/>
          <w:sz w:val="24"/>
          <w:szCs w:val="24"/>
          <w:shd w:val="clear" w:color="auto" w:fill="FFFFFF"/>
        </w:rPr>
        <w:t xml:space="preserve">2017-2000 =  </w:t>
      </w:r>
      <w:r>
        <w:rPr>
          <w:rFonts w:ascii="Times New Roman" w:hAnsi="Times New Roman" w:cs="Times New Roman"/>
          <w:sz w:val="24"/>
          <w:szCs w:val="24"/>
          <w:shd w:val="clear" w:color="auto" w:fill="FFFFFF"/>
        </w:rPr>
        <w:t>25,49 %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3</w:t>
      </w:r>
      <w:r w:rsidR="002D53F5">
        <w:rPr>
          <w:rFonts w:ascii="Times New Roman" w:hAnsi="Times New Roman" w:cs="Times New Roman"/>
          <w:sz w:val="24"/>
          <w:szCs w:val="24"/>
          <w:shd w:val="clear" w:color="auto" w:fill="FFFFFF"/>
        </w:rPr>
        <w:t xml:space="preserve">8.146 - Variación 2018-2000 =  </w:t>
      </w:r>
      <w:r>
        <w:rPr>
          <w:rFonts w:ascii="Times New Roman" w:hAnsi="Times New Roman" w:cs="Times New Roman"/>
          <w:sz w:val="24"/>
          <w:szCs w:val="24"/>
          <w:shd w:val="clear" w:color="auto" w:fill="FFFFFF"/>
        </w:rPr>
        <w:t>20,79 %</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6E5D75" w:rsidRPr="004139A0"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porcentajes</w:t>
      </w:r>
      <w:r w:rsidRPr="004139A0">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11.3 % - Año base para la comparación.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 xml:space="preserve">11,7 % - Variación 2001-2000 =   3,54 %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12,1 % - Variación 2002-2000 =   7,08 %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12,5 % - Variación 2003-2000 = 10,62 %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12,7 % - Variación 2004-2000 = 12,39 %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12,6 % - Variación 2005-2000 = 11,50 %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2006 - EEUU: </w:t>
      </w:r>
      <w:r>
        <w:rPr>
          <w:rFonts w:ascii="Times New Roman" w:hAnsi="Times New Roman" w:cs="Times New Roman"/>
          <w:sz w:val="24"/>
          <w:szCs w:val="24"/>
          <w:shd w:val="clear" w:color="auto" w:fill="FFFFFF"/>
        </w:rPr>
        <w:t>12,3 % - Variación 2006-2000 =    8,85 %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12,5 % - Variación 2007-2000 =  10,62 %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13,2 % - Variación 2008-2000 =  16,81 %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14,3 % - Variación 2009-2000 =  26,55 %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15,1 % - Variación 2010-2000 =  33,63 %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15,0 % - Variación 2011-2000 =  32,74 %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15,0 % - Variación 2012-2000 =   32,74 %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14,7 % - Variación 2013-2000 =   30,09  %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14,8 % - Variación 2014-2000 =   30,97 %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13,5 % - Variación 2015-2000 =   19,47 %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12,7 % - Variación 2016-2000 =   12,39 %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12,3 % - Variación 2017-2000 =     8,85 %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11,8 % - Variación 2018-2000 =     4,42 %</w:t>
      </w:r>
    </w:p>
    <w:p w:rsidR="006E5D75" w:rsidRDefault="006E5D75" w:rsidP="006E5D75">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6E5D75" w:rsidRPr="0056282C"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trabajadores (personas que trabajan) en riesgo de pobreza se utilizan los datos del US Bureau of Labor Statistics (1996-2017).</w:t>
      </w:r>
    </w:p>
    <w:p w:rsidR="006E5D75" w:rsidRPr="004139A0"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6E5D75" w:rsidRDefault="006E5D75" w:rsidP="006E5D7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4,7 % - Año base para la comparación.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4,9 % - Variación 2001-2000 =   4,26 %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5,3 % - Variación 2002-2000 =  12,77 %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5,3 % - Variación 2003-2000 =  12,77 %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5,6 % - Variación 2004-2000 =  19,15 %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5,4 % - Variación 2005-2000 =  14,89 %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5,1 % - Variación 2006-2000 =   8,51 %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5,1 % - Variación 2007-2000 =   8,51 %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6,0 % - Variación 2008-2000 =  27,66 %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7,0 % - Variación 2009-2000 =  48,94 %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7,2 % - Variación 2010-2000 =  53,19 %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7,0 % - Variación 2011-2000 =  48,94 %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7,1 % - Variación 2012-2000 =  51,06 %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2013 - EEUU: </w:t>
      </w:r>
      <w:r>
        <w:rPr>
          <w:rFonts w:ascii="Times New Roman" w:hAnsi="Times New Roman" w:cs="Times New Roman"/>
          <w:sz w:val="24"/>
          <w:szCs w:val="24"/>
          <w:shd w:val="clear" w:color="auto" w:fill="FFFFFF"/>
        </w:rPr>
        <w:t xml:space="preserve">7,0 % - Variación 2013-2000 =  48,94 %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6,3 % - Variación 2014-2000 =  34,04 %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5,6 % - Variación 2015-2000 =  19,15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4,9 % - Variación 2016-2000 =    4,26 %</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4,5 % - Variación 2017-2000 =   (4,26) %</w:t>
      </w:r>
    </w:p>
    <w:p w:rsidR="006E5D75" w:rsidRPr="00823CF2" w:rsidRDefault="006E5D75" w:rsidP="006E5D75">
      <w:pPr>
        <w:spacing w:line="240" w:lineRule="auto"/>
        <w:jc w:val="both"/>
        <w:rPr>
          <w:rFonts w:ascii="Times New Roman" w:hAnsi="Times New Roman" w:cs="Times New Roman"/>
          <w:sz w:val="24"/>
          <w:szCs w:val="24"/>
          <w:shd w:val="clear" w:color="auto" w:fill="FFFFFF"/>
        </w:rPr>
      </w:pPr>
      <w:r w:rsidRPr="00185600">
        <w:rPr>
          <w:rFonts w:ascii="Times New Roman" w:hAnsi="Times New Roman" w:cs="Times New Roman"/>
          <w:b/>
          <w:color w:val="FF0000"/>
          <w:sz w:val="24"/>
          <w:szCs w:val="24"/>
          <w:shd w:val="clear" w:color="auto" w:fill="FFFFFF"/>
        </w:rPr>
        <w:t>(-)</w:t>
      </w:r>
      <w:r>
        <w:rPr>
          <w:rFonts w:ascii="Times New Roman" w:hAnsi="Times New Roman" w:cs="Times New Roman"/>
          <w:b/>
          <w:color w:val="FF0000"/>
          <w:sz w:val="24"/>
          <w:szCs w:val="24"/>
          <w:shd w:val="clear" w:color="auto" w:fill="FFFFFF"/>
        </w:rPr>
        <w:t xml:space="preserve"> Variación del coeficiente Gini</w:t>
      </w:r>
    </w:p>
    <w:p w:rsidR="006E5D75" w:rsidRDefault="006E5D75" w:rsidP="006E5D75">
      <w:pPr>
        <w:spacing w:line="240" w:lineRule="auto"/>
        <w:jc w:val="both"/>
        <w:rPr>
          <w:rFonts w:ascii="Times New Roman" w:hAnsi="Times New Roman" w:cs="Times New Roman"/>
          <w:sz w:val="24"/>
          <w:szCs w:val="24"/>
          <w:shd w:val="clear" w:color="auto" w:fill="FFFFFF"/>
          <w:lang w:val="en-US"/>
        </w:rPr>
      </w:pPr>
      <w:r w:rsidRPr="0009475A">
        <w:rPr>
          <w:rFonts w:ascii="Times New Roman" w:hAnsi="Times New Roman" w:cs="Times New Roman"/>
          <w:sz w:val="24"/>
          <w:szCs w:val="24"/>
          <w:shd w:val="clear" w:color="auto" w:fill="FFFFFF"/>
          <w:lang w:val="en-US"/>
        </w:rPr>
        <w:t>The Gini coefficient is defined as the relationship of cumulative shares of the populat</w:t>
      </w:r>
      <w:r w:rsidRPr="00DC55EC">
        <w:rPr>
          <w:rFonts w:ascii="Times New Roman" w:hAnsi="Times New Roman" w:cs="Times New Roman"/>
          <w:sz w:val="24"/>
          <w:szCs w:val="24"/>
          <w:shd w:val="clear" w:color="auto" w:fill="FFFFFF"/>
          <w:lang w:val="en-US"/>
        </w:rPr>
        <w:t>ion arranged according to the level of equivalised disposable income, to the cumulative share of the equivalised total disposable income received by them.</w:t>
      </w:r>
    </w:p>
    <w:p w:rsidR="006E5D75" w:rsidRPr="00AA640A" w:rsidRDefault="006E5D75" w:rsidP="006E5D75">
      <w:pPr>
        <w:spacing w:line="240" w:lineRule="auto"/>
        <w:jc w:val="both"/>
        <w:rPr>
          <w:rFonts w:ascii="Times New Roman" w:hAnsi="Times New Roman" w:cs="Times New Roman"/>
          <w:b/>
          <w:sz w:val="24"/>
          <w:szCs w:val="24"/>
          <w:shd w:val="clear" w:color="auto" w:fill="FFFFFF"/>
          <w:lang w:val="en-US"/>
        </w:rPr>
      </w:pPr>
      <w:r w:rsidRPr="00AA640A">
        <w:rPr>
          <w:rFonts w:ascii="Times New Roman" w:hAnsi="Times New Roman" w:cs="Times New Roman"/>
          <w:b/>
          <w:sz w:val="24"/>
          <w:szCs w:val="24"/>
          <w:shd w:val="clear" w:color="auto" w:fill="FFFFFF"/>
          <w:lang w:val="en-US"/>
        </w:rPr>
        <w:t>Europa</w:t>
      </w:r>
    </w:p>
    <w:p w:rsidR="006E5D75" w:rsidRDefault="006E5D75" w:rsidP="006E5D75">
      <w:pPr>
        <w:spacing w:line="240" w:lineRule="auto"/>
        <w:jc w:val="both"/>
        <w:rPr>
          <w:rFonts w:ascii="Times New Roman" w:hAnsi="Times New Roman" w:cs="Times New Roman"/>
          <w:sz w:val="24"/>
          <w:szCs w:val="24"/>
          <w:shd w:val="clear" w:color="auto" w:fill="FFFFFF"/>
          <w:lang w:val="en-US"/>
        </w:rPr>
      </w:pPr>
      <w:r w:rsidRPr="00A83E83">
        <w:rPr>
          <w:rFonts w:ascii="Times New Roman" w:hAnsi="Times New Roman" w:cs="Times New Roman"/>
          <w:noProof/>
          <w:sz w:val="24"/>
          <w:szCs w:val="24"/>
          <w:shd w:val="clear" w:color="auto" w:fill="FFFFFF"/>
          <w:lang w:val="en-GB" w:eastAsia="zh-CN"/>
        </w:rPr>
        <w:drawing>
          <wp:inline distT="0" distB="0" distL="0" distR="0">
            <wp:extent cx="6084792" cy="1667435"/>
            <wp:effectExtent l="0" t="0" r="0" b="9525"/>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6099598" cy="1671492"/>
                    </a:xfrm>
                    <a:prstGeom prst="rect">
                      <a:avLst/>
                    </a:prstGeom>
                  </pic:spPr>
                </pic:pic>
              </a:graphicData>
            </a:graphic>
          </wp:inline>
        </w:drawing>
      </w:r>
    </w:p>
    <w:p w:rsidR="006E5D75" w:rsidRPr="00DC55EC" w:rsidRDefault="006E5D75" w:rsidP="006E5D75">
      <w:pPr>
        <w:spacing w:line="240" w:lineRule="auto"/>
        <w:jc w:val="both"/>
        <w:rPr>
          <w:rFonts w:ascii="Times New Roman" w:hAnsi="Times New Roman" w:cs="Times New Roman"/>
          <w:sz w:val="24"/>
          <w:szCs w:val="24"/>
          <w:shd w:val="clear" w:color="auto" w:fill="FFFFFF"/>
          <w:lang w:val="en-US"/>
        </w:rPr>
      </w:pPr>
    </w:p>
    <w:p w:rsidR="006E5D75" w:rsidRPr="00DC55EC" w:rsidRDefault="006E5D75" w:rsidP="006E5D75">
      <w:pPr>
        <w:spacing w:line="240" w:lineRule="auto"/>
        <w:jc w:val="both"/>
        <w:rPr>
          <w:rFonts w:ascii="Times New Roman" w:hAnsi="Times New Roman" w:cs="Times New Roman"/>
          <w:b/>
          <w:sz w:val="24"/>
          <w:szCs w:val="24"/>
          <w:shd w:val="clear" w:color="auto" w:fill="FFFFFF"/>
        </w:rPr>
      </w:pPr>
      <w:r w:rsidRPr="0044649D">
        <w:rPr>
          <w:rFonts w:ascii="Times New Roman" w:hAnsi="Times New Roman" w:cs="Times New Roman"/>
          <w:b/>
          <w:sz w:val="24"/>
          <w:szCs w:val="24"/>
          <w:shd w:val="clear" w:color="auto" w:fill="FFFFFF"/>
        </w:rPr>
        <w:t>Coeficiente Gini</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31 - Año base para la comparación. Anteriores no disponibles.</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30,6- Variación 2010-2009 = Aumenta la igualdad un 1,29 %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30,5 - Variación 2011-2009 = Aumenta la igualdad un 1,61 %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30,8 - Variación 2012-2009 =  Aumenta la igualdad un 0,65 %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30,5 - Variación 2013-2009 =  Aumenta la igualdad un 1,61 %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30,5 - Variación 2014-2009 =  Aumenta la igualdad un 1,61 %</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31,0 - Variación 2015-2009 =  No se modifica el coeficiente</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31,0 - Variación 2016-2009 =  No se modifica el coeficiente</w:t>
      </w:r>
    </w:p>
    <w:p w:rsidR="006E5D75" w:rsidRPr="005019FF"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30,8 - Variación 2017-2009 =   Aumenta la igualdad un 0,65 %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30,6 - Variación 2018-2009 =   Aumenta la igualdad un 1,29 %</w:t>
      </w: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sz w:val="24"/>
          <w:szCs w:val="24"/>
          <w:shd w:val="clear" w:color="auto" w:fill="FFFFFF"/>
        </w:rPr>
      </w:pPr>
    </w:p>
    <w:p w:rsidR="006E5D75" w:rsidRDefault="006E5D75" w:rsidP="006E5D75">
      <w:pPr>
        <w:spacing w:line="240" w:lineRule="auto"/>
        <w:jc w:val="both"/>
        <w:rPr>
          <w:rFonts w:ascii="Times New Roman" w:hAnsi="Times New Roman" w:cs="Times New Roman"/>
          <w:b/>
          <w:sz w:val="24"/>
          <w:szCs w:val="24"/>
          <w:shd w:val="clear" w:color="auto" w:fill="FFFFFF"/>
        </w:rPr>
      </w:pPr>
      <w:r w:rsidRPr="00AA640A">
        <w:rPr>
          <w:rFonts w:ascii="Times New Roman" w:hAnsi="Times New Roman" w:cs="Times New Roman"/>
          <w:b/>
          <w:sz w:val="24"/>
          <w:szCs w:val="24"/>
          <w:shd w:val="clear" w:color="auto" w:fill="FFFFFF"/>
        </w:rPr>
        <w:lastRenderedPageBreak/>
        <w:t>EEUU</w:t>
      </w:r>
    </w:p>
    <w:p w:rsidR="006E5D75" w:rsidRPr="00AA640A" w:rsidRDefault="006E5D75" w:rsidP="006E5D75">
      <w:pPr>
        <w:spacing w:line="240" w:lineRule="auto"/>
        <w:jc w:val="both"/>
        <w:rPr>
          <w:rFonts w:ascii="Times New Roman" w:hAnsi="Times New Roman" w:cs="Times New Roman"/>
          <w:b/>
          <w:sz w:val="24"/>
          <w:szCs w:val="24"/>
          <w:shd w:val="clear" w:color="auto" w:fill="FFFFFF"/>
        </w:rPr>
      </w:pPr>
      <w:r w:rsidRPr="00E26D73">
        <w:rPr>
          <w:rFonts w:ascii="Times New Roman" w:hAnsi="Times New Roman" w:cs="Times New Roman"/>
          <w:b/>
          <w:noProof/>
          <w:sz w:val="24"/>
          <w:szCs w:val="24"/>
          <w:shd w:val="clear" w:color="auto" w:fill="FFFFFF"/>
          <w:lang w:val="en-GB" w:eastAsia="zh-CN"/>
        </w:rPr>
        <w:drawing>
          <wp:inline distT="0" distB="0" distL="0" distR="0">
            <wp:extent cx="6178923" cy="1492623"/>
            <wp:effectExtent l="0" t="0" r="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6183464" cy="1493720"/>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b/>
          <w:sz w:val="24"/>
          <w:szCs w:val="24"/>
          <w:shd w:val="clear" w:color="auto" w:fill="FFFFFF"/>
        </w:rPr>
      </w:pPr>
    </w:p>
    <w:p w:rsidR="006E5D75" w:rsidRPr="00DC55EC" w:rsidRDefault="006E5D75" w:rsidP="006E5D75">
      <w:pPr>
        <w:spacing w:line="240" w:lineRule="auto"/>
        <w:jc w:val="both"/>
        <w:rPr>
          <w:rFonts w:ascii="Times New Roman" w:hAnsi="Times New Roman" w:cs="Times New Roman"/>
          <w:b/>
          <w:sz w:val="24"/>
          <w:szCs w:val="24"/>
          <w:shd w:val="clear" w:color="auto" w:fill="FFFFFF"/>
        </w:rPr>
      </w:pPr>
      <w:r w:rsidRPr="0044649D">
        <w:rPr>
          <w:rFonts w:ascii="Times New Roman" w:hAnsi="Times New Roman" w:cs="Times New Roman"/>
          <w:b/>
          <w:sz w:val="24"/>
          <w:szCs w:val="24"/>
          <w:shd w:val="clear" w:color="auto" w:fill="FFFFFF"/>
        </w:rPr>
        <w:t>Coeficiente Gini</w:t>
      </w:r>
    </w:p>
    <w:p w:rsidR="006E5D75" w:rsidRDefault="006E5D75" w:rsidP="006E5D75">
      <w:pPr>
        <w:spacing w:line="240" w:lineRule="auto"/>
        <w:jc w:val="both"/>
        <w:rPr>
          <w:rFonts w:ascii="Times New Roman" w:hAnsi="Times New Roman" w:cs="Times New Roman"/>
          <w:sz w:val="24"/>
          <w:szCs w:val="24"/>
          <w:shd w:val="clear" w:color="auto" w:fill="FFFFFF"/>
        </w:rPr>
      </w:pPr>
      <w:r w:rsidRPr="00AA640A">
        <w:rPr>
          <w:rFonts w:ascii="Times New Roman" w:hAnsi="Times New Roman" w:cs="Times New Roman"/>
          <w:b/>
          <w:sz w:val="24"/>
          <w:szCs w:val="24"/>
          <w:shd w:val="clear" w:color="auto" w:fill="FFFFFF"/>
        </w:rPr>
        <w:t>Año 2000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xml:space="preserve">: Ratio 46,2  - Año base para la comparación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2001-2000 = Aumenta la desigualdad un 0,87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46,2  - Variación 2002-2000 = No se modifica el coeficiente</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w:t>
      </w:r>
      <w:r w:rsidR="008A1EBA">
        <w:rPr>
          <w:rFonts w:ascii="Times New Roman" w:hAnsi="Times New Roman" w:cs="Times New Roman"/>
          <w:sz w:val="24"/>
          <w:szCs w:val="24"/>
          <w:shd w:val="clear" w:color="auto" w:fill="FFFFFF"/>
        </w:rPr>
        <w:t xml:space="preserve"> 46,4  - Variación 2003-2000 = </w:t>
      </w:r>
      <w:r>
        <w:rPr>
          <w:rFonts w:ascii="Times New Roman" w:hAnsi="Times New Roman" w:cs="Times New Roman"/>
          <w:sz w:val="24"/>
          <w:szCs w:val="24"/>
          <w:shd w:val="clear" w:color="auto" w:fill="FFFFFF"/>
        </w:rPr>
        <w:t>Aumenta la desigualdad un 0,43 %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2004-2000 = Aumenta la desigualdad un 0,87 %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46,9  - Variación 2005-2000 = Aumenta la desigualdad un  1,52 %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2006-2000 = Aumenta la desigualdad un  1,73 %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46,3  - Variación 2007-2000 = Aumenta la desigualdad un  0,21 %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2008-2000 = Aumenta la desigualdad un  0,87 %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46,8  - Variación 2009-2000 = Aumenta la desigualdad un  1,30 %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2010-2000 = Aumenta la desigualdad un 1,73 %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2011-2000 = Aumenta la desigualdad un 3,25 %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2012-2000 = Aumenta la desigualdad un 3,25 %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2013-2000 = Aumenta la desigualdad un 3,68 %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48,0  - Variación 2014-2000 = Aumenta la desigualdad un 3,90 %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2015-2000 = Aumenta la desigualdad un 3,68 %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48,1  - Variación 2016-2000 = Aumenta la desigualdad un 4,11%</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49,1  - Variación 2017-2000 = Aumenta la desigualdad un 6,28 %</w:t>
      </w:r>
    </w:p>
    <w:p w:rsidR="006E5D75"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48,6  - Variación 2018-2000 = Aumenta la desigualdad un 5,19 %</w:t>
      </w:r>
    </w:p>
    <w:p w:rsidR="006E5D75" w:rsidRDefault="006E5D75" w:rsidP="006E5D75">
      <w:pPr>
        <w:spacing w:line="240" w:lineRule="auto"/>
        <w:jc w:val="both"/>
        <w:rPr>
          <w:rFonts w:ascii="Times New Roman" w:hAnsi="Times New Roman" w:cs="Times New Roman"/>
          <w:sz w:val="24"/>
          <w:szCs w:val="24"/>
          <w:shd w:val="clear" w:color="auto" w:fill="FFFFFF"/>
        </w:rPr>
      </w:pPr>
      <w:r w:rsidRPr="003E1B70">
        <w:rPr>
          <w:rFonts w:ascii="Times New Roman" w:hAnsi="Times New Roman" w:cs="Times New Roman"/>
          <w:sz w:val="24"/>
          <w:szCs w:val="24"/>
          <w:shd w:val="clear" w:color="auto" w:fill="FFFFFF"/>
        </w:rPr>
        <w:t xml:space="preserve">El Coeficiente de Gini se basa en la Curva de Lorenz, que es una representación gráfica de una función de distribución acumulada, y se define matemáticamente como la proporción acumulada de los ingresos totales (eje y), que obtienen las proporciones acumuladas de la </w:t>
      </w:r>
      <w:r w:rsidRPr="003E1B70">
        <w:rPr>
          <w:rFonts w:ascii="Times New Roman" w:hAnsi="Times New Roman" w:cs="Times New Roman"/>
          <w:sz w:val="24"/>
          <w:szCs w:val="24"/>
          <w:shd w:val="clear" w:color="auto" w:fill="FFFFFF"/>
        </w:rPr>
        <w:lastRenderedPageBreak/>
        <w:t>población (eje x). La línea diagonal representa la igualdad perfecta de los ingresos: todos reciben la misma renta (el 20% de la población recibe el 20% de los ingresos; el 40% de la población el 40% de los ingresos, etc.). En la situación de máxima igualdad o equidad distributiva, el Coeficiente de Gini es igual a cero (el área A desaparece): a medida que aumenta la desigualdad, el Coeficiente de Gini se acerca al valor de 1.</w:t>
      </w:r>
    </w:p>
    <w:p w:rsidR="006E5D75" w:rsidRPr="00C624D2" w:rsidRDefault="006E5D75" w:rsidP="006E5D75">
      <w:pPr>
        <w:spacing w:line="240" w:lineRule="auto"/>
        <w:jc w:val="both"/>
        <w:rPr>
          <w:rFonts w:ascii="Times New Roman" w:hAnsi="Times New Roman" w:cs="Times New Roman"/>
          <w:sz w:val="24"/>
          <w:szCs w:val="24"/>
          <w:u w:val="single"/>
          <w:shd w:val="clear" w:color="auto" w:fill="FFFFFF"/>
        </w:rPr>
      </w:pPr>
      <w:r w:rsidRPr="00C624D2">
        <w:rPr>
          <w:rFonts w:ascii="Times New Roman" w:hAnsi="Times New Roman" w:cs="Times New Roman"/>
          <w:sz w:val="24"/>
          <w:szCs w:val="24"/>
          <w:u w:val="single"/>
          <w:shd w:val="clear" w:color="auto" w:fill="FFFFFF"/>
        </w:rPr>
        <w:t>Estados Unidos - Índice de GINI</w:t>
      </w:r>
    </w:p>
    <w:p w:rsidR="006E5D75" w:rsidRPr="00C624D2" w:rsidRDefault="006E5D75" w:rsidP="006E5D75">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sz w:val="24"/>
          <w:szCs w:val="24"/>
          <w:shd w:val="clear" w:color="auto" w:fill="FFFFFF"/>
        </w:rPr>
        <w:t>El valor de Índice d</w:t>
      </w:r>
      <w:r>
        <w:rPr>
          <w:rFonts w:ascii="Times New Roman" w:hAnsi="Times New Roman" w:cs="Times New Roman"/>
          <w:sz w:val="24"/>
          <w:szCs w:val="24"/>
          <w:shd w:val="clear" w:color="auto" w:fill="FFFFFF"/>
        </w:rPr>
        <w:t>e Gini en Estados Unidos fue 41,</w:t>
      </w:r>
      <w:r w:rsidRPr="00C624D2">
        <w:rPr>
          <w:rFonts w:ascii="Times New Roman" w:hAnsi="Times New Roman" w:cs="Times New Roman"/>
          <w:sz w:val="24"/>
          <w:szCs w:val="24"/>
          <w:shd w:val="clear" w:color="auto" w:fill="FFFFFF"/>
        </w:rPr>
        <w:t xml:space="preserve">50 en 2016. Como el siguiente gráfico muestra, durante los últimos 37 años este indicador ha </w:t>
      </w:r>
      <w:r>
        <w:rPr>
          <w:rFonts w:ascii="Times New Roman" w:hAnsi="Times New Roman" w:cs="Times New Roman"/>
          <w:sz w:val="24"/>
          <w:szCs w:val="24"/>
          <w:shd w:val="clear" w:color="auto" w:fill="FFFFFF"/>
        </w:rPr>
        <w:t>alcanzado un valor máximo de 41,</w:t>
      </w:r>
      <w:r w:rsidRPr="00C624D2">
        <w:rPr>
          <w:rFonts w:ascii="Times New Roman" w:hAnsi="Times New Roman" w:cs="Times New Roman"/>
          <w:sz w:val="24"/>
          <w:szCs w:val="24"/>
          <w:shd w:val="clear" w:color="auto" w:fill="FFFFFF"/>
        </w:rPr>
        <w:t xml:space="preserve">50 </w:t>
      </w:r>
      <w:r>
        <w:rPr>
          <w:rFonts w:ascii="Times New Roman" w:hAnsi="Times New Roman" w:cs="Times New Roman"/>
          <w:sz w:val="24"/>
          <w:szCs w:val="24"/>
          <w:shd w:val="clear" w:color="auto" w:fill="FFFFFF"/>
        </w:rPr>
        <w:t>en 2016 y un valor mínimo de 34,</w:t>
      </w:r>
      <w:r w:rsidRPr="00C624D2">
        <w:rPr>
          <w:rFonts w:ascii="Times New Roman" w:hAnsi="Times New Roman" w:cs="Times New Roman"/>
          <w:sz w:val="24"/>
          <w:szCs w:val="24"/>
          <w:shd w:val="clear" w:color="auto" w:fill="FFFFFF"/>
        </w:rPr>
        <w:t>60 en 1979.</w:t>
      </w:r>
    </w:p>
    <w:p w:rsidR="006E5D75" w:rsidRDefault="006E5D75" w:rsidP="006E5D75">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noProof/>
          <w:sz w:val="24"/>
          <w:szCs w:val="24"/>
          <w:shd w:val="clear" w:color="auto" w:fill="FFFFFF"/>
          <w:lang w:val="en-GB" w:eastAsia="zh-CN"/>
        </w:rPr>
        <w:drawing>
          <wp:inline distT="0" distB="0" distL="0" distR="0">
            <wp:extent cx="4645959" cy="2259106"/>
            <wp:effectExtent l="0" t="0" r="2540" b="8255"/>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4643159" cy="2257744"/>
                    </a:xfrm>
                    <a:prstGeom prst="rect">
                      <a:avLst/>
                    </a:prstGeom>
                  </pic:spPr>
                </pic:pic>
              </a:graphicData>
            </a:graphic>
          </wp:inline>
        </w:drawing>
      </w:r>
      <w:r w:rsidRPr="00C624D2">
        <w:rPr>
          <w:rFonts w:ascii="Times New Roman" w:hAnsi="Times New Roman" w:cs="Times New Roman"/>
          <w:noProof/>
          <w:sz w:val="24"/>
          <w:szCs w:val="24"/>
          <w:shd w:val="clear" w:color="auto" w:fill="FFFFFF"/>
          <w:lang w:val="en-GB" w:eastAsia="zh-CN"/>
        </w:rPr>
        <w:drawing>
          <wp:inline distT="0" distB="0" distL="0" distR="0">
            <wp:extent cx="988359" cy="2474259"/>
            <wp:effectExtent l="0" t="0" r="2540" b="254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990738" cy="2480215"/>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sz w:val="24"/>
          <w:szCs w:val="24"/>
          <w:shd w:val="clear" w:color="auto" w:fill="FFFFFF"/>
        </w:rPr>
        <w:t>Fuente: Banco Mundial, Grupo de investigaciones sobre el desarrollo. Los datos se basan en datos primarios obtenidos de encuestas de hogares de los organismos de estadística del gobierno y los departamentos de país del Banco Mundial. Puede obtener más información y datos sobre metodología véase PovcalNet</w:t>
      </w:r>
    </w:p>
    <w:p w:rsidR="006E5D75" w:rsidRPr="007747B9" w:rsidRDefault="006E5D75" w:rsidP="006E5D75">
      <w:pPr>
        <w:spacing w:line="240" w:lineRule="auto"/>
        <w:jc w:val="both"/>
        <w:rPr>
          <w:rFonts w:ascii="Times New Roman" w:hAnsi="Times New Roman" w:cs="Times New Roman"/>
          <w:sz w:val="24"/>
          <w:szCs w:val="24"/>
          <w:shd w:val="clear" w:color="auto" w:fill="FFFFFF"/>
        </w:rPr>
      </w:pPr>
      <w:r w:rsidRPr="007747B9">
        <w:rPr>
          <w:rFonts w:ascii="Times New Roman" w:hAnsi="Times New Roman" w:cs="Times New Roman"/>
          <w:sz w:val="24"/>
          <w:szCs w:val="24"/>
          <w:shd w:val="clear" w:color="auto" w:fill="FFFFFF"/>
        </w:rPr>
        <w:t xml:space="preserve"> (</w:t>
      </w:r>
      <w:hyperlink r:id="rId274" w:history="1">
        <w:r w:rsidRPr="007747B9">
          <w:rPr>
            <w:rStyle w:val="Hipervnculo"/>
            <w:rFonts w:ascii="Times New Roman" w:hAnsi="Times New Roman" w:cs="Times New Roman"/>
            <w:color w:val="auto"/>
            <w:sz w:val="24"/>
            <w:szCs w:val="24"/>
            <w:u w:val="none"/>
            <w:shd w:val="clear" w:color="auto" w:fill="FFFFFF"/>
          </w:rPr>
          <w:t>http://iresearch.worldbank.org/PovcalNet/index.htm</w:t>
        </w:r>
      </w:hyperlink>
      <w:r w:rsidRPr="007747B9">
        <w:rPr>
          <w:rFonts w:ascii="Times New Roman" w:hAnsi="Times New Roman" w:cs="Times New Roman"/>
          <w:sz w:val="24"/>
          <w:szCs w:val="24"/>
          <w:shd w:val="clear" w:color="auto" w:fill="FFFFFF"/>
        </w:rPr>
        <w:t>).</w:t>
      </w:r>
    </w:p>
    <w:p w:rsidR="006E5D75" w:rsidRPr="001D24E3" w:rsidRDefault="006E5D75" w:rsidP="006E5D75">
      <w:pPr>
        <w:spacing w:line="240" w:lineRule="auto"/>
        <w:jc w:val="both"/>
        <w:rPr>
          <w:rFonts w:ascii="Times New Roman" w:hAnsi="Times New Roman" w:cs="Times New Roman"/>
          <w:sz w:val="24"/>
          <w:szCs w:val="24"/>
          <w:shd w:val="clear" w:color="auto" w:fill="FFFFFF"/>
        </w:rPr>
      </w:pPr>
      <w:r w:rsidRPr="00B22075">
        <w:rPr>
          <w:rFonts w:ascii="Times New Roman" w:hAnsi="Times New Roman" w:cs="Times New Roman"/>
          <w:noProof/>
          <w:sz w:val="24"/>
          <w:szCs w:val="24"/>
          <w:shd w:val="clear" w:color="auto" w:fill="FFFFFF"/>
          <w:lang w:val="en-GB" w:eastAsia="zh-CN"/>
        </w:rPr>
        <w:drawing>
          <wp:inline distT="0" distB="0" distL="0" distR="0">
            <wp:extent cx="5728447" cy="2803712"/>
            <wp:effectExtent l="0" t="0" r="571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2805211"/>
                    </a:xfrm>
                    <a:prstGeom prst="rect">
                      <a:avLst/>
                    </a:prstGeom>
                  </pic:spPr>
                </pic:pic>
              </a:graphicData>
            </a:graphic>
          </wp:inline>
        </w:drawing>
      </w:r>
    </w:p>
    <w:p w:rsidR="006E5D75" w:rsidRDefault="006E5D75" w:rsidP="006E5D75">
      <w:pPr>
        <w:spacing w:line="240" w:lineRule="auto"/>
        <w:jc w:val="both"/>
        <w:rPr>
          <w:rFonts w:ascii="Times New Roman" w:hAnsi="Times New Roman" w:cs="Times New Roman"/>
          <w:sz w:val="24"/>
          <w:szCs w:val="24"/>
          <w:shd w:val="clear" w:color="auto" w:fill="FFFFFF"/>
          <w:lang w:val="en-US"/>
        </w:rPr>
      </w:pPr>
      <w:r w:rsidRPr="000B6104">
        <w:rPr>
          <w:rFonts w:ascii="Times New Roman" w:hAnsi="Times New Roman" w:cs="Times New Roman"/>
          <w:sz w:val="24"/>
          <w:szCs w:val="24"/>
          <w:shd w:val="clear" w:color="auto" w:fill="FFFFFF"/>
          <w:lang w:val="en-US"/>
        </w:rPr>
        <w:t xml:space="preserve">Fuente: Statista 2020 - Published by Erin Duffin </w:t>
      </w:r>
      <w:r>
        <w:rPr>
          <w:rFonts w:ascii="Times New Roman" w:hAnsi="Times New Roman" w:cs="Times New Roman"/>
          <w:sz w:val="24"/>
          <w:szCs w:val="24"/>
          <w:shd w:val="clear" w:color="auto" w:fill="FFFFFF"/>
          <w:lang w:val="en-US"/>
        </w:rPr>
        <w:t>- Sep</w:t>
      </w:r>
      <w:r w:rsidRPr="000B6104">
        <w:rPr>
          <w:rFonts w:ascii="Times New Roman" w:hAnsi="Times New Roman" w:cs="Times New Roman"/>
          <w:sz w:val="24"/>
          <w:szCs w:val="24"/>
          <w:shd w:val="clear" w:color="auto" w:fill="FFFFFF"/>
          <w:lang w:val="en-US"/>
        </w:rPr>
        <w:t>t. 2019</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Análisis complementario sobre el ‘costo de los factores’ y el ‘precio’ de la globalización</w:t>
      </w:r>
    </w:p>
    <w:p w:rsidR="00422AAF" w:rsidRPr="00422AAF" w:rsidRDefault="00422AAF" w:rsidP="00422AAF">
      <w:pPr>
        <w:spacing w:line="240" w:lineRule="auto"/>
        <w:jc w:val="both"/>
        <w:rPr>
          <w:rFonts w:ascii="Times New Roman" w:hAnsi="Times New Roman" w:cs="Times New Roman"/>
          <w:sz w:val="24"/>
          <w:szCs w:val="24"/>
        </w:rPr>
      </w:pPr>
      <w:r w:rsidRPr="00422AAF">
        <w:rPr>
          <w:rFonts w:ascii="Times New Roman" w:hAnsi="Times New Roman" w:cs="Times New Roman"/>
          <w:sz w:val="24"/>
          <w:szCs w:val="24"/>
        </w:rPr>
        <w:t>(Si ustedes quieren</w:t>
      </w:r>
      <w:r>
        <w:rPr>
          <w:rFonts w:ascii="Times New Roman" w:hAnsi="Times New Roman" w:cs="Times New Roman"/>
          <w:sz w:val="24"/>
          <w:szCs w:val="24"/>
        </w:rPr>
        <w:t>,</w:t>
      </w:r>
      <w:r w:rsidRPr="00422AAF">
        <w:rPr>
          <w:rFonts w:ascii="Times New Roman" w:hAnsi="Times New Roman" w:cs="Times New Roman"/>
          <w:sz w:val="24"/>
          <w:szCs w:val="24"/>
        </w:rPr>
        <w:t xml:space="preserve"> podemos llamarlas: </w:t>
      </w:r>
      <w:r w:rsidRPr="008A1EBA">
        <w:rPr>
          <w:rFonts w:ascii="Times New Roman" w:hAnsi="Times New Roman" w:cs="Times New Roman"/>
          <w:b/>
          <w:sz w:val="24"/>
          <w:szCs w:val="24"/>
        </w:rPr>
        <w:t>“notas” fuera de balance</w:t>
      </w:r>
      <w:r w:rsidRPr="00422AAF">
        <w:rPr>
          <w:rFonts w:ascii="Times New Roman" w:hAnsi="Times New Roman" w:cs="Times New Roman"/>
          <w:sz w:val="24"/>
          <w:szCs w:val="24"/>
        </w:rPr>
        <w:t xml:space="preserve">) </w:t>
      </w:r>
    </w:p>
    <w:p w:rsidR="00422AAF" w:rsidRPr="000F77F7" w:rsidRDefault="00422AAF" w:rsidP="00422AAF">
      <w:pPr>
        <w:spacing w:line="240" w:lineRule="auto"/>
        <w:jc w:val="both"/>
        <w:rPr>
          <w:rFonts w:ascii="Times New Roman" w:hAnsi="Times New Roman" w:cs="Times New Roman"/>
          <w:b/>
          <w:color w:val="FF0000"/>
          <w:sz w:val="24"/>
          <w:szCs w:val="24"/>
          <w:shd w:val="clear" w:color="auto" w:fill="FFFFFF"/>
        </w:rPr>
      </w:pPr>
      <w:r w:rsidRPr="000F77F7">
        <w:rPr>
          <w:rFonts w:ascii="Times New Roman" w:hAnsi="Times New Roman" w:cs="Times New Roman"/>
          <w:b/>
          <w:color w:val="FF0000"/>
          <w:sz w:val="24"/>
          <w:szCs w:val="24"/>
          <w:shd w:val="clear" w:color="auto" w:fill="FFFFFF"/>
        </w:rPr>
        <w:t xml:space="preserve">Aumento de las exportaciones </w:t>
      </w:r>
      <w:r>
        <w:rPr>
          <w:rFonts w:ascii="Times New Roman" w:hAnsi="Times New Roman" w:cs="Times New Roman"/>
          <w:b/>
          <w:color w:val="FF0000"/>
          <w:sz w:val="24"/>
          <w:szCs w:val="24"/>
          <w:shd w:val="clear" w:color="auto" w:fill="FFFFFF"/>
        </w:rPr>
        <w:t>durante</w:t>
      </w:r>
      <w:r w:rsidRPr="000F77F7">
        <w:rPr>
          <w:rFonts w:ascii="Times New Roman" w:hAnsi="Times New Roman" w:cs="Times New Roman"/>
          <w:b/>
          <w:color w:val="FF0000"/>
          <w:sz w:val="24"/>
          <w:szCs w:val="24"/>
          <w:shd w:val="clear" w:color="auto" w:fill="FFFFFF"/>
        </w:rPr>
        <w:t xml:space="preserve"> el proceso de globalización</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228,6 miles de millones de dólares; Año 2018, 1.859,9 miles de millones de dólares; Var. 714 %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1.179,8 miles de millones de dólares; Año 2018, 2.484,5 miles de millones de dólares; Var. 111 %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1.889,4 miles de millones de dólares; Año 2018, 4.717,8 miles de millones de dólares; Var. 150 %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las exportaciones de China en el período 2000-2018 es casi seis veces y media (6,43) superior al de los EEUU y casi cinco veces (4,76) superior al de la Euro Área.</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este apartado (aumento de las exportaciones 2000-2018) el claro vencedor es China.</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sidRPr="00F40786">
        <w:rPr>
          <w:rFonts w:ascii="Times New Roman" w:hAnsi="Times New Roman" w:cs="Times New Roman"/>
          <w:b/>
          <w:color w:val="FF0000"/>
          <w:sz w:val="24"/>
          <w:szCs w:val="24"/>
          <w:shd w:val="clear" w:color="auto" w:fill="FFFFFF"/>
        </w:rPr>
        <w:t>Aumento de las importaciones dura</w:t>
      </w:r>
      <w:r>
        <w:rPr>
          <w:rFonts w:ascii="Times New Roman" w:hAnsi="Times New Roman" w:cs="Times New Roman"/>
          <w:b/>
          <w:color w:val="FF0000"/>
          <w:sz w:val="24"/>
          <w:szCs w:val="24"/>
          <w:shd w:val="clear" w:color="auto" w:fill="FFFFFF"/>
        </w:rPr>
        <w:t>nte el proceso de globalización</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405,4 miles de millones de dólares; Año 2018, 2.830,8 miles de millones de dólares; Var. 598 %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829,2 miles de millones de dólares; Año 2018, 1.832,3 miles de millones de dólares; Var. 121 %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1.829,4 miles de millones de dólares; Año 2018, 4.874,0 miles de millones de dólares; Var. 166 %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las importaciones de China en el período 2000-2018 es casi cinco veces (4,94) superior al de los EEUU y algo más de tres veces y media (3,60) superior al de la Euro Área.</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apartado (aumento de las importaciones 2000-2018) China tiene el mayor índice de crecimiento, pero es el único de los 3 países en el que el crecimiento de las exportaciones (714%) es superior a las importaciones (598%). </w:t>
      </w:r>
    </w:p>
    <w:p w:rsidR="00422AAF" w:rsidRPr="00790BED" w:rsidRDefault="00422AAF" w:rsidP="00422AAF">
      <w:pPr>
        <w:spacing w:line="240" w:lineRule="auto"/>
        <w:jc w:val="both"/>
        <w:rPr>
          <w:rFonts w:ascii="Times New Roman" w:hAnsi="Times New Roman" w:cs="Times New Roman"/>
          <w:b/>
          <w:color w:val="FF0000"/>
          <w:sz w:val="24"/>
          <w:szCs w:val="24"/>
          <w:lang w:val="en-US"/>
        </w:rPr>
      </w:pPr>
      <w:r w:rsidRPr="00790BED">
        <w:rPr>
          <w:rFonts w:ascii="Times New Roman" w:hAnsi="Times New Roman" w:cs="Times New Roman"/>
          <w:b/>
          <w:color w:val="FF0000"/>
          <w:sz w:val="24"/>
          <w:szCs w:val="24"/>
          <w:lang w:val="en-US"/>
        </w:rPr>
        <w:t>The Trade in Value Added (TiVA) - Principal Indicators</w:t>
      </w:r>
    </w:p>
    <w:p w:rsidR="00422AAF" w:rsidRPr="00FF3C6F" w:rsidRDefault="00422AAF" w:rsidP="00422AAF">
      <w:pPr>
        <w:spacing w:line="240" w:lineRule="auto"/>
        <w:jc w:val="both"/>
        <w:rPr>
          <w:rFonts w:ascii="Times New Roman" w:hAnsi="Times New Roman" w:cs="Times New Roman"/>
          <w:color w:val="FF0000"/>
          <w:sz w:val="24"/>
          <w:szCs w:val="24"/>
          <w:shd w:val="clear" w:color="auto" w:fill="FFFFFF"/>
        </w:rPr>
      </w:pPr>
      <w:r w:rsidRPr="00FF3C6F">
        <w:rPr>
          <w:rFonts w:ascii="Times New Roman" w:hAnsi="Times New Roman" w:cs="Times New Roman"/>
          <w:b/>
          <w:color w:val="FF0000"/>
          <w:sz w:val="24"/>
          <w:szCs w:val="24"/>
        </w:rPr>
        <w:t>Gross exports</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698,1 miles de millones de dólares; Año 2016, 1.956,4 miles de millones de dólares; Var. 2,80 - Un incremento equivalente al 180% (2016-2005)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1.188,3 miles de millones de dólares; Año 2016, 2.006,2 miles de millones de dólares; Var. 1,69 - Un incremento equivalente al 69% (2016-2005)</w:t>
      </w:r>
    </w:p>
    <w:p w:rsidR="00422AAF" w:rsidRDefault="00386D54"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EU-28: Año 2005, </w:t>
      </w:r>
      <w:r w:rsidR="00422AAF">
        <w:rPr>
          <w:rFonts w:ascii="Times New Roman" w:hAnsi="Times New Roman" w:cs="Times New Roman"/>
          <w:sz w:val="24"/>
          <w:szCs w:val="24"/>
          <w:shd w:val="clear" w:color="auto" w:fill="FFFFFF"/>
        </w:rPr>
        <w:t>1.705,3 miles de millones de dólares; Año 2016, 2.753,3 miles de millones de dólares; Var. 1,61 - Un incremento equivalente al 61% (2016-2005)</w:t>
      </w:r>
    </w:p>
    <w:p w:rsidR="00422AAF" w:rsidRDefault="00386D54"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Euro Área: Año 2005, </w:t>
      </w:r>
      <w:r w:rsidR="00422AAF">
        <w:rPr>
          <w:rFonts w:ascii="Times New Roman" w:hAnsi="Times New Roman" w:cs="Times New Roman"/>
          <w:sz w:val="24"/>
          <w:szCs w:val="24"/>
          <w:shd w:val="clear" w:color="auto" w:fill="FFFFFF"/>
        </w:rPr>
        <w:t xml:space="preserve">1.808,6 miles de millones de dólares; Año 2016, 2.855,2 miles de millones de dólares; Var. 1,58 - Un incremento equivalente al 58% (2016-2005)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aumento de las exportaciones de China en el período 2005-2016 es algo más de dos veces y media (2,61) superior al de los EEUU y casi tres veces (2,95) superior al de la EU-28, y  algo más de tres veces (3,10) superior al de la Euro Área.</w:t>
      </w:r>
    </w:p>
    <w:p w:rsidR="00422AAF" w:rsidRPr="00790BED" w:rsidRDefault="00422AAF" w:rsidP="00422AAF">
      <w:pPr>
        <w:spacing w:line="240" w:lineRule="auto"/>
        <w:jc w:val="both"/>
        <w:rPr>
          <w:rFonts w:ascii="Times New Roman" w:hAnsi="Times New Roman" w:cs="Times New Roman"/>
          <w:sz w:val="24"/>
          <w:szCs w:val="24"/>
        </w:rPr>
      </w:pPr>
      <w:r w:rsidRPr="00FF3C6F">
        <w:rPr>
          <w:rFonts w:ascii="Times New Roman" w:hAnsi="Times New Roman" w:cs="Times New Roman"/>
          <w:b/>
          <w:color w:val="FF0000"/>
          <w:sz w:val="24"/>
          <w:szCs w:val="24"/>
        </w:rPr>
        <w:t>Gross imports</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146,2 miles de millones de dólares; Año 2015, 557,5 miles de millones de dólares; Var. 3,81 - Un incremento equivalente al 281%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854,6 miles de millones de dólares; Año 2015, 1.254,4 miles de millones de dólares; Var. 1,47 - Un incremento equivalente al 47%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613,6 miles de millones de dólares; Año 2015, 888,9 miles de millones de dólares; Var. 1,45 - Un incremento equivalente al 45%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606,7 miles de millones de dólares; Año 2015, 849,3 miles de millones de dólares; Var. 1,40 - Un incremento equivalente al 40% (2015-2005)</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las importaciones de China en el período 2005-2015 es casi seis veces (5,98) superior al de los EEUU, algo más de seis veces (6,24) superior al de la EU-28, y  algo más de siete veces (7,03) superior al de la Euro Área.</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Es importante destacar que en el comparativo entre valores absolutos de la relación entre exportaciones e importaciones (2005-2015/16) también favorece a China (3,51), por sobre los EEUU (1,60), la EU-28 (3,10) y la Euro Área (3,36).</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content of gross exports</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183,4 miles de millones de dólares; Año 2016, 335,6 miles de millones de dólares; Var. 1,83 - Un incremento equivalente al 83% (2016-2005)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127,9 miles de millones de dólares; Año 2016, 181,4 miles de millones de dólares; Var. 1,42 - Un incremento equivalente al 42% (2016-2005)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177,5 miles de millones de dólares; Año 2016, 320,3 miles de millones de dólares; Var. 1,80 - Un incremento equivalente al 80% (2016-2005)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252,7 miles de millones de dólares; Año 2016, 451,5 miles de millones de dólares; Var. 1,79 - Un incremento equivalente al 79% (2016-2005)</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del valor agregado contenido en las exportaciones de China en el período 2005-2016 es casi dos veces (1,98) superior al de los EEUU, es apenas superior (1,04) al de la EU-28, e igual resultado se alcanza en la comparación (1,05) con la Euro Área.</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 xml:space="preserve">Domestic value added content of gross imports </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11,9 miles de millones de dólares; Año 2015, 67,3 miles de millones de dólares; Var. 6,66 - Un incremento equivalente al 566% (2015-2005)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87,6 miles de millones de dólares; Año 2015, 117,0 miles de millones de dólares; Var. 1,34 - Un incremento equivalente al 34%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EU-28: Año 2005,  78,9 miles de millones de dólares; Año 2015, 91,4 miles de millones de dólares; Var. 1,16 - Un incremento equivalente al 16% (2015-2005)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89,4 miles de millones de dólares; Año 2015, 113,0 miles de millones de dólares; Var. 1,26 - Un incremento equivalente al 26% (2015-2005)</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del valor agregado contenido en las importaciones de China en el período 2005-2015 es casi diez y siete veces (16,65) superior al de los EEUU, es algo superior  a treinta y cinco veces (35,38) al de la EU-28, y  casi veintidós veces superior (21,77) para el caso de la Euro Área.</w:t>
      </w:r>
    </w:p>
    <w:p w:rsidR="00422AAF" w:rsidRPr="00657890"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deseo llamar la atención sobre el proceso de importación de productos semielaborados por parte de China para su re-exportación posterior a terceros países.</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Production (gross output)</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5.388,2 miles de millones de dólares; Año 2015,  27.183,0 miles de millones de dólares; Var. 6,04 - Un incremento equivalente al 504%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23.081,6 miles de millones de dólares; Año 2015, 30.820,8 miles de millones de dólares; Var. 1,34 - Un incremento equivalente al 34%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EU-28: Año 2005, 26.418,6 miles de millones de dólares; Año 2015, 30.028,8 miles de millones de dólares; Var. 1,14 - Un incremento equivalente al 14% (2015-2005)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19.571,5  miles de millones de dólares; Año 2015, 21.545,1 miles de millones de dólares; Var. 1,10 - Un incremento equivalente al 10%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 comparación de los incrementos de producción bruta en el período 2005-2015, arroja un crecimiento de China casi quince veces (14,82) superior al de los EEUU, treinta y seis veces (36) superior a de la EU-28 y cincuenta veces (50.4) superior al de la Euro Área. </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Value added</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2.135,5 miles de millones de dólares; Año 2015, 10.485,7 miles de millones de dólares; Var. 4,91 - Un incremento equivalente al 391% (2015-2005)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12.748,1 miles de millones de dólares; Año 2015, 17.662,3 miles de millones de dólares; Var. 1,39 - Un incremento equivalente al 39%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13.510,9 miles de millones de dólares; Año 2015, 15.473,2 miles de millones de dólares; Var. 1,15 - Un incremento equivalente al 15%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9.850,5 miles de millones de dólares; Año 2015, 11.005,7 miles de millones de dólares; Var. 1,12 - Un incremento equivalente al 12%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 comparación de los incrementos de valor agregado en el período 2005-2015, arroja un crecimiento de China diez veces (10,03) superior al de los EEUU, veintiséis veces (26,07) superior a de la EU-28 y treinta y dos veces y media (32,58) superior al de la Euro Área. </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embodied in domestic final demand</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405,9 miles de millones de dólares; Año 2015, 1.444,5 miles de millones de dólares; Var.  3,56 - Un incremento equivalente al 256%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1.673,6 miles de millones de dólares; Año 2015, 2.222,1 miles de millones de dólares; Var. 1,33 - Un incremento equivalente al 33%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EU-28: Año 2005, 1.358,8 miles de millones de dólares; Año 2015, 1.857,8 miles de millones de dólares; Var.  1,37 - Un incremento equivalente al 37%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1.293,4 miles de millones de dólares; Año 2015, 1.711,9 miles de millones de dólares; Var. 1,32 - Un incremento equivalente al 32%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cuanto al v</w:t>
      </w:r>
      <w:r w:rsidRPr="00CE1F26">
        <w:rPr>
          <w:rFonts w:ascii="Times New Roman" w:hAnsi="Times New Roman" w:cs="Times New Roman"/>
          <w:sz w:val="24"/>
          <w:szCs w:val="24"/>
          <w:shd w:val="clear" w:color="auto" w:fill="FFFFFF"/>
        </w:rPr>
        <w:t>alor agregado extranjero incorporado en la demanda final interna</w:t>
      </w:r>
      <w:r>
        <w:rPr>
          <w:rFonts w:ascii="Times New Roman" w:hAnsi="Times New Roman" w:cs="Times New Roman"/>
          <w:sz w:val="24"/>
          <w:szCs w:val="24"/>
          <w:shd w:val="clear" w:color="auto" w:fill="FFFFFF"/>
        </w:rPr>
        <w:t xml:space="preserve"> durante el período 2005-2015, el crecimiento de China es casi ocho veces (7,76) superior al de los EEUU, a casi siete veces superior (6,92) al de la EU-28 y también casi 7 veces superior (6,92) al de la Euro Área. </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 xml:space="preserve">Gross trade balance </w:t>
      </w:r>
    </w:p>
    <w:p w:rsidR="00422AAF" w:rsidRDefault="00422AAF" w:rsidP="00422AAF">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96,9 miles de millones de dólares; Año 2015, 305,8  miles de millones de dólares; Var. 3,16 - Un incremento equivalente al 216% (2015-2005)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(700,8) miles de millones de dólares; Año 2015, (507,0) miles de millones de dólares; Var. -0,28 - Una reducción equivalente al -28%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90.0 miles de millones de dólares; Año 2015, 476,1 miles de millones de dólares; Var. 5,29 - Un incremento equivalente al 429%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144,5 miles de millones de dólares; Año 2015, 456,7 miles de millones de dólares; Var. 3,16 - Un incremento equivalente al 216%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 respecto al balance comercial, los mayores coeficientes de crecimiento los tiene la EU-28, que para el período 2005-2015, supera a China en casi dos veces (1,99), manteniendo la Euro Área un crecimiento equivalente al de China. EEUU presenta una reducción del déficit comercial equivalente al 28 %. </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imports, partner shares</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422AAF" w:rsidRDefault="00422AAF" w:rsidP="00422AAF">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8,7 %; Año 2015, 12,6 %; Var. 1,45 - Un incremento equivalente al 45 %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19,4 %; Año 2015, 19,9 %; Var. 1,03 - Un incremento equivalente al 3%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13,4 %; Año 2015, 14,6 %; Var. 1,08 - Un incremento equivalente al 8 %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2005-2015 EEUU aumento su dependencia de las importaciones chinas un 45 %, superando ampliamente los incrementos de las importaciones de la EU-28 (3 %) y Euro Área (8 %). Aunque es la EU-28 el principal socio comercial de los EEUU, la variación (incremento), en el período observado, favorece ampliamente a China.</w:t>
      </w:r>
    </w:p>
    <w:p w:rsidR="00422AAF" w:rsidRPr="005F016C" w:rsidRDefault="00422AAF" w:rsidP="00422AAF">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10,9 %; Año 2015,  19,3 %; Var. 1,77 - Un incremento equivalente al 77%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8,0 %; Año 2015, 15,4 %; Var. 1,93 - Un incremento equivalente al 93%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5,4 %; Año 2015, 10,3 %; Var. 1,91 - Un incremento equivalente al 91%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2005-2015, China incremento la participación de sus importaciones de la EU-28 un 93%, y de la Euro Área un 91%, registrando un incremento equivalente al 77 % en el caso de los EEUU.</w:t>
      </w:r>
    </w:p>
    <w:p w:rsidR="00422AAF" w:rsidRPr="005F016C"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422AAF" w:rsidRDefault="00422AAF" w:rsidP="00422AAF">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17,0 %; Año 2015,  16,5 %; Var. -0,03 - Una reducción equivalente al -3%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11,3 %; Año 2015,  12,3 %; Var. 1,09 - Un incremento equivalente al 9%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2005-2015, la EU-28 redujo la participación de sus importaciones de China un 3 %, mientras que aumentó su relación con los EEUU un 9 %.</w:t>
      </w:r>
    </w:p>
    <w:p w:rsidR="00422AAF" w:rsidRPr="00FF3C6F" w:rsidRDefault="00422AAF" w:rsidP="00422AAF">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exports, partner shares</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422AAF" w:rsidRDefault="00422AAF" w:rsidP="00422AAF">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29,6 %; Año 2015, 22,3 %; Var. -0,25 - Una reducción equivalente al -25%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26,7 %; Año 2015,  20,8 %; Var. -0,22 - Una reducción equivalente al -22%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18,0 %; Año 2015, 15,2  %; Var. -0,16 - Una reducción equivalente al -16%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2005-2015 EEUU redujo la participación exportaciones a China un 25 %, de la EU-28 un 22 % y de la Euro Área un 16 %. Aunque reduce su porcentaje de participación mantiene la delantera (22,3 %) respecto de la Unión Europea (20,8 %).</w:t>
      </w:r>
    </w:p>
    <w:p w:rsidR="00422AAF" w:rsidRPr="005F016C" w:rsidRDefault="00422AAF" w:rsidP="00422AAF">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4,4 %; Año 2015, 11,7 %; Var. 2,69 - Un incremento equivalente al 169%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4,9 %; Año 2015, 10,8 %; Var. 2,20 - Un incremento equivalente al 120%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3,8 %; Año 2015, 8,5 %; Var. 2,24 - Un incremento equivalente al 124%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2005-15 China aumento su relación comercial con los EEUU un 169  %, con la EU-28 un 120 % y con la Euro Área un 124 %. China mejora su porcentaje de participación (11,7 %), manteniéndose por delante de la EU-28 (10,8 %) y de la Euro Área (8,5 %).</w:t>
      </w:r>
    </w:p>
    <w:p w:rsidR="00422AAF" w:rsidRPr="005F016C"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422AAF" w:rsidRDefault="00422AAF" w:rsidP="00422AAF">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12,8 %; Año 2015, 10,7 %; Var. -0,16 - Una reducción equivalente al -16%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EEUU: Año 2005, 18,5 %; Año 2015, 16,5 %; Var. -0,11 - Una reducción equivalente al -11% (2015-2005)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período 2005-2015, la Euro área reduce la participación de China como cliente un 16 %, y con los EEUU un 11 %. Según los datos de participación, EEUU continúa siendo el principal socio comercial de la Unión Europea. </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Poniendo la lupa sobre algunos</w:t>
      </w:r>
      <w:r w:rsidRPr="00177DB3">
        <w:rPr>
          <w:rFonts w:ascii="Times New Roman" w:hAnsi="Times New Roman" w:cs="Times New Roman"/>
          <w:b/>
          <w:sz w:val="24"/>
          <w:szCs w:val="24"/>
          <w:shd w:val="clear" w:color="auto" w:fill="FFFFFF"/>
        </w:rPr>
        <w:t xml:space="preserve"> datos de</w:t>
      </w:r>
      <w:r w:rsidR="007E0984">
        <w:rPr>
          <w:rFonts w:ascii="Times New Roman" w:hAnsi="Times New Roman" w:cs="Times New Roman"/>
          <w:b/>
          <w:sz w:val="24"/>
          <w:szCs w:val="24"/>
          <w:shd w:val="clear" w:color="auto" w:fill="FFFFFF"/>
        </w:rPr>
        <w:t>l</w:t>
      </w:r>
      <w:r w:rsidRPr="00177DB3">
        <w:rPr>
          <w:rFonts w:ascii="Times New Roman" w:hAnsi="Times New Roman" w:cs="Times New Roman"/>
          <w:b/>
          <w:sz w:val="24"/>
          <w:szCs w:val="24"/>
          <w:shd w:val="clear" w:color="auto" w:fill="FFFFFF"/>
        </w:rPr>
        <w:t xml:space="preserve"> Comercio Exterior de la Unión Europea</w:t>
      </w:r>
    </w:p>
    <w:p w:rsidR="00422AAF" w:rsidRPr="00177DB3" w:rsidRDefault="00422AAF" w:rsidP="00422AAF">
      <w:pPr>
        <w:spacing w:line="240" w:lineRule="auto"/>
        <w:jc w:val="both"/>
        <w:rPr>
          <w:rFonts w:ascii="Times New Roman" w:hAnsi="Times New Roman" w:cs="Times New Roman"/>
          <w:b/>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r w:rsidRPr="00E0630D">
        <w:rPr>
          <w:rFonts w:ascii="Times New Roman" w:hAnsi="Times New Roman" w:cs="Times New Roman"/>
          <w:b/>
          <w:noProof/>
          <w:sz w:val="24"/>
          <w:szCs w:val="24"/>
          <w:lang w:val="en-GB" w:eastAsia="zh-CN"/>
        </w:rPr>
        <w:drawing>
          <wp:inline distT="0" distB="0" distL="0" distR="0">
            <wp:extent cx="5731510" cy="1932288"/>
            <wp:effectExtent l="0" t="0" r="254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1932288"/>
                    </a:xfrm>
                    <a:prstGeom prst="rect">
                      <a:avLst/>
                    </a:prstGeom>
                  </pic:spPr>
                </pic:pic>
              </a:graphicData>
            </a:graphic>
          </wp:inline>
        </w:drawing>
      </w:r>
    </w:p>
    <w:p w:rsidR="00422AAF" w:rsidRPr="00683384" w:rsidRDefault="00422AAF" w:rsidP="00422AAF">
      <w:pPr>
        <w:spacing w:line="240" w:lineRule="auto"/>
        <w:jc w:val="both"/>
        <w:rPr>
          <w:rFonts w:ascii="Times New Roman" w:hAnsi="Times New Roman" w:cs="Times New Roman"/>
          <w:b/>
          <w:noProof/>
          <w:sz w:val="24"/>
          <w:szCs w:val="24"/>
          <w:lang w:eastAsia="es-ES"/>
        </w:rPr>
      </w:pPr>
      <w:r>
        <w:rPr>
          <w:noProof/>
          <w:lang w:eastAsia="es-ES"/>
        </w:rPr>
        <w:tab/>
      </w:r>
      <w:r>
        <w:rPr>
          <w:noProof/>
          <w:lang w:eastAsia="es-ES"/>
        </w:rPr>
        <w:tab/>
      </w:r>
      <w:r>
        <w:rPr>
          <w:noProof/>
          <w:lang w:eastAsia="es-ES"/>
        </w:rPr>
        <w:tab/>
      </w:r>
      <w:r>
        <w:rPr>
          <w:noProof/>
          <w:lang w:eastAsia="es-ES"/>
        </w:rPr>
        <w:tab/>
      </w:r>
      <w:r>
        <w:rPr>
          <w:noProof/>
          <w:lang w:eastAsia="es-ES"/>
        </w:rPr>
        <w:tab/>
      </w:r>
      <w:r>
        <w:rPr>
          <w:noProof/>
          <w:lang w:eastAsia="es-ES"/>
        </w:rPr>
        <w:tab/>
      </w:r>
    </w:p>
    <w:p w:rsidR="00422AAF" w:rsidRDefault="00422AAF" w:rsidP="00422AAF">
      <w:pPr>
        <w:spacing w:line="240" w:lineRule="auto"/>
        <w:jc w:val="both"/>
        <w:rPr>
          <w:noProof/>
          <w:lang w:eastAsia="es-ES"/>
        </w:rPr>
      </w:pPr>
      <w:r w:rsidRPr="00A85E55">
        <w:rPr>
          <w:noProof/>
          <w:lang w:val="en-GB" w:eastAsia="zh-CN"/>
        </w:rPr>
        <w:drawing>
          <wp:inline distT="0" distB="0" distL="0" distR="0">
            <wp:extent cx="6153150" cy="2822737"/>
            <wp:effectExtent l="0" t="0" r="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6155646" cy="2823882"/>
                    </a:xfrm>
                    <a:prstGeom prst="rect">
                      <a:avLst/>
                    </a:prstGeom>
                  </pic:spPr>
                </pic:pic>
              </a:graphicData>
            </a:graphic>
          </wp:inline>
        </w:drawing>
      </w:r>
    </w:p>
    <w:p w:rsidR="00422AAF" w:rsidRPr="006475FD" w:rsidRDefault="00422AAF" w:rsidP="00422AAF">
      <w:pPr>
        <w:spacing w:line="240" w:lineRule="auto"/>
        <w:jc w:val="both"/>
        <w:rPr>
          <w:noProof/>
          <w:lang w:eastAsia="es-ES"/>
        </w:rPr>
      </w:pPr>
      <w:r w:rsidRPr="00A85E55">
        <w:rPr>
          <w:noProof/>
          <w:lang w:val="en-GB" w:eastAsia="zh-CN"/>
        </w:rPr>
        <w:drawing>
          <wp:inline distT="0" distB="0" distL="0" distR="0">
            <wp:extent cx="6235700" cy="1377525"/>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6252668" cy="1381273"/>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r w:rsidRPr="002F15AD">
        <w:rPr>
          <w:rFonts w:ascii="Times New Roman" w:hAnsi="Times New Roman" w:cs="Times New Roman"/>
          <w:noProof/>
          <w:sz w:val="24"/>
          <w:szCs w:val="24"/>
          <w:shd w:val="clear" w:color="auto" w:fill="FFFFFF"/>
          <w:lang w:val="en-GB" w:eastAsia="zh-CN"/>
        </w:rPr>
        <w:drawing>
          <wp:inline distT="0" distB="0" distL="0" distR="0">
            <wp:extent cx="5731510" cy="3307253"/>
            <wp:effectExtent l="0" t="0" r="254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3307253"/>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r w:rsidRPr="002F15AD">
        <w:rPr>
          <w:rFonts w:ascii="Times New Roman" w:hAnsi="Times New Roman" w:cs="Times New Roman"/>
          <w:noProof/>
          <w:sz w:val="24"/>
          <w:szCs w:val="24"/>
          <w:shd w:val="clear" w:color="auto" w:fill="FFFFFF"/>
          <w:lang w:val="en-GB" w:eastAsia="zh-CN"/>
        </w:rPr>
        <w:drawing>
          <wp:inline distT="0" distB="0" distL="0" distR="0">
            <wp:extent cx="5861050" cy="3879125"/>
            <wp:effectExtent l="0" t="0" r="635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864949" cy="3881705"/>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p>
    <w:p w:rsidR="00422AAF" w:rsidRDefault="00422AAF" w:rsidP="00422AAF">
      <w:pPr>
        <w:spacing w:line="240" w:lineRule="auto"/>
        <w:jc w:val="both"/>
        <w:rPr>
          <w:rFonts w:ascii="Times New Roman" w:hAnsi="Times New Roman" w:cs="Times New Roman"/>
          <w:sz w:val="24"/>
          <w:szCs w:val="24"/>
          <w:shd w:val="clear" w:color="auto" w:fill="FFFFFF"/>
        </w:rPr>
      </w:pPr>
      <w:r w:rsidRPr="00A02FFF">
        <w:rPr>
          <w:rFonts w:ascii="Times New Roman" w:hAnsi="Times New Roman" w:cs="Times New Roman"/>
          <w:noProof/>
          <w:sz w:val="24"/>
          <w:szCs w:val="24"/>
          <w:shd w:val="clear" w:color="auto" w:fill="FFFFFF"/>
          <w:lang w:val="en-GB" w:eastAsia="zh-CN"/>
        </w:rPr>
        <w:lastRenderedPageBreak/>
        <w:drawing>
          <wp:inline distT="0" distB="0" distL="0" distR="0">
            <wp:extent cx="6013450" cy="3232150"/>
            <wp:effectExtent l="0" t="0" r="6350" b="635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6019718" cy="3235519"/>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lang w:val="en-US"/>
        </w:rPr>
        <w:t>Intra-EU</w:t>
      </w:r>
      <w:r w:rsidRPr="00A75049">
        <w:rPr>
          <w:rFonts w:ascii="Times New Roman" w:hAnsi="Times New Roman" w:cs="Times New Roman"/>
          <w:sz w:val="24"/>
          <w:szCs w:val="24"/>
          <w:shd w:val="clear" w:color="auto" w:fill="FFFFFF"/>
          <w:lang w:val="en-US"/>
        </w:rPr>
        <w:t>28 trade - Exports in million of euros</w:t>
      </w:r>
    </w:p>
    <w:p w:rsidR="00422AAF" w:rsidRPr="00D7531E" w:rsidRDefault="00422AAF" w:rsidP="00422AAF">
      <w:pPr>
        <w:spacing w:line="240" w:lineRule="auto"/>
        <w:jc w:val="both"/>
        <w:rPr>
          <w:rFonts w:ascii="Times New Roman" w:hAnsi="Times New Roman" w:cs="Times New Roman"/>
          <w:sz w:val="24"/>
          <w:szCs w:val="24"/>
          <w:shd w:val="clear" w:color="auto" w:fill="FFFFFF"/>
          <w:lang w:val="en-US"/>
        </w:rPr>
      </w:pPr>
      <w:r w:rsidRPr="00D7531E">
        <w:rPr>
          <w:rFonts w:ascii="Times New Roman" w:hAnsi="Times New Roman" w:cs="Times New Roman"/>
          <w:noProof/>
          <w:sz w:val="24"/>
          <w:szCs w:val="24"/>
          <w:shd w:val="clear" w:color="auto" w:fill="FFFFFF"/>
          <w:lang w:val="en-GB" w:eastAsia="zh-CN"/>
        </w:rPr>
        <w:drawing>
          <wp:inline distT="0" distB="0" distL="0" distR="0">
            <wp:extent cx="6096000" cy="850900"/>
            <wp:effectExtent l="0" t="0" r="0" b="635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6097820" cy="851154"/>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b/>
          <w:color w:val="FF0000"/>
          <w:sz w:val="24"/>
          <w:szCs w:val="24"/>
          <w:shd w:val="clear" w:color="auto" w:fill="FFFFFF"/>
        </w:rPr>
        <w:tab/>
      </w:r>
      <w:r>
        <w:rPr>
          <w:rFonts w:ascii="Times New Roman" w:hAnsi="Times New Roman" w:cs="Times New Roman"/>
          <w:b/>
          <w:color w:val="FF0000"/>
          <w:sz w:val="24"/>
          <w:szCs w:val="24"/>
          <w:shd w:val="clear" w:color="auto" w:fill="FFFFFF"/>
        </w:rPr>
        <w:tab/>
      </w:r>
      <w:r>
        <w:rPr>
          <w:rFonts w:ascii="Times New Roman" w:hAnsi="Times New Roman" w:cs="Times New Roman"/>
          <w:b/>
          <w:color w:val="FF0000"/>
          <w:sz w:val="24"/>
          <w:szCs w:val="24"/>
          <w:shd w:val="clear" w:color="auto" w:fill="FFFFFF"/>
        </w:rPr>
        <w:tab/>
      </w:r>
      <w:r>
        <w:rPr>
          <w:rFonts w:ascii="Times New Roman" w:hAnsi="Times New Roman" w:cs="Times New Roman"/>
          <w:b/>
          <w:color w:val="FF0000"/>
          <w:sz w:val="24"/>
          <w:szCs w:val="24"/>
          <w:shd w:val="clear" w:color="auto" w:fill="FFFFFF"/>
        </w:rPr>
        <w:tab/>
      </w:r>
      <w:r>
        <w:rPr>
          <w:rFonts w:ascii="Times New Roman" w:hAnsi="Times New Roman" w:cs="Times New Roman"/>
          <w:b/>
          <w:color w:val="FF0000"/>
          <w:sz w:val="24"/>
          <w:szCs w:val="24"/>
          <w:shd w:val="clear" w:color="auto" w:fill="FFFFFF"/>
        </w:rPr>
        <w:tab/>
      </w:r>
      <w:r>
        <w:rPr>
          <w:rFonts w:ascii="Times New Roman" w:hAnsi="Times New Roman" w:cs="Times New Roman"/>
          <w:b/>
          <w:color w:val="FF0000"/>
          <w:sz w:val="24"/>
          <w:szCs w:val="24"/>
          <w:shd w:val="clear" w:color="auto" w:fill="FFFFFF"/>
        </w:rPr>
        <w:tab/>
      </w:r>
      <w:r>
        <w:rPr>
          <w:rFonts w:ascii="Times New Roman" w:hAnsi="Times New Roman" w:cs="Times New Roman"/>
          <w:sz w:val="24"/>
          <w:szCs w:val="24"/>
          <w:shd w:val="clear" w:color="auto" w:fill="FFFFFF"/>
          <w:lang w:val="en-US"/>
        </w:rPr>
        <w:t>Intra-EU</w:t>
      </w:r>
      <w:r w:rsidRPr="00A75049">
        <w:rPr>
          <w:rFonts w:ascii="Times New Roman" w:hAnsi="Times New Roman" w:cs="Times New Roman"/>
          <w:sz w:val="24"/>
          <w:szCs w:val="24"/>
          <w:shd w:val="clear" w:color="auto" w:fill="FFFFFF"/>
          <w:lang w:val="en-US"/>
        </w:rPr>
        <w:t>28 trade - Imports in million of euros</w:t>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sidRPr="00D7531E">
        <w:rPr>
          <w:rFonts w:ascii="Times New Roman" w:hAnsi="Times New Roman" w:cs="Times New Roman"/>
          <w:noProof/>
          <w:sz w:val="24"/>
          <w:szCs w:val="24"/>
          <w:shd w:val="clear" w:color="auto" w:fill="FFFFFF"/>
          <w:lang w:val="en-GB" w:eastAsia="zh-CN"/>
        </w:rPr>
        <w:drawing>
          <wp:inline distT="0" distB="0" distL="0" distR="0">
            <wp:extent cx="6096000" cy="817837"/>
            <wp:effectExtent l="0" t="0" r="0" b="1905"/>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6093300" cy="817475"/>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t xml:space="preserve"> Extra-EU</w:t>
      </w:r>
      <w:r w:rsidRPr="00A75049">
        <w:rPr>
          <w:rFonts w:ascii="Times New Roman" w:hAnsi="Times New Roman" w:cs="Times New Roman"/>
          <w:sz w:val="24"/>
          <w:szCs w:val="24"/>
          <w:shd w:val="clear" w:color="auto" w:fill="FFFFFF"/>
          <w:lang w:val="en-US"/>
        </w:rPr>
        <w:t>28 trade - Exports in million of euros</w:t>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sidRPr="00A75049">
        <w:rPr>
          <w:rFonts w:ascii="Times New Roman" w:hAnsi="Times New Roman" w:cs="Times New Roman"/>
          <w:noProof/>
          <w:sz w:val="24"/>
          <w:szCs w:val="24"/>
          <w:shd w:val="clear" w:color="auto" w:fill="FFFFFF"/>
          <w:lang w:val="en-GB" w:eastAsia="zh-CN"/>
        </w:rPr>
        <w:drawing>
          <wp:inline distT="0" distB="0" distL="0" distR="0">
            <wp:extent cx="6146800" cy="971550"/>
            <wp:effectExtent l="0" t="0" r="635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6163781" cy="974234"/>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r>
      <w:r>
        <w:rPr>
          <w:rFonts w:ascii="Times New Roman" w:hAnsi="Times New Roman" w:cs="Times New Roman"/>
          <w:sz w:val="24"/>
          <w:szCs w:val="24"/>
          <w:shd w:val="clear" w:color="auto" w:fill="FFFFFF"/>
          <w:lang w:val="en-US"/>
        </w:rPr>
        <w:tab/>
        <w:t xml:space="preserve">  Extra-EU</w:t>
      </w:r>
      <w:r w:rsidRPr="00A75049">
        <w:rPr>
          <w:rFonts w:ascii="Times New Roman" w:hAnsi="Times New Roman" w:cs="Times New Roman"/>
          <w:sz w:val="24"/>
          <w:szCs w:val="24"/>
          <w:shd w:val="clear" w:color="auto" w:fill="FFFFFF"/>
          <w:lang w:val="en-US"/>
        </w:rPr>
        <w:t>28 trade - Imports in million of euros</w:t>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sidRPr="00D7531E">
        <w:rPr>
          <w:rFonts w:ascii="Times New Roman" w:hAnsi="Times New Roman" w:cs="Times New Roman"/>
          <w:noProof/>
          <w:sz w:val="24"/>
          <w:szCs w:val="24"/>
          <w:shd w:val="clear" w:color="auto" w:fill="FFFFFF"/>
          <w:lang w:val="en-GB" w:eastAsia="zh-CN"/>
        </w:rPr>
        <w:drawing>
          <wp:inline distT="0" distB="0" distL="0" distR="0">
            <wp:extent cx="6146800" cy="1041400"/>
            <wp:effectExtent l="0" t="0" r="6350" b="635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6147933" cy="1041592"/>
                    </a:xfrm>
                    <a:prstGeom prst="rect">
                      <a:avLst/>
                    </a:prstGeom>
                  </pic:spPr>
                </pic:pic>
              </a:graphicData>
            </a:graphic>
          </wp:inline>
        </w:drawing>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Hay verdades, mentiras y… estadísticas (Exportación/Importación - Unión Europea) </w:t>
      </w:r>
    </w:p>
    <w:p w:rsidR="00422AAF" w:rsidRDefault="00422AAF" w:rsidP="00422AAF">
      <w:pPr>
        <w:spacing w:line="240" w:lineRule="auto"/>
        <w:rPr>
          <w:rFonts w:ascii="Times New Roman" w:hAnsi="Times New Roman" w:cs="Times New Roman"/>
          <w:sz w:val="24"/>
          <w:szCs w:val="24"/>
        </w:rPr>
      </w:pPr>
      <w:r w:rsidRPr="00571750">
        <w:rPr>
          <w:rFonts w:ascii="Times New Roman" w:hAnsi="Times New Roman" w:cs="Times New Roman"/>
          <w:sz w:val="24"/>
          <w:szCs w:val="24"/>
        </w:rPr>
        <w:t>En el período</w:t>
      </w:r>
      <w:r>
        <w:rPr>
          <w:rFonts w:ascii="Times New Roman" w:hAnsi="Times New Roman" w:cs="Times New Roman"/>
          <w:sz w:val="24"/>
          <w:szCs w:val="24"/>
        </w:rPr>
        <w:t xml:space="preserve"> 2007-2017 la UE-28 paso de un ratio Exportación/Importación de 1,02 a 1,09, lo que representa un crecimiento equivalente al 6,86 % en la relación.</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se amplía el período de observación 2002-2019, para la UE-27 el registro muestra que la misma no ha mostrado ninguna variación entre externos, manteniendo una relación de 1,11. En el caso de China la relación pasa de 1,1 (2002) a 1,2 (2018), con una variación equivalente al 9,1 %. EEUU no presenta ninguna variación en el ratio 0,6 (2002) y 0,6 (2019).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hacer homogénea la comparación de la serie, se observan los datos de la UE-27 en el período 2007-2017, donde la relación pasa de 1,03 (2007) a 1,11 (2017), con una variación equivalente a 7,77 %.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la relación de exportaciones Extra Comunitarias, China pasa de una participación del 2,8 % (2002) al 7,6 % (2019), con un crecimiento equivalente 171,43 %, y EEUU pasa de tener una participación del 17,3 % (2002) a una del 14,8 % (2019), con una variación equivalente al -14,45 %.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la relación de importaciones Extra Comunitarias, China pasa de una participación del 6,4 % (2002) al 14,0 % (2019), con un crecimiento equivalente 118,75 %, y EEUU pasa de tener una participación del 12,9 % (2002) a una del 10,0 % (2019), con una variación equivalente al -22,48 %.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el período 2008-2019, las exportaciones de la UE-28 pasan de representar el 39,8 % del PIB, a representar el 46,5 %, con un crecimiento equivalente al 16,83 %.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el período 2008-2019, las importaciones de la UE-28 pasan de representar el 38,6 % del PIB, a representar el 43,4 %, con un crecimiento equivalente al 12,44 %.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exportaciones Intra Comunitarias pasaron de 2,6 billones de euros, a 3,6 billones de euros, lo que representa un incremento equivalente al 38,46 %.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importaciones Intra Comunitarias pasaron de 2,5 billones de euros, a 3,5 billones de euros, lo que representa un incremento equivalente al 40 %.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exportaciones Extra Comunitarias a los EEUU pasaron de 0,243  billones de euros, a 0,450 billones de euros, lo que representa un incremento equivalente al 85,19 %.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exportaciones Entra Comunitarias a China pasaron de 0,113 billones de euros, a 0,225 billones de euros, lo que representa un incremento equivalente al 99,12 %.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importaciones Extra Comunitarias de los EEUU pasaron de 0,175 billones de euros, a 0,294 billones de euros, lo que representa un incremento equivalente al 68 %.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período 2010-2019, las importaciones Extra Comunitarias de China pasaron de 0,283 billones de euros, a 0,420 billones de euros, lo que representa un incremento equivalente al 48,41 %.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Estos últimos cálculos tienen como objetivo, comparar las exportaciones e importaciones Intra Comunitarias, con las exportaciones e importaciones Extra Comunitarias hacia y desde los EEUU y hacia y desde China.</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Para el año 2010 las exportaciones a los EEUU (0,243 billones de euros), sumadas a las exportaciones a China (0,113 billones de euros), totalizan 0,356 billones de euros, que comparadas con las exportaciones Intra Comunitarias (2,6 billones de euros), representan “solo” el equivalente al 13,69 % de las mismas.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Para el año 2019 las exportaciones a los EEUU (0,450 billones de euros), sumadas a las exportaciones a China (0,225 billones de euros), totalizan 0,675 billones de euros, que comparadas con las exportaciones Intra Comunitarias (3,6 billones de euros), representan “solo” el equivalente al 18,75 % de las mismas.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Para el año 2010 las importaciones desde los EEUU (0,175 billones de euros), sumadas a las importaciones desde China (0,283 billones de euros), totalizan 0,458 billones de euros, que comparadas con las importaciones Intra Comunitarias (2,5 billones de euros), representan “solo” el equivalente al 18,32 % de las mismas.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Para el año 2019 las importaciones desde los EEUU (0,294 billones de euros), sumadas a las importaciones desde China (0,420 billones de euros), totalizan 0,356 billones de euros, que comparadas con las importaciones Intra Comunitarias (3,5 billones de euros), representan “solo” el equivalente al 20,4 % de las mismas.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Todos esos porcentajes equivalentes (los “solo”), que en el caso de máxima apenas superan el 20 % de las operaciones Intra Comunitarias, me permiten destacar la gran importancia que tienen las operaciones “regionales”, comparadas con las operaciones (exportación / importación) con EEUU y China.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política de menor “multilateralismo” y de mayor “autonomía” (para no llamarla “proteccionismo”, dejémoslo en “bilateralismo”), mejoraría la posición competitiva de la Unión Europea e incrementaría las operaciones Intra Comunitarias. En vez de facilitar las exportaciones de EEUU (servicios financieros dopados y tecnologías de entretenimiento) y China (productos a bajo costo en base a la explotación de la mano de obra y el incumplimiento de normas sanitarias, sociales y ambientales equivalentes), hacia la UE, para poder venderles algunos Mercedes, Audi, BMW, Porsche, o VW, más, podría resultar conveniente ayudar al crecimiento de los países europeos menos avanzados y que sean sus consumidores los que compren los autos. </w:t>
      </w:r>
    </w:p>
    <w:p w:rsidR="00422AAF" w:rsidRDefault="00422AAF" w:rsidP="00422AAF">
      <w:pPr>
        <w:spacing w:line="240" w:lineRule="auto"/>
        <w:jc w:val="both"/>
        <w:rPr>
          <w:rFonts w:ascii="Times New Roman" w:hAnsi="Times New Roman" w:cs="Times New Roman"/>
          <w:sz w:val="24"/>
          <w:szCs w:val="24"/>
        </w:rPr>
      </w:pPr>
      <w:r w:rsidRPr="00E61DD2">
        <w:rPr>
          <w:rFonts w:ascii="Times New Roman" w:hAnsi="Times New Roman" w:cs="Times New Roman"/>
          <w:sz w:val="24"/>
          <w:szCs w:val="24"/>
        </w:rPr>
        <w:t>El núcleo del enigma europeo es que, si bien es una economía con superávits, su fragmentación asegura qu</w:t>
      </w:r>
      <w:r>
        <w:rPr>
          <w:rFonts w:ascii="Times New Roman" w:hAnsi="Times New Roman" w:cs="Times New Roman"/>
          <w:sz w:val="24"/>
          <w:szCs w:val="24"/>
        </w:rPr>
        <w:t xml:space="preserve">e las pérdidas de ingreso de sustrabajadores </w:t>
      </w:r>
      <w:r w:rsidRPr="00E61DD2">
        <w:rPr>
          <w:rFonts w:ascii="Times New Roman" w:hAnsi="Times New Roman" w:cs="Times New Roman"/>
          <w:sz w:val="24"/>
          <w:szCs w:val="24"/>
        </w:rPr>
        <w:t>ni siquiera se conviertan en utilidades sostenibles para los capitalistas europeos. En pocas palabras, tras la narra</w:t>
      </w:r>
      <w:r>
        <w:rPr>
          <w:rFonts w:ascii="Times New Roman" w:hAnsi="Times New Roman" w:cs="Times New Roman"/>
          <w:sz w:val="24"/>
          <w:szCs w:val="24"/>
        </w:rPr>
        <w:t xml:space="preserve">tiva de la competitividad </w:t>
      </w:r>
      <w:r w:rsidRPr="00E61DD2">
        <w:rPr>
          <w:rFonts w:ascii="Times New Roman" w:hAnsi="Times New Roman" w:cs="Times New Roman"/>
          <w:sz w:val="24"/>
          <w:szCs w:val="24"/>
        </w:rPr>
        <w:t>acecha el fantasma de una explotación inútil.</w:t>
      </w:r>
    </w:p>
    <w:p w:rsidR="00422AAF" w:rsidRPr="00E61DD2" w:rsidRDefault="00422AAF" w:rsidP="00422AAF">
      <w:pPr>
        <w:spacing w:line="240" w:lineRule="auto"/>
        <w:jc w:val="both"/>
        <w:rPr>
          <w:rFonts w:ascii="Times New Roman" w:hAnsi="Times New Roman" w:cs="Times New Roman"/>
          <w:sz w:val="24"/>
          <w:szCs w:val="24"/>
        </w:rPr>
      </w:pPr>
      <w:r w:rsidRPr="00E61DD2">
        <w:rPr>
          <w:rFonts w:ascii="Times New Roman" w:hAnsi="Times New Roman" w:cs="Times New Roman"/>
          <w:sz w:val="24"/>
          <w:szCs w:val="24"/>
        </w:rPr>
        <w:t xml:space="preserve">Este no es un problema alemán solamente, sino uno que afecta a otros países con superávits de la UE. El periódico alemán Handelsblatt reveló hace poco un notable revés. Mientras que en 2007 las corporaciones de la UE ganaron cerca de €100 </w:t>
      </w:r>
      <w:r>
        <w:rPr>
          <w:rFonts w:ascii="Times New Roman" w:hAnsi="Times New Roman" w:cs="Times New Roman"/>
          <w:sz w:val="24"/>
          <w:szCs w:val="24"/>
        </w:rPr>
        <w:t>mil millones</w:t>
      </w:r>
      <w:r w:rsidRPr="00E61DD2">
        <w:rPr>
          <w:rFonts w:ascii="Times New Roman" w:hAnsi="Times New Roman" w:cs="Times New Roman"/>
          <w:sz w:val="24"/>
          <w:szCs w:val="24"/>
        </w:rPr>
        <w:t xml:space="preserve"> más que sus contrapartes estadounidenses, en 2019 la situación se había revertido.</w:t>
      </w:r>
    </w:p>
    <w:p w:rsidR="00422AAF" w:rsidRDefault="00422AAF" w:rsidP="00422AAF">
      <w:pPr>
        <w:spacing w:line="240" w:lineRule="auto"/>
        <w:jc w:val="both"/>
        <w:rPr>
          <w:rFonts w:ascii="Times New Roman" w:hAnsi="Times New Roman" w:cs="Times New Roman"/>
          <w:sz w:val="24"/>
          <w:szCs w:val="24"/>
        </w:rPr>
      </w:pPr>
      <w:r w:rsidRPr="00E61DD2">
        <w:rPr>
          <w:rFonts w:ascii="Times New Roman" w:hAnsi="Times New Roman" w:cs="Times New Roman"/>
          <w:sz w:val="24"/>
          <w:szCs w:val="24"/>
        </w:rPr>
        <w:t>Más aún, se trata de una tendencia en aceleración. En 2019, las ganancias corporativas se e</w:t>
      </w:r>
      <w:r>
        <w:rPr>
          <w:rFonts w:ascii="Times New Roman" w:hAnsi="Times New Roman" w:cs="Times New Roman"/>
          <w:sz w:val="24"/>
          <w:szCs w:val="24"/>
        </w:rPr>
        <w:t>levaron un 50% más rápido en EEUU</w:t>
      </w:r>
      <w:r w:rsidRPr="00E61DD2">
        <w:rPr>
          <w:rFonts w:ascii="Times New Roman" w:hAnsi="Times New Roman" w:cs="Times New Roman"/>
          <w:sz w:val="24"/>
          <w:szCs w:val="24"/>
        </w:rPr>
        <w:t xml:space="preserve"> que en Europa, y se espera que la recesión causada por la pandemia las afecte menos, con una pérdida de 20% en 2020 comparada con un 33% en Europa.</w:t>
      </w:r>
      <w:r>
        <w:rPr>
          <w:rFonts w:ascii="Times New Roman" w:hAnsi="Times New Roman" w:cs="Times New Roman"/>
          <w:sz w:val="24"/>
          <w:szCs w:val="24"/>
        </w:rPr>
        <w:t xml:space="preserve"> (Project Syndicate - 30/6/20)</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Poniendo la lupa sobre algunos datos socio laborales (comparación China-Europa-EEUU, durante el período 2000-2019)</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Pr>
          <w:rFonts w:ascii="Times New Roman" w:hAnsi="Times New Roman" w:cs="Times New Roman"/>
          <w:b/>
          <w:color w:val="FF0000"/>
          <w:sz w:val="24"/>
          <w:szCs w:val="24"/>
          <w:shd w:val="clear" w:color="auto" w:fill="FFFFFF"/>
        </w:rPr>
        <w:t>) Impacto en el nivel de empleo</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Empleo</w:t>
      </w:r>
    </w:p>
    <w:p w:rsidR="00422AAF" w:rsidRDefault="00422AAF" w:rsidP="00422AAF">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74,9% en el año 2000, al 65,6% en el año 2019 -Variación 2000-2019: (12,42%)</w:t>
      </w:r>
    </w:p>
    <w:p w:rsidR="00422AAF" w:rsidRPr="00CD7FD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51,5% en el año 2000, al 53,9% en el año 2019 -Variación 2000-2019: 4,66%</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59,8% en el año 2019 -Variación 2000-2019: (6,27%)</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Aunque en el período observado (2000-2019) el nivel de empleo disminuye en China un 12,42 %, mientras que en Europa aumenta un 4,66 %, y en EEUU disminuye un 6,27 %, resulta interesante destacar la diferencia entre los niveles de empleo (población activa), que mientras en China era del 65,6 %, en Europa era del 53,9 % (un 17,84 % menos) y en EEUU era del 59,8 % (un 8,84 %), evidenciando un mayor desaprovechamiento del nivel de empleo.</w:t>
      </w:r>
    </w:p>
    <w:p w:rsidR="00422AAF" w:rsidRPr="00040759" w:rsidRDefault="00422AAF" w:rsidP="00422AAF">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Empleo por sectores</w:t>
      </w:r>
    </w:p>
    <w:p w:rsidR="00422AAF" w:rsidRPr="00040759" w:rsidRDefault="00422AAF" w:rsidP="00422AAF">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China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50% en el año 2000, al 25% en el año 2019 -Variación 2000-2019: (50%)</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22% en el año 2000, al 48% en el año 2019 -Variación 2000-2019: 120,45%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27% en el año 2000, al 46% en el año 2019 -Variación 2000-2019: 70,37%</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destaca el gran incremento del empleo industrial (crecimiento del 120,45 %, en el período 2000-2019), seguido del empleo en el sector servicios (crecimiento del 70,37 %). La disminución del empleo en la agricultura (50 %), confirma la transición al sector manufacturero, como consecuencia del proceso de globalización y deslocalización, y al sector servicios por el avance en el grado de desarrollo de China durante el período 2000-2019.</w:t>
      </w:r>
    </w:p>
    <w:p w:rsidR="00422AAF" w:rsidRPr="00040759"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Europa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6% en el año 2000, al 3% en el año 2019 -Variación 2000-2019: (50%)</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29% en el año 2000, al 22% en el año 2019 -Variación 2000-2019: (24,14%)</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66% en el año 2000, al 75% en el año 2019 -Variación 2000-2019: 14%</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caso de Europa, la disminución del sector industrial (24,14 %) no se ve compensada por el crecimiento del sector servicios (14 %), desmintiendo el paradigma de que el empleo en el sector servicios (nuevas tecnologías), compensaría el desempleo en el sector manufacturero.</w:t>
      </w:r>
    </w:p>
    <w:p w:rsidR="00422AAF" w:rsidRPr="00040759"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2% en el año 2000, al 1% en el año 2019 -Variación 2000-2019: (50%)</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24% en el año 2000, al 20% en el año 2019 -Variación 2000-2019: (16,67%)</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74% en el año 2000, al 79% en el año 2019 -Variación 2000-2019: 6,98%</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Tampoco en EEUU se cumple el paradigma de la sustitución de empleos en el sector de los servicios para aquellos que los han perdido en el sector manufacturero. Mientras en el sector industrial se pierden 16,67 %, en el sector servicios solo se alcanza una mejora equivalente al 6,98 %. Estos datos confirman el daño producido por el proceso de globalización y deslocalización en el tejido industrial (y del empleo) tanto en EEUU, como en Europa.</w:t>
      </w:r>
    </w:p>
    <w:p w:rsidR="00422AAF" w:rsidRDefault="00422AAF" w:rsidP="00422AAF">
      <w:pPr>
        <w:spacing w:line="240" w:lineRule="auto"/>
        <w:jc w:val="both"/>
        <w:rPr>
          <w:rFonts w:ascii="Times New Roman" w:hAnsi="Times New Roman" w:cs="Times New Roman"/>
          <w:sz w:val="24"/>
          <w:szCs w:val="24"/>
          <w:shd w:val="clear" w:color="auto" w:fill="FFFFFF"/>
        </w:rPr>
      </w:pPr>
      <w:r w:rsidRPr="00A702D2">
        <w:rPr>
          <w:rFonts w:ascii="Times New Roman" w:hAnsi="Times New Roman" w:cs="Times New Roman"/>
          <w:b/>
          <w:sz w:val="24"/>
          <w:szCs w:val="24"/>
          <w:shd w:val="clear" w:color="auto" w:fill="FFFFFF"/>
        </w:rPr>
        <w:t xml:space="preserve">Nota: </w:t>
      </w:r>
      <w:r w:rsidRPr="00A702D2">
        <w:rPr>
          <w:rFonts w:ascii="Times New Roman" w:hAnsi="Times New Roman" w:cs="Times New Roman"/>
          <w:sz w:val="24"/>
          <w:szCs w:val="24"/>
          <w:shd w:val="clear" w:color="auto" w:fill="FFFFFF"/>
        </w:rPr>
        <w:t>La crisis</w:t>
      </w:r>
      <w:r>
        <w:rPr>
          <w:rFonts w:ascii="Times New Roman" w:hAnsi="Times New Roman" w:cs="Times New Roman"/>
          <w:sz w:val="24"/>
          <w:szCs w:val="24"/>
          <w:shd w:val="clear" w:color="auto" w:fill="FFFFFF"/>
        </w:rPr>
        <w:t xml:space="preserve"> sanitaria (2020) puso en evidencia la importancia de mantener la soberanía alimentaria, sanitaria e industrial, tanto en la Unión Europea, como en los EEUU. La necesidad de disponer de alimentos para la población en un momento de cierre de las fronteras, la conveniencia de contar con autonomía industrial para la producción de artículos sanitarias de primera necesidad para hacer frente a la pandemia (mascarillas, guantes, equipamiento sanitario, respiradores, material de análisis y prevención…).</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Resulta “irónico” que siendo China el país “agraciado” por el modelo de globalización económica, haya sido no solo la que ha provocado y difundido la epidemia de Covid por el mundo mundial, sino que además del secretismo, desinformación y deslealtad, no haya provisto, en tiempo y forma, el material sanitario, a los mismos países que habían deslocalizado sus industrias en beneficio de este país emergente.</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Estos “eventos” sirven para confirmar la conveniencia de recuperar la autonomía en el sector agropecuario e industrial, al menos en los productos definidos como estratégicos, tanto en la Unión Europea, como en EEUU. Una vez más, China ha demostrado no ser un país confiable.</w:t>
      </w:r>
    </w:p>
    <w:p w:rsidR="00422AAF" w:rsidRPr="0046703E" w:rsidRDefault="00422AAF" w:rsidP="00422AAF">
      <w:pPr>
        <w:spacing w:line="240" w:lineRule="auto"/>
        <w:jc w:val="both"/>
        <w:rPr>
          <w:rFonts w:ascii="Times New Roman" w:hAnsi="Times New Roman" w:cs="Times New Roman"/>
          <w:sz w:val="24"/>
          <w:szCs w:val="24"/>
          <w:shd w:val="clear" w:color="auto" w:fill="FFFFFF"/>
        </w:rPr>
      </w:pPr>
      <w:r w:rsidRPr="008E78AD">
        <w:rPr>
          <w:rFonts w:ascii="Times New Roman" w:hAnsi="Times New Roman" w:cs="Times New Roman"/>
          <w:b/>
          <w:sz w:val="24"/>
          <w:szCs w:val="24"/>
          <w:shd w:val="clear" w:color="auto" w:fill="FFFFFF"/>
        </w:rPr>
        <w:t>Fuerza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422AAF" w:rsidRDefault="00422AAF" w:rsidP="00422AAF">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66,4% en el año 2000, al 62,1% en el año 2019 -Variación 2000-2019: (6,48%)</w:t>
      </w:r>
    </w:p>
    <w:p w:rsidR="00422AAF" w:rsidRPr="00CD7FD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56,5% en el año 2000, al 53,9% en el año 2019 -Variación 2000-2019: (4,60%)</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58% en el año 2019 -Variación 2000-2019: (9,09%)</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período analizado (2000-2019) se constata el mayor empleo de la fuerza de trabajo en China (62,1 %) con referencia a la fuerza de trabajo utilizada en Europa (53,9 %, un 13,20 % menos de aprovechamiento, en comparación con China), y en EEUU (58 %, un 6,60 % menos de aprovechamiento, en comparación con China). </w:t>
      </w:r>
    </w:p>
    <w:p w:rsidR="00422AAF" w:rsidRDefault="00422AAF" w:rsidP="00422AAF">
      <w:pPr>
        <w:spacing w:line="240" w:lineRule="auto"/>
        <w:jc w:val="both"/>
        <w:rPr>
          <w:rFonts w:ascii="Times New Roman" w:hAnsi="Times New Roman" w:cs="Times New Roman"/>
          <w:b/>
          <w:sz w:val="24"/>
          <w:szCs w:val="24"/>
          <w:shd w:val="clear" w:color="auto" w:fill="FFFFFF"/>
        </w:rPr>
      </w:pPr>
      <w:r w:rsidRPr="008E78AD">
        <w:rPr>
          <w:rFonts w:ascii="Times New Roman" w:hAnsi="Times New Roman" w:cs="Times New Roman"/>
          <w:b/>
          <w:sz w:val="24"/>
          <w:szCs w:val="24"/>
          <w:shd w:val="clear" w:color="auto" w:fill="FFFFFF"/>
        </w:rPr>
        <w:t>F</w:t>
      </w:r>
      <w:r>
        <w:rPr>
          <w:rFonts w:ascii="Times New Roman" w:hAnsi="Times New Roman" w:cs="Times New Roman"/>
          <w:b/>
          <w:sz w:val="24"/>
          <w:szCs w:val="24"/>
          <w:shd w:val="clear" w:color="auto" w:fill="FFFFFF"/>
        </w:rPr>
        <w:t>uera de la f</w:t>
      </w:r>
      <w:r w:rsidRPr="008E78AD">
        <w:rPr>
          <w:rFonts w:ascii="Times New Roman" w:hAnsi="Times New Roman" w:cs="Times New Roman"/>
          <w:b/>
          <w:sz w:val="24"/>
          <w:szCs w:val="24"/>
          <w:shd w:val="clear" w:color="auto" w:fill="FFFFFF"/>
        </w:rPr>
        <w:t>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422AAF" w:rsidRDefault="00422AAF" w:rsidP="00422AAF">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22,6% en el año 2000, al 32% en el año 2019 -Variación 2000-2019: 47,59%</w:t>
      </w:r>
    </w:p>
    <w:p w:rsidR="00422AAF" w:rsidRPr="00CD7FD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43,5% en el año 2000, al 42% en el año 2019 -Variación 2000-2019: (3,45%)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33,6% en el año 2000, al 38% en el año 2019 -Variación 2000-2019: 13,10%</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período analizado (2000-2019), en China aumenta la fuerza de trabajo que está desaprovechada (alcanzando una pérdida equivalente al 47,59 %), mientras que en Europa se produce un mayor aprovechamiento de la fuerza de trabajo (variación positiva equivalente al 3,45 %), en tanto que en EEUU se registra un incremento de los que están fuera de la fuerza de trabajo (alcanzando una pérdida equivalente al 13,10 %)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Pr>
          <w:rFonts w:ascii="Times New Roman" w:hAnsi="Times New Roman" w:cs="Times New Roman"/>
          <w:b/>
          <w:color w:val="FF0000"/>
          <w:sz w:val="24"/>
          <w:szCs w:val="24"/>
          <w:shd w:val="clear" w:color="auto" w:fill="FFFFFF"/>
        </w:rPr>
        <w:t xml:space="preserve"> Aumento del nivel de desempleo</w:t>
      </w:r>
    </w:p>
    <w:p w:rsidR="00422AAF" w:rsidRDefault="00422AAF" w:rsidP="00422AAF">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3,3% en el año 2000, al 4,3% en el año 2019 -Variación 2000-2019: 30,30%</w:t>
      </w:r>
    </w:p>
    <w:p w:rsidR="00422AAF" w:rsidRPr="00CD7FD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8,8% en el año 2000, al 7,0% en el año 2019 -Variación 2000-2019: (20,45%)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4,0% en el año 2000, al 3,7% en el año 2019 -Variación 2000-2019: (7,5%)</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nivel de desempleo, en el período 2000-2019, aumenta en China un 30,30 %, se reduce en Europa un 20,45 % y se reduce en los EEUU un 7,5 %. En este caso se llama la atención, no tanto a la variación del nivel de desempleo, sino al porcentaje de desempleo en sí mismo. En Europa (7,0 %) casi se duplica el nivel de desempleo de China (4,3 %) y de los EEUU (3,7 %). La comparación resulta más desfavorable si se comparan los datos estadísticos del año 2000, donde Europa supera a China en un 166,66 % y a EEUU en un 120 % en el nivel de desempleo. </w:t>
      </w:r>
    </w:p>
    <w:p w:rsidR="00422AAF" w:rsidRPr="00740C91" w:rsidRDefault="00422AAF" w:rsidP="00422AAF">
      <w:pPr>
        <w:spacing w:line="240" w:lineRule="auto"/>
        <w:jc w:val="both"/>
        <w:rPr>
          <w:rFonts w:ascii="Times New Roman" w:hAnsi="Times New Roman" w:cs="Times New Roman"/>
          <w:b/>
          <w:sz w:val="24"/>
          <w:szCs w:val="24"/>
          <w:shd w:val="clear" w:color="auto" w:fill="FFFFFF"/>
        </w:rPr>
      </w:pPr>
      <w:r w:rsidRPr="009E14E8">
        <w:rPr>
          <w:rFonts w:ascii="Times New Roman" w:hAnsi="Times New Roman" w:cs="Times New Roman"/>
          <w:b/>
          <w:color w:val="FF0000"/>
          <w:sz w:val="24"/>
          <w:szCs w:val="24"/>
          <w:shd w:val="clear" w:color="auto" w:fill="FFFFFF"/>
        </w:rPr>
        <w:t>(-) Disminución de l</w:t>
      </w:r>
      <w:r>
        <w:rPr>
          <w:rFonts w:ascii="Times New Roman" w:hAnsi="Times New Roman" w:cs="Times New Roman"/>
          <w:b/>
          <w:color w:val="FF0000"/>
          <w:sz w:val="24"/>
          <w:szCs w:val="24"/>
          <w:shd w:val="clear" w:color="auto" w:fill="FFFFFF"/>
        </w:rPr>
        <w:t xml:space="preserve">os ingresos de los trabajadores  </w:t>
      </w:r>
    </w:p>
    <w:p w:rsidR="00422AAF" w:rsidRPr="00F62B93" w:rsidRDefault="00422AAF" w:rsidP="00422AAF">
      <w:pPr>
        <w:spacing w:line="240" w:lineRule="auto"/>
        <w:jc w:val="both"/>
        <w:rPr>
          <w:rFonts w:ascii="Times New Roman" w:hAnsi="Times New Roman" w:cs="Times New Roman"/>
          <w:b/>
          <w:sz w:val="24"/>
          <w:szCs w:val="24"/>
          <w:shd w:val="clear" w:color="auto" w:fill="FFFFFF"/>
        </w:rPr>
      </w:pPr>
      <w:r w:rsidRPr="00F62B93">
        <w:rPr>
          <w:rFonts w:ascii="Times New Roman" w:hAnsi="Times New Roman" w:cs="Times New Roman"/>
          <w:b/>
          <w:sz w:val="24"/>
          <w:szCs w:val="24"/>
          <w:shd w:val="clear" w:color="auto" w:fill="FFFFFF"/>
        </w:rPr>
        <w:t>Europa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 la disminución de los ingresos de los trabajadores se utiliza la serie Eurostat: Mean and median income by age and sex (2000-2018). Como en los primeros años hay variación en la cantidad de países miembro, se indica en cada caso.</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Año 2000 - EU-15 - </w:t>
      </w:r>
      <w:r w:rsidRPr="009D4525">
        <w:rPr>
          <w:rFonts w:ascii="Times New Roman" w:hAnsi="Times New Roman" w:cs="Times New Roman"/>
          <w:sz w:val="24"/>
          <w:szCs w:val="24"/>
        </w:rPr>
        <w:t>13.009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2001 - EU-15 - </w:t>
      </w:r>
      <w:r>
        <w:rPr>
          <w:rFonts w:ascii="Times New Roman" w:hAnsi="Times New Roman" w:cs="Times New Roman"/>
          <w:sz w:val="24"/>
          <w:szCs w:val="24"/>
        </w:rPr>
        <w:t>13.866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(2001 vs. 2000): 857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2002 - EU-15 - </w:t>
      </w:r>
      <w:r>
        <w:rPr>
          <w:rFonts w:ascii="Times New Roman" w:hAnsi="Times New Roman" w:cs="Times New Roman"/>
          <w:sz w:val="24"/>
          <w:szCs w:val="24"/>
        </w:rPr>
        <w:t>N/D</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2003 - EU-15 - </w:t>
      </w:r>
      <w:r>
        <w:rPr>
          <w:rFonts w:ascii="Times New Roman" w:hAnsi="Times New Roman" w:cs="Times New Roman"/>
          <w:sz w:val="24"/>
          <w:szCs w:val="24"/>
        </w:rPr>
        <w:t>N/D</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2004 - EU-15 - </w:t>
      </w:r>
      <w:r>
        <w:rPr>
          <w:rFonts w:ascii="Times New Roman" w:hAnsi="Times New Roman" w:cs="Times New Roman"/>
          <w:sz w:val="24"/>
          <w:szCs w:val="24"/>
        </w:rPr>
        <w:t>N/D</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2005 - EU-27 - </w:t>
      </w:r>
      <w:r>
        <w:rPr>
          <w:rFonts w:ascii="Times New Roman" w:hAnsi="Times New Roman" w:cs="Times New Roman"/>
          <w:sz w:val="24"/>
          <w:szCs w:val="24"/>
        </w:rPr>
        <w:t>12.646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(2005 vs. 2000): (363)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2006 - EU-27 - </w:t>
      </w:r>
      <w:r>
        <w:rPr>
          <w:rFonts w:ascii="Times New Roman" w:hAnsi="Times New Roman" w:cs="Times New Roman"/>
          <w:sz w:val="24"/>
          <w:szCs w:val="24"/>
        </w:rPr>
        <w:t>12.953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(2006 vs. 2000):   (56)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2007 - EU-27 - </w:t>
      </w:r>
      <w:r w:rsidRPr="009D4525">
        <w:rPr>
          <w:rFonts w:ascii="Times New Roman" w:hAnsi="Times New Roman" w:cs="Times New Roman"/>
          <w:sz w:val="24"/>
          <w:szCs w:val="24"/>
        </w:rPr>
        <w:t>13.</w:t>
      </w:r>
      <w:r>
        <w:rPr>
          <w:rFonts w:ascii="Times New Roman" w:hAnsi="Times New Roman" w:cs="Times New Roman"/>
          <w:sz w:val="24"/>
          <w:szCs w:val="24"/>
        </w:rPr>
        <w:t>919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 xml:space="preserve">Variación (2007 vs. 2000):   905 euros </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2008 - EU-27 - </w:t>
      </w:r>
      <w:r>
        <w:rPr>
          <w:rFonts w:ascii="Times New Roman" w:hAnsi="Times New Roman" w:cs="Times New Roman"/>
          <w:sz w:val="24"/>
          <w:szCs w:val="24"/>
        </w:rPr>
        <w:t>14.623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(2008 vs. 2000): 1.614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2009 - EU-27 - </w:t>
      </w:r>
      <w:r>
        <w:rPr>
          <w:rFonts w:ascii="Times New Roman" w:hAnsi="Times New Roman" w:cs="Times New Roman"/>
          <w:sz w:val="24"/>
          <w:szCs w:val="24"/>
        </w:rPr>
        <w:t>14.775</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(2009 vs. 2000): 1.766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2010 - EU-28 - </w:t>
      </w:r>
      <w:r>
        <w:rPr>
          <w:rFonts w:ascii="Times New Roman" w:hAnsi="Times New Roman" w:cs="Times New Roman"/>
          <w:sz w:val="24"/>
          <w:szCs w:val="24"/>
        </w:rPr>
        <w:t>14.841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(2010 vs. 2000): 1.832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2011 - EU-28 - </w:t>
      </w:r>
      <w:r>
        <w:rPr>
          <w:rFonts w:ascii="Times New Roman" w:hAnsi="Times New Roman" w:cs="Times New Roman"/>
          <w:sz w:val="24"/>
          <w:szCs w:val="24"/>
        </w:rPr>
        <w:t>14.960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sidR="007E0984">
        <w:rPr>
          <w:rFonts w:ascii="Times New Roman" w:hAnsi="Times New Roman" w:cs="Times New Roman"/>
          <w:sz w:val="24"/>
          <w:szCs w:val="24"/>
          <w:shd w:val="clear" w:color="auto" w:fill="FFFFFF"/>
        </w:rPr>
        <w:t>Variación (2011 vs. 2000): 1.</w:t>
      </w:r>
      <w:r>
        <w:rPr>
          <w:rFonts w:ascii="Times New Roman" w:hAnsi="Times New Roman" w:cs="Times New Roman"/>
          <w:sz w:val="24"/>
          <w:szCs w:val="24"/>
          <w:shd w:val="clear" w:color="auto" w:fill="FFFFFF"/>
        </w:rPr>
        <w:t>951 euros</w:t>
      </w:r>
    </w:p>
    <w:p w:rsidR="00422AAF" w:rsidRPr="00414C1D"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2012 - EU-28 - </w:t>
      </w:r>
      <w:r>
        <w:rPr>
          <w:rFonts w:ascii="Times New Roman" w:hAnsi="Times New Roman" w:cs="Times New Roman"/>
          <w:sz w:val="24"/>
          <w:szCs w:val="24"/>
        </w:rPr>
        <w:t>15.456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sidR="007E0984">
        <w:rPr>
          <w:rFonts w:ascii="Times New Roman" w:hAnsi="Times New Roman" w:cs="Times New Roman"/>
          <w:sz w:val="24"/>
          <w:szCs w:val="24"/>
          <w:shd w:val="clear" w:color="auto" w:fill="FFFFFF"/>
        </w:rPr>
        <w:t>Variación (2012 vs. 2000): 2.</w:t>
      </w:r>
      <w:r>
        <w:rPr>
          <w:rFonts w:ascii="Times New Roman" w:hAnsi="Times New Roman" w:cs="Times New Roman"/>
          <w:sz w:val="24"/>
          <w:szCs w:val="24"/>
          <w:shd w:val="clear" w:color="auto" w:fill="FFFFFF"/>
        </w:rPr>
        <w:t>447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2013 - EU-28 - </w:t>
      </w:r>
      <w:r>
        <w:rPr>
          <w:rFonts w:ascii="Times New Roman" w:hAnsi="Times New Roman" w:cs="Times New Roman"/>
          <w:sz w:val="24"/>
          <w:szCs w:val="24"/>
        </w:rPr>
        <w:t>15.433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sidR="007E0984">
        <w:rPr>
          <w:rFonts w:ascii="Times New Roman" w:hAnsi="Times New Roman" w:cs="Times New Roman"/>
          <w:sz w:val="24"/>
          <w:szCs w:val="24"/>
          <w:shd w:val="clear" w:color="auto" w:fill="FFFFFF"/>
        </w:rPr>
        <w:t>Variación (2013 vs. 2000): 2.</w:t>
      </w:r>
      <w:r>
        <w:rPr>
          <w:rFonts w:ascii="Times New Roman" w:hAnsi="Times New Roman" w:cs="Times New Roman"/>
          <w:sz w:val="24"/>
          <w:szCs w:val="24"/>
          <w:shd w:val="clear" w:color="auto" w:fill="FFFFFF"/>
        </w:rPr>
        <w:t>424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2014 - EU-28 - </w:t>
      </w:r>
      <w:r>
        <w:rPr>
          <w:rFonts w:ascii="Times New Roman" w:hAnsi="Times New Roman" w:cs="Times New Roman"/>
          <w:sz w:val="24"/>
          <w:szCs w:val="24"/>
        </w:rPr>
        <w:t>15.790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(2014 vs. 2000): 2.781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2015 - EU-28 - </w:t>
      </w:r>
      <w:r>
        <w:rPr>
          <w:rFonts w:ascii="Times New Roman" w:hAnsi="Times New Roman" w:cs="Times New Roman"/>
          <w:sz w:val="24"/>
          <w:szCs w:val="24"/>
        </w:rPr>
        <w:t>16.128</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(2015 vs. 2000): 3.119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2016 - EU-28 - </w:t>
      </w:r>
      <w:r>
        <w:rPr>
          <w:rFonts w:ascii="Times New Roman" w:hAnsi="Times New Roman" w:cs="Times New Roman"/>
          <w:sz w:val="24"/>
          <w:szCs w:val="24"/>
        </w:rPr>
        <w:t>16.530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(2016 vs. 2000): 3.521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2017 - EU-28 - </w:t>
      </w:r>
      <w:r>
        <w:rPr>
          <w:rFonts w:ascii="Times New Roman" w:hAnsi="Times New Roman" w:cs="Times New Roman"/>
          <w:sz w:val="24"/>
          <w:szCs w:val="24"/>
        </w:rPr>
        <w:t>16.979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(2017 vs. 2000): 3.970 euros</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rPr>
        <w:t xml:space="preserve">Año 2018 - EU-28 - </w:t>
      </w:r>
      <w:r>
        <w:rPr>
          <w:rFonts w:ascii="Times New Roman" w:hAnsi="Times New Roman" w:cs="Times New Roman"/>
          <w:sz w:val="24"/>
          <w:szCs w:val="24"/>
        </w:rPr>
        <w:t>17.441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(2018 vs. 2000): 4.432 euros</w:t>
      </w:r>
    </w:p>
    <w:p w:rsidR="00422AAF" w:rsidRDefault="00422AAF" w:rsidP="00422AAF">
      <w:pPr>
        <w:spacing w:line="240" w:lineRule="auto"/>
        <w:jc w:val="both"/>
        <w:rPr>
          <w:rFonts w:ascii="Times New Roman" w:hAnsi="Times New Roman" w:cs="Times New Roman"/>
          <w:b/>
          <w:sz w:val="24"/>
          <w:szCs w:val="24"/>
        </w:rPr>
      </w:pPr>
      <w:r>
        <w:rPr>
          <w:rFonts w:ascii="Times New Roman" w:hAnsi="Times New Roman" w:cs="Times New Roman"/>
          <w:sz w:val="24"/>
          <w:szCs w:val="24"/>
          <w:shd w:val="clear" w:color="auto" w:fill="FFFFFF"/>
        </w:rPr>
        <w:t xml:space="preserve">Si se acepta una comparación heterogénea (EU-15 año 2000 y EU-28 año 2018), la variación del ingreso de los trabajadores registra una mejora de 4.432 euros, equivalente al 34,07 % en el plazo de 18 años. Si la comparación se realiza con datos homogéneos (EU-28 año 2010 y EU-28 año 2018), la variación del ingreso de los trabajadores registra una mejora de 2.600 euros, equivalente al 17,52 en el plazo de ocho años.  </w:t>
      </w:r>
    </w:p>
    <w:p w:rsidR="00422AAF" w:rsidRDefault="00422AAF" w:rsidP="00422AAF">
      <w:pPr>
        <w:spacing w:line="240" w:lineRule="auto"/>
        <w:jc w:val="both"/>
        <w:rPr>
          <w:rFonts w:ascii="Times New Roman" w:hAnsi="Times New Roman" w:cs="Times New Roman"/>
          <w:b/>
          <w:sz w:val="24"/>
          <w:szCs w:val="24"/>
          <w:shd w:val="clear" w:color="auto" w:fill="FFFFFF"/>
        </w:rPr>
      </w:pPr>
      <w:r w:rsidRPr="00661CEA">
        <w:rPr>
          <w:rFonts w:ascii="Times New Roman" w:hAnsi="Times New Roman" w:cs="Times New Roman"/>
          <w:b/>
          <w:sz w:val="24"/>
          <w:szCs w:val="24"/>
          <w:shd w:val="clear" w:color="auto" w:fill="FFFFFF"/>
        </w:rPr>
        <w:t>EEUU</w:t>
      </w:r>
    </w:p>
    <w:p w:rsidR="00422AAF" w:rsidRPr="009D4525" w:rsidRDefault="00422AAF" w:rsidP="00422AAF">
      <w:pPr>
        <w:spacing w:line="240" w:lineRule="auto"/>
        <w:jc w:val="both"/>
        <w:rPr>
          <w:rFonts w:ascii="Times New Roman" w:hAnsi="Times New Roman" w:cs="Times New Roman"/>
          <w:sz w:val="24"/>
          <w:szCs w:val="24"/>
          <w:shd w:val="clear" w:color="auto" w:fill="FFFFFF"/>
        </w:rPr>
      </w:pPr>
      <w:r w:rsidRPr="00661CEA">
        <w:rPr>
          <w:rFonts w:ascii="Times New Roman" w:hAnsi="Times New Roman" w:cs="Times New Roman"/>
          <w:sz w:val="24"/>
          <w:szCs w:val="24"/>
          <w:shd w:val="clear" w:color="auto" w:fill="FFFFFF"/>
        </w:rPr>
        <w:t>Para</w:t>
      </w:r>
      <w:r>
        <w:rPr>
          <w:rFonts w:ascii="Times New Roman" w:hAnsi="Times New Roman" w:cs="Times New Roman"/>
          <w:sz w:val="24"/>
          <w:szCs w:val="24"/>
          <w:shd w:val="clear" w:color="auto" w:fill="FFFFFF"/>
        </w:rPr>
        <w:t xml:space="preserve"> el cálculo de la disminución de los salarios se utilizan los datos publicados por </w:t>
      </w:r>
      <w:r w:rsidRPr="00661CEA">
        <w:rPr>
          <w:rFonts w:ascii="Times New Roman" w:hAnsi="Times New Roman" w:cs="Times New Roman"/>
          <w:sz w:val="24"/>
          <w:szCs w:val="24"/>
          <w:shd w:val="clear" w:color="auto" w:fill="FFFFFF"/>
        </w:rPr>
        <w:t>United States Census Bureau</w:t>
      </w:r>
      <w:r>
        <w:rPr>
          <w:rFonts w:ascii="Times New Roman" w:hAnsi="Times New Roman" w:cs="Times New Roman"/>
          <w:sz w:val="24"/>
          <w:szCs w:val="24"/>
          <w:shd w:val="clear" w:color="auto" w:fill="FFFFFF"/>
        </w:rPr>
        <w:t xml:space="preserve"> (2000-2018). El importe de los salarios abonados en cada año se divide por la cantidad de empleados registrados en el mismo período, y se calcula el salario promedio para cada año.</w:t>
      </w:r>
    </w:p>
    <w:p w:rsidR="00422AAF" w:rsidRPr="00302903" w:rsidRDefault="00422AAF" w:rsidP="00422AAF">
      <w:pPr>
        <w:jc w:val="both"/>
        <w:rPr>
          <w:rFonts w:ascii="Times New Roman" w:hAnsi="Times New Roman" w:cs="Times New Roman"/>
          <w:sz w:val="24"/>
          <w:szCs w:val="24"/>
        </w:rPr>
      </w:pPr>
      <w:r w:rsidRPr="00302903">
        <w:rPr>
          <w:rFonts w:ascii="Times New Roman" w:hAnsi="Times New Roman" w:cs="Times New Roman"/>
          <w:b/>
          <w:sz w:val="24"/>
          <w:szCs w:val="24"/>
        </w:rPr>
        <w:t xml:space="preserve">Año 2000 - EEUU: </w:t>
      </w:r>
      <w:r w:rsidRPr="00302903">
        <w:rPr>
          <w:rFonts w:ascii="Times New Roman" w:hAnsi="Times New Roman" w:cs="Times New Roman"/>
          <w:sz w:val="24"/>
          <w:szCs w:val="24"/>
        </w:rPr>
        <w:t xml:space="preserve">3.879,4 (m. </w:t>
      </w:r>
      <w:r>
        <w:rPr>
          <w:rFonts w:ascii="Times New Roman" w:hAnsi="Times New Roman" w:cs="Times New Roman"/>
          <w:sz w:val="24"/>
          <w:szCs w:val="24"/>
        </w:rPr>
        <w:t xml:space="preserve">de mil. de dólares) / 114,1 (millones de trab.) = 34.000 US$ </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2001</w:t>
      </w:r>
      <w:r w:rsidRPr="00302903">
        <w:rPr>
          <w:rFonts w:ascii="Times New Roman" w:hAnsi="Times New Roman" w:cs="Times New Roman"/>
          <w:b/>
          <w:sz w:val="24"/>
          <w:szCs w:val="24"/>
        </w:rPr>
        <w:t xml:space="preserve"> - EEUU:</w:t>
      </w:r>
      <w:r>
        <w:rPr>
          <w:rFonts w:ascii="Times New Roman" w:hAnsi="Times New Roman" w:cs="Times New Roman"/>
          <w:sz w:val="24"/>
          <w:szCs w:val="24"/>
        </w:rPr>
        <w:t>3.989,1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34.658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(2001 vs. 2000):   658 dólares </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2002</w:t>
      </w:r>
      <w:r w:rsidRPr="00302903">
        <w:rPr>
          <w:rFonts w:ascii="Times New Roman" w:hAnsi="Times New Roman" w:cs="Times New Roman"/>
          <w:b/>
          <w:sz w:val="24"/>
          <w:szCs w:val="24"/>
        </w:rPr>
        <w:t xml:space="preserve"> - EEUU:</w:t>
      </w:r>
      <w:r>
        <w:rPr>
          <w:rFonts w:ascii="Times New Roman" w:hAnsi="Times New Roman" w:cs="Times New Roman"/>
          <w:sz w:val="24"/>
          <w:szCs w:val="24"/>
        </w:rPr>
        <w:t>3.943,2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112,4 (millones de trab.) = 35.082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(2002 vs. 2000): </w:t>
      </w:r>
      <w:r>
        <w:rPr>
          <w:rFonts w:ascii="Times New Roman" w:hAnsi="Times New Roman" w:cs="Times New Roman"/>
          <w:sz w:val="24"/>
          <w:szCs w:val="24"/>
        </w:rPr>
        <w:t xml:space="preserve">1.052 dólares </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2003</w:t>
      </w:r>
      <w:r w:rsidRPr="00302903">
        <w:rPr>
          <w:rFonts w:ascii="Times New Roman" w:hAnsi="Times New Roman" w:cs="Times New Roman"/>
          <w:b/>
          <w:sz w:val="24"/>
          <w:szCs w:val="24"/>
        </w:rPr>
        <w:t xml:space="preserve"> - EEUU:</w:t>
      </w:r>
      <w:r>
        <w:rPr>
          <w:rFonts w:ascii="Times New Roman" w:hAnsi="Times New Roman" w:cs="Times New Roman"/>
          <w:sz w:val="24"/>
          <w:szCs w:val="24"/>
        </w:rPr>
        <w:t>4.040,9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35.634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(2003 vs. 2000): 1.634 dólares </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2004</w:t>
      </w:r>
      <w:r w:rsidRPr="00302903">
        <w:rPr>
          <w:rFonts w:ascii="Times New Roman" w:hAnsi="Times New Roman" w:cs="Times New Roman"/>
          <w:b/>
          <w:sz w:val="24"/>
          <w:szCs w:val="24"/>
        </w:rPr>
        <w:t xml:space="preserve"> - EEUU:</w:t>
      </w:r>
      <w:r>
        <w:rPr>
          <w:rFonts w:ascii="Times New Roman" w:hAnsi="Times New Roman" w:cs="Times New Roman"/>
          <w:sz w:val="24"/>
          <w:szCs w:val="24"/>
        </w:rPr>
        <w:t>4.254,0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36.959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(2004 vs. 2000): 2.559 dólares </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2005</w:t>
      </w:r>
      <w:r w:rsidRPr="00302903">
        <w:rPr>
          <w:rFonts w:ascii="Times New Roman" w:hAnsi="Times New Roman" w:cs="Times New Roman"/>
          <w:b/>
          <w:sz w:val="24"/>
          <w:szCs w:val="24"/>
        </w:rPr>
        <w:t xml:space="preserve"> - EEUU:</w:t>
      </w:r>
      <w:r>
        <w:rPr>
          <w:rFonts w:ascii="Times New Roman" w:hAnsi="Times New Roman" w:cs="Times New Roman"/>
          <w:sz w:val="24"/>
          <w:szCs w:val="24"/>
        </w:rPr>
        <w:t>4.482,7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116,3 (millones de trab.) = 38.544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(2005 vs. 2000): </w:t>
      </w:r>
      <w:r>
        <w:rPr>
          <w:rFonts w:ascii="Times New Roman" w:hAnsi="Times New Roman" w:cs="Times New Roman"/>
          <w:sz w:val="24"/>
          <w:szCs w:val="24"/>
        </w:rPr>
        <w:t>4.544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2006</w:t>
      </w:r>
      <w:r w:rsidRPr="00302903">
        <w:rPr>
          <w:rFonts w:ascii="Times New Roman" w:hAnsi="Times New Roman" w:cs="Times New Roman"/>
          <w:b/>
          <w:sz w:val="24"/>
          <w:szCs w:val="24"/>
        </w:rPr>
        <w:t xml:space="preserve"> - EEUU:</w:t>
      </w:r>
      <w:r>
        <w:rPr>
          <w:rFonts w:ascii="Times New Roman" w:hAnsi="Times New Roman" w:cs="Times New Roman"/>
          <w:sz w:val="24"/>
          <w:szCs w:val="24"/>
        </w:rPr>
        <w:t>4.792,4</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120,0 (millones de trab.) = 39.937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(2006 vs. 2000): </w:t>
      </w:r>
      <w:r>
        <w:rPr>
          <w:rFonts w:ascii="Times New Roman" w:hAnsi="Times New Roman" w:cs="Times New Roman"/>
          <w:sz w:val="24"/>
          <w:szCs w:val="24"/>
        </w:rPr>
        <w:t>5.937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2007</w:t>
      </w:r>
      <w:r w:rsidRPr="00302903">
        <w:rPr>
          <w:rFonts w:ascii="Times New Roman" w:hAnsi="Times New Roman" w:cs="Times New Roman"/>
          <w:b/>
          <w:sz w:val="24"/>
          <w:szCs w:val="24"/>
        </w:rPr>
        <w:t xml:space="preserve"> - EEUU:</w:t>
      </w:r>
      <w:r>
        <w:rPr>
          <w:rFonts w:ascii="Times New Roman" w:hAnsi="Times New Roman" w:cs="Times New Roman"/>
          <w:sz w:val="24"/>
          <w:szCs w:val="24"/>
        </w:rPr>
        <w:t>5.026,8</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120,6 (millones de trab.) = 41.682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(2007 vs. 2000): </w:t>
      </w:r>
      <w:r>
        <w:rPr>
          <w:rFonts w:ascii="Times New Roman" w:hAnsi="Times New Roman" w:cs="Times New Roman"/>
          <w:sz w:val="24"/>
          <w:szCs w:val="24"/>
        </w:rPr>
        <w:t>7.682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2008</w:t>
      </w:r>
      <w:r w:rsidRPr="00302903">
        <w:rPr>
          <w:rFonts w:ascii="Times New Roman" w:hAnsi="Times New Roman" w:cs="Times New Roman"/>
          <w:b/>
          <w:sz w:val="24"/>
          <w:szCs w:val="24"/>
        </w:rPr>
        <w:t xml:space="preserve"> - EEUU:</w:t>
      </w:r>
      <w:r>
        <w:rPr>
          <w:rFonts w:ascii="Times New Roman" w:hAnsi="Times New Roman" w:cs="Times New Roman"/>
          <w:sz w:val="24"/>
          <w:szCs w:val="24"/>
        </w:rPr>
        <w:t>5.130,5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120,9 (millones de trab.) = 42.436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(2008 vs. 2000): </w:t>
      </w:r>
      <w:r>
        <w:rPr>
          <w:rFonts w:ascii="Times New Roman" w:hAnsi="Times New Roman" w:cs="Times New Roman"/>
          <w:sz w:val="24"/>
          <w:szCs w:val="24"/>
        </w:rPr>
        <w:t>8.436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2009</w:t>
      </w:r>
      <w:r w:rsidRPr="00302903">
        <w:rPr>
          <w:rFonts w:ascii="Times New Roman" w:hAnsi="Times New Roman" w:cs="Times New Roman"/>
          <w:b/>
          <w:sz w:val="24"/>
          <w:szCs w:val="24"/>
        </w:rPr>
        <w:t xml:space="preserve"> - EEUU:</w:t>
      </w:r>
      <w:r>
        <w:rPr>
          <w:rFonts w:ascii="Times New Roman" w:hAnsi="Times New Roman" w:cs="Times New Roman"/>
          <w:sz w:val="24"/>
          <w:szCs w:val="24"/>
        </w:rPr>
        <w:t>4.855,5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114,5 (millones de trab.) = 42.406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(2009 vs. 2000): </w:t>
      </w:r>
      <w:r>
        <w:rPr>
          <w:rFonts w:ascii="Times New Roman" w:hAnsi="Times New Roman" w:cs="Times New Roman"/>
          <w:sz w:val="24"/>
          <w:szCs w:val="24"/>
        </w:rPr>
        <w:t>8.406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2010</w:t>
      </w:r>
      <w:r w:rsidRPr="00302903">
        <w:rPr>
          <w:rFonts w:ascii="Times New Roman" w:hAnsi="Times New Roman" w:cs="Times New Roman"/>
          <w:b/>
          <w:sz w:val="24"/>
          <w:szCs w:val="24"/>
        </w:rPr>
        <w:t xml:space="preserve"> - EEUU:</w:t>
      </w:r>
      <w:r>
        <w:rPr>
          <w:rFonts w:ascii="Times New Roman" w:hAnsi="Times New Roman" w:cs="Times New Roman"/>
          <w:sz w:val="24"/>
          <w:szCs w:val="24"/>
        </w:rPr>
        <w:t>4.941,0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112,0 (millones de trab.) = 44.116 US$</w:t>
      </w:r>
    </w:p>
    <w:p w:rsidR="00422AAF"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(2010 vs. 2000): 10.116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2011</w:t>
      </w:r>
      <w:r w:rsidRPr="00302903">
        <w:rPr>
          <w:rFonts w:ascii="Times New Roman" w:hAnsi="Times New Roman" w:cs="Times New Roman"/>
          <w:b/>
          <w:sz w:val="24"/>
          <w:szCs w:val="24"/>
        </w:rPr>
        <w:t xml:space="preserve"> - EEUU:</w:t>
      </w:r>
      <w:r>
        <w:rPr>
          <w:rFonts w:ascii="Times New Roman" w:hAnsi="Times New Roman" w:cs="Times New Roman"/>
          <w:sz w:val="24"/>
          <w:szCs w:val="24"/>
        </w:rPr>
        <w:t>5.164,9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45.546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(2011 vs. 2000): </w:t>
      </w:r>
      <w:r>
        <w:rPr>
          <w:rFonts w:ascii="Times New Roman" w:hAnsi="Times New Roman" w:cs="Times New Roman"/>
          <w:sz w:val="24"/>
          <w:szCs w:val="24"/>
        </w:rPr>
        <w:t>11.546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2012</w:t>
      </w:r>
      <w:r w:rsidRPr="00302903">
        <w:rPr>
          <w:rFonts w:ascii="Times New Roman" w:hAnsi="Times New Roman" w:cs="Times New Roman"/>
          <w:b/>
          <w:sz w:val="24"/>
          <w:szCs w:val="24"/>
        </w:rPr>
        <w:t xml:space="preserve"> - EEUU:</w:t>
      </w:r>
      <w:r>
        <w:rPr>
          <w:rFonts w:ascii="Times New Roman" w:hAnsi="Times New Roman" w:cs="Times New Roman"/>
          <w:sz w:val="24"/>
          <w:szCs w:val="24"/>
        </w:rPr>
        <w:t>5.414,3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115,9 (millones de trab.) = 46.715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(2012 vs. 2000): </w:t>
      </w:r>
      <w:r>
        <w:rPr>
          <w:rFonts w:ascii="Times New Roman" w:hAnsi="Times New Roman" w:cs="Times New Roman"/>
          <w:sz w:val="24"/>
          <w:szCs w:val="24"/>
        </w:rPr>
        <w:t>12.715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2013</w:t>
      </w:r>
      <w:r w:rsidRPr="00302903">
        <w:rPr>
          <w:rFonts w:ascii="Times New Roman" w:hAnsi="Times New Roman" w:cs="Times New Roman"/>
          <w:b/>
          <w:sz w:val="24"/>
          <w:szCs w:val="24"/>
        </w:rPr>
        <w:t xml:space="preserve"> - EEUU:</w:t>
      </w:r>
      <w:r>
        <w:rPr>
          <w:rFonts w:ascii="Times New Roman" w:hAnsi="Times New Roman" w:cs="Times New Roman"/>
          <w:sz w:val="24"/>
          <w:szCs w:val="24"/>
        </w:rPr>
        <w:t>5.621,7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118,3 (millones de trab.) = 47.521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(2013 vs. 2000): </w:t>
      </w:r>
      <w:r>
        <w:rPr>
          <w:rFonts w:ascii="Times New Roman" w:hAnsi="Times New Roman" w:cs="Times New Roman"/>
          <w:sz w:val="24"/>
          <w:szCs w:val="24"/>
        </w:rPr>
        <w:t>13.521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2014</w:t>
      </w:r>
      <w:r w:rsidRPr="00302903">
        <w:rPr>
          <w:rFonts w:ascii="Times New Roman" w:hAnsi="Times New Roman" w:cs="Times New Roman"/>
          <w:b/>
          <w:sz w:val="24"/>
          <w:szCs w:val="24"/>
        </w:rPr>
        <w:t xml:space="preserve"> - EEUU:</w:t>
      </w:r>
      <w:r>
        <w:rPr>
          <w:rFonts w:ascii="Times New Roman" w:hAnsi="Times New Roman" w:cs="Times New Roman"/>
          <w:sz w:val="24"/>
          <w:szCs w:val="24"/>
        </w:rPr>
        <w:t>5.940,2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121,1 (millones de trab.) = 49.052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(2014 vs. 2000): </w:t>
      </w:r>
      <w:r>
        <w:rPr>
          <w:rFonts w:ascii="Times New Roman" w:hAnsi="Times New Roman" w:cs="Times New Roman"/>
          <w:sz w:val="24"/>
          <w:szCs w:val="24"/>
        </w:rPr>
        <w:t>15.052 dólares</w:t>
      </w:r>
    </w:p>
    <w:p w:rsidR="00422AAF" w:rsidRDefault="00422AAF" w:rsidP="00422AAF">
      <w:pPr>
        <w:jc w:val="both"/>
        <w:rPr>
          <w:rFonts w:ascii="Times New Roman" w:hAnsi="Times New Roman" w:cs="Times New Roman"/>
          <w:sz w:val="24"/>
          <w:szCs w:val="24"/>
        </w:rPr>
      </w:pPr>
      <w:r>
        <w:rPr>
          <w:rFonts w:ascii="Times New Roman" w:hAnsi="Times New Roman" w:cs="Times New Roman"/>
          <w:b/>
          <w:sz w:val="24"/>
          <w:szCs w:val="24"/>
        </w:rPr>
        <w:t>Año 2015</w:t>
      </w:r>
      <w:r w:rsidRPr="00302903">
        <w:rPr>
          <w:rFonts w:ascii="Times New Roman" w:hAnsi="Times New Roman" w:cs="Times New Roman"/>
          <w:b/>
          <w:sz w:val="24"/>
          <w:szCs w:val="24"/>
        </w:rPr>
        <w:t xml:space="preserve"> - EEUU:</w:t>
      </w:r>
      <w:r>
        <w:rPr>
          <w:rFonts w:ascii="Times New Roman" w:hAnsi="Times New Roman" w:cs="Times New Roman"/>
          <w:sz w:val="24"/>
          <w:szCs w:val="24"/>
        </w:rPr>
        <w:t>6.253,5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124,1 (millones de trab.) = 50.391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(2015 vs. 2000): 16.391 dólares</w:t>
      </w:r>
    </w:p>
    <w:p w:rsidR="00422AAF" w:rsidRDefault="00422AAF" w:rsidP="00422AAF">
      <w:pPr>
        <w:jc w:val="both"/>
        <w:rPr>
          <w:rFonts w:ascii="Times New Roman" w:hAnsi="Times New Roman" w:cs="Times New Roman"/>
          <w:sz w:val="24"/>
          <w:szCs w:val="24"/>
        </w:rPr>
      </w:pPr>
      <w:r w:rsidRPr="00302903">
        <w:rPr>
          <w:rFonts w:ascii="Times New Roman" w:hAnsi="Times New Roman" w:cs="Times New Roman"/>
          <w:b/>
          <w:sz w:val="24"/>
          <w:szCs w:val="24"/>
        </w:rPr>
        <w:t>Año 2016 - EEUU:</w:t>
      </w:r>
      <w:r>
        <w:rPr>
          <w:rFonts w:ascii="Times New Roman" w:hAnsi="Times New Roman" w:cs="Times New Roman"/>
          <w:sz w:val="24"/>
          <w:szCs w:val="24"/>
        </w:rPr>
        <w:t>6.435,1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126,8 (millones de trab.) = 50.750 US$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(2016 vs. 2000): </w:t>
      </w:r>
      <w:r>
        <w:rPr>
          <w:rFonts w:ascii="Times New Roman" w:hAnsi="Times New Roman" w:cs="Times New Roman"/>
          <w:sz w:val="24"/>
          <w:szCs w:val="24"/>
        </w:rPr>
        <w:t>16.750 dólares</w:t>
      </w:r>
    </w:p>
    <w:p w:rsidR="00422AAF" w:rsidRDefault="00422AAF" w:rsidP="00422AAF">
      <w:pPr>
        <w:jc w:val="both"/>
        <w:rPr>
          <w:rFonts w:ascii="Times New Roman" w:hAnsi="Times New Roman" w:cs="Times New Roman"/>
          <w:sz w:val="24"/>
          <w:szCs w:val="24"/>
        </w:rPr>
      </w:pPr>
      <w:r w:rsidRPr="00302903">
        <w:rPr>
          <w:rFonts w:ascii="Times New Roman" w:hAnsi="Times New Roman" w:cs="Times New Roman"/>
          <w:b/>
          <w:sz w:val="24"/>
          <w:szCs w:val="24"/>
        </w:rPr>
        <w:t>Año 2017 - EEUU:</w:t>
      </w:r>
      <w:r>
        <w:rPr>
          <w:rFonts w:ascii="Times New Roman" w:hAnsi="Times New Roman" w:cs="Times New Roman"/>
          <w:sz w:val="24"/>
          <w:szCs w:val="24"/>
        </w:rPr>
        <w:t>6.725,3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128,6 (millones de trab.) = 52.296 US$</w:t>
      </w:r>
    </w:p>
    <w:p w:rsidR="00422AAF" w:rsidRDefault="00422AAF" w:rsidP="00422AAF">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(2017 vs. 2000): </w:t>
      </w:r>
      <w:r>
        <w:rPr>
          <w:rFonts w:ascii="Times New Roman" w:hAnsi="Times New Roman" w:cs="Times New Roman"/>
          <w:sz w:val="24"/>
          <w:szCs w:val="24"/>
        </w:rPr>
        <w:t>18.296 dólares</w:t>
      </w:r>
    </w:p>
    <w:p w:rsidR="00422AAF" w:rsidRPr="00302903" w:rsidRDefault="00422AAF" w:rsidP="00422AAF">
      <w:pPr>
        <w:jc w:val="both"/>
        <w:rPr>
          <w:rFonts w:ascii="Times New Roman" w:hAnsi="Times New Roman" w:cs="Times New Roman"/>
          <w:sz w:val="24"/>
          <w:szCs w:val="24"/>
        </w:rPr>
      </w:pPr>
      <w:r>
        <w:rPr>
          <w:rFonts w:ascii="Times New Roman" w:hAnsi="Times New Roman" w:cs="Times New Roman"/>
          <w:sz w:val="24"/>
          <w:szCs w:val="24"/>
        </w:rPr>
        <w:t>Para el caso de los EEUU, el comparativo de los ingresos entre el año 2000 y el año 2017, presenta una mejora de 18.296 dólares, que equivale a un incremento del 53,81 % en 17 años.</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Alteración en </w:t>
      </w:r>
      <w:r>
        <w:rPr>
          <w:rFonts w:ascii="Times New Roman" w:hAnsi="Times New Roman" w:cs="Times New Roman"/>
          <w:b/>
          <w:color w:val="FF0000"/>
          <w:sz w:val="24"/>
          <w:szCs w:val="24"/>
          <w:shd w:val="clear" w:color="auto" w:fill="FFFFFF"/>
        </w:rPr>
        <w:t>la distribución de los ingresos</w:t>
      </w:r>
    </w:p>
    <w:p w:rsidR="00422AAF" w:rsidRPr="00002BEF" w:rsidRDefault="00422AAF" w:rsidP="00422AAF">
      <w:pPr>
        <w:spacing w:line="240" w:lineRule="auto"/>
        <w:jc w:val="both"/>
        <w:rPr>
          <w:rFonts w:ascii="Times New Roman" w:hAnsi="Times New Roman" w:cs="Times New Roman"/>
          <w:b/>
          <w:sz w:val="24"/>
          <w:szCs w:val="24"/>
          <w:shd w:val="clear" w:color="auto" w:fill="FFFFFF"/>
        </w:rPr>
      </w:pPr>
      <w:r w:rsidRPr="00002BEF">
        <w:rPr>
          <w:rFonts w:ascii="Times New Roman" w:hAnsi="Times New Roman" w:cs="Times New Roman"/>
          <w:b/>
          <w:sz w:val="24"/>
          <w:szCs w:val="24"/>
          <w:shd w:val="clear" w:color="auto" w:fill="FFFFFF"/>
        </w:rPr>
        <w:t>Europa</w:t>
      </w:r>
    </w:p>
    <w:p w:rsidR="00422AAF" w:rsidRDefault="00422AAF" w:rsidP="00422AAF">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Income quintile share ratio S80/S20 for disposable income - Eurostat (2004-2018). Años anteriores no disponibles.</w:t>
      </w:r>
    </w:p>
    <w:p w:rsidR="00422AAF" w:rsidRPr="00F72521" w:rsidRDefault="00422AAF" w:rsidP="00422AAF">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sidRPr="005019FF">
        <w:rPr>
          <w:rFonts w:ascii="Times New Roman" w:hAnsi="Times New Roman" w:cs="Times New Roman"/>
          <w:sz w:val="24"/>
          <w:szCs w:val="24"/>
          <w:shd w:val="clear" w:color="auto" w:fill="FFFFFF"/>
        </w:rPr>
        <w:t>Participación del 20% más pobre en el ingreso nacional</w:t>
      </w:r>
      <w:r>
        <w:rPr>
          <w:rFonts w:ascii="Times New Roman" w:hAnsi="Times New Roman" w:cs="Times New Roman"/>
          <w:sz w:val="24"/>
          <w:szCs w:val="24"/>
          <w:shd w:val="clear" w:color="auto" w:fill="FFFFFF"/>
        </w:rPr>
        <w:t xml:space="preserve"> (o regional). Interpretación del dato: Año 2004 Ratio 5,0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5</w:t>
      </w:r>
      <w:r w:rsidRPr="005019FF">
        <w:rPr>
          <w:rFonts w:ascii="Times New Roman" w:hAnsi="Times New Roman" w:cs="Times New Roman"/>
          <w:sz w:val="24"/>
          <w:szCs w:val="24"/>
          <w:shd w:val="clear" w:color="auto" w:fill="FFFFFF"/>
        </w:rPr>
        <w:t xml:space="preserve"> veces superior a la recibida por el quintil de renta más baja.</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w:t>
      </w:r>
      <w:r w:rsidRPr="001D24E3">
        <w:rPr>
          <w:rFonts w:ascii="Times New Roman" w:hAnsi="Times New Roman" w:cs="Times New Roman"/>
          <w:b/>
          <w:sz w:val="24"/>
          <w:szCs w:val="24"/>
          <w:shd w:val="clear" w:color="auto" w:fill="FFFFFF"/>
        </w:rPr>
        <w:t xml:space="preserve"> 2004 -</w:t>
      </w:r>
      <w:r>
        <w:rPr>
          <w:rFonts w:ascii="Times New Roman" w:hAnsi="Times New Roman" w:cs="Times New Roman"/>
          <w:b/>
          <w:sz w:val="24"/>
          <w:szCs w:val="24"/>
          <w:shd w:val="clear" w:color="auto" w:fill="FFFFFF"/>
        </w:rPr>
        <w:t xml:space="preserve"> EU-19: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5,0 - Año base para la comparación. Anteriores no disponibles.</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5,03 - Variación 2005-2004 =  6,0 %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4,95- Variación 2006-2004 = (1,0)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sidRPr="00EB4930">
        <w:rPr>
          <w:rFonts w:ascii="Times New Roman" w:hAnsi="Times New Roman" w:cs="Times New Roman"/>
          <w:sz w:val="24"/>
          <w:szCs w:val="24"/>
          <w:shd w:val="clear" w:color="auto" w:fill="FFFFFF"/>
        </w:rPr>
        <w:t>5,02</w:t>
      </w:r>
      <w:r>
        <w:rPr>
          <w:rFonts w:ascii="Times New Roman" w:hAnsi="Times New Roman" w:cs="Times New Roman"/>
          <w:sz w:val="24"/>
          <w:szCs w:val="24"/>
          <w:shd w:val="clear" w:color="auto" w:fill="FFFFFF"/>
        </w:rPr>
        <w:t xml:space="preserve"> - Variación 2007-2004 = 4,0 %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sidRPr="001D24E3">
        <w:rPr>
          <w:rFonts w:ascii="Times New Roman" w:hAnsi="Times New Roman" w:cs="Times New Roman"/>
          <w:sz w:val="24"/>
          <w:szCs w:val="24"/>
          <w:shd w:val="clear" w:color="auto" w:fill="FFFFFF"/>
        </w:rPr>
        <w:t>A</w:t>
      </w:r>
      <w:r>
        <w:rPr>
          <w:rFonts w:ascii="Times New Roman" w:hAnsi="Times New Roman" w:cs="Times New Roman"/>
          <w:b/>
          <w:sz w:val="24"/>
          <w:szCs w:val="24"/>
          <w:shd w:val="clear" w:color="auto" w:fill="FFFFFF"/>
        </w:rPr>
        <w:t>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Ratio</w:t>
      </w:r>
      <w:r w:rsidRPr="00EB4930">
        <w:rPr>
          <w:rFonts w:ascii="Times New Roman" w:hAnsi="Times New Roman" w:cs="Times New Roman"/>
          <w:sz w:val="24"/>
          <w:szCs w:val="24"/>
          <w:shd w:val="clear" w:color="auto" w:fill="FFFFFF"/>
        </w:rPr>
        <w:t>5,01</w:t>
      </w:r>
      <w:r>
        <w:rPr>
          <w:rFonts w:ascii="Times New Roman" w:hAnsi="Times New Roman" w:cs="Times New Roman"/>
          <w:sz w:val="24"/>
          <w:szCs w:val="24"/>
          <w:shd w:val="clear" w:color="auto" w:fill="FFFFFF"/>
        </w:rPr>
        <w:t xml:space="preserve"> - Variación 2008-2004 = 2,0 %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4,92 - Variación 2009-2004 = (1,6)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4,94- Variación 2010-2004 = (1,2)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Ratio5,03</w:t>
      </w:r>
      <w:r>
        <w:rPr>
          <w:rFonts w:ascii="Times New Roman" w:hAnsi="Times New Roman" w:cs="Times New Roman"/>
          <w:sz w:val="24"/>
          <w:szCs w:val="24"/>
          <w:shd w:val="clear" w:color="auto" w:fill="FFFFFF"/>
        </w:rPr>
        <w:t xml:space="preserve"> - Variación 2011-2004 = 6,0 %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5,98 - Variación 2012-2004 =  19,6 %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5,0   - Variación 2013-2004 = 0</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5,20 - Variación 2014-2004 =  4,0 %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5,22 - Variación 2015-2004 =  4,4 %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5,16 - Variación 2016-2004 =  3,2 %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5,08 - Variación 2017-2004 =  1,6 %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5,12 - Variación 2018-2004 =    2,4 %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Este análisis comparativo es fácil de entender, pero difícil de aceptar. En Europa se ha pasado de un ratio de distribución de los ingresos de 5 (para el año 2004), a uno de 5,12 (para el año 2018). Lo que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5,12</w:t>
      </w:r>
      <w:r w:rsidRPr="005019FF">
        <w:rPr>
          <w:rFonts w:ascii="Times New Roman" w:hAnsi="Times New Roman" w:cs="Times New Roman"/>
          <w:sz w:val="24"/>
          <w:szCs w:val="24"/>
          <w:shd w:val="clear" w:color="auto" w:fill="FFFFFF"/>
        </w:rPr>
        <w:t xml:space="preserve"> veces superior a la recibida por el quintil de renta más baja.</w:t>
      </w:r>
      <w:r>
        <w:rPr>
          <w:rFonts w:ascii="Times New Roman" w:hAnsi="Times New Roman" w:cs="Times New Roman"/>
          <w:sz w:val="24"/>
          <w:szCs w:val="24"/>
          <w:shd w:val="clear" w:color="auto" w:fill="FFFFFF"/>
        </w:rPr>
        <w:t xml:space="preserve"> Una regresión (pérdida) equivalente al 2,4 % en el plazo de 14 años.  </w:t>
      </w:r>
    </w:p>
    <w:p w:rsidR="00422AAF" w:rsidRDefault="00422AAF" w:rsidP="00422AAF">
      <w:pPr>
        <w:spacing w:line="240" w:lineRule="auto"/>
        <w:jc w:val="both"/>
        <w:rPr>
          <w:rFonts w:ascii="Times New Roman" w:hAnsi="Times New Roman" w:cs="Times New Roman"/>
          <w:b/>
          <w:sz w:val="24"/>
          <w:szCs w:val="24"/>
          <w:shd w:val="clear" w:color="auto" w:fill="FFFFFF"/>
        </w:rPr>
      </w:pPr>
      <w:r w:rsidRPr="00740C91">
        <w:rPr>
          <w:rFonts w:ascii="Times New Roman" w:hAnsi="Times New Roman" w:cs="Times New Roman"/>
          <w:b/>
          <w:sz w:val="24"/>
          <w:szCs w:val="24"/>
          <w:shd w:val="clear" w:color="auto" w:fill="FFFFFF"/>
        </w:rPr>
        <w:t>EEUU</w:t>
      </w:r>
    </w:p>
    <w:p w:rsidR="00422AAF" w:rsidRDefault="00422AAF" w:rsidP="00422AAF">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Shares of household Income of Selected Percentiles S80/S20 (2000-2018) - </w:t>
      </w:r>
      <w:r w:rsidRPr="00740C91">
        <w:rPr>
          <w:rFonts w:ascii="Times New Roman" w:hAnsi="Times New Roman" w:cs="Times New Roman"/>
          <w:sz w:val="24"/>
          <w:szCs w:val="24"/>
          <w:shd w:val="clear" w:color="auto" w:fill="FFFFFF"/>
        </w:rPr>
        <w:t>US Census Bureau</w:t>
      </w:r>
      <w:r>
        <w:rPr>
          <w:rFonts w:ascii="Times New Roman" w:hAnsi="Times New Roman" w:cs="Times New Roman"/>
          <w:sz w:val="24"/>
          <w:szCs w:val="24"/>
          <w:shd w:val="clear" w:color="auto" w:fill="FFFFFF"/>
        </w:rPr>
        <w:t>.</w:t>
      </w:r>
    </w:p>
    <w:p w:rsidR="00422AAF" w:rsidRDefault="00422AAF" w:rsidP="00422AAF">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sidRPr="005019FF">
        <w:rPr>
          <w:rFonts w:ascii="Times New Roman" w:hAnsi="Times New Roman" w:cs="Times New Roman"/>
          <w:sz w:val="24"/>
          <w:szCs w:val="24"/>
          <w:shd w:val="clear" w:color="auto" w:fill="FFFFFF"/>
        </w:rPr>
        <w:t>Participación del 20% más pobre en el ingreso nacional</w:t>
      </w:r>
      <w:r>
        <w:rPr>
          <w:rFonts w:ascii="Times New Roman" w:hAnsi="Times New Roman" w:cs="Times New Roman"/>
          <w:sz w:val="24"/>
          <w:szCs w:val="24"/>
          <w:shd w:val="clear" w:color="auto" w:fill="FFFFFF"/>
        </w:rPr>
        <w:t xml:space="preserve"> (o regional). Interpretación del dato: Año 2000 Ratio 4,56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4,56</w:t>
      </w:r>
      <w:r w:rsidRPr="005019FF">
        <w:rPr>
          <w:rFonts w:ascii="Times New Roman" w:hAnsi="Times New Roman" w:cs="Times New Roman"/>
          <w:sz w:val="24"/>
          <w:szCs w:val="24"/>
          <w:shd w:val="clear" w:color="auto" w:fill="FFFFFF"/>
        </w:rPr>
        <w:t xml:space="preserve"> veces superior a la recibida por el quintil de renta más baja.</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4,56 - Año base para la comparación.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4,65 - Variación 2001-2000 =  1,97 %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4,69 - Variación 2002-2000 = 2,85 %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4,83 - Variación 2003-2000 = 5,92 %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4,76 - Variación 2004-2000 = 4,39 %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4,78 - Variación 2005-2000 = 4,82%</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4,84 - Variación 2006-2000 = 6,14 %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4,93 - Variación 2007-2000 = 8,11 %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4,84 - Variación 2008-2000 = 6,14 %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4,89 - Variación 2009-2000 = 7,24 %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   - Variación 2010-2000 = 9,65 %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5,01 - Variación 2011-2000 = 9,87 %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5,05 - Variación 2012-2000 = 10,75 %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5,16 - Variación 2013-2000 = 13,16 %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5,24 - Variación 2014-2000 = 14,92 %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5,13 - Variación 2015-2000 = 12,50 %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5,04 - Variación 2016-2000 = 10.53 %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5,13 - Variación 2017-2000 = 12,50 %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5,08 - Variación 2018-2000 = 11,40 %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EEUU la situación es peor aún, si cabe, porque de un ratio de 4,56 (año 2000) se pasa a un ratio de 5,08 (año 2018), con lo que el grado de desigualdad se amplió un 11,40 % en 18 años. L</w:t>
      </w:r>
      <w:r w:rsidRPr="005019FF">
        <w:rPr>
          <w:rFonts w:ascii="Times New Roman" w:hAnsi="Times New Roman" w:cs="Times New Roman"/>
          <w:sz w:val="24"/>
          <w:szCs w:val="24"/>
          <w:shd w:val="clear" w:color="auto" w:fill="FFFFFF"/>
        </w:rPr>
        <w:t>a renta total equivalente recibida por el quintil de renta</w:t>
      </w:r>
      <w:r>
        <w:rPr>
          <w:rFonts w:ascii="Times New Roman" w:hAnsi="Times New Roman" w:cs="Times New Roman"/>
          <w:sz w:val="24"/>
          <w:szCs w:val="24"/>
          <w:shd w:val="clear" w:color="auto" w:fill="FFFFFF"/>
        </w:rPr>
        <w:t xml:space="preserve"> superior fue 5,08</w:t>
      </w:r>
      <w:r w:rsidRPr="005019FF">
        <w:rPr>
          <w:rFonts w:ascii="Times New Roman" w:hAnsi="Times New Roman" w:cs="Times New Roman"/>
          <w:sz w:val="24"/>
          <w:szCs w:val="24"/>
          <w:shd w:val="clear" w:color="auto" w:fill="FFFFFF"/>
        </w:rPr>
        <w:t xml:space="preserve"> veces superior a la recibida por el quintil de renta más baja.</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422AAF" w:rsidRDefault="00422AAF" w:rsidP="00422AAF">
      <w:pPr>
        <w:spacing w:line="240" w:lineRule="auto"/>
        <w:jc w:val="both"/>
        <w:rPr>
          <w:rFonts w:ascii="Times New Roman" w:hAnsi="Times New Roman" w:cs="Times New Roman"/>
          <w:b/>
          <w:sz w:val="24"/>
          <w:szCs w:val="24"/>
          <w:shd w:val="clear" w:color="auto" w:fill="FFFFFF"/>
        </w:rPr>
      </w:pPr>
      <w:r w:rsidRPr="00C16A99">
        <w:rPr>
          <w:rFonts w:ascii="Times New Roman" w:hAnsi="Times New Roman" w:cs="Times New Roman"/>
          <w:b/>
          <w:sz w:val="24"/>
          <w:szCs w:val="24"/>
          <w:shd w:val="clear" w:color="auto" w:fill="FFFFFF"/>
        </w:rPr>
        <w:t>Europa</w:t>
      </w:r>
    </w:p>
    <w:p w:rsidR="00422AAF" w:rsidRPr="00C16A99" w:rsidRDefault="00422AAF" w:rsidP="00422AAF">
      <w:pPr>
        <w:spacing w:line="240" w:lineRule="auto"/>
        <w:jc w:val="both"/>
        <w:rPr>
          <w:rFonts w:ascii="Times New Roman" w:hAnsi="Times New Roman" w:cs="Times New Roman"/>
          <w:sz w:val="24"/>
          <w:szCs w:val="24"/>
          <w:shd w:val="clear" w:color="auto" w:fill="FFFFFF"/>
        </w:rPr>
      </w:pPr>
      <w:r w:rsidRPr="00C16A99">
        <w:rPr>
          <w:rFonts w:ascii="Times New Roman" w:hAnsi="Times New Roman" w:cs="Times New Roman"/>
          <w:sz w:val="24"/>
          <w:szCs w:val="24"/>
          <w:shd w:val="clear" w:color="auto" w:fill="FFFFFF"/>
        </w:rPr>
        <w:t>(Datos en miles de personas)</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C16A99">
        <w:rPr>
          <w:rFonts w:ascii="Times New Roman" w:hAnsi="Times New Roman" w:cs="Times New Roman"/>
          <w:sz w:val="24"/>
          <w:szCs w:val="24"/>
          <w:shd w:val="clear" w:color="auto" w:fill="FFFFFF"/>
        </w:rPr>
        <w:t>116.070</w:t>
      </w:r>
      <w:r>
        <w:rPr>
          <w:rFonts w:ascii="Times New Roman" w:hAnsi="Times New Roman" w:cs="Times New Roman"/>
          <w:sz w:val="24"/>
          <w:szCs w:val="24"/>
          <w:shd w:val="clear" w:color="auto" w:fill="FFFFFF"/>
        </w:rPr>
        <w:t xml:space="preserve"> - Año base para la comparación. Anteriores no disponibles.</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114.390 - Variación 2009-2008 = (1,45)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117.907- Variación 2010-2008 = 1,58 %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120.858 - Variación 2011-2008 = 4,12 %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123.774 - Variación 2012-2008 = 6,64 %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122.852 - Variación 2013-2008 =   5,84 %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122.026 - Variación 2014-2008 = 5,13 %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119.077 - Variación 2015-2008 = 2,59 %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118.060 - Variación 2016-2008 = 1,71 %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112.930 - Variación 2017-2008 =   (2,71)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109.870 - Variación 2018-2008 =   (5,34) %</w:t>
      </w:r>
    </w:p>
    <w:p w:rsidR="00422AAF" w:rsidRPr="0070517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período 2008-2018, el número de personas en riesgo de pobreza en la EU-28 pasó de </w:t>
      </w:r>
      <w:r w:rsidRPr="00C16A99">
        <w:rPr>
          <w:rFonts w:ascii="Times New Roman" w:hAnsi="Times New Roman" w:cs="Times New Roman"/>
          <w:sz w:val="24"/>
          <w:szCs w:val="24"/>
          <w:shd w:val="clear" w:color="auto" w:fill="FFFFFF"/>
        </w:rPr>
        <w:t>116.070</w:t>
      </w:r>
      <w:r>
        <w:rPr>
          <w:rFonts w:ascii="Times New Roman" w:hAnsi="Times New Roman" w:cs="Times New Roman"/>
          <w:sz w:val="24"/>
          <w:szCs w:val="24"/>
          <w:shd w:val="clear" w:color="auto" w:fill="FFFFFF"/>
        </w:rPr>
        <w:t xml:space="preserve"> (miles</w:t>
      </w:r>
      <w:r w:rsidRPr="0070517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a 109.870 (miles), lo que representa una disminución equivalente al 5,34 %.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Pr="009E14E8">
        <w:rPr>
          <w:rFonts w:ascii="Times New Roman" w:hAnsi="Times New Roman" w:cs="Times New Roman"/>
          <w:b/>
          <w:color w:val="FF0000"/>
          <w:sz w:val="24"/>
          <w:szCs w:val="24"/>
          <w:shd w:val="clear" w:color="auto" w:fill="FFFFFF"/>
        </w:rPr>
        <w:t>) Aumento de</w:t>
      </w:r>
      <w:r>
        <w:rPr>
          <w:rFonts w:ascii="Times New Roman" w:hAnsi="Times New Roman" w:cs="Times New Roman"/>
          <w:b/>
          <w:color w:val="FF0000"/>
          <w:sz w:val="24"/>
          <w:szCs w:val="24"/>
          <w:shd w:val="clear" w:color="auto" w:fill="FFFFFF"/>
        </w:rPr>
        <w:t xml:space="preserve"> la pobreza</w:t>
      </w:r>
    </w:p>
    <w:p w:rsidR="00422AAF" w:rsidRPr="00C16A99"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(Porcentaje </w:t>
      </w:r>
      <w:r w:rsidRPr="00C16A99">
        <w:rPr>
          <w:rFonts w:ascii="Times New Roman" w:hAnsi="Times New Roman" w:cs="Times New Roman"/>
          <w:sz w:val="24"/>
          <w:szCs w:val="24"/>
          <w:shd w:val="clear" w:color="auto" w:fill="FFFFFF"/>
        </w:rPr>
        <w:t>de personas</w:t>
      </w:r>
      <w:r>
        <w:rPr>
          <w:rFonts w:ascii="Times New Roman" w:hAnsi="Times New Roman" w:cs="Times New Roman"/>
          <w:sz w:val="24"/>
          <w:szCs w:val="24"/>
          <w:shd w:val="clear" w:color="auto" w:fill="FFFFFF"/>
        </w:rPr>
        <w:t xml:space="preserve"> en riesgo de pobreza</w:t>
      </w:r>
      <w:r w:rsidRPr="00C16A99">
        <w:rPr>
          <w:rFonts w:ascii="Times New Roman" w:hAnsi="Times New Roman" w:cs="Times New Roman"/>
          <w:sz w:val="24"/>
          <w:szCs w:val="24"/>
          <w:shd w:val="clear" w:color="auto" w:fill="FFFFFF"/>
        </w:rPr>
        <w:t>)</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23,7 %  - Año base para la comparación. Anteriores no disponibles.</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23,3 % - Variación 2009-2008 =   (1,69)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23,8 %- Variación 2010-2008 =    0,42 %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24,3 % - Variación 2011-2008 =    2,53 %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24,8 % - Variación 2012-2008 =   4,64 %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24,6 % - Variación 2013-2008 =  3,80 %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24,4 % - Variación 2014-2008 =   2,95 %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23,8 % - Variación 2015-2008 =   0,48 %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23,5 % - Variación 2016-2008 =  (0,84)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22,4 % - Variación 2017-2008 =    (5,49)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21,8 % - Variación 2018-2008 =    (8,02) %</w:t>
      </w:r>
    </w:p>
    <w:p w:rsidR="00422AAF" w:rsidRPr="0070517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2008-2018, el porcentaje de personas en riesgo de pobreza en la EU-28 pasó de 23,7 % a 21,8 %, lo que representa una disminución equivalente al 8,02 %.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Pr="009E14E8">
        <w:rPr>
          <w:rFonts w:ascii="Times New Roman" w:hAnsi="Times New Roman" w:cs="Times New Roman"/>
          <w:b/>
          <w:color w:val="FF0000"/>
          <w:sz w:val="24"/>
          <w:szCs w:val="24"/>
          <w:shd w:val="clear" w:color="auto" w:fill="FFFFFF"/>
        </w:rPr>
        <w:t xml:space="preserve">) </w:t>
      </w:r>
      <w:r>
        <w:rPr>
          <w:rFonts w:ascii="Times New Roman" w:hAnsi="Times New Roman" w:cs="Times New Roman"/>
          <w:b/>
          <w:color w:val="FF0000"/>
          <w:sz w:val="24"/>
          <w:szCs w:val="24"/>
          <w:shd w:val="clear" w:color="auto" w:fill="FFFFFF"/>
        </w:rPr>
        <w:t>Aumento de la pobreza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trabajadores (personas que trabajan) en riesgo de pobreza se utiliza la serie In work at risk of poverty rate by sex  de Eurostat (2005-2018).</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8,2 % - Año base para la comparación.</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494701">
        <w:rPr>
          <w:rFonts w:ascii="Times New Roman" w:hAnsi="Times New Roman" w:cs="Times New Roman"/>
          <w:sz w:val="24"/>
          <w:szCs w:val="24"/>
          <w:shd w:val="clear" w:color="auto" w:fill="FFFFFF"/>
        </w:rPr>
        <w:t xml:space="preserve">8,1 % </w:t>
      </w:r>
      <w:r>
        <w:rPr>
          <w:rFonts w:ascii="Times New Roman" w:hAnsi="Times New Roman" w:cs="Times New Roman"/>
          <w:sz w:val="24"/>
          <w:szCs w:val="24"/>
          <w:shd w:val="clear" w:color="auto" w:fill="FFFFFF"/>
        </w:rPr>
        <w:t xml:space="preserve"> - Variación 2006-2005 =  (1,22) %</w:t>
      </w:r>
    </w:p>
    <w:p w:rsidR="00422AAF" w:rsidRPr="00185600"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8,3 %  - Variación 2007-2005 =   1,22 %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8,6 %  - Variación 2008-2005 =  4,88 %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8,4 % - Variación 2009-2005 =    2,44 %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8,3 %- Variación 2010-2005 =   1,22 %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8,8 % - Variación 2011-2005 = 7,32 %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8,9 % - Variación 2012-2005 = 8,54 %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9,0 % - Variación 2013-2005 =   9,76 %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9,5 % - Variación 2014-2005 =  15,85 %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9,5 % - Variación 2015-2005 =  15,85 %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9,6 % - Variación 2016-2005 =  17,07 %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9,4 % - Variación 2017-2005 =  14,63 %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9,4 % - Variación 2018-2005 =  14,63 %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2008-2018, el porcentaje de trabajadores con ingresos por debajo del nivel de pobreza en la EU-28 pasó de 8,2 % a 9,4 %, lo que representa un incremento equivalente al 14,63 %.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Pr="009E14E8">
        <w:rPr>
          <w:rFonts w:ascii="Times New Roman" w:hAnsi="Times New Roman" w:cs="Times New Roman"/>
          <w:b/>
          <w:color w:val="FF0000"/>
          <w:sz w:val="24"/>
          <w:szCs w:val="24"/>
          <w:shd w:val="clear" w:color="auto" w:fill="FFFFFF"/>
        </w:rPr>
        <w:t xml:space="preserve">) </w:t>
      </w:r>
      <w:r>
        <w:rPr>
          <w:rFonts w:ascii="Times New Roman" w:hAnsi="Times New Roman" w:cs="Times New Roman"/>
          <w:b/>
          <w:color w:val="FF0000"/>
          <w:sz w:val="24"/>
          <w:szCs w:val="24"/>
          <w:shd w:val="clear" w:color="auto" w:fill="FFFFFF"/>
        </w:rPr>
        <w:t>Aumento de la pobreza</w:t>
      </w:r>
    </w:p>
    <w:p w:rsidR="00422AAF" w:rsidRDefault="00422AAF" w:rsidP="00422AAF">
      <w:pPr>
        <w:spacing w:line="240" w:lineRule="auto"/>
        <w:jc w:val="both"/>
        <w:rPr>
          <w:rFonts w:ascii="Times New Roman" w:hAnsi="Times New Roman" w:cs="Times New Roman"/>
          <w:b/>
          <w:sz w:val="24"/>
          <w:szCs w:val="24"/>
          <w:shd w:val="clear" w:color="auto" w:fill="FFFFFF"/>
        </w:rPr>
      </w:pPr>
      <w:r w:rsidRPr="004139A0">
        <w:rPr>
          <w:rFonts w:ascii="Times New Roman" w:hAnsi="Times New Roman" w:cs="Times New Roman"/>
          <w:b/>
          <w:sz w:val="24"/>
          <w:szCs w:val="24"/>
          <w:shd w:val="clear" w:color="auto" w:fill="FFFFFF"/>
        </w:rPr>
        <w:t>EEUU</w:t>
      </w:r>
    </w:p>
    <w:p w:rsidR="00422AAF" w:rsidRPr="004139A0" w:rsidRDefault="00422AAF" w:rsidP="00422AAF">
      <w:pPr>
        <w:spacing w:line="240" w:lineRule="auto"/>
        <w:jc w:val="both"/>
        <w:rPr>
          <w:rFonts w:ascii="Times New Roman" w:hAnsi="Times New Roman" w:cs="Times New Roman"/>
          <w:sz w:val="24"/>
          <w:szCs w:val="24"/>
          <w:shd w:val="clear" w:color="auto" w:fill="FFFFFF"/>
        </w:rPr>
      </w:pPr>
      <w:r w:rsidRPr="004139A0">
        <w:rPr>
          <w:rFonts w:ascii="Times New Roman" w:hAnsi="Times New Roman" w:cs="Times New Roman"/>
          <w:sz w:val="24"/>
          <w:szCs w:val="24"/>
          <w:shd w:val="clear" w:color="auto" w:fill="FFFFFF"/>
        </w:rPr>
        <w:t>(Datos en miles de personas)</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31.581 - Año base para la comparación.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32.907 - Variación 2001-2000 =  1,04 %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31.570 - Variación 2002-2000 = (0,03)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35.861 - Variación 2003-2000 = 13,59 %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37.040 - Variación 2004-2000 = 17,29 %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36.950 - Variación 2005-2000 = 11,70 %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36.460 - Variación 2006-2000 = 15,49 %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37.276 - Variación 2007-2000 = 18,07 %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39.829 - Variación 2008-2000 = 26,16 %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43.569 - Variación 2009-2000 = 37,96 %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46.343 - Variación 2010-2000 = 46,74 %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46.247 - Variación 2011-2000 = 46,44 %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46.496 - Variación 2012-2000 =   47,23 %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45.794 - Variación 2013-2000 =   45,00 %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46.657 - Variación 2014-2000 =   47,74 %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43.123 - Variación 2015-2000 =   36,55 %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40.616 - Variación 2016-2000 =   28,61 %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39.631 - Variación 2017-2000 =   25,49 %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38.146 - Variación 2018-2000 =   20,79 %</w:t>
      </w:r>
    </w:p>
    <w:p w:rsidR="00422AAF" w:rsidRPr="0070517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2000-2018, el número de personas en riesgo de pobreza en los EEUU pasó de 31.581 (miles</w:t>
      </w:r>
      <w:r w:rsidRPr="0070517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a 38.146 (miles), lo que representa un incremento equivalente al 20,79 %.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Aumento de la pobreza</w:t>
      </w:r>
    </w:p>
    <w:p w:rsidR="00422AAF" w:rsidRPr="004139A0"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porcentajes</w:t>
      </w:r>
      <w:r w:rsidRPr="004139A0">
        <w:rPr>
          <w:rFonts w:ascii="Times New Roman" w:hAnsi="Times New Roman" w:cs="Times New Roman"/>
          <w:sz w:val="24"/>
          <w:szCs w:val="24"/>
          <w:shd w:val="clear" w:color="auto" w:fill="FFFFFF"/>
        </w:rPr>
        <w:t>)</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11,3 % - Año base para la comparación.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 xml:space="preserve">11,7 % - Variación 2001-2000 = 3,54 %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12,1 % - Variación 2002-2000 = 7,08 %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12,5 % - Variación 2003-2000 = 10,62 %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12,7 % - Variación 2004-2000 =  12,39 %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12,6 % - Variación 2005-2000 =  11,50 %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12,3 % - Variación 2006-2000 =    8,85 %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12,5 % - Variación 2007-2000 =  10,62 %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13,2 % - Variación 2008-2000 =  16,81 %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14,3 % - Variación 2009-2000 =  26,55 %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15,1 % - Variación 2010-2000 =  33,63 %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15,0 % - Variación 2011-2000 =  32,74 %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15,0 % - Variación 2012-2000 =   32,74 %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14,7 % - Variación 2013-2000 =   30,09  %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14,8 % - Variación 2014-2000 =   30,97 %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13,5 % - Variación 2015-2000 =   19,47 %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12,7 % - Variación 2016-2000 =   12,39 %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12,3 % - Variación 2017-2000 =     8,85 %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11,8 % - Variación 2018-2000 =     4,42 %</w:t>
      </w:r>
    </w:p>
    <w:p w:rsidR="00422AAF" w:rsidRPr="00705178"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2000-2018, el porcentaje de personas en riesgo de pobreza en los EEUU pasó de 11,3 %, a 11,8 %, lo que representa un incremento equivalente al 4,42 %.</w:t>
      </w:r>
    </w:p>
    <w:p w:rsidR="00422AAF" w:rsidRDefault="00422AAF" w:rsidP="00422AAF">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Pr="009E14E8">
        <w:rPr>
          <w:rFonts w:ascii="Times New Roman" w:hAnsi="Times New Roman" w:cs="Times New Roman"/>
          <w:b/>
          <w:color w:val="FF0000"/>
          <w:sz w:val="24"/>
          <w:szCs w:val="24"/>
          <w:shd w:val="clear" w:color="auto" w:fill="FFFFFF"/>
        </w:rPr>
        <w:t>) Aumento de la pobreza.</w:t>
      </w:r>
    </w:p>
    <w:p w:rsidR="00422AAF" w:rsidRPr="004139A0"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422AAF" w:rsidRDefault="00422AAF" w:rsidP="00422AA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4,7 % - Año base para la comparación.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4,9 % - Variación 2001-2000 =   4,26 %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5,3 % - Variación 2002-2000 =  12,77 %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5,3 % - Variación 2003-2000 =  12,77 %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5,6 % - Variación 2004-2000 =  19,15 %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5,4 % - Variación 2005-2000 =  14,89 %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5,1 % - Variación 2006-2000 =   8,51 %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5,1 % - Variación 2007-2000 =   8,51 %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6,0 % - Variación 2008-2000 =  27,66 %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7,0 % - Variación 2009-2000 =  48,94 %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7,2 % - Variación 2010-2000 =  53,19 %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7,0 % - Variación 2011-2000 =  48,94 %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7,1 % - Variación 2012-2000 =  51,06 %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7,0 % - Variación 2013-2000 =  48,94 %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6,3 % - Variación 2014-2000 =  34,04 %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5,6 % - Variación 2015-2000 =  19,15  %</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4,9 % - Variación 2016-2000 =    4,26 %</w:t>
      </w:r>
    </w:p>
    <w:p w:rsidR="00422AAF" w:rsidRPr="00D533BB" w:rsidRDefault="00422AAF" w:rsidP="00422AAF">
      <w:pPr>
        <w:spacing w:line="240" w:lineRule="auto"/>
        <w:jc w:val="both"/>
        <w:rPr>
          <w:rFonts w:ascii="Times New Roman" w:hAnsi="Times New Roman" w:cs="Times New Roman"/>
          <w:sz w:val="24"/>
          <w:szCs w:val="24"/>
          <w:shd w:val="clear" w:color="auto" w:fill="FFFFFF"/>
        </w:rPr>
      </w:pPr>
      <w:r w:rsidRPr="00D533BB">
        <w:rPr>
          <w:rFonts w:ascii="Times New Roman" w:hAnsi="Times New Roman" w:cs="Times New Roman"/>
          <w:b/>
          <w:sz w:val="24"/>
          <w:szCs w:val="24"/>
          <w:shd w:val="clear" w:color="auto" w:fill="FFFFFF"/>
        </w:rPr>
        <w:t xml:space="preserve">Año 2017 - EEUU: </w:t>
      </w:r>
      <w:r w:rsidRPr="00D533BB">
        <w:rPr>
          <w:rFonts w:ascii="Times New Roman" w:hAnsi="Times New Roman" w:cs="Times New Roman"/>
          <w:sz w:val="24"/>
          <w:szCs w:val="24"/>
          <w:shd w:val="clear" w:color="auto" w:fill="FFFFFF"/>
        </w:rPr>
        <w:t>4,5 % - Variación 2017-2000 =   (4,26) %</w:t>
      </w:r>
    </w:p>
    <w:p w:rsidR="00422AAF" w:rsidRPr="0040490B"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2000-2018, el porcentaje de trabajadores con ingresos por debajo del nivel de pobreza en los EEUU pasó de 4,7 %, a 4,5 %, lo que representa una disminución equivalente al 4,26 %.</w:t>
      </w:r>
    </w:p>
    <w:p w:rsidR="00422AAF" w:rsidRPr="00FF20FB" w:rsidRDefault="00422AAF" w:rsidP="00422AAF">
      <w:pPr>
        <w:spacing w:line="240" w:lineRule="auto"/>
        <w:jc w:val="both"/>
        <w:rPr>
          <w:rFonts w:ascii="Times New Roman" w:hAnsi="Times New Roman" w:cs="Times New Roman"/>
          <w:sz w:val="24"/>
          <w:szCs w:val="24"/>
          <w:shd w:val="clear" w:color="auto" w:fill="FFFFFF"/>
          <w:lang w:val="en-US"/>
        </w:rPr>
      </w:pPr>
      <w:r w:rsidRPr="00FF20FB">
        <w:rPr>
          <w:rFonts w:ascii="Times New Roman" w:hAnsi="Times New Roman" w:cs="Times New Roman"/>
          <w:b/>
          <w:color w:val="FF0000"/>
          <w:sz w:val="24"/>
          <w:szCs w:val="24"/>
          <w:shd w:val="clear" w:color="auto" w:fill="FFFFFF"/>
          <w:lang w:val="en-US"/>
        </w:rPr>
        <w:t>(-)</w:t>
      </w:r>
      <w:r>
        <w:rPr>
          <w:rFonts w:ascii="Times New Roman" w:hAnsi="Times New Roman" w:cs="Times New Roman"/>
          <w:b/>
          <w:color w:val="FF0000"/>
          <w:sz w:val="24"/>
          <w:szCs w:val="24"/>
          <w:shd w:val="clear" w:color="auto" w:fill="FFFFFF"/>
          <w:lang w:val="en-US"/>
        </w:rPr>
        <w:t xml:space="preserve"> Variación del coeficiente Gini</w:t>
      </w:r>
    </w:p>
    <w:p w:rsidR="00422AAF" w:rsidRDefault="00422AAF" w:rsidP="00422AAF">
      <w:pPr>
        <w:spacing w:line="240" w:lineRule="auto"/>
        <w:jc w:val="both"/>
        <w:rPr>
          <w:rFonts w:ascii="Times New Roman" w:hAnsi="Times New Roman" w:cs="Times New Roman"/>
          <w:sz w:val="24"/>
          <w:szCs w:val="24"/>
          <w:shd w:val="clear" w:color="auto" w:fill="FFFFFF"/>
          <w:lang w:val="en-US"/>
        </w:rPr>
      </w:pPr>
      <w:r w:rsidRPr="0009475A">
        <w:rPr>
          <w:rFonts w:ascii="Times New Roman" w:hAnsi="Times New Roman" w:cs="Times New Roman"/>
          <w:sz w:val="24"/>
          <w:szCs w:val="24"/>
          <w:shd w:val="clear" w:color="auto" w:fill="FFFFFF"/>
          <w:lang w:val="en-US"/>
        </w:rPr>
        <w:t>The Gini coefficient is defined as the relationship of cumulative shares of the populat</w:t>
      </w:r>
      <w:r w:rsidRPr="00DC55EC">
        <w:rPr>
          <w:rFonts w:ascii="Times New Roman" w:hAnsi="Times New Roman" w:cs="Times New Roman"/>
          <w:sz w:val="24"/>
          <w:szCs w:val="24"/>
          <w:shd w:val="clear" w:color="auto" w:fill="FFFFFF"/>
          <w:lang w:val="en-US"/>
        </w:rPr>
        <w:t>ion arranged according to the level of equivalised disposable income, to the cumulative share of the equivalised total disposable income received by them.</w:t>
      </w:r>
    </w:p>
    <w:p w:rsidR="00C86EE5" w:rsidRDefault="00C86EE5" w:rsidP="00422AAF">
      <w:pPr>
        <w:spacing w:line="240" w:lineRule="auto"/>
        <w:jc w:val="both"/>
        <w:rPr>
          <w:rFonts w:ascii="Times New Roman" w:hAnsi="Times New Roman" w:cs="Times New Roman"/>
          <w:sz w:val="24"/>
          <w:szCs w:val="24"/>
          <w:shd w:val="clear" w:color="auto" w:fill="FFFFFF"/>
          <w:lang w:val="en-US"/>
        </w:rPr>
      </w:pPr>
    </w:p>
    <w:p w:rsidR="00422AAF" w:rsidRPr="00FF20FB" w:rsidRDefault="00422AAF" w:rsidP="00422AAF">
      <w:pPr>
        <w:spacing w:line="240" w:lineRule="auto"/>
        <w:jc w:val="both"/>
        <w:rPr>
          <w:rFonts w:ascii="Times New Roman" w:hAnsi="Times New Roman" w:cs="Times New Roman"/>
          <w:b/>
          <w:sz w:val="24"/>
          <w:szCs w:val="24"/>
          <w:shd w:val="clear" w:color="auto" w:fill="FFFFFF"/>
        </w:rPr>
      </w:pPr>
      <w:r w:rsidRPr="00FF20FB">
        <w:rPr>
          <w:rFonts w:ascii="Times New Roman" w:hAnsi="Times New Roman" w:cs="Times New Roman"/>
          <w:b/>
          <w:sz w:val="24"/>
          <w:szCs w:val="24"/>
          <w:shd w:val="clear" w:color="auto" w:fill="FFFFFF"/>
        </w:rPr>
        <w:t>Europa</w:t>
      </w:r>
    </w:p>
    <w:p w:rsidR="00422AAF" w:rsidRPr="00DC55EC" w:rsidRDefault="00422AAF" w:rsidP="00422AAF">
      <w:pPr>
        <w:spacing w:line="240" w:lineRule="auto"/>
        <w:jc w:val="both"/>
        <w:rPr>
          <w:rFonts w:ascii="Times New Roman" w:hAnsi="Times New Roman" w:cs="Times New Roman"/>
          <w:b/>
          <w:sz w:val="24"/>
          <w:szCs w:val="24"/>
          <w:shd w:val="clear" w:color="auto" w:fill="FFFFFF"/>
        </w:rPr>
      </w:pPr>
      <w:r w:rsidRPr="0044649D">
        <w:rPr>
          <w:rFonts w:ascii="Times New Roman" w:hAnsi="Times New Roman" w:cs="Times New Roman"/>
          <w:b/>
          <w:sz w:val="24"/>
          <w:szCs w:val="24"/>
          <w:shd w:val="clear" w:color="auto" w:fill="FFFFFF"/>
        </w:rPr>
        <w:t>Coeficiente Gini</w:t>
      </w:r>
    </w:p>
    <w:p w:rsidR="00422AAF" w:rsidRPr="001D24E3"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31 - Año base para la comparación. Anteriores no disponibles.</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30,6- Variación 2010-2009 = Aumenta la igualdad un 1,29 %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30,5 - Variación 2011-2009 = Aumenta la igualdad un 1,61 %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30,8 - Variación 2012-2009 =  Aumenta la igualdad un 0,65 %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30,5 - Variación 2013-2009 =  Aumenta la igualdad un 1,61 %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30,5 - Variación 2014-2009 =  Aumenta la igualdad un 1,61 %</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31,0 - Variación 2015-2009 =  No se modifica el coeficiente</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31,0 - Variación 2016-2009 =  No se modifica el coeficiente</w:t>
      </w:r>
    </w:p>
    <w:p w:rsidR="00422AAF" w:rsidRPr="005019F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30,8 - Variación 2017-2009 =   Aumenta la igualdad un 0,65 %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30,6 - Variación 2018-2009 =   Aumenta la igualdad un 1,29 %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período 2009-2018 el ratio del Coeficiente Gini en la EU-28 pasó de 31 a 30,6, con lo que puede decirse que la igualdad mejoró el equivalente al 1,29 %, ¡en casi diez años! </w:t>
      </w:r>
    </w:p>
    <w:p w:rsidR="00422AAF" w:rsidRDefault="00422AAF" w:rsidP="00422AAF">
      <w:pPr>
        <w:spacing w:line="240" w:lineRule="auto"/>
        <w:jc w:val="both"/>
        <w:rPr>
          <w:rFonts w:ascii="Times New Roman" w:hAnsi="Times New Roman" w:cs="Times New Roman"/>
          <w:b/>
          <w:sz w:val="24"/>
          <w:szCs w:val="24"/>
          <w:shd w:val="clear" w:color="auto" w:fill="FFFFFF"/>
        </w:rPr>
      </w:pPr>
      <w:r w:rsidRPr="00AA640A">
        <w:rPr>
          <w:rFonts w:ascii="Times New Roman" w:hAnsi="Times New Roman" w:cs="Times New Roman"/>
          <w:b/>
          <w:sz w:val="24"/>
          <w:szCs w:val="24"/>
          <w:shd w:val="clear" w:color="auto" w:fill="FFFFFF"/>
        </w:rPr>
        <w:t>EEUU</w:t>
      </w:r>
    </w:p>
    <w:p w:rsidR="00422AAF" w:rsidRDefault="00422AAF" w:rsidP="00422AAF">
      <w:pPr>
        <w:spacing w:line="240" w:lineRule="auto"/>
        <w:jc w:val="both"/>
        <w:rPr>
          <w:rFonts w:ascii="Times New Roman" w:hAnsi="Times New Roman" w:cs="Times New Roman"/>
          <w:sz w:val="24"/>
          <w:szCs w:val="24"/>
          <w:shd w:val="clear" w:color="auto" w:fill="FFFFFF"/>
        </w:rPr>
      </w:pPr>
      <w:r w:rsidRPr="0044649D">
        <w:rPr>
          <w:rFonts w:ascii="Times New Roman" w:hAnsi="Times New Roman" w:cs="Times New Roman"/>
          <w:b/>
          <w:sz w:val="24"/>
          <w:szCs w:val="24"/>
          <w:shd w:val="clear" w:color="auto" w:fill="FFFFFF"/>
        </w:rPr>
        <w:t>Coeficiente Gini</w:t>
      </w:r>
    </w:p>
    <w:p w:rsidR="00422AAF" w:rsidRDefault="00422AAF" w:rsidP="00422AAF">
      <w:pPr>
        <w:spacing w:line="240" w:lineRule="auto"/>
        <w:jc w:val="both"/>
        <w:rPr>
          <w:rFonts w:ascii="Times New Roman" w:hAnsi="Times New Roman" w:cs="Times New Roman"/>
          <w:sz w:val="24"/>
          <w:szCs w:val="24"/>
          <w:shd w:val="clear" w:color="auto" w:fill="FFFFFF"/>
        </w:rPr>
      </w:pPr>
      <w:r w:rsidRPr="003E1B70">
        <w:rPr>
          <w:rFonts w:ascii="Times New Roman" w:hAnsi="Times New Roman" w:cs="Times New Roman"/>
          <w:sz w:val="24"/>
          <w:szCs w:val="24"/>
          <w:shd w:val="clear" w:color="auto" w:fill="FFFFFF"/>
        </w:rPr>
        <w:t>El Coeficiente de Gini se basa en la Curva de Lorenz, que es una representación gráfica de una función de distribución acumulada, y se define matemáticamente como la proporción acumulada de los ingresos totales (eje y), que obtienen las proporciones acumuladas de la población (eje x). La línea diagonal representa la igualdad perfecta de los ingresos: todos reciben la misma renta (el 20% de la población recibe el 20% de los ingresos; el 40% de la población el 40% de los ingresos, etc</w:t>
      </w:r>
      <w:r w:rsidR="00C346EF">
        <w:rPr>
          <w:rFonts w:ascii="Times New Roman" w:hAnsi="Times New Roman" w:cs="Times New Roman"/>
          <w:sz w:val="24"/>
          <w:szCs w:val="24"/>
          <w:shd w:val="clear" w:color="auto" w:fill="FFFFFF"/>
        </w:rPr>
        <w:t>.</w:t>
      </w:r>
      <w:r w:rsidRPr="003E1B70">
        <w:rPr>
          <w:rFonts w:ascii="Times New Roman" w:hAnsi="Times New Roman" w:cs="Times New Roman"/>
          <w:sz w:val="24"/>
          <w:szCs w:val="24"/>
          <w:shd w:val="clear" w:color="auto" w:fill="FFFFFF"/>
        </w:rPr>
        <w:t>). En la situación de máxima igualdad o equidad distributiva, el Coeficiente de Gini es igual a cero (el área A desaparece): a medida que aumenta la desigualdad, el Coeficiente de Gini se acerca al valor de 1.</w:t>
      </w:r>
    </w:p>
    <w:p w:rsidR="00422AAF" w:rsidRPr="004B1A63" w:rsidRDefault="00422AAF" w:rsidP="00422AAF">
      <w:pPr>
        <w:spacing w:line="240" w:lineRule="auto"/>
        <w:jc w:val="both"/>
        <w:rPr>
          <w:rFonts w:ascii="Times New Roman" w:hAnsi="Times New Roman" w:cs="Times New Roman"/>
          <w:b/>
          <w:sz w:val="24"/>
          <w:szCs w:val="24"/>
          <w:shd w:val="clear" w:color="auto" w:fill="FFFFFF"/>
        </w:rPr>
      </w:pPr>
      <w:r w:rsidRPr="00AA640A">
        <w:rPr>
          <w:rFonts w:ascii="Times New Roman" w:hAnsi="Times New Roman" w:cs="Times New Roman"/>
          <w:b/>
          <w:sz w:val="24"/>
          <w:szCs w:val="24"/>
          <w:shd w:val="clear" w:color="auto" w:fill="FFFFFF"/>
        </w:rPr>
        <w:t>Año 2000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xml:space="preserve">: Ratio 46,2  - Año base para la comparación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2001-2000 = Aumenta la desigualdad un 0,87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46,2  - Variación 2002-2000 = No se modifica el coeficiente</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46,4   - Variación 2003-2000 = Aumenta la desigualdad un 0,43 %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2004-2000 = Aumenta la desigualdad un 0,87 %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46,9  - Variación 2005-2000 = Aumenta la desigualdad un  1,52 %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2006-2000 = Aumenta la desigualdad un  1,73 %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46,3  - Variación 2007-2000 = Aumenta la desigualdad un  0,21 %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2008-2000 = Aumenta la desigualdad un  0,87 %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46,8  - Variación 2009-2000 = Aumenta la desigualdad un  1,30 %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2010-2000 = Aumenta la desigualdad un 1,73 %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2011-2000 = Aumenta la desigualdad un 3,25 %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2012-2000 = Aumenta la desigualdad un 3,25 %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2013-2000 = Aumenta la desigualdad un 3,68 %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48,0  - Variación 2014-2000 = Aumenta la desigualdad un 3,90 %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2015-2000 = Aumenta la desigualdad un 3,68 %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48,1  - Variación 2016-2000 = Aumenta la desigualdad un 4,11%</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49,1  - Variación 2017-2000 = Aumenta la desigualdad un 6,28 %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48,6  - Variación 2018-2000 = Aumenta la desigualdad un 5,19 %</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período 2000-2018 el ratio del Coeficiente Gini en la EEUU pasó de 46,2 a 48,6, con lo que puede decirse que la igualdad empeoró el equivalente al 5,19 %, ¡en diez y ocho años!</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si solo nos guiáramos por el ratio del Coeficiente Gini, no podemos negar que el período del 2000-2018 en los EEUU, o el período del 2009-2018, no han resultado favorables para el 20% de la población de menores ingresos, que ha visto aumentada su desigualdad.</w:t>
      </w:r>
    </w:p>
    <w:p w:rsidR="00422AAF"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Esto resultado sería suficiente para confirmar quiénes han sido los “ganadores” y quienes los “perdedores”, en los países avanzados (ahora en vías de subdesarrollo), de la globalización.</w:t>
      </w:r>
    </w:p>
    <w:p w:rsidR="00422AAF" w:rsidRPr="00E8103A" w:rsidRDefault="00422AAF" w:rsidP="00422AA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Hay verda</w:t>
      </w:r>
      <w:r w:rsidR="00C346EF">
        <w:rPr>
          <w:rFonts w:ascii="Times New Roman" w:hAnsi="Times New Roman" w:cs="Times New Roman"/>
          <w:b/>
          <w:sz w:val="24"/>
          <w:szCs w:val="24"/>
          <w:shd w:val="clear" w:color="auto" w:fill="FFFFFF"/>
        </w:rPr>
        <w:t>des, mentiras y… estadísticas (S</w:t>
      </w:r>
      <w:r>
        <w:rPr>
          <w:rFonts w:ascii="Times New Roman" w:hAnsi="Times New Roman" w:cs="Times New Roman"/>
          <w:b/>
          <w:sz w:val="24"/>
          <w:szCs w:val="24"/>
          <w:shd w:val="clear" w:color="auto" w:fill="FFFFFF"/>
        </w:rPr>
        <w:t xml:space="preserve">ituación socio laboral en Unión Europea) </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Las cosas que hay que aguantar (en el debe de la vida</w:t>
      </w:r>
      <w:r w:rsidR="00E9696A">
        <w:rPr>
          <w:rFonts w:ascii="Times New Roman" w:hAnsi="Times New Roman" w:cs="Times New Roman"/>
          <w:sz w:val="24"/>
          <w:szCs w:val="24"/>
        </w:rPr>
        <w:t>…</w:t>
      </w:r>
      <w:r>
        <w:rPr>
          <w:rFonts w:ascii="Times New Roman" w:hAnsi="Times New Roman" w:cs="Times New Roman"/>
          <w:sz w:val="24"/>
          <w:szCs w:val="24"/>
        </w:rPr>
        <w:t>)</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Deténganse en las palabras, paladéenlas: “nueva normalidad”. ¿Por qué nueva si es más de lo mismo pero agravado? Desean animarle a que considere con benevolencia el deterioro de todo lo que creyó, convertido en algo novedoso que apenas ha comenzado y que ni los inventores de la expresión se atreven a explicar. ¿A qué normalidad se refieren? ¿A la que había antes de que llegaran y que ellos iban a transformar o a la que se inventan para halagarnos como si se tratara de un señuelo? La “nueva normalidad” contiene la misma densidad que la globalización, la financierización, la desregulación, la deslocalización, la disrupción, el tráfico de datos, o los algoritmos: sirve para esconder la bolita en otro cubilete.</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Se podría hacer un catálogo al hervor de las palabras manoseadas, un protocolo del espíritu del optimista dogmático (de estómago agradecido) Pero hay un rasgo que desvela el ardid: a nuestro pequeño mundo de “andar por casa” le falta trabajo, ingresos, confianza, igualdad de derecho y oportunidades, perspectivas de futuro, posibilidad de ascenso social…</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 xml:space="preserve">Además, el impacto del COVID-19 (la segunda “gran depresión global”, en poco más de diez años) demostró que son demasiadas las personas y empresas que carecen de suficiente margen como para sobrellevar incluso unos pocos meses de falta de ingresos. También resaltó y empeoró las disparidades raciales en términos de salud, ingresos y vulnerabilidad ante los shocks económicos y sanitarios. </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La tecnología permite, hoy, que un gobierno (régimen) tenga un control absoluto de sus habitantes. Eso facilita el desarrollo de un modelo económico disruptivo, en que lo importante no es la libertad, sino la sensación de libertad. Donde se potencia la avaricia de la oferta y se explota la miseria de la demanda. Una economía de casino donde el ganador se lleva todo. De gobiernos cleptócratas, de empresarios rentistas, y de bancos sin capital.</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Esto no se salva con tautologías o eufemismos, ni con ecuaciones mágicas con que tantos han ganado premios Nobel inútiles. Esto no se supera con países angustiados por la pérdida de empleos, donde los que aún conservan una actividad laboral en relación de dependencia, autónomos o pequeñas empresas, están desesperados por trabajar y producir, pero se les obliga a competir en condiciones inasumibles e insoportables en países avanzados, ante la invasión de productos elaborados en los países emergentes donde no se respetan las leyes laborales, sociales, sanitarias y ambientales. Esto tampoco se resuelve haciendo cola para comprar un nuevo móvil idéntico al anterior.</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En esa competencia “desleal” (despareja, infractora, bipolar, alegal…) que obliga a las empresas a librar una guerra constante por reducir costos, innovar, obtener nuevos mercados, nuevos productos, está el peligro la clase media, el estado de bienestar y el desarrollo económico alcanzado en los países avanzados. Una igualación hacia debajo de tipo medieval.</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“Hay mucha energía útil, pero si les decimos (a las nuevas generaciones) que lo mejor que pueden hacer es crear una nueva app para el iPhone 20, eso es todo lo que harán”... (Garri Kaspárov, gran maestro de ajedrez)</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En una situación tan extrema (como la que estamos viviendo en la era de la globalización), es donde Marx había predicho que la decadencia del capitalismo procedería de sus contradicciones, y Schumpeter especulaba que su fin sería producto de su propio éxito.</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Y ya que estamos con Schumpeter, por qué no aplicar su teoría de la “destrucción creativa” cambiando el dogma (mantra, paradigma, mito) de la globalización económica por un sistema de convenios bilaterales, autonomía productiva estratégica, intercambios compensados…</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Tal vez, si “repartimos el éxito” (entre los países, y dentro de cada uno de los países), podamos salvar a capitalismo de sí mismo. Tal vez, si favorecemos una economía del ser (productiva) en vez de una economía del parecer (especulativa), podamos salvar al capitalismo de sí mismo. Tal vez, si aceptamos que el capitalismo tiene que incluir a todos y ser a largo plazo, podamos sanar el cáncer rentista, especulativo, y cortoplacista antes que haga metástasis. Aunque sea con un poco de inmunoterapia, por probar, digo… Antes que sea demasiado tarde, vamos. El coste de no hacerlo, puede resultar mortal. Y en vez de llamar a los economistas, tendrán que llamar al médico forense.</w:t>
      </w:r>
    </w:p>
    <w:p w:rsidR="00422AAF" w:rsidRPr="00C86EE5" w:rsidRDefault="00422AAF" w:rsidP="00422AAF">
      <w:pPr>
        <w:spacing w:line="240" w:lineRule="auto"/>
        <w:jc w:val="both"/>
        <w:rPr>
          <w:rFonts w:ascii="Times New Roman" w:hAnsi="Times New Roman" w:cs="Times New Roman"/>
          <w:sz w:val="24"/>
          <w:szCs w:val="24"/>
        </w:rPr>
      </w:pPr>
      <w:r w:rsidRPr="00C86EE5">
        <w:rPr>
          <w:rFonts w:ascii="Times New Roman" w:hAnsi="Times New Roman" w:cs="Times New Roman"/>
          <w:sz w:val="24"/>
          <w:szCs w:val="24"/>
        </w:rPr>
        <w:t xml:space="preserve">Aunque los “titiriteros” globalistas (teniendo en cuenta el punto de vista del delincuente, y su preferencia, que es lo suyo) intentarán recurrir a las “apariencias normales”, conscientes de que la “normalidad”, que ahora llaman “nueva” es el mejor disfraz, la mejor máscara, el camuflaje más eficaz, para simular cambiar todo para que nada cambie. Triste remedo de lo anticipado por Lampedusa (El gatopardo) y de lo vaticinado por Orwell (1984). Pura distopía. </w:t>
      </w:r>
    </w:p>
    <w:p w:rsidR="00422AAF" w:rsidRPr="00FC1363" w:rsidRDefault="00422AAF" w:rsidP="00422AAF">
      <w:pPr>
        <w:spacing w:line="240" w:lineRule="auto"/>
        <w:jc w:val="both"/>
        <w:rPr>
          <w:rFonts w:ascii="Times New Roman" w:hAnsi="Times New Roman" w:cs="Times New Roman"/>
          <w:i/>
          <w:color w:val="FF0000"/>
          <w:sz w:val="24"/>
          <w:szCs w:val="24"/>
          <w:u w:val="single"/>
        </w:rPr>
      </w:pPr>
      <w:r w:rsidRPr="00FC1363">
        <w:rPr>
          <w:rFonts w:ascii="Times New Roman" w:hAnsi="Times New Roman" w:cs="Times New Roman"/>
          <w:i/>
          <w:color w:val="FF0000"/>
          <w:sz w:val="24"/>
          <w:szCs w:val="24"/>
          <w:u w:val="single"/>
        </w:rPr>
        <w:t>“Sin embargo, en la mayoría de los países, estamos siendo testigos una vez más de los enormes costos de la desigualdad masiva: gobernanza inepta, desconfianza social y una inmensa población de gente vulnerable que no puede protegerse del avance de los daños. De forma alarmante, la propia epidemia está ampliando aún más las desigualdades.</w:t>
      </w:r>
    </w:p>
    <w:p w:rsidR="00422AAF" w:rsidRPr="00FC1363" w:rsidRDefault="00422AAF" w:rsidP="00422AAF">
      <w:pPr>
        <w:spacing w:line="240" w:lineRule="auto"/>
        <w:jc w:val="both"/>
        <w:rPr>
          <w:rFonts w:ascii="Times New Roman" w:hAnsi="Times New Roman" w:cs="Times New Roman"/>
          <w:i/>
          <w:color w:val="FF0000"/>
          <w:sz w:val="24"/>
          <w:szCs w:val="24"/>
          <w:u w:val="single"/>
        </w:rPr>
      </w:pPr>
      <w:r w:rsidRPr="00FC1363">
        <w:rPr>
          <w:rFonts w:ascii="Times New Roman" w:hAnsi="Times New Roman" w:cs="Times New Roman"/>
          <w:i/>
          <w:sz w:val="24"/>
          <w:szCs w:val="24"/>
        </w:rPr>
        <w:t xml:space="preserve">Los ricos hoy trabajan y prosperan online (la riqueza del fundador de Amazon, Jeff Bezos, ha aumentado 49.000 millones de dólares desde comienzos de año, gracias a la adopción decisiva del comercio electrónico), mientras que los pobres están perdiendo sus empleos y, muchas veces, su salud y su vida. </w:t>
      </w:r>
      <w:r w:rsidRPr="00FC1363">
        <w:rPr>
          <w:rFonts w:ascii="Times New Roman" w:hAnsi="Times New Roman" w:cs="Times New Roman"/>
          <w:i/>
          <w:color w:val="FF0000"/>
          <w:sz w:val="24"/>
          <w:szCs w:val="24"/>
          <w:u w:val="single"/>
        </w:rPr>
        <w:t>Y los costos de la desigualdad seguramente seguirán subiendo, en tanto los gobiernos faltos de ingresos recortan presupuestos y servicios públicos que son vitales para los pobres.</w:t>
      </w:r>
    </w:p>
    <w:p w:rsidR="00422AAF" w:rsidRDefault="00422AAF" w:rsidP="00422AAF">
      <w:pPr>
        <w:spacing w:line="240" w:lineRule="auto"/>
        <w:jc w:val="both"/>
        <w:rPr>
          <w:rFonts w:ascii="Times New Roman" w:hAnsi="Times New Roman" w:cs="Times New Roman"/>
          <w:sz w:val="24"/>
          <w:szCs w:val="24"/>
          <w:lang w:val="en-US"/>
        </w:rPr>
      </w:pPr>
      <w:r w:rsidRPr="00FC1363">
        <w:rPr>
          <w:rFonts w:ascii="Times New Roman" w:hAnsi="Times New Roman" w:cs="Times New Roman"/>
          <w:i/>
          <w:color w:val="FF0000"/>
          <w:sz w:val="24"/>
          <w:szCs w:val="24"/>
          <w:u w:val="single"/>
        </w:rPr>
        <w:t>Pero se acerca el día del ajuste de cuentas. A falta de gobiernos coherentes, capaces y confiables que puedan implementar una respuesta equitativa y sostenible a la pandemia y una estrategia para la recuperación económica, el mundo sucumbirá a mayores olas de inestabilidad generadas por un conjunto creciente de crisis globales”</w:t>
      </w:r>
      <w:r w:rsidRPr="00FC1363">
        <w:rPr>
          <w:rFonts w:ascii="Times New Roman" w:hAnsi="Times New Roman" w:cs="Times New Roman"/>
          <w:i/>
          <w:color w:val="FF0000"/>
          <w:sz w:val="24"/>
          <w:szCs w:val="24"/>
        </w:rPr>
        <w:t>…</w:t>
      </w:r>
      <w:r w:rsidRPr="00FC1363">
        <w:rPr>
          <w:rFonts w:ascii="Times New Roman" w:hAnsi="Times New Roman" w:cs="Times New Roman"/>
          <w:sz w:val="24"/>
          <w:szCs w:val="24"/>
          <w:lang w:val="en-US"/>
        </w:rPr>
        <w:t xml:space="preserve">(Jeffrey D. Sachs, Professor of Sustainable Development and Professor of Health Policy and Management at Columbia University, is Director of Columbia’s Center for Sustainable Development and the UN Sustainable Development Solutions Network. </w:t>
      </w:r>
      <w:r w:rsidRPr="001A4DEE">
        <w:rPr>
          <w:rFonts w:ascii="Times New Roman" w:hAnsi="Times New Roman" w:cs="Times New Roman"/>
          <w:sz w:val="24"/>
          <w:szCs w:val="24"/>
          <w:lang w:val="en-US"/>
        </w:rPr>
        <w:t>He has served as Special Adviser to three UN Secretaries-General. His books include The End of Poverty, Common Wealth, The Age of Sustainable Development, Building the New American Economy, and most recently, A New Foreign Policy:</w:t>
      </w:r>
      <w:r>
        <w:rPr>
          <w:rFonts w:ascii="Times New Roman" w:hAnsi="Times New Roman" w:cs="Times New Roman"/>
          <w:sz w:val="24"/>
          <w:szCs w:val="24"/>
          <w:lang w:val="en-US"/>
        </w:rPr>
        <w:t xml:space="preserve"> Beyond American Exceptionalism - Project Syndicate - </w:t>
      </w:r>
      <w:r w:rsidRPr="00FC1363">
        <w:rPr>
          <w:rFonts w:ascii="Times New Roman" w:hAnsi="Times New Roman" w:cs="Times New Roman"/>
          <w:b/>
          <w:sz w:val="24"/>
          <w:szCs w:val="24"/>
          <w:lang w:val="en-US"/>
        </w:rPr>
        <w:t>29/6/20</w:t>
      </w:r>
      <w:r>
        <w:rPr>
          <w:rFonts w:ascii="Times New Roman" w:hAnsi="Times New Roman" w:cs="Times New Roman"/>
          <w:sz w:val="24"/>
          <w:szCs w:val="24"/>
          <w:lang w:val="en-US"/>
        </w:rPr>
        <w:t>)</w:t>
      </w:r>
    </w:p>
    <w:p w:rsidR="00422AAF" w:rsidRPr="00C86EE5" w:rsidRDefault="00422AAF" w:rsidP="00422AAF">
      <w:pPr>
        <w:spacing w:line="240" w:lineRule="auto"/>
        <w:jc w:val="both"/>
        <w:rPr>
          <w:rFonts w:ascii="Times New Roman" w:hAnsi="Times New Roman" w:cs="Times New Roman"/>
          <w:color w:val="FF0000"/>
          <w:sz w:val="24"/>
          <w:szCs w:val="24"/>
          <w:u w:val="single"/>
        </w:rPr>
      </w:pPr>
      <w:r w:rsidRPr="002D53F5">
        <w:rPr>
          <w:rFonts w:ascii="Times New Roman" w:hAnsi="Times New Roman" w:cs="Times New Roman"/>
          <w:sz w:val="24"/>
          <w:szCs w:val="24"/>
        </w:rPr>
        <w:t xml:space="preserve">El ensayista indio Pankaj Mishra, en su libro The age of anger (publicado en España como La edad de la ira), sostiene, en clave rousseauniana, al final de su libro, que </w:t>
      </w:r>
      <w:r w:rsidRPr="00C86EE5">
        <w:rPr>
          <w:rFonts w:ascii="Times New Roman" w:hAnsi="Times New Roman" w:cs="Times New Roman"/>
          <w:i/>
          <w:color w:val="FF0000"/>
          <w:sz w:val="24"/>
          <w:szCs w:val="24"/>
          <w:u w:val="single"/>
        </w:rPr>
        <w:t>“ya no es posible negar o disimular el enorme abismo entre una élite que se apropia de los frutos más selectos de la modernidad y desdeña las viejas verdades, y las masas desarraigadas que, viéndose estafadas de esos frutos, se entregan al supremacismo cultural, al populismo y a una brutalidad rencorosa”.</w:t>
      </w:r>
    </w:p>
    <w:p w:rsidR="00422AAF" w:rsidRDefault="00422AAF" w:rsidP="00422AAF">
      <w:pPr>
        <w:spacing w:line="240" w:lineRule="auto"/>
        <w:jc w:val="both"/>
        <w:rPr>
          <w:rFonts w:ascii="Times New Roman" w:hAnsi="Times New Roman" w:cs="Times New Roman"/>
          <w:sz w:val="24"/>
          <w:szCs w:val="24"/>
        </w:rPr>
      </w:pPr>
      <w:r w:rsidRPr="002823AD">
        <w:rPr>
          <w:rFonts w:ascii="Times New Roman" w:hAnsi="Times New Roman" w:cs="Times New Roman"/>
          <w:sz w:val="24"/>
          <w:szCs w:val="24"/>
        </w:rPr>
        <w:t xml:space="preserve">Como </w:t>
      </w:r>
      <w:r>
        <w:rPr>
          <w:rFonts w:ascii="Times New Roman" w:hAnsi="Times New Roman" w:cs="Times New Roman"/>
          <w:sz w:val="24"/>
          <w:szCs w:val="24"/>
        </w:rPr>
        <w:t>no est</w:t>
      </w:r>
      <w:r w:rsidR="00245970">
        <w:rPr>
          <w:rFonts w:ascii="Times New Roman" w:hAnsi="Times New Roman" w:cs="Times New Roman"/>
          <w:sz w:val="24"/>
          <w:szCs w:val="24"/>
        </w:rPr>
        <w:t>oy a la altura de los autores</w:t>
      </w:r>
      <w:r>
        <w:rPr>
          <w:rFonts w:ascii="Times New Roman" w:hAnsi="Times New Roman" w:cs="Times New Roman"/>
          <w:sz w:val="24"/>
          <w:szCs w:val="24"/>
        </w:rPr>
        <w:t xml:space="preserve"> citados anteriormente, les ruego que acepten, de forma condicional y preliminar, mi sencillo balance sobre “el precio de globalización” a la vista de las “verdades, mentiras</w:t>
      </w:r>
      <w:r w:rsidR="00245970">
        <w:rPr>
          <w:rFonts w:ascii="Times New Roman" w:hAnsi="Times New Roman" w:cs="Times New Roman"/>
          <w:sz w:val="24"/>
          <w:szCs w:val="24"/>
        </w:rPr>
        <w:t>,</w:t>
      </w:r>
      <w:r>
        <w:rPr>
          <w:rFonts w:ascii="Times New Roman" w:hAnsi="Times New Roman" w:cs="Times New Roman"/>
          <w:sz w:val="24"/>
          <w:szCs w:val="24"/>
        </w:rPr>
        <w:t xml:space="preserve"> y</w:t>
      </w:r>
      <w:r w:rsidR="00E9696A">
        <w:rPr>
          <w:rFonts w:ascii="Times New Roman" w:hAnsi="Times New Roman" w:cs="Times New Roman"/>
          <w:sz w:val="24"/>
          <w:szCs w:val="24"/>
        </w:rPr>
        <w:t>…</w:t>
      </w:r>
      <w:r>
        <w:rPr>
          <w:rFonts w:ascii="Times New Roman" w:hAnsi="Times New Roman" w:cs="Times New Roman"/>
          <w:sz w:val="24"/>
          <w:szCs w:val="24"/>
        </w:rPr>
        <w:t xml:space="preserve"> estadísticas” presentadas en este Ensayo.</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Hacer un balance de este estruendoso “fracaso” de la globalización (al costo de los factores), en los países avanzados (ahora, gracias al multilateralismo, en vías de subdesarrollo) me recuerda cuando rendí un examen de inglés para el ingreso al curso de doctorado en la Facultad de Ciencias Económicas, de la Universidad de Buenos Aires.</w:t>
      </w:r>
    </w:p>
    <w:p w:rsidR="00422AAF" w:rsidRDefault="00E9696A"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Era la</w:t>
      </w:r>
      <w:r w:rsidR="00422AAF">
        <w:rPr>
          <w:rFonts w:ascii="Times New Roman" w:hAnsi="Times New Roman" w:cs="Times New Roman"/>
          <w:sz w:val="24"/>
          <w:szCs w:val="24"/>
        </w:rPr>
        <w:t xml:space="preserve"> traducción del inglés al español, de un texto que tenía una extensión de dos folios. Como era de esperar, dado mis pobres conocimientos de ese idioma, desaprobé el examen. Como era previsi</w:t>
      </w:r>
      <w:r>
        <w:rPr>
          <w:rFonts w:ascii="Times New Roman" w:hAnsi="Times New Roman" w:cs="Times New Roman"/>
          <w:sz w:val="24"/>
          <w:szCs w:val="24"/>
        </w:rPr>
        <w:t>ble, por audacia e imprudencia</w:t>
      </w:r>
      <w:r w:rsidR="00422AAF">
        <w:rPr>
          <w:rFonts w:ascii="Times New Roman" w:hAnsi="Times New Roman" w:cs="Times New Roman"/>
          <w:sz w:val="24"/>
          <w:szCs w:val="24"/>
        </w:rPr>
        <w:t>, solicité una revisión de la nota.</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En la Facultad de Ciencias Económicas, además de las carreras de Co</w:t>
      </w:r>
      <w:r w:rsidR="00E9696A">
        <w:rPr>
          <w:rFonts w:ascii="Times New Roman" w:hAnsi="Times New Roman" w:cs="Times New Roman"/>
          <w:sz w:val="24"/>
          <w:szCs w:val="24"/>
        </w:rPr>
        <w:t xml:space="preserve">ntador Público, </w:t>
      </w:r>
      <w:r>
        <w:rPr>
          <w:rFonts w:ascii="Times New Roman" w:hAnsi="Times New Roman" w:cs="Times New Roman"/>
          <w:sz w:val="24"/>
          <w:szCs w:val="24"/>
        </w:rPr>
        <w:t>Ad</w:t>
      </w:r>
      <w:r w:rsidR="00E9696A">
        <w:rPr>
          <w:rFonts w:ascii="Times New Roman" w:hAnsi="Times New Roman" w:cs="Times New Roman"/>
          <w:sz w:val="24"/>
          <w:szCs w:val="24"/>
        </w:rPr>
        <w:t xml:space="preserve">ministración, </w:t>
      </w:r>
      <w:r>
        <w:rPr>
          <w:rFonts w:ascii="Times New Roman" w:hAnsi="Times New Roman" w:cs="Times New Roman"/>
          <w:sz w:val="24"/>
          <w:szCs w:val="24"/>
        </w:rPr>
        <w:t>Economía</w:t>
      </w:r>
      <w:r w:rsidR="004A0EE4">
        <w:rPr>
          <w:rFonts w:ascii="Times New Roman" w:hAnsi="Times New Roman" w:cs="Times New Roman"/>
          <w:sz w:val="24"/>
          <w:szCs w:val="24"/>
        </w:rPr>
        <w:t>,y Actuario, compartíamos cátedra</w:t>
      </w:r>
      <w:r>
        <w:rPr>
          <w:rFonts w:ascii="Times New Roman" w:hAnsi="Times New Roman" w:cs="Times New Roman"/>
          <w:sz w:val="24"/>
          <w:szCs w:val="24"/>
        </w:rPr>
        <w:t xml:space="preserve"> con los que realizaban estudios para ser Traductores Públicos de varios idiomas. Estos traductores oficiales eran los únicos habilitados para realizar tareas técnicas en los tribunales de justicia o certificar traducciones con valor registral. Por lo cual, tanto el equipo de examinadores, como el tribunal revisor, estaba integrado por los (supuestament</w:t>
      </w:r>
      <w:r w:rsidR="00E9696A">
        <w:rPr>
          <w:rFonts w:ascii="Times New Roman" w:hAnsi="Times New Roman" w:cs="Times New Roman"/>
          <w:sz w:val="24"/>
          <w:szCs w:val="24"/>
        </w:rPr>
        <w:t>e) mejores traductores públicos</w:t>
      </w:r>
      <w:r>
        <w:rPr>
          <w:rFonts w:ascii="Times New Roman" w:hAnsi="Times New Roman" w:cs="Times New Roman"/>
          <w:sz w:val="24"/>
          <w:szCs w:val="24"/>
        </w:rPr>
        <w:t xml:space="preserve"> registrados del país.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fui a la revisión solicitada, el examinador a cargo me dijo (aunque han pasado muchos, muchos, años, lo recuerdo perfectamente, para vergüenza y escarnio): </w:t>
      </w:r>
      <w:r w:rsidR="00245970">
        <w:rPr>
          <w:rFonts w:ascii="Times New Roman" w:hAnsi="Times New Roman" w:cs="Times New Roman"/>
          <w:sz w:val="24"/>
          <w:szCs w:val="24"/>
        </w:rPr>
        <w:t>“</w:t>
      </w:r>
      <w:r>
        <w:rPr>
          <w:rFonts w:ascii="Times New Roman" w:hAnsi="Times New Roman" w:cs="Times New Roman"/>
          <w:sz w:val="24"/>
          <w:szCs w:val="24"/>
        </w:rPr>
        <w:t>nunca he tenido que hacer una revisión tan fácil de un examen. Usted ha cometido 18 errores y se podía aprobar con un máximo de 5 errore</w:t>
      </w:r>
      <w:r w:rsidR="002D53F5">
        <w:rPr>
          <w:rFonts w:ascii="Times New Roman" w:hAnsi="Times New Roman" w:cs="Times New Roman"/>
          <w:sz w:val="24"/>
          <w:szCs w:val="24"/>
        </w:rPr>
        <w:t>s. Por más que seamos clementes o</w:t>
      </w:r>
      <w:r>
        <w:rPr>
          <w:rFonts w:ascii="Times New Roman" w:hAnsi="Times New Roman" w:cs="Times New Roman"/>
          <w:sz w:val="24"/>
          <w:szCs w:val="24"/>
        </w:rPr>
        <w:t xml:space="preserve"> haya algún fallo discutible, no hay forma de reducir 18 fallos garr</w:t>
      </w:r>
      <w:r w:rsidR="004A0EE4">
        <w:rPr>
          <w:rFonts w:ascii="Times New Roman" w:hAnsi="Times New Roman" w:cs="Times New Roman"/>
          <w:sz w:val="24"/>
          <w:szCs w:val="24"/>
        </w:rPr>
        <w:t>afales a</w:t>
      </w:r>
      <w:r w:rsidR="00245970">
        <w:rPr>
          <w:rFonts w:ascii="Times New Roman" w:hAnsi="Times New Roman" w:cs="Times New Roman"/>
          <w:sz w:val="24"/>
          <w:szCs w:val="24"/>
        </w:rPr>
        <w:t xml:space="preserve"> 5 fallos disculpables”.</w:t>
      </w:r>
    </w:p>
    <w:p w:rsidR="00422AAF" w:rsidRDefault="004A0EE4"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Ahí,</w:t>
      </w:r>
      <w:r w:rsidR="002D53F5">
        <w:rPr>
          <w:rFonts w:ascii="Times New Roman" w:hAnsi="Times New Roman" w:cs="Times New Roman"/>
          <w:sz w:val="24"/>
          <w:szCs w:val="24"/>
        </w:rPr>
        <w:t xml:space="preserve"> se</w:t>
      </w:r>
      <w:r w:rsidR="00422AAF">
        <w:rPr>
          <w:rFonts w:ascii="Times New Roman" w:hAnsi="Times New Roman" w:cs="Times New Roman"/>
          <w:sz w:val="24"/>
          <w:szCs w:val="24"/>
        </w:rPr>
        <w:t xml:space="preserve"> terminaron mis pretensiones de alcanzar el Doctorado en Ciencias Económicas.</w:t>
      </w:r>
    </w:p>
    <w:p w:rsidR="00422AAF" w:rsidRDefault="00422AAF" w:rsidP="00422AAF">
      <w:pPr>
        <w:spacing w:line="240" w:lineRule="auto"/>
        <w:jc w:val="both"/>
        <w:rPr>
          <w:rFonts w:ascii="Times New Roman" w:hAnsi="Times New Roman" w:cs="Times New Roman"/>
          <w:sz w:val="24"/>
          <w:szCs w:val="24"/>
        </w:rPr>
      </w:pPr>
      <w:r>
        <w:rPr>
          <w:rFonts w:ascii="Times New Roman" w:hAnsi="Times New Roman" w:cs="Times New Roman"/>
          <w:sz w:val="24"/>
          <w:szCs w:val="24"/>
        </w:rPr>
        <w:t>Volviendo al tema original (el precio de la globalización), podría aplicar la misma frase que el profesor de inglés: hay tantos “fracasos acumulados” por la globalización, financierización, deslocalización, multilateralismo, librecambio, desregulación, privatización, que, aunque algunos de los daños (al costos de los factores) puedan ser discutibles, matizables, imprevistos, colaterales, no deseados, transitorios, sesgados, mal calculados, y… hasta perdonables, que resulta imposible dar por aprobado el examen.</w:t>
      </w:r>
    </w:p>
    <w:p w:rsidR="00422AAF" w:rsidRPr="00C86EE5" w:rsidRDefault="00422AAF" w:rsidP="00422AAF">
      <w:pPr>
        <w:spacing w:line="240" w:lineRule="auto"/>
        <w:jc w:val="both"/>
        <w:rPr>
          <w:rFonts w:ascii="Times New Roman" w:hAnsi="Times New Roman" w:cs="Times New Roman"/>
          <w:b/>
          <w:sz w:val="24"/>
          <w:szCs w:val="24"/>
        </w:rPr>
      </w:pPr>
      <w:r w:rsidRPr="00C86EE5">
        <w:rPr>
          <w:rFonts w:ascii="Times New Roman" w:hAnsi="Times New Roman" w:cs="Times New Roman"/>
          <w:b/>
          <w:sz w:val="24"/>
          <w:szCs w:val="24"/>
        </w:rPr>
        <w:t>Lo diga Agamenón (algunos</w:t>
      </w:r>
      <w:r w:rsidR="004A0EE4" w:rsidRPr="00C86EE5">
        <w:rPr>
          <w:rFonts w:ascii="Times New Roman" w:hAnsi="Times New Roman" w:cs="Times New Roman"/>
          <w:b/>
          <w:sz w:val="24"/>
          <w:szCs w:val="24"/>
        </w:rPr>
        <w:t xml:space="preserve"> de los</w:t>
      </w:r>
      <w:r w:rsidRPr="00C86EE5">
        <w:rPr>
          <w:rFonts w:ascii="Times New Roman" w:hAnsi="Times New Roman" w:cs="Times New Roman"/>
          <w:b/>
          <w:sz w:val="24"/>
          <w:szCs w:val="24"/>
        </w:rPr>
        <w:t xml:space="preserve"> profesores citados) o su porquero (el suscripto): la globalización ha sido el mayor fracaso económico, desde 1980 en adelante, que ha precipitado (tres crisis internacionales -Japón, EEUU, China-, dos de ellas (2008 y 2020) que han puesto al mundo en un estado de “depresión económica” superior a la registrada en los años 30, o al final de las primera y segunda guerra mundial. Resulta difícil encontrar un balance más negativo.  </w:t>
      </w:r>
    </w:p>
    <w:p w:rsidR="00590339" w:rsidRPr="0089619E" w:rsidRDefault="00590339" w:rsidP="00590339">
      <w:pPr>
        <w:spacing w:line="240" w:lineRule="auto"/>
        <w:jc w:val="both"/>
        <w:rPr>
          <w:rFonts w:ascii="Times New Roman" w:hAnsi="Times New Roman" w:cs="Times New Roman"/>
          <w:sz w:val="24"/>
          <w:szCs w:val="24"/>
        </w:rPr>
      </w:pPr>
      <w:r w:rsidRPr="00B54D85">
        <w:rPr>
          <w:rFonts w:ascii="Times New Roman" w:hAnsi="Times New Roman" w:cs="Times New Roman"/>
          <w:b/>
          <w:sz w:val="24"/>
          <w:szCs w:val="24"/>
        </w:rPr>
        <w:t>La “tanguedia” de la globalización</w:t>
      </w:r>
    </w:p>
    <w:p w:rsidR="00590339" w:rsidRPr="0009475A" w:rsidRDefault="00590339" w:rsidP="00590339">
      <w:pPr>
        <w:spacing w:line="240" w:lineRule="auto"/>
        <w:jc w:val="both"/>
        <w:rPr>
          <w:rFonts w:ascii="Times New Roman" w:hAnsi="Times New Roman" w:cs="Times New Roman"/>
          <w:sz w:val="24"/>
          <w:szCs w:val="24"/>
        </w:rPr>
      </w:pPr>
      <w:r w:rsidRPr="00036FDF">
        <w:rPr>
          <w:rFonts w:ascii="Times New Roman" w:hAnsi="Times New Roman" w:cs="Times New Roman"/>
          <w:i/>
          <w:sz w:val="24"/>
          <w:szCs w:val="24"/>
        </w:rPr>
        <w:t>“Y si alguna “deuda chica” sin querer se me ha olvidado… en la cuenta del otario que “tenés” se la “cargás””…</w:t>
      </w:r>
      <w:r w:rsidRPr="0009475A">
        <w:rPr>
          <w:rFonts w:ascii="Times New Roman" w:hAnsi="Times New Roman" w:cs="Times New Roman"/>
          <w:sz w:val="24"/>
          <w:szCs w:val="24"/>
        </w:rPr>
        <w:t xml:space="preserve"> (letra del Tango “Mano a mano”</w:t>
      </w:r>
      <w:r>
        <w:rPr>
          <w:rFonts w:ascii="Times New Roman" w:hAnsi="Times New Roman" w:cs="Times New Roman"/>
          <w:sz w:val="24"/>
          <w:szCs w:val="24"/>
        </w:rPr>
        <w:t>, de Gardel y Razzano</w:t>
      </w:r>
      <w:r w:rsidRPr="0009475A">
        <w:rPr>
          <w:rFonts w:ascii="Times New Roman" w:hAnsi="Times New Roman" w:cs="Times New Roman"/>
          <w:sz w:val="24"/>
          <w:szCs w:val="24"/>
        </w:rPr>
        <w:t>)</w:t>
      </w:r>
    </w:p>
    <w:p w:rsidR="00590339" w:rsidRDefault="00590339" w:rsidP="00590339">
      <w:pPr>
        <w:spacing w:line="240" w:lineRule="auto"/>
        <w:jc w:val="both"/>
        <w:rPr>
          <w:rFonts w:ascii="Times New Roman" w:hAnsi="Times New Roman" w:cs="Times New Roman"/>
          <w:b/>
          <w:sz w:val="24"/>
          <w:szCs w:val="24"/>
        </w:rPr>
      </w:pPr>
      <w:r w:rsidRPr="0009475A">
        <w:rPr>
          <w:rFonts w:ascii="Times New Roman" w:hAnsi="Times New Roman" w:cs="Times New Roman"/>
          <w:b/>
          <w:sz w:val="24"/>
          <w:szCs w:val="24"/>
        </w:rPr>
        <w:t>Las</w:t>
      </w:r>
      <w:r>
        <w:rPr>
          <w:rFonts w:ascii="Times New Roman" w:hAnsi="Times New Roman" w:cs="Times New Roman"/>
          <w:b/>
          <w:sz w:val="24"/>
          <w:szCs w:val="24"/>
        </w:rPr>
        <w:t xml:space="preserve"> otras deudas de las (2) “</w:t>
      </w:r>
      <w:r w:rsidRPr="0009475A">
        <w:rPr>
          <w:rFonts w:ascii="Times New Roman" w:hAnsi="Times New Roman" w:cs="Times New Roman"/>
          <w:b/>
          <w:sz w:val="24"/>
          <w:szCs w:val="24"/>
        </w:rPr>
        <w:t>grandes depresiones</w:t>
      </w:r>
      <w:r>
        <w:rPr>
          <w:rFonts w:ascii="Times New Roman" w:hAnsi="Times New Roman" w:cs="Times New Roman"/>
          <w:b/>
          <w:sz w:val="24"/>
          <w:szCs w:val="24"/>
        </w:rPr>
        <w:t>”</w:t>
      </w:r>
      <w:r w:rsidRPr="0009475A">
        <w:rPr>
          <w:rFonts w:ascii="Times New Roman" w:hAnsi="Times New Roman" w:cs="Times New Roman"/>
          <w:b/>
          <w:sz w:val="24"/>
          <w:szCs w:val="24"/>
        </w:rPr>
        <w:t xml:space="preserve"> - Financiera 2008 y Sanitaria 2020</w:t>
      </w:r>
    </w:p>
    <w:p w:rsidR="00590339" w:rsidRPr="00772259" w:rsidRDefault="00590339" w:rsidP="0059033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(2008) </w:t>
      </w:r>
      <w:r w:rsidRPr="00772259">
        <w:rPr>
          <w:rFonts w:ascii="Times New Roman" w:hAnsi="Times New Roman" w:cs="Times New Roman"/>
          <w:b/>
          <w:sz w:val="24"/>
          <w:szCs w:val="24"/>
        </w:rPr>
        <w:t>El coste de la crisis financiera supera el 25% del PIB en los países desarrollados</w:t>
      </w:r>
    </w:p>
    <w:p w:rsidR="00590339" w:rsidRDefault="00590339" w:rsidP="00590339">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 </w:t>
      </w:r>
      <w:r w:rsidRPr="00772259">
        <w:rPr>
          <w:rFonts w:ascii="Times New Roman" w:hAnsi="Times New Roman" w:cs="Times New Roman"/>
          <w:sz w:val="24"/>
          <w:szCs w:val="24"/>
          <w:u w:val="single"/>
        </w:rPr>
        <w:t>Un informe confidencial del FMI revela la factura de las ayudas a la banca</w:t>
      </w:r>
      <w:r>
        <w:rPr>
          <w:rFonts w:ascii="Times New Roman" w:hAnsi="Times New Roman" w:cs="Times New Roman"/>
          <w:sz w:val="24"/>
          <w:szCs w:val="24"/>
        </w:rPr>
        <w:t xml:space="preserve"> (El País - </w:t>
      </w:r>
      <w:r w:rsidRPr="00772259">
        <w:rPr>
          <w:rFonts w:ascii="Times New Roman" w:hAnsi="Times New Roman" w:cs="Times New Roman"/>
          <w:b/>
          <w:sz w:val="24"/>
          <w:szCs w:val="24"/>
        </w:rPr>
        <w:t>30/5/10</w:t>
      </w:r>
      <w:r>
        <w:rPr>
          <w:rFonts w:ascii="Times New Roman" w:hAnsi="Times New Roman" w:cs="Times New Roman"/>
          <w:sz w:val="24"/>
          <w:szCs w:val="24"/>
        </w:rPr>
        <w:t>)</w:t>
      </w:r>
    </w:p>
    <w:p w:rsidR="00590339" w:rsidRDefault="00590339" w:rsidP="00590339">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Los recursos movilizados para hacer frente a la crisis financiera superan el 25% del PIB en los países desarrollados, según se desprende de los informes confidenciales elaborados por el Fondo Monetario Internacional (FMI) y la Comisión Europea. </w:t>
      </w:r>
      <w:r w:rsidRPr="00772259">
        <w:rPr>
          <w:rFonts w:ascii="Times New Roman" w:hAnsi="Times New Roman" w:cs="Times New Roman"/>
          <w:color w:val="FF0000"/>
          <w:sz w:val="24"/>
          <w:szCs w:val="24"/>
          <w:u w:val="single"/>
        </w:rPr>
        <w:t>El trabajo del FMI ha sido encargado por el G-20 a la vista de los impresionantes recursos aportados o garantizados por los contribuyentes (superiores a los 9,6 billones de dólares) para salvar los bancos, aunque una parte de ellos no han sido utilizados.</w:t>
      </w:r>
      <w:r w:rsidRPr="00772259">
        <w:rPr>
          <w:rFonts w:ascii="Times New Roman" w:hAnsi="Times New Roman" w:cs="Times New Roman"/>
          <w:sz w:val="24"/>
          <w:szCs w:val="24"/>
        </w:rPr>
        <w:t xml:space="preserve"> El G-20 tiene previsto discutir en su reunión</w:t>
      </w:r>
      <w:r>
        <w:rPr>
          <w:rFonts w:ascii="Times New Roman" w:hAnsi="Times New Roman" w:cs="Times New Roman"/>
          <w:sz w:val="24"/>
          <w:szCs w:val="24"/>
        </w:rPr>
        <w:t xml:space="preserve"> en Toronto a finales de junio “</w:t>
      </w:r>
      <w:r w:rsidRPr="00772259">
        <w:rPr>
          <w:rFonts w:ascii="Times New Roman" w:hAnsi="Times New Roman" w:cs="Times New Roman"/>
          <w:sz w:val="24"/>
          <w:szCs w:val="24"/>
        </w:rPr>
        <w:t>cómo el sector financiero podría hacer una justa y sustancial contribución p</w:t>
      </w:r>
      <w:r>
        <w:rPr>
          <w:rFonts w:ascii="Times New Roman" w:hAnsi="Times New Roman" w:cs="Times New Roman"/>
          <w:sz w:val="24"/>
          <w:szCs w:val="24"/>
        </w:rPr>
        <w:t>ara reparar el sistema bancario”</w:t>
      </w:r>
      <w:r w:rsidRPr="00772259">
        <w:rPr>
          <w:rFonts w:ascii="Times New Roman" w:hAnsi="Times New Roman" w:cs="Times New Roman"/>
          <w:sz w:val="24"/>
          <w:szCs w:val="24"/>
        </w:rPr>
        <w:t>.</w:t>
      </w:r>
    </w:p>
    <w:p w:rsidR="00590339" w:rsidRDefault="00590339" w:rsidP="00590339">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El impacto para el sector público de la crisis bancaria se concentra prácticamente en </w:t>
      </w:r>
      <w:r w:rsidRPr="00772259">
        <w:rPr>
          <w:rFonts w:ascii="Times New Roman" w:hAnsi="Times New Roman" w:cs="Times New Roman"/>
          <w:b/>
          <w:color w:val="FF0000"/>
          <w:sz w:val="24"/>
          <w:szCs w:val="24"/>
          <w:u w:val="single"/>
        </w:rPr>
        <w:t>los llamados países avanzados del G-20 (Australia, Canadá, Francia, Alemania, Italia, Japón, Corea, Reino Unido y Estados Unidos) con más de 9,5 billones</w:t>
      </w:r>
      <w:r w:rsidRPr="00772259">
        <w:rPr>
          <w:rFonts w:ascii="Times New Roman" w:hAnsi="Times New Roman" w:cs="Times New Roman"/>
          <w:sz w:val="24"/>
          <w:szCs w:val="24"/>
        </w:rPr>
        <w:t>. En los países emergentes del grupo sólo han consumido dinero de los ciudadanos Brasil (1,3% del PIB) y Rusia (9,6%). El resto de miembros del club (Argentina, China, India, Indonesia, México, Arabia Saudí, África del Sur y Turquía) no han gastado ni un céntimo</w:t>
      </w:r>
      <w:r>
        <w:rPr>
          <w:rFonts w:ascii="Times New Roman" w:hAnsi="Times New Roman" w:cs="Times New Roman"/>
          <w:sz w:val="24"/>
          <w:szCs w:val="24"/>
        </w:rPr>
        <w:t>…</w:t>
      </w:r>
    </w:p>
    <w:p w:rsidR="00590339" w:rsidRPr="00F1617C" w:rsidRDefault="00590339" w:rsidP="00590339">
      <w:pPr>
        <w:spacing w:line="240" w:lineRule="auto"/>
        <w:jc w:val="both"/>
        <w:rPr>
          <w:rFonts w:ascii="Times New Roman" w:hAnsi="Times New Roman" w:cs="Times New Roman"/>
          <w:b/>
          <w:color w:val="FF0000"/>
          <w:sz w:val="24"/>
          <w:szCs w:val="24"/>
          <w:u w:val="single"/>
        </w:rPr>
      </w:pPr>
      <w:r w:rsidRPr="00772259">
        <w:rPr>
          <w:rFonts w:ascii="Times New Roman" w:hAnsi="Times New Roman" w:cs="Times New Roman"/>
          <w:b/>
          <w:color w:val="FF0000"/>
          <w:sz w:val="24"/>
          <w:szCs w:val="24"/>
          <w:u w:val="single"/>
        </w:rPr>
        <w:t>Un reciente informe de la Comisión Europea cifra en 4,1 billones de euros los recursos públicos comprometidos entre octubre de 2008 y marzo de 2010, por 19 Estados europeos, lo que representa el 32,6% del PIB de la UE…</w:t>
      </w:r>
    </w:p>
    <w:p w:rsidR="00590339" w:rsidRPr="00554A47" w:rsidRDefault="00590339" w:rsidP="00590339">
      <w:pPr>
        <w:spacing w:line="240" w:lineRule="auto"/>
        <w:jc w:val="both"/>
        <w:rPr>
          <w:rFonts w:ascii="Times New Roman" w:hAnsi="Times New Roman" w:cs="Times New Roman"/>
          <w:b/>
          <w:sz w:val="24"/>
          <w:szCs w:val="24"/>
        </w:rPr>
      </w:pPr>
      <w:r w:rsidRPr="00554A47">
        <w:rPr>
          <w:rFonts w:ascii="Times New Roman" w:hAnsi="Times New Roman" w:cs="Times New Roman"/>
          <w:b/>
          <w:sz w:val="24"/>
          <w:szCs w:val="24"/>
        </w:rPr>
        <w:t>Unión Europea</w:t>
      </w:r>
    </w:p>
    <w:p w:rsidR="00590339" w:rsidRPr="001A2F47" w:rsidRDefault="00590339" w:rsidP="00590339">
      <w:pPr>
        <w:spacing w:line="240" w:lineRule="auto"/>
        <w:jc w:val="both"/>
        <w:rPr>
          <w:rFonts w:ascii="Times New Roman" w:hAnsi="Times New Roman" w:cs="Times New Roman"/>
          <w:sz w:val="24"/>
          <w:szCs w:val="24"/>
          <w:lang w:val="en-US"/>
        </w:rPr>
      </w:pPr>
      <w:r w:rsidRPr="0009475A">
        <w:rPr>
          <w:rFonts w:ascii="Times New Roman" w:hAnsi="Times New Roman" w:cs="Times New Roman"/>
          <w:sz w:val="24"/>
          <w:szCs w:val="24"/>
        </w:rPr>
        <w:t xml:space="preserve">- </w:t>
      </w:r>
      <w:r w:rsidRPr="0009475A">
        <w:rPr>
          <w:rFonts w:ascii="Times New Roman" w:hAnsi="Times New Roman" w:cs="Times New Roman"/>
          <w:sz w:val="24"/>
          <w:szCs w:val="24"/>
          <w:u w:val="single"/>
        </w:rPr>
        <w:t xml:space="preserve">La Euro Crisis. </w:t>
      </w:r>
      <w:r w:rsidRPr="001A2F47">
        <w:rPr>
          <w:rFonts w:ascii="Times New Roman" w:hAnsi="Times New Roman" w:cs="Times New Roman"/>
          <w:sz w:val="24"/>
          <w:szCs w:val="24"/>
          <w:u w:val="single"/>
          <w:lang w:val="en-US"/>
        </w:rPr>
        <w:t>Causas y síntomas</w:t>
      </w:r>
      <w:r w:rsidRPr="001A2F47">
        <w:rPr>
          <w:rFonts w:ascii="Times New Roman" w:hAnsi="Times New Roman" w:cs="Times New Roman"/>
          <w:sz w:val="24"/>
          <w:szCs w:val="24"/>
          <w:lang w:val="en-US"/>
        </w:rPr>
        <w:t xml:space="preserve"> (Christoph S. Weber - Friedrich-Alexander Universitaet Erlangen-Nuernberg, Ins</w:t>
      </w:r>
      <w:r>
        <w:rPr>
          <w:rFonts w:ascii="Times New Roman" w:hAnsi="Times New Roman" w:cs="Times New Roman"/>
          <w:sz w:val="24"/>
          <w:szCs w:val="24"/>
          <w:lang w:val="en-US"/>
        </w:rPr>
        <w:t>ti</w:t>
      </w:r>
      <w:r w:rsidRPr="001A2F47">
        <w:rPr>
          <w:rFonts w:ascii="Times New Roman" w:hAnsi="Times New Roman" w:cs="Times New Roman"/>
          <w:sz w:val="24"/>
          <w:szCs w:val="24"/>
          <w:lang w:val="en-US"/>
        </w:rPr>
        <w:t xml:space="preserve">tute of Economics - Germany - analytics.scielo.org - </w:t>
      </w:r>
      <w:r w:rsidRPr="001A2F47">
        <w:rPr>
          <w:rFonts w:ascii="Times New Roman" w:hAnsi="Times New Roman" w:cs="Times New Roman"/>
          <w:b/>
          <w:sz w:val="24"/>
          <w:szCs w:val="24"/>
          <w:lang w:val="en-US"/>
        </w:rPr>
        <w:t>22/11/13</w:t>
      </w:r>
      <w:r w:rsidRPr="001A2F47">
        <w:rPr>
          <w:rFonts w:ascii="Times New Roman" w:hAnsi="Times New Roman" w:cs="Times New Roman"/>
          <w:sz w:val="24"/>
          <w:szCs w:val="24"/>
          <w:lang w:val="en-US"/>
        </w:rPr>
        <w:t>)</w:t>
      </w:r>
    </w:p>
    <w:p w:rsidR="00590339" w:rsidRDefault="00590339" w:rsidP="00590339">
      <w:pPr>
        <w:spacing w:line="240" w:lineRule="auto"/>
        <w:jc w:val="both"/>
        <w:rPr>
          <w:rFonts w:ascii="Times New Roman" w:hAnsi="Times New Roman" w:cs="Times New Roman"/>
          <w:sz w:val="24"/>
          <w:szCs w:val="24"/>
        </w:rPr>
      </w:pPr>
      <w:r w:rsidRPr="000E4E0C">
        <w:rPr>
          <w:rFonts w:ascii="Times New Roman" w:hAnsi="Times New Roman" w:cs="Times New Roman"/>
          <w:sz w:val="24"/>
          <w:szCs w:val="24"/>
        </w:rPr>
        <w:t>(…)</w:t>
      </w:r>
    </w:p>
    <w:p w:rsidR="004A0EE4" w:rsidRPr="000E4E0C" w:rsidRDefault="004A0EE4" w:rsidP="00590339">
      <w:pPr>
        <w:spacing w:line="240" w:lineRule="auto"/>
        <w:jc w:val="both"/>
        <w:rPr>
          <w:rFonts w:ascii="Times New Roman" w:hAnsi="Times New Roman" w:cs="Times New Roman"/>
          <w:sz w:val="24"/>
          <w:szCs w:val="24"/>
        </w:rPr>
      </w:pPr>
    </w:p>
    <w:p w:rsidR="00590339" w:rsidRPr="006976AA" w:rsidRDefault="00590339" w:rsidP="00590339">
      <w:pPr>
        <w:spacing w:line="240" w:lineRule="auto"/>
        <w:jc w:val="both"/>
        <w:rPr>
          <w:rFonts w:ascii="Times New Roman" w:hAnsi="Times New Roman" w:cs="Times New Roman"/>
          <w:sz w:val="24"/>
          <w:szCs w:val="24"/>
          <w:u w:val="single"/>
        </w:rPr>
      </w:pPr>
      <w:r w:rsidRPr="006976AA">
        <w:rPr>
          <w:rFonts w:ascii="Times New Roman" w:hAnsi="Times New Roman" w:cs="Times New Roman"/>
          <w:bCs/>
          <w:color w:val="000000"/>
          <w:sz w:val="24"/>
          <w:szCs w:val="24"/>
          <w:u w:val="single"/>
        </w:rPr>
        <w:t>Causas de la Euro crisis</w:t>
      </w:r>
    </w:p>
    <w:p w:rsidR="00590339" w:rsidRPr="00EE02E5" w:rsidRDefault="00590339" w:rsidP="00590339">
      <w:pPr>
        <w:pStyle w:val="NormalWeb"/>
        <w:shd w:val="clear" w:color="auto" w:fill="FFFFFF"/>
        <w:jc w:val="both"/>
      </w:pPr>
      <w:r w:rsidRPr="00B01B0F">
        <w:rPr>
          <w:color w:val="000000"/>
        </w:rPr>
        <w:t xml:space="preserve">En la última sección, hemos visto el marco institucional de la Eurozona. Ya se mencionó que algunos países no cumplieron con los criterios de Maastricht. Por lo tanto, se plantea la cuestión de si la crisis actual es una consecuencia del gasto público excesivo. Aquí, es ilustrativo observar la deuda y el déficit públicos. </w:t>
      </w:r>
      <w:r w:rsidRPr="00EE02E5">
        <w:t>Los cuadros </w:t>
      </w:r>
      <w:hyperlink r:id="rId285" w:anchor="Cuadro3a" w:history="1">
        <w:r w:rsidRPr="00C346EF">
          <w:rPr>
            <w:rStyle w:val="Hipervnculo"/>
            <w:color w:val="auto"/>
            <w:u w:val="none"/>
          </w:rPr>
          <w:t>3</w:t>
        </w:r>
      </w:hyperlink>
      <w:r w:rsidRPr="00C346EF">
        <w:t> y </w:t>
      </w:r>
      <w:hyperlink r:id="rId286" w:anchor="Cuadro4a" w:history="1">
        <w:r w:rsidRPr="00C346EF">
          <w:rPr>
            <w:rStyle w:val="Hipervnculo"/>
            <w:color w:val="auto"/>
            <w:u w:val="none"/>
          </w:rPr>
          <w:t>4</w:t>
        </w:r>
      </w:hyperlink>
      <w:r w:rsidRPr="00B54D85">
        <w:t> </w:t>
      </w:r>
      <w:r w:rsidRPr="00EE02E5">
        <w:t>muestran la deuda y el déficit público de todos los e</w:t>
      </w:r>
      <w:r w:rsidR="004A0EE4">
        <w:t>stados miembros de la Eurozona.</w:t>
      </w:r>
    </w:p>
    <w:p w:rsidR="00590339" w:rsidRPr="00F1617C" w:rsidRDefault="00590339" w:rsidP="00590339">
      <w:pPr>
        <w:pStyle w:val="NormalWeb"/>
        <w:shd w:val="clear" w:color="auto" w:fill="FFFFFF"/>
        <w:jc w:val="both"/>
        <w:rPr>
          <w:color w:val="000000"/>
        </w:rPr>
      </w:pPr>
      <w:r w:rsidRPr="00B01B0F">
        <w:rPr>
          <w:noProof/>
          <w:color w:val="0000FF"/>
          <w:lang w:val="en-GB" w:eastAsia="zh-CN"/>
        </w:rPr>
        <w:drawing>
          <wp:inline distT="0" distB="0" distL="0" distR="0">
            <wp:extent cx="5238749" cy="3365500"/>
            <wp:effectExtent l="0" t="0" r="635" b="6350"/>
            <wp:docPr id="351" name="Imagen 351" descr="http://www.scielo.org.mx/img/revistas/estfro/v16n32/a9c3.jpg">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mx/img/revistas/estfro/v16n32/a9c3.jpg">
                      <a:hlinkClick r:id="rId287"/>
                    </pic:cNvPr>
                    <pic:cNvPicPr>
                      <a:picLocks noChangeAspect="1" noChangeArrowheads="1"/>
                    </pic:cNvPicPr>
                  </pic:nvPicPr>
                  <pic:blipFill>
                    <a:blip r:embed="rId2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7480" cy="3364685"/>
                    </a:xfrm>
                    <a:prstGeom prst="rect">
                      <a:avLst/>
                    </a:prstGeom>
                    <a:noFill/>
                    <a:ln>
                      <a:noFill/>
                    </a:ln>
                  </pic:spPr>
                </pic:pic>
              </a:graphicData>
            </a:graphic>
          </wp:inline>
        </w:drawing>
      </w:r>
    </w:p>
    <w:p w:rsidR="00590339" w:rsidRPr="00B01B0F" w:rsidRDefault="00540176" w:rsidP="00590339">
      <w:pPr>
        <w:pStyle w:val="NormalWeb"/>
        <w:shd w:val="clear" w:color="auto" w:fill="FFFFFF"/>
        <w:jc w:val="both"/>
        <w:rPr>
          <w:color w:val="000000"/>
        </w:rPr>
      </w:pPr>
      <w:hyperlink r:id="rId289" w:anchor="Cuadro4b" w:history="1">
        <w:r w:rsidR="00590339" w:rsidRPr="00B01B0F">
          <w:rPr>
            <w:color w:val="0000FF"/>
            <w:u w:val="single"/>
          </w:rPr>
          <w:br/>
        </w:r>
        <w:r w:rsidR="00590339" w:rsidRPr="00B01B0F">
          <w:rPr>
            <w:noProof/>
            <w:color w:val="0000FF"/>
            <w:lang w:val="en-GB" w:eastAsia="zh-CN"/>
          </w:rPr>
          <w:drawing>
            <wp:inline distT="0" distB="0" distL="0" distR="0">
              <wp:extent cx="5645150" cy="3587750"/>
              <wp:effectExtent l="0" t="0" r="0" b="0"/>
              <wp:docPr id="352" name="Imagen 352" descr="http://www.scielo.org.mx/img/revistas/estfro/v16n32/a9c4.jp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cielo.org.mx/img/revistas/estfro/v16n32/a9c4.jpg">
                        <a:hlinkClick r:id="rId290"/>
                      </pic:cNvPr>
                      <pic:cNvPicPr>
                        <a:picLocks noChangeAspect="1" noChangeArrowheads="1"/>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8125" cy="3589641"/>
                      </a:xfrm>
                      <a:prstGeom prst="rect">
                        <a:avLst/>
                      </a:prstGeom>
                      <a:noFill/>
                      <a:ln>
                        <a:noFill/>
                      </a:ln>
                    </pic:spPr>
                  </pic:pic>
                </a:graphicData>
              </a:graphic>
            </wp:inline>
          </w:drawing>
        </w:r>
      </w:hyperlink>
    </w:p>
    <w:p w:rsidR="00590339" w:rsidRPr="00B01B0F" w:rsidRDefault="00590339" w:rsidP="00590339">
      <w:pPr>
        <w:pStyle w:val="NormalWeb"/>
        <w:shd w:val="clear" w:color="auto" w:fill="FFFFFF"/>
        <w:jc w:val="both"/>
        <w:rPr>
          <w:color w:val="000000"/>
        </w:rPr>
      </w:pPr>
      <w:r w:rsidRPr="00B01B0F">
        <w:rPr>
          <w:color w:val="000000"/>
        </w:rPr>
        <w:t xml:space="preserve">Los números en negritas en los </w:t>
      </w:r>
      <w:r w:rsidRPr="00EE02E5">
        <w:t>cuadros </w:t>
      </w:r>
      <w:hyperlink r:id="rId292" w:anchor="Cuadro3a" w:history="1">
        <w:r w:rsidRPr="00C346EF">
          <w:rPr>
            <w:rStyle w:val="Hipervnculo"/>
            <w:color w:val="auto"/>
            <w:u w:val="none"/>
          </w:rPr>
          <w:t>3</w:t>
        </w:r>
      </w:hyperlink>
      <w:r w:rsidRPr="00C346EF">
        <w:t> y </w:t>
      </w:r>
      <w:hyperlink r:id="rId293" w:anchor="Cuadro4a" w:history="1">
        <w:r w:rsidRPr="00C346EF">
          <w:rPr>
            <w:rStyle w:val="Hipervnculo"/>
            <w:color w:val="auto"/>
            <w:u w:val="none"/>
          </w:rPr>
          <w:t>4</w:t>
        </w:r>
      </w:hyperlink>
      <w:r w:rsidRPr="00EE02E5">
        <w:t> </w:t>
      </w:r>
      <w:r w:rsidRPr="00B01B0F">
        <w:rPr>
          <w:color w:val="000000"/>
        </w:rPr>
        <w:t>indican incumplimientos de los criterios de Maastricht. Algunos aspectos son dignos de mención. Primero, el déficit público de Grecia y Portugal estuvo por encima del objetivo durante todos los años de membresía a la Eurozona. Incluso países como Alemania no cumplieron con el criterio de déficit en más de una ocasión. Por otro lado, países como España e Irlanda, que luego enfrentaron graves probl</w:t>
      </w:r>
      <w:r>
        <w:rPr>
          <w:color w:val="000000"/>
        </w:rPr>
        <w:t>emas, fueron “estudiantes ejemplares”</w:t>
      </w:r>
      <w:r w:rsidRPr="00B01B0F">
        <w:rPr>
          <w:color w:val="000000"/>
        </w:rPr>
        <w:t xml:space="preserve"> en cuanto a déficit público se refiere hasta el año 2008, logrando incluso alcanzar excedentes presupuestarios en algunos años. Sin embargo, Irlanda y España podrían haber alcanzado resultados mucho mejores ya que los ingresos fiscales eran altos debido a crédito y al auge inmobiliario (Lane, 2012). A partir del 2009, la mayoría de los países no cumplieron el criterio del 3%. Los datos sobre la deuda pública cuentan una historia similar, ya que Austria, Bélgica, Grecia e Italia nunca cumplieron con el requisito de la deuda. Alemania lo hizo sólo en una ocasión en un año. España e Irlanda estuvieron de nuevo entre los países con mejores resultados e incluso lograron reducir su relación deuda-PIB hasta el año 2008. La Eurozona en su conjunto logró reducir el endeudamiento desde 1999 hasta el 2007 con respecto al PIB, pero la situación cambió rotundamente después del 2008. La relación deuda-PIB se disparó en todos los países de la Eurozona, hecho que se vincula con la crisis financiera que comenzó en 2008.</w:t>
      </w:r>
    </w:p>
    <w:p w:rsidR="00590339" w:rsidRPr="00B01B0F" w:rsidRDefault="00590339" w:rsidP="00590339">
      <w:pPr>
        <w:pStyle w:val="NormalWeb"/>
        <w:shd w:val="clear" w:color="auto" w:fill="FFFFFF"/>
        <w:jc w:val="both"/>
        <w:rPr>
          <w:color w:val="000000"/>
        </w:rPr>
      </w:pPr>
      <w:r w:rsidRPr="00B01B0F">
        <w:rPr>
          <w:color w:val="000000"/>
        </w:rPr>
        <w:t>Es así que la causa principal de la actual crisis en Europa no fueron los errores cometidos durante la creación de la Eurozona. No hubo crisis de la deuda pública en Europa hasta 2008. La Euro crisis es esencialmente el resultado de la crisis </w:t>
      </w:r>
      <w:r w:rsidRPr="00B01B0F">
        <w:rPr>
          <w:i/>
          <w:iCs/>
          <w:color w:val="000000"/>
        </w:rPr>
        <w:t>subprime</w:t>
      </w:r>
      <w:r>
        <w:rPr>
          <w:color w:val="000000"/>
        </w:rPr>
        <w:t> que comenzó en 2007 en los EEUU</w:t>
      </w:r>
      <w:r w:rsidRPr="00B01B0F">
        <w:rPr>
          <w:color w:val="000000"/>
        </w:rPr>
        <w:t>, y esto nos lleva inevitablemente a preguntarnos por qué Europa se vio afectada de modo tan severo. Muchos bancos europeos invirtieron en </w:t>
      </w:r>
      <w:r w:rsidRPr="00B01B0F">
        <w:rPr>
          <w:i/>
          <w:iCs/>
          <w:color w:val="000000"/>
        </w:rPr>
        <w:t>Asset Backed Securities</w:t>
      </w:r>
      <w:r w:rsidRPr="00B01B0F">
        <w:rPr>
          <w:color w:val="000000"/>
        </w:rPr>
        <w:t> (ABS) (valores respaldados por activos). Después del 2001, la política monetaria en Europa era relativamente expansiva, lo que llevó a los bancos e inversores a centrarse en inversiones alternativas dado que los bonos tradicionales no eran lucrativos debido a los bajos rendimientos. Los ABS parecían ser una buena opción ya que consistentemente obtenían buenos índices y mayores rendimientos. Por lo tanto, los bancos podrían financiarse a bajo costo en el BCE y comprar ABS de alto rendimiento. La otra causa de la participación de Europa en el sector </w:t>
      </w:r>
      <w:r w:rsidRPr="00B01B0F">
        <w:rPr>
          <w:i/>
          <w:iCs/>
          <w:color w:val="000000"/>
        </w:rPr>
        <w:t>subprime</w:t>
      </w:r>
      <w:r w:rsidRPr="00B01B0F">
        <w:rPr>
          <w:color w:val="000000"/>
        </w:rPr>
        <w:t xml:space="preserve"> a través de los ABS fue el financiamiento del gran déficit </w:t>
      </w:r>
      <w:r>
        <w:rPr>
          <w:color w:val="000000"/>
        </w:rPr>
        <w:t>en cuenta corriente de los EE</w:t>
      </w:r>
      <w:r w:rsidRPr="00B01B0F">
        <w:rPr>
          <w:color w:val="000000"/>
        </w:rPr>
        <w:t>UU. Los déficits comerciales de Estados Unidos fueron financiados con la venta de ABS a los países con superávit por cuenta corriente, especialmente a Alemania y los Países Bajos. Cuando la Fed aumentó las tasas de interés desde 2006 a 2007, la</w:t>
      </w:r>
      <w:r>
        <w:rPr>
          <w:color w:val="000000"/>
        </w:rPr>
        <w:t xml:space="preserve"> burbuja inmobiliaria en los EEUU</w:t>
      </w:r>
      <w:r w:rsidRPr="00B01B0F">
        <w:rPr>
          <w:color w:val="000000"/>
        </w:rPr>
        <w:t xml:space="preserve"> estalló y el valor de los ABS se desplomó. Esto desencadenó bajas masivas en el valor de los activos de los bancos, creando desconfianza entre bancos, y entre los ahorristas y los bancos. Como consecuencia, los ahorristas retiraron su dinero de los bancos, y estos últimos se mostraron reacios a prestarse dinero entre sí. Aun así, la situación era todavía relativamente tranquila hasta que Lehman Brothers se fue a la quiebra. Esta insolvencia causó un desplome de los mercados bursátiles en todo el mundo, provocando nuevas amortizaciones y pérdidas de los bancos, lo que a su vez desencadenó solvencia y problemas de liquidez para muchos de ellos.</w:t>
      </w:r>
    </w:p>
    <w:p w:rsidR="00590339" w:rsidRPr="00B01B0F" w:rsidRDefault="00590339" w:rsidP="00590339">
      <w:pPr>
        <w:pStyle w:val="NormalWeb"/>
        <w:shd w:val="clear" w:color="auto" w:fill="FFFFFF"/>
        <w:jc w:val="both"/>
        <w:rPr>
          <w:color w:val="000000"/>
        </w:rPr>
      </w:pPr>
      <w:r w:rsidRPr="00B01B0F">
        <w:rPr>
          <w:color w:val="000000"/>
        </w:rPr>
        <w:t>La diferencia entre la Europa continental y los países anglosajones es que en estos últimos, el sistema financiero está orientado al mercado y no dominado por los bancos. En Europa, las compañías y los individuos financian sus inversiones al pedir préstamos a sus propios bancos y retener las ganancias. Las pequeñas y medianas empresas rara vez emiten bonos corporativos para obtener liquidez. Por eso los bancos son esenciales para el funcionamiento de la verdadera economía. Es más, los bancos nacionales son relativamente grandes en comparación con las economías domésticas. Varios balances totales de bancos representan más del 100% del PIB del país en el que se encuentran, e incluso, los bancos europeos todavía invierten principalmente en activos domésticos y en los bonos del gobierno, lo que crea dependencia mutua entre bancos y gobiernos. La solvencia de los bancos depende de la solvencia del país donde se encuentra y viceversa y esta dependencia obligó a los gobiernos europeos a salvar a los bancos. Muchos bancos fueron reestructurados o necesitaron capital y liquidez. La </w:t>
      </w:r>
      <w:hyperlink r:id="rId294" w:anchor="Figura1b" w:history="1">
        <w:r w:rsidRPr="00C346EF">
          <w:rPr>
            <w:rStyle w:val="Hipervnculo"/>
            <w:color w:val="auto"/>
            <w:u w:val="none"/>
          </w:rPr>
          <w:t>figura 1</w:t>
        </w:r>
      </w:hyperlink>
      <w:r w:rsidRPr="00B01B0F">
        <w:rPr>
          <w:color w:val="000000"/>
        </w:rPr>
        <w:t> muestra la cantidad de medidas de rescate en la Eurozona.</w:t>
      </w:r>
    </w:p>
    <w:p w:rsidR="00590339" w:rsidRPr="00B01B0F" w:rsidRDefault="00590339" w:rsidP="00590339">
      <w:pPr>
        <w:pStyle w:val="NormalWeb"/>
        <w:shd w:val="clear" w:color="auto" w:fill="FFFFFF"/>
        <w:jc w:val="both"/>
        <w:rPr>
          <w:color w:val="000000"/>
        </w:rPr>
      </w:pPr>
      <w:r w:rsidRPr="00B01B0F">
        <w:rPr>
          <w:noProof/>
          <w:color w:val="0000FF"/>
          <w:lang w:val="en-GB" w:eastAsia="zh-CN"/>
        </w:rPr>
        <w:drawing>
          <wp:inline distT="0" distB="0" distL="0" distR="0">
            <wp:extent cx="5237588" cy="3028950"/>
            <wp:effectExtent l="0" t="0" r="1270" b="0"/>
            <wp:docPr id="353" name="Imagen 353" descr="http://www.scielo.org.mx/img/revistas/estfro/v16n32/a9f1.jpg">
              <a:hlinkClick xmlns:a="http://schemas.openxmlformats.org/drawingml/2006/main" r:id="rId2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cielo.org.mx/img/revistas/estfro/v16n32/a9f1.jpg">
                      <a:hlinkClick r:id="rId295"/>
                    </pic:cNvPr>
                    <pic:cNvPicPr>
                      <a:picLocks noChangeAspect="1" noChangeArrowheads="1"/>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7480" cy="3028887"/>
                    </a:xfrm>
                    <a:prstGeom prst="rect">
                      <a:avLst/>
                    </a:prstGeom>
                    <a:noFill/>
                    <a:ln>
                      <a:noFill/>
                    </a:ln>
                  </pic:spPr>
                </pic:pic>
              </a:graphicData>
            </a:graphic>
          </wp:inline>
        </w:drawing>
      </w:r>
    </w:p>
    <w:p w:rsidR="00590339" w:rsidRPr="00B01B0F" w:rsidRDefault="00590339" w:rsidP="00590339">
      <w:pPr>
        <w:pStyle w:val="NormalWeb"/>
        <w:shd w:val="clear" w:color="auto" w:fill="FFFFFF"/>
        <w:jc w:val="both"/>
        <w:rPr>
          <w:color w:val="000000"/>
        </w:rPr>
      </w:pPr>
      <w:r w:rsidRPr="00B01B0F">
        <w:rPr>
          <w:color w:val="000000"/>
        </w:rPr>
        <w:t>Tal como lo ilustra la </w:t>
      </w:r>
      <w:hyperlink r:id="rId297" w:anchor="Figura1b" w:history="1">
        <w:r w:rsidRPr="00C346EF">
          <w:rPr>
            <w:rStyle w:val="Hipervnculo"/>
            <w:color w:val="auto"/>
            <w:u w:val="none"/>
          </w:rPr>
          <w:t>figura 1</w:t>
        </w:r>
      </w:hyperlink>
      <w:r w:rsidRPr="00C346EF">
        <w:t>,</w:t>
      </w:r>
      <w:r w:rsidRPr="00B01B0F">
        <w:rPr>
          <w:color w:val="000000"/>
        </w:rPr>
        <w:t xml:space="preserve"> las medidas de rescate consistían en garantías, medidas de alivio, medidas de recapitalización y medidas de liquidez. Las garantías representan la mayor parte, alcanzando 320 mil millones de euros en 2008. Esta suma se duplicó en 2009, al igual que en 2010. También resulta enriquecedor analizar las cifras de la reestructuración bancaria entre 2008 y 2010. Italia (19) y Austria (17) fueron los países que reestructuraron la mayor cantidad de bancos durante esa época. Esta cifra es mucho menor que el número de b</w:t>
      </w:r>
      <w:r>
        <w:rPr>
          <w:color w:val="000000"/>
        </w:rPr>
        <w:t>ancos reestructurados en los EEUU</w:t>
      </w:r>
      <w:r w:rsidRPr="00B01B0F">
        <w:rPr>
          <w:color w:val="000000"/>
        </w:rPr>
        <w:t xml:space="preserve"> (53). Es aún más interesante el hecho de que España sólo cerró tres bancos. España es uno de los países más afectados por la crisis porque también sufrió el estallido de la burbuja de precios inmobiliarios. Por ende, se esperaría que este país reestructure más bancos, especialmente porque hay gran cantidad de cajas de ahorro en dificultades. Pero, ¿por qué España sólo cerró tres bancos? Existen básicamente dos razones. La primera es que los políticos eran más que conscientes de los problemas del mercado inmobiliario y el cerrar más bancos hubiese puesto mayor presión en los precios debido a mayores tasas de embargo. Ellos también querían que los bancos continuaran prestándole dinero al sector privado para estabilizar la economía. La segunda razón tiene que ver con que el gobierno estaba al tanto de los costos fiscales masivos en los que una reestructuración habría incurrido. Es por eso que dudaron a la hora de sanear el sector bancario. En retrospectiva, sabemos que demorar la crisis bancaria fue un grave error. Países como l</w:t>
      </w:r>
      <w:r>
        <w:rPr>
          <w:color w:val="000000"/>
        </w:rPr>
        <w:t>os EEUU</w:t>
      </w:r>
      <w:r w:rsidRPr="00B01B0F">
        <w:rPr>
          <w:color w:val="000000"/>
        </w:rPr>
        <w:t xml:space="preserve"> que pudieron limpiar el desorden rápidamente, se encuentran ahora en una situación mucho mejor.</w:t>
      </w:r>
    </w:p>
    <w:p w:rsidR="00590339" w:rsidRPr="00B01B0F" w:rsidRDefault="00590339" w:rsidP="00590339">
      <w:pPr>
        <w:pStyle w:val="NormalWeb"/>
        <w:shd w:val="clear" w:color="auto" w:fill="FFFFFF"/>
        <w:jc w:val="both"/>
        <w:rPr>
          <w:color w:val="000000"/>
        </w:rPr>
      </w:pPr>
      <w:r w:rsidRPr="00B01B0F">
        <w:rPr>
          <w:color w:val="000000"/>
        </w:rPr>
        <w:t>Sin embargo, la causa principal de la actual crisis de deuda pública es la excesiva deuda privada, no la pública misma. Tanto bancos como individuos aumentaron los préstamos, pero el problema fue que estos créditos no sólo se utilizaron en inversiones para aumentar la productividad sino también para el consumo y la inversión en el sector inmobiliario.</w:t>
      </w:r>
    </w:p>
    <w:p w:rsidR="00590339" w:rsidRPr="00B01B0F" w:rsidRDefault="00590339" w:rsidP="00590339">
      <w:pPr>
        <w:pStyle w:val="NormalWeb"/>
        <w:shd w:val="clear" w:color="auto" w:fill="FFFFFF"/>
        <w:jc w:val="both"/>
        <w:rPr>
          <w:color w:val="000000"/>
        </w:rPr>
      </w:pPr>
      <w:r w:rsidRPr="00B01B0F">
        <w:rPr>
          <w:color w:val="000000"/>
        </w:rPr>
        <w:t>La</w:t>
      </w:r>
      <w:r w:rsidRPr="00C346EF">
        <w:t> </w:t>
      </w:r>
      <w:hyperlink r:id="rId298" w:anchor="Figura2b" w:history="1">
        <w:r w:rsidRPr="00C346EF">
          <w:rPr>
            <w:rStyle w:val="Hipervnculo"/>
            <w:color w:val="auto"/>
            <w:u w:val="none"/>
          </w:rPr>
          <w:t>figura 2</w:t>
        </w:r>
      </w:hyperlink>
      <w:r w:rsidRPr="00EE02E5">
        <w:t> </w:t>
      </w:r>
      <w:r w:rsidRPr="00B01B0F">
        <w:rPr>
          <w:color w:val="000000"/>
        </w:rPr>
        <w:t xml:space="preserve">muestra el desarrollo de la deuda privada en ciertos países de la Eurozona. Aparentemente la deuda privada estuvo atravesando una etapa de expansión hasta el comienzo de la crisis financiera. Sólo algunos países lograron mantener la deuda privada como porcentaje del PIB estable después de que estallara la crisis. El gasto de los individuos, las empresas y los gobiernos de los países PIIGS fue financiado </w:t>
      </w:r>
      <w:r>
        <w:rPr>
          <w:color w:val="000000"/>
        </w:rPr>
        <w:t>por los capitales excedentes</w:t>
      </w:r>
      <w:r w:rsidRPr="00B01B0F">
        <w:rPr>
          <w:color w:val="000000"/>
        </w:rPr>
        <w:t>. Los préstamos se utilizaron para la compra de viviendas y en el pico del boom inmobiliario, la proporción de las inversiones de construcción con respecto al PIB fue del 22% en Irlanda y del 18% en España (Neubäumer 2011, p. 828). España e Irlanda tenían sus propias burbujas de precios inmobiliarios, burbujas que estallaron poco después que lo hiciera la burbuja de las hipotecas </w:t>
      </w:r>
      <w:r w:rsidRPr="00B01B0F">
        <w:rPr>
          <w:i/>
          <w:iCs/>
          <w:color w:val="000000"/>
        </w:rPr>
        <w:t>subprime</w:t>
      </w:r>
      <w:r w:rsidRPr="00B01B0F">
        <w:rPr>
          <w:color w:val="000000"/>
        </w:rPr>
        <w:t>.</w:t>
      </w:r>
    </w:p>
    <w:p w:rsidR="00590339" w:rsidRPr="00B01B0F" w:rsidRDefault="00590339" w:rsidP="00590339">
      <w:pPr>
        <w:pStyle w:val="NormalWeb"/>
        <w:shd w:val="clear" w:color="auto" w:fill="FFFFFF"/>
        <w:jc w:val="both"/>
        <w:rPr>
          <w:color w:val="000000"/>
        </w:rPr>
      </w:pPr>
      <w:r w:rsidRPr="00B01B0F">
        <w:rPr>
          <w:noProof/>
          <w:color w:val="0000FF"/>
          <w:lang w:val="en-GB" w:eastAsia="zh-CN"/>
        </w:rPr>
        <w:drawing>
          <wp:inline distT="0" distB="0" distL="0" distR="0">
            <wp:extent cx="4978400" cy="3048000"/>
            <wp:effectExtent l="0" t="0" r="0" b="0"/>
            <wp:docPr id="354" name="Imagen 354" descr="http://www.scielo.org.mx/img/revistas/estfro/v16n32/a9f2.jpg">
              <a:hlinkClick xmlns:a="http://schemas.openxmlformats.org/drawingml/2006/main" r:id="rId2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mx/img/revistas/estfro/v16n32/a9f2.jpg">
                      <a:hlinkClick r:id="rId299"/>
                    </pic:cNvPr>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8908" cy="3048311"/>
                    </a:xfrm>
                    <a:prstGeom prst="rect">
                      <a:avLst/>
                    </a:prstGeom>
                    <a:noFill/>
                    <a:ln>
                      <a:noFill/>
                    </a:ln>
                  </pic:spPr>
                </pic:pic>
              </a:graphicData>
            </a:graphic>
          </wp:inline>
        </w:drawing>
      </w:r>
    </w:p>
    <w:p w:rsidR="00590339" w:rsidRDefault="00590339" w:rsidP="00590339">
      <w:pPr>
        <w:pStyle w:val="NormalWeb"/>
        <w:shd w:val="clear" w:color="auto" w:fill="FFFFFF"/>
        <w:jc w:val="both"/>
        <w:rPr>
          <w:color w:val="000000"/>
        </w:rPr>
      </w:pPr>
      <w:r w:rsidRPr="00B01B0F">
        <w:rPr>
          <w:color w:val="000000"/>
        </w:rPr>
        <w:t>En resumen la causa de todos los males yace en la crisis económica. Previo al estallido de la crisis económica, la Eurozona lograba hacerle frente a los problemas que datan de la época de la creación del área monetaria. La Gran Recesión obligó a los países a rescatar a los bancos y a las empresas, y a implementar una política fiscal expansiva para combatir la recesión.</w:t>
      </w:r>
    </w:p>
    <w:p w:rsidR="00590339" w:rsidRDefault="00590339" w:rsidP="00590339">
      <w:pPr>
        <w:pStyle w:val="NormalWeb"/>
        <w:shd w:val="clear" w:color="auto" w:fill="FFFFFF"/>
        <w:jc w:val="both"/>
        <w:rPr>
          <w:color w:val="000000"/>
        </w:rPr>
      </w:pPr>
      <w:r>
        <w:rPr>
          <w:color w:val="000000"/>
        </w:rPr>
        <w:t xml:space="preserve">- </w:t>
      </w:r>
      <w:r w:rsidRPr="006976AA">
        <w:rPr>
          <w:color w:val="000000"/>
          <w:u w:val="single"/>
        </w:rPr>
        <w:t>Estrategias económicas de salida de la crisis</w:t>
      </w:r>
      <w:r>
        <w:rPr>
          <w:color w:val="000000"/>
        </w:rPr>
        <w:t xml:space="preserve"> (</w:t>
      </w:r>
      <w:r w:rsidRPr="009D7272">
        <w:rPr>
          <w:color w:val="000000"/>
        </w:rPr>
        <w:t>Discurso pronunciado por José Manuel González-Páramo, miembr</w:t>
      </w:r>
      <w:r>
        <w:rPr>
          <w:color w:val="000000"/>
        </w:rPr>
        <w:t xml:space="preserve">o del Comité Ejecutivo del BCE, Fundación Ramón Areces, </w:t>
      </w:r>
      <w:r w:rsidRPr="009D7272">
        <w:rPr>
          <w:color w:val="000000"/>
        </w:rPr>
        <w:t xml:space="preserve">Madrid, </w:t>
      </w:r>
      <w:r w:rsidRPr="004F114C">
        <w:rPr>
          <w:b/>
          <w:color w:val="000000"/>
        </w:rPr>
        <w:t>25 de marzo de 2010</w:t>
      </w:r>
      <w:r>
        <w:rPr>
          <w:color w:val="000000"/>
        </w:rPr>
        <w:t>)</w:t>
      </w:r>
    </w:p>
    <w:p w:rsidR="004A0EE4" w:rsidRDefault="00590339" w:rsidP="00590339">
      <w:pPr>
        <w:pStyle w:val="NormalWeb"/>
        <w:shd w:val="clear" w:color="auto" w:fill="FFFFFF"/>
        <w:jc w:val="both"/>
        <w:rPr>
          <w:color w:val="000000"/>
        </w:rPr>
      </w:pPr>
      <w:r>
        <w:rPr>
          <w:color w:val="000000"/>
        </w:rPr>
        <w:t xml:space="preserve">(…) </w:t>
      </w:r>
    </w:p>
    <w:p w:rsidR="00590339" w:rsidRPr="009D7272" w:rsidRDefault="00590339" w:rsidP="00590339">
      <w:pPr>
        <w:pStyle w:val="NormalWeb"/>
        <w:shd w:val="clear" w:color="auto" w:fill="FFFFFF"/>
        <w:jc w:val="both"/>
        <w:rPr>
          <w:color w:val="000000"/>
        </w:rPr>
      </w:pPr>
      <w:r w:rsidRPr="009D7272">
        <w:rPr>
          <w:color w:val="000000"/>
        </w:rPr>
        <w:t>Las medidas de apoyo al sistema financiero</w:t>
      </w:r>
    </w:p>
    <w:p w:rsidR="00590339" w:rsidRDefault="00590339" w:rsidP="00590339">
      <w:pPr>
        <w:pStyle w:val="NormalWeb"/>
        <w:shd w:val="clear" w:color="auto" w:fill="FFFFFF"/>
        <w:jc w:val="both"/>
        <w:rPr>
          <w:color w:val="000000"/>
        </w:rPr>
      </w:pPr>
      <w:r w:rsidRPr="009D7272">
        <w:rPr>
          <w:color w:val="000000"/>
        </w:rPr>
        <w:t>Los gobiernos europeos han adoptado iniciativas decisivas y coordinadas para estabilizar el sector bancario y mitigar el riesgo de una severa contracción del crédito. A este fin, los gobiernos han facilitado un respaldo financiero sustancial mediante recapitalizaciones, esquemas de protección de activos y prestación de garantías a las emisiones de la</w:t>
      </w:r>
      <w:r>
        <w:rPr>
          <w:color w:val="000000"/>
        </w:rPr>
        <w:t>s entidades bancarias europeas.</w:t>
      </w:r>
    </w:p>
    <w:p w:rsidR="00590339" w:rsidRDefault="00590339" w:rsidP="00590339">
      <w:pPr>
        <w:pStyle w:val="NormalWeb"/>
        <w:shd w:val="clear" w:color="auto" w:fill="FFFFFF"/>
        <w:jc w:val="both"/>
        <w:rPr>
          <w:color w:val="000000"/>
        </w:rPr>
      </w:pPr>
      <w:r w:rsidRPr="009D7272">
        <w:rPr>
          <w:color w:val="000000"/>
        </w:rPr>
        <w:t xml:space="preserve">Así, </w:t>
      </w:r>
      <w:r w:rsidRPr="009832AD">
        <w:rPr>
          <w:b/>
          <w:color w:val="FF0000"/>
          <w:u w:val="single"/>
        </w:rPr>
        <w:t>los gobiernos han puesto a disposición de las entidades de crédito de la zona del euro hasta 130 mm de euros en inyecciones de capital, 1,7 billones en garantías para la emisión de bonos y unos 240 mm en esquemas de protección de activos</w:t>
      </w:r>
      <w:r w:rsidRPr="009D7272">
        <w:rPr>
          <w:color w:val="000000"/>
        </w:rPr>
        <w:t>. Por distintos motivos, su utilización efectiva es todavía reducida, si bien su volumen total parece adecuado a las potenciales pérdidas derivadas de préstamos fallidos y activos dañados. Debe decirse, al mismo tiempo, que el diseño de estas medidas no debería ser un obstáculo a la necesaria reestructuración en los casos de sobredimensionamiento o de debilidad del modelo de negocio</w:t>
      </w:r>
      <w:r w:rsidR="00012764">
        <w:rPr>
          <w:color w:val="000000"/>
        </w:rPr>
        <w:t>…</w:t>
      </w:r>
    </w:p>
    <w:p w:rsidR="00590339" w:rsidRPr="004A0EE4" w:rsidRDefault="00590339" w:rsidP="00590339">
      <w:pPr>
        <w:pStyle w:val="NormalWeb"/>
        <w:shd w:val="clear" w:color="auto" w:fill="FFFFFF"/>
        <w:jc w:val="both"/>
        <w:rPr>
          <w:b/>
          <w:color w:val="000000"/>
          <w:lang w:val="en-US"/>
        </w:rPr>
      </w:pPr>
      <w:r w:rsidRPr="004F114C">
        <w:rPr>
          <w:b/>
          <w:color w:val="000000"/>
          <w:lang w:val="en-US"/>
        </w:rPr>
        <w:t xml:space="preserve">Annual consolidated </w:t>
      </w:r>
      <w:r w:rsidR="004A0EE4">
        <w:rPr>
          <w:b/>
          <w:color w:val="000000"/>
          <w:lang w:val="en-US"/>
        </w:rPr>
        <w:t>balance sheet of the Eurosystem</w:t>
      </w:r>
    </w:p>
    <w:p w:rsidR="00590339" w:rsidRPr="009D7272" w:rsidRDefault="00590339" w:rsidP="00590339">
      <w:pPr>
        <w:pStyle w:val="NormalWeb"/>
        <w:shd w:val="clear" w:color="auto" w:fill="FFFFFF"/>
        <w:jc w:val="both"/>
        <w:rPr>
          <w:color w:val="000000"/>
        </w:rPr>
      </w:pPr>
      <w:r w:rsidRPr="004F114C">
        <w:rPr>
          <w:noProof/>
          <w:color w:val="000000"/>
          <w:lang w:val="en-GB" w:eastAsia="zh-CN"/>
        </w:rPr>
        <w:drawing>
          <wp:inline distT="0" distB="0" distL="0" distR="0">
            <wp:extent cx="5029200" cy="6464300"/>
            <wp:effectExtent l="0" t="0" r="0" b="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029902" cy="6465202"/>
                    </a:xfrm>
                    <a:prstGeom prst="rect">
                      <a:avLst/>
                    </a:prstGeom>
                  </pic:spPr>
                </pic:pic>
              </a:graphicData>
            </a:graphic>
          </wp:inline>
        </w:drawing>
      </w:r>
    </w:p>
    <w:p w:rsidR="00590339" w:rsidRPr="008B0EFC" w:rsidRDefault="00590339" w:rsidP="00590339">
      <w:pPr>
        <w:pStyle w:val="NormalWeb"/>
        <w:shd w:val="clear" w:color="auto" w:fill="FFFFFF"/>
        <w:jc w:val="both"/>
        <w:rPr>
          <w:b/>
          <w:color w:val="000000"/>
          <w:lang w:val="en-US"/>
        </w:rPr>
      </w:pPr>
      <w:r w:rsidRPr="004F114C">
        <w:rPr>
          <w:color w:val="000000"/>
          <w:lang w:val="en-US"/>
        </w:rPr>
        <w:t xml:space="preserve">Consolidated balance sheet of the Eurosystem as at </w:t>
      </w:r>
      <w:r w:rsidRPr="008B0EFC">
        <w:rPr>
          <w:b/>
          <w:color w:val="000000"/>
          <w:lang w:val="en-US"/>
        </w:rPr>
        <w:t>31 December 2019</w:t>
      </w:r>
    </w:p>
    <w:p w:rsidR="00590339" w:rsidRPr="006976AA" w:rsidRDefault="00590339" w:rsidP="00590339">
      <w:pPr>
        <w:pStyle w:val="NormalWeb"/>
        <w:shd w:val="clear" w:color="auto" w:fill="FFFFFF"/>
        <w:jc w:val="both"/>
        <w:rPr>
          <w:color w:val="000000"/>
          <w:lang w:val="en-US"/>
        </w:rPr>
      </w:pPr>
      <w:r>
        <w:rPr>
          <w:color w:val="000000"/>
          <w:lang w:val="en-US"/>
        </w:rPr>
        <w:t>(</w:t>
      </w:r>
      <w:r w:rsidRPr="004F114C">
        <w:rPr>
          <w:color w:val="000000"/>
          <w:lang w:val="en-US"/>
        </w:rPr>
        <w:t>Last updated on 20 February 2020</w:t>
      </w:r>
      <w:r>
        <w:rPr>
          <w:color w:val="000000"/>
          <w:lang w:val="en-US"/>
        </w:rPr>
        <w:t>)</w:t>
      </w:r>
    </w:p>
    <w:p w:rsidR="00590339" w:rsidRDefault="00590339" w:rsidP="00590339">
      <w:pPr>
        <w:pStyle w:val="NormalWeb"/>
        <w:shd w:val="clear" w:color="auto" w:fill="FFFFFF"/>
        <w:jc w:val="both"/>
        <w:rPr>
          <w:color w:val="000000"/>
          <w:lang w:val="en-US"/>
        </w:rPr>
      </w:pPr>
      <w:r w:rsidRPr="0038796E">
        <w:rPr>
          <w:noProof/>
          <w:color w:val="000000"/>
          <w:lang w:val="en-GB" w:eastAsia="zh-CN"/>
        </w:rPr>
        <w:drawing>
          <wp:inline distT="0" distB="0" distL="0" distR="0">
            <wp:extent cx="5048955" cy="438211"/>
            <wp:effectExtent l="0" t="0" r="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048955" cy="438211"/>
                    </a:xfrm>
                    <a:prstGeom prst="rect">
                      <a:avLst/>
                    </a:prstGeom>
                  </pic:spPr>
                </pic:pic>
              </a:graphicData>
            </a:graphic>
          </wp:inline>
        </w:drawing>
      </w:r>
    </w:p>
    <w:p w:rsidR="00590339" w:rsidRDefault="00590339" w:rsidP="00590339">
      <w:pPr>
        <w:pStyle w:val="NormalWeb"/>
        <w:shd w:val="clear" w:color="auto" w:fill="FFFFFF"/>
        <w:jc w:val="both"/>
        <w:rPr>
          <w:color w:val="000000"/>
          <w:lang w:val="en-US"/>
        </w:rPr>
      </w:pPr>
    </w:p>
    <w:p w:rsidR="00590339" w:rsidRDefault="00590339" w:rsidP="00590339">
      <w:pPr>
        <w:pStyle w:val="NormalWeb"/>
        <w:shd w:val="clear" w:color="auto" w:fill="FFFFFF"/>
        <w:jc w:val="both"/>
        <w:rPr>
          <w:color w:val="000000"/>
          <w:lang w:val="en-US"/>
        </w:rPr>
      </w:pPr>
      <w:r w:rsidRPr="0038796E">
        <w:rPr>
          <w:noProof/>
          <w:color w:val="000000"/>
          <w:lang w:val="en-GB" w:eastAsia="zh-CN"/>
        </w:rPr>
        <w:drawing>
          <wp:inline distT="0" distB="0" distL="0" distR="0">
            <wp:extent cx="6299947" cy="2091017"/>
            <wp:effectExtent l="0" t="0" r="5715" b="508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6311399" cy="2094818"/>
                    </a:xfrm>
                    <a:prstGeom prst="rect">
                      <a:avLst/>
                    </a:prstGeom>
                  </pic:spPr>
                </pic:pic>
              </a:graphicData>
            </a:graphic>
          </wp:inline>
        </w:drawing>
      </w:r>
    </w:p>
    <w:p w:rsidR="00590339" w:rsidRDefault="00590339" w:rsidP="00590339">
      <w:pPr>
        <w:pStyle w:val="NormalWeb"/>
        <w:shd w:val="clear" w:color="auto" w:fill="FFFFFF"/>
        <w:jc w:val="both"/>
        <w:rPr>
          <w:color w:val="000000"/>
          <w:lang w:val="en-US"/>
        </w:rPr>
      </w:pPr>
    </w:p>
    <w:p w:rsidR="00590339" w:rsidRDefault="00590339" w:rsidP="00590339">
      <w:pPr>
        <w:pStyle w:val="NormalWeb"/>
        <w:shd w:val="clear" w:color="auto" w:fill="FFFFFF"/>
        <w:jc w:val="both"/>
        <w:rPr>
          <w:color w:val="000000"/>
          <w:lang w:val="en-US"/>
        </w:rPr>
      </w:pPr>
      <w:r w:rsidRPr="00664AEF">
        <w:rPr>
          <w:noProof/>
          <w:color w:val="000000"/>
          <w:lang w:val="en-GB" w:eastAsia="zh-CN"/>
        </w:rPr>
        <w:drawing>
          <wp:inline distT="0" distB="0" distL="0" distR="0">
            <wp:extent cx="5730511" cy="2245658"/>
            <wp:effectExtent l="0" t="0" r="3810" b="254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2246050"/>
                    </a:xfrm>
                    <a:prstGeom prst="rect">
                      <a:avLst/>
                    </a:prstGeom>
                  </pic:spPr>
                </pic:pic>
              </a:graphicData>
            </a:graphic>
          </wp:inline>
        </w:drawing>
      </w:r>
    </w:p>
    <w:p w:rsidR="00590339" w:rsidRPr="00664AEF" w:rsidRDefault="00590339" w:rsidP="00590339">
      <w:pPr>
        <w:pStyle w:val="NormalWeb"/>
        <w:shd w:val="clear" w:color="auto" w:fill="FFFFFF"/>
        <w:jc w:val="both"/>
        <w:rPr>
          <w:color w:val="000000"/>
          <w:lang w:val="en-US"/>
        </w:rPr>
      </w:pPr>
    </w:p>
    <w:p w:rsidR="00590339" w:rsidRDefault="00590339" w:rsidP="00590339">
      <w:pPr>
        <w:pStyle w:val="NormalWeb"/>
        <w:shd w:val="clear" w:color="auto" w:fill="FFFFFF"/>
        <w:jc w:val="both"/>
        <w:rPr>
          <w:b/>
          <w:color w:val="000000"/>
          <w:lang w:val="en-US"/>
        </w:rPr>
      </w:pPr>
      <w:r w:rsidRPr="00664AEF">
        <w:rPr>
          <w:b/>
          <w:noProof/>
          <w:color w:val="000000"/>
          <w:lang w:val="en-GB" w:eastAsia="zh-CN"/>
        </w:rPr>
        <w:drawing>
          <wp:inline distT="0" distB="0" distL="0" distR="0">
            <wp:extent cx="4047565" cy="2198594"/>
            <wp:effectExtent l="0" t="0" r="0" b="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4044982" cy="2197191"/>
                    </a:xfrm>
                    <a:prstGeom prst="rect">
                      <a:avLst/>
                    </a:prstGeom>
                  </pic:spPr>
                </pic:pic>
              </a:graphicData>
            </a:graphic>
          </wp:inline>
        </w:drawing>
      </w:r>
    </w:p>
    <w:p w:rsidR="00590339" w:rsidRDefault="00590339" w:rsidP="00590339">
      <w:pPr>
        <w:pStyle w:val="NormalWeb"/>
        <w:shd w:val="clear" w:color="auto" w:fill="FFFFFF"/>
        <w:jc w:val="both"/>
        <w:rPr>
          <w:b/>
          <w:color w:val="000000"/>
          <w:lang w:val="en-US"/>
        </w:rPr>
      </w:pPr>
      <w:r w:rsidRPr="00664AEF">
        <w:rPr>
          <w:b/>
          <w:noProof/>
          <w:color w:val="000000"/>
          <w:lang w:val="en-GB" w:eastAsia="zh-CN"/>
        </w:rPr>
        <w:drawing>
          <wp:inline distT="0" distB="0" distL="0" distR="0">
            <wp:extent cx="6131859" cy="1929653"/>
            <wp:effectExtent l="0" t="0" r="254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6127945" cy="1928421"/>
                    </a:xfrm>
                    <a:prstGeom prst="rect">
                      <a:avLst/>
                    </a:prstGeom>
                  </pic:spPr>
                </pic:pic>
              </a:graphicData>
            </a:graphic>
          </wp:inline>
        </w:drawing>
      </w:r>
    </w:p>
    <w:p w:rsidR="00590339" w:rsidRDefault="00590339" w:rsidP="00590339">
      <w:pPr>
        <w:pStyle w:val="NormalWeb"/>
        <w:shd w:val="clear" w:color="auto" w:fill="FFFFFF"/>
        <w:jc w:val="both"/>
        <w:rPr>
          <w:b/>
          <w:color w:val="000000"/>
          <w:lang w:val="en-US"/>
        </w:rPr>
      </w:pPr>
    </w:p>
    <w:p w:rsidR="00590339" w:rsidRDefault="00590339" w:rsidP="00590339">
      <w:pPr>
        <w:pStyle w:val="NormalWeb"/>
        <w:shd w:val="clear" w:color="auto" w:fill="FFFFFF"/>
        <w:jc w:val="both"/>
        <w:rPr>
          <w:b/>
          <w:color w:val="000000"/>
          <w:lang w:val="en-US"/>
        </w:rPr>
      </w:pPr>
      <w:r w:rsidRPr="00923BA7">
        <w:rPr>
          <w:b/>
          <w:noProof/>
          <w:color w:val="000000"/>
          <w:lang w:val="en-GB" w:eastAsia="zh-CN"/>
        </w:rPr>
        <w:drawing>
          <wp:inline distT="0" distB="0" distL="0" distR="0">
            <wp:extent cx="5735171" cy="1996888"/>
            <wp:effectExtent l="0" t="0" r="0" b="381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1995613"/>
                    </a:xfrm>
                    <a:prstGeom prst="rect">
                      <a:avLst/>
                    </a:prstGeom>
                  </pic:spPr>
                </pic:pic>
              </a:graphicData>
            </a:graphic>
          </wp:inline>
        </w:drawing>
      </w:r>
    </w:p>
    <w:p w:rsidR="00590339" w:rsidRDefault="00590339" w:rsidP="00590339">
      <w:pPr>
        <w:pStyle w:val="NormalWeb"/>
        <w:shd w:val="clear" w:color="auto" w:fill="FFFFFF"/>
        <w:jc w:val="both"/>
        <w:rPr>
          <w:b/>
          <w:color w:val="000000"/>
          <w:lang w:val="en-US"/>
        </w:rPr>
      </w:pPr>
    </w:p>
    <w:p w:rsidR="00590339" w:rsidRDefault="00590339" w:rsidP="00590339">
      <w:pPr>
        <w:pStyle w:val="NormalWeb"/>
        <w:shd w:val="clear" w:color="auto" w:fill="FFFFFF"/>
        <w:jc w:val="both"/>
        <w:rPr>
          <w:b/>
          <w:color w:val="000000"/>
          <w:lang w:val="en-US"/>
        </w:rPr>
      </w:pPr>
      <w:r w:rsidRPr="00923BA7">
        <w:rPr>
          <w:b/>
          <w:noProof/>
          <w:color w:val="000000"/>
          <w:lang w:val="en-GB" w:eastAsia="zh-CN"/>
        </w:rPr>
        <w:drawing>
          <wp:inline distT="0" distB="0" distL="0" distR="0">
            <wp:extent cx="4928347" cy="1869141"/>
            <wp:effectExtent l="0" t="0" r="5715"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4925201" cy="1867948"/>
                    </a:xfrm>
                    <a:prstGeom prst="rect">
                      <a:avLst/>
                    </a:prstGeom>
                  </pic:spPr>
                </pic:pic>
              </a:graphicData>
            </a:graphic>
          </wp:inline>
        </w:drawing>
      </w:r>
    </w:p>
    <w:p w:rsidR="00590339" w:rsidRDefault="00590339" w:rsidP="00590339">
      <w:pPr>
        <w:pStyle w:val="NormalWeb"/>
        <w:shd w:val="clear" w:color="auto" w:fill="FFFFFF"/>
        <w:jc w:val="both"/>
        <w:rPr>
          <w:color w:val="000000"/>
        </w:rPr>
      </w:pPr>
      <w:r>
        <w:rPr>
          <w:color w:val="000000"/>
        </w:rPr>
        <w:t xml:space="preserve">- </w:t>
      </w:r>
      <w:r w:rsidRPr="00CD6CE1">
        <w:rPr>
          <w:color w:val="000000"/>
          <w:u w:val="single"/>
        </w:rPr>
        <w:t>Los países europeos que han rescatado más bancos durante la crisis</w:t>
      </w:r>
      <w:r>
        <w:rPr>
          <w:color w:val="000000"/>
        </w:rPr>
        <w:t xml:space="preserve"> (idealistanews - </w:t>
      </w:r>
      <w:r w:rsidRPr="00CD6CE1">
        <w:rPr>
          <w:b/>
          <w:color w:val="000000"/>
        </w:rPr>
        <w:t>11/1/19</w:t>
      </w:r>
      <w:r>
        <w:rPr>
          <w:color w:val="000000"/>
        </w:rPr>
        <w:t>)</w:t>
      </w:r>
    </w:p>
    <w:p w:rsidR="00590339" w:rsidRPr="00CD6CE1" w:rsidRDefault="00590339" w:rsidP="00590339">
      <w:pPr>
        <w:pStyle w:val="NormalWeb"/>
        <w:shd w:val="clear" w:color="auto" w:fill="FFFFFF"/>
        <w:jc w:val="both"/>
        <w:rPr>
          <w:color w:val="000000"/>
        </w:rPr>
      </w:pPr>
      <w:r w:rsidRPr="00CD6CE1">
        <w:rPr>
          <w:color w:val="000000"/>
        </w:rPr>
        <w:t>Parece que fue ayer, pero ya ha pasado una década desde que la quiebra del banco estadounidense Lehman Brothers. Una caída que puso la primera piedra de la mayor crisis internacional de nuestra era.</w:t>
      </w:r>
    </w:p>
    <w:p w:rsidR="00590339" w:rsidRPr="00CD6CE1" w:rsidRDefault="00590339" w:rsidP="00590339">
      <w:pPr>
        <w:pStyle w:val="NormalWeb"/>
        <w:shd w:val="clear" w:color="auto" w:fill="FFFFFF"/>
        <w:jc w:val="both"/>
        <w:rPr>
          <w:color w:val="000000"/>
        </w:rPr>
      </w:pPr>
      <w:r w:rsidRPr="00CD6CE1">
        <w:rPr>
          <w:color w:val="000000"/>
        </w:rPr>
        <w:t>En este tiempo son muchas las entidades financieras que han tenido que ser rescatadas. Solo en la Unión Europea se han producido 61 rescates en 15 países diferentes, y España está a la cabeza por las intervenciones en las cajas de ahorros, aunque el país que se ha gastado más dinero ha sido Reino Unido.</w:t>
      </w:r>
    </w:p>
    <w:p w:rsidR="00590339" w:rsidRDefault="00590339" w:rsidP="00590339">
      <w:pPr>
        <w:pStyle w:val="NormalWeb"/>
        <w:shd w:val="clear" w:color="auto" w:fill="FFFFFF"/>
        <w:jc w:val="both"/>
        <w:rPr>
          <w:b/>
          <w:color w:val="FF0000"/>
          <w:u w:val="single"/>
        </w:rPr>
      </w:pPr>
      <w:r w:rsidRPr="00CD6CE1">
        <w:rPr>
          <w:color w:val="000000"/>
        </w:rPr>
        <w:t xml:space="preserve">El coste en el Viejo Continente supera los 412.000 millones de euros, aunque dicha cantidad no incluye avales ni apoyos puntuales de liquidez. </w:t>
      </w:r>
      <w:r w:rsidRPr="00CD6CE1">
        <w:rPr>
          <w:b/>
          <w:color w:val="FF0000"/>
          <w:u w:val="single"/>
        </w:rPr>
        <w:t xml:space="preserve">Si tenemos </w:t>
      </w:r>
      <w:r>
        <w:rPr>
          <w:b/>
          <w:color w:val="FF0000"/>
          <w:u w:val="single"/>
        </w:rPr>
        <w:t>en cuenta todas las ayudas, la “factura”</w:t>
      </w:r>
      <w:r w:rsidRPr="00CD6CE1">
        <w:rPr>
          <w:b/>
          <w:color w:val="FF0000"/>
          <w:u w:val="single"/>
        </w:rPr>
        <w:t xml:space="preserve"> se dispara hasta los cuatro billone</w:t>
      </w:r>
      <w:r>
        <w:rPr>
          <w:b/>
          <w:color w:val="FF0000"/>
          <w:u w:val="single"/>
        </w:rPr>
        <w:t>s de euros.</w:t>
      </w:r>
    </w:p>
    <w:p w:rsidR="00590339" w:rsidRPr="00F1617C" w:rsidRDefault="00590339" w:rsidP="00590339">
      <w:pPr>
        <w:pStyle w:val="NormalWeb"/>
        <w:shd w:val="clear" w:color="auto" w:fill="FFFFFF"/>
        <w:jc w:val="both"/>
        <w:rPr>
          <w:b/>
          <w:color w:val="FF0000"/>
          <w:u w:val="single"/>
        </w:rPr>
      </w:pPr>
    </w:p>
    <w:p w:rsidR="00590339" w:rsidRPr="00581FC4" w:rsidRDefault="00590339" w:rsidP="00590339">
      <w:pPr>
        <w:pStyle w:val="NormalWeb"/>
        <w:shd w:val="clear" w:color="auto" w:fill="FFFFFF"/>
        <w:jc w:val="both"/>
        <w:rPr>
          <w:b/>
          <w:color w:val="000000"/>
        </w:rPr>
      </w:pPr>
      <w:r w:rsidRPr="00581FC4">
        <w:rPr>
          <w:b/>
          <w:color w:val="000000"/>
        </w:rPr>
        <w:t>Estados Unidos</w:t>
      </w:r>
    </w:p>
    <w:p w:rsidR="00590339" w:rsidRDefault="00590339" w:rsidP="00590339">
      <w:pPr>
        <w:pStyle w:val="NormalWeb"/>
        <w:shd w:val="clear" w:color="auto" w:fill="FFFFFF"/>
        <w:jc w:val="both"/>
        <w:rPr>
          <w:color w:val="000000"/>
        </w:rPr>
      </w:pPr>
      <w:r w:rsidRPr="00581FC4">
        <w:rPr>
          <w:noProof/>
          <w:color w:val="000000"/>
          <w:lang w:val="en-GB" w:eastAsia="zh-CN"/>
        </w:rPr>
        <w:drawing>
          <wp:inline distT="0" distB="0" distL="0" distR="0">
            <wp:extent cx="5321300" cy="3594100"/>
            <wp:effectExtent l="0" t="0" r="0" b="635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315692" cy="3590312"/>
                    </a:xfrm>
                    <a:prstGeom prst="rect">
                      <a:avLst/>
                    </a:prstGeom>
                  </pic:spPr>
                </pic:pic>
              </a:graphicData>
            </a:graphic>
          </wp:inline>
        </w:drawing>
      </w:r>
    </w:p>
    <w:p w:rsidR="00590339" w:rsidRDefault="00590339" w:rsidP="00590339">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590339" w:rsidRDefault="00590339" w:rsidP="00590339">
      <w:pPr>
        <w:pStyle w:val="NormalWeb"/>
        <w:shd w:val="clear" w:color="auto" w:fill="FFFFFF"/>
        <w:jc w:val="both"/>
        <w:rPr>
          <w:color w:val="000000"/>
        </w:rPr>
      </w:pPr>
      <w:r>
        <w:rPr>
          <w:color w:val="000000"/>
        </w:rPr>
        <w:t xml:space="preserve">- </w:t>
      </w:r>
      <w:r w:rsidRPr="009D7272">
        <w:rPr>
          <w:color w:val="000000"/>
        </w:rPr>
        <w:t>¿</w:t>
      </w:r>
      <w:r w:rsidRPr="009D7272">
        <w:rPr>
          <w:color w:val="000000"/>
          <w:u w:val="single"/>
        </w:rPr>
        <w:t>Cuánto cuesta el rescate financiero de EEUU? La cantidad total casi asciende al PIB del país</w:t>
      </w:r>
      <w:r>
        <w:rPr>
          <w:color w:val="000000"/>
        </w:rPr>
        <w:t xml:space="preserve"> (Bloomberg - </w:t>
      </w:r>
      <w:r w:rsidRPr="009D7272">
        <w:rPr>
          <w:b/>
          <w:color w:val="000000"/>
        </w:rPr>
        <w:t>1/4/2009</w:t>
      </w:r>
      <w:r>
        <w:rPr>
          <w:color w:val="000000"/>
        </w:rPr>
        <w:t>)</w:t>
      </w:r>
    </w:p>
    <w:p w:rsidR="00590339" w:rsidRPr="009832AD" w:rsidRDefault="00590339" w:rsidP="00590339">
      <w:pPr>
        <w:pStyle w:val="NormalWeb"/>
        <w:shd w:val="clear" w:color="auto" w:fill="FFFFFF"/>
        <w:jc w:val="both"/>
        <w:rPr>
          <w:b/>
          <w:color w:val="FF0000"/>
          <w:u w:val="single"/>
        </w:rPr>
      </w:pPr>
      <w:r w:rsidRPr="009D7272">
        <w:rPr>
          <w:color w:val="000000"/>
        </w:rPr>
        <w:t xml:space="preserve">Un alto en el camino para hacer cuentas. Y es que entre tanto plan de estímulo, </w:t>
      </w:r>
      <w:r w:rsidRPr="009832AD">
        <w:rPr>
          <w:b/>
          <w:color w:val="FF0000"/>
          <w:u w:val="single"/>
        </w:rPr>
        <w:t>el dinero empleado en la primera economía del mundo para hacer frente a la crisis parece incalculable para los mortales de a pie, pero no lo es. El Gobierno de EEUU y la Fed han gastado, prestado o garantizado un total de 12,8 billones de dólares, una cantidad que se acerca mucho al Producto Interior Bruto (PIB) del país.</w:t>
      </w:r>
    </w:p>
    <w:p w:rsidR="00590339" w:rsidRDefault="00590339" w:rsidP="00590339">
      <w:pPr>
        <w:pStyle w:val="NormalWeb"/>
        <w:shd w:val="clear" w:color="auto" w:fill="FFFFFF"/>
        <w:jc w:val="both"/>
        <w:rPr>
          <w:b/>
          <w:color w:val="FF0000"/>
          <w:u w:val="single"/>
        </w:rPr>
      </w:pPr>
      <w:r w:rsidRPr="009832AD">
        <w:rPr>
          <w:b/>
          <w:color w:val="FF0000"/>
          <w:u w:val="single"/>
        </w:rPr>
        <w:t>El dinero asciende a 42.105 dólares por cada hombre, mujer y niño en Estados Unidos y 14 veces los 899.800 millones de dólares de efectivo en circulación. En 2008 el PIB del país fue de 14,2 billones de dólares…</w:t>
      </w:r>
    </w:p>
    <w:p w:rsidR="00590339" w:rsidRPr="009D7272" w:rsidRDefault="00590339" w:rsidP="00590339">
      <w:pPr>
        <w:shd w:val="clear" w:color="auto" w:fill="FFFFFF"/>
        <w:spacing w:before="300" w:after="225" w:line="240" w:lineRule="auto"/>
        <w:jc w:val="both"/>
        <w:outlineLvl w:val="1"/>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Detalles de todos los gastos</w:t>
      </w:r>
    </w:p>
    <w:p w:rsidR="00590339" w:rsidRPr="009D7272" w:rsidRDefault="00590339" w:rsidP="00590339">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9D7272">
        <w:rPr>
          <w:rFonts w:ascii="Times New Roman" w:eastAsia="Times New Roman" w:hAnsi="Times New Roman" w:cs="Times New Roman"/>
          <w:color w:val="212529"/>
          <w:spacing w:val="-1"/>
          <w:sz w:val="24"/>
          <w:szCs w:val="24"/>
        </w:rPr>
        <w:t>La siguiente tabla detalla los compromisos hechos por la Fed y el Gobierno con el dinero de los contribuyentes estadounidenses en los últimos 20 meses, según datos recopilados por </w:t>
      </w:r>
      <w:r w:rsidRPr="009D7272">
        <w:rPr>
          <w:rFonts w:ascii="Times New Roman" w:eastAsia="Times New Roman" w:hAnsi="Times New Roman" w:cs="Times New Roman"/>
          <w:i/>
          <w:iCs/>
          <w:color w:val="212529"/>
          <w:spacing w:val="-1"/>
          <w:sz w:val="24"/>
          <w:szCs w:val="24"/>
        </w:rPr>
        <w:t>Bloomberg</w:t>
      </w:r>
      <w:r w:rsidRPr="009D7272">
        <w:rPr>
          <w:rFonts w:ascii="Times New Roman" w:eastAsia="Times New Roman" w:hAnsi="Times New Roman" w:cs="Times New Roman"/>
          <w:color w:val="212529"/>
          <w:spacing w:val="-1"/>
          <w:sz w:val="24"/>
          <w:szCs w:val="24"/>
        </w:rPr>
        <w:t>.</w:t>
      </w:r>
    </w:p>
    <w:tbl>
      <w:tblPr>
        <w:tblW w:w="7425" w:type="dxa"/>
        <w:tblInd w:w="150" w:type="dxa"/>
        <w:shd w:val="clear" w:color="auto" w:fill="FFFFFF"/>
        <w:tblCellMar>
          <w:top w:w="15" w:type="dxa"/>
          <w:left w:w="15" w:type="dxa"/>
          <w:bottom w:w="15" w:type="dxa"/>
          <w:right w:w="15" w:type="dxa"/>
        </w:tblCellMar>
        <w:tblLook w:val="04A0"/>
      </w:tblPr>
      <w:tblGrid>
        <w:gridCol w:w="4809"/>
        <w:gridCol w:w="1130"/>
        <w:gridCol w:w="1486"/>
      </w:tblGrid>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Organismo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Límite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Gasto actual</w:t>
            </w:r>
          </w:p>
        </w:tc>
      </w:tr>
      <w:tr w:rsidR="00590339" w:rsidRPr="009D7272" w:rsidTr="006F3112">
        <w:tc>
          <w:tcPr>
            <w:tcW w:w="0" w:type="auto"/>
            <w:shd w:val="clear" w:color="auto" w:fill="FFFFFF"/>
            <w:vAlign w:val="center"/>
            <w:hideMark/>
          </w:tcPr>
          <w:p w:rsidR="00012764" w:rsidRDefault="00012764" w:rsidP="006F3112">
            <w:pPr>
              <w:spacing w:after="0" w:line="240" w:lineRule="auto"/>
              <w:jc w:val="both"/>
              <w:rPr>
                <w:rFonts w:ascii="Times New Roman" w:eastAsia="Times New Roman" w:hAnsi="Times New Roman" w:cs="Times New Roman"/>
                <w:b/>
                <w:bCs/>
                <w:color w:val="212529"/>
                <w:sz w:val="24"/>
                <w:szCs w:val="24"/>
              </w:rPr>
            </w:pPr>
          </w:p>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Reserva Federal</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Descuento crédito primario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110,74</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61,3</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Crédito secundario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0,19</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Pr>
                <w:rFonts w:ascii="Times New Roman" w:eastAsia="Times New Roman" w:hAnsi="Times New Roman" w:cs="Times New Roman"/>
                <w:color w:val="212529"/>
                <w:sz w:val="24"/>
                <w:szCs w:val="24"/>
              </w:rPr>
              <w:t>“Primary dealer”</w:t>
            </w:r>
            <w:r w:rsidRPr="009D7272">
              <w:rPr>
                <w:rFonts w:ascii="Times New Roman" w:eastAsia="Times New Roman" w:hAnsi="Times New Roman" w:cs="Times New Roman"/>
                <w:color w:val="212529"/>
                <w:sz w:val="24"/>
                <w:szCs w:val="24"/>
              </w:rPr>
              <w:t xml:space="preserve"> y otros</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147</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20,18</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Liquidez ABCP</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152,11</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6,85</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Crédito a AIG</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43,19</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Financiación CP cartera neta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241,31</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(Bear Stearns)</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29,5</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28,82</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 (AIG)</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22,5</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18,54</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III (AIG)</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24,04</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Securities Lending</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88,55</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Auction Facility</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468,59</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Préstamo valores a 1 día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4,41</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lang w:val="en-US"/>
              </w:rPr>
            </w:pPr>
            <w:r w:rsidRPr="009D7272">
              <w:rPr>
                <w:rFonts w:ascii="Times New Roman" w:eastAsia="Times New Roman" w:hAnsi="Times New Roman" w:cs="Times New Roman"/>
                <w:color w:val="212529"/>
                <w:sz w:val="24"/>
                <w:szCs w:val="24"/>
                <w:lang w:val="en-US"/>
              </w:rPr>
              <w:t>Term Asset-Backed Loan Facility</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4,71</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Swaps cambiarios/Otros activos</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606</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377,87</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MMIFF</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540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deuda GSE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50,39</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Instrumentos respaldados hipotecas GSE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236,16</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Porción de Fed rescate Citigroup</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220,4</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87,2</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Compromiso compra bonos Tesoro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7,5</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Reserva Federal</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7765,64</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1678,71</w:t>
            </w:r>
          </w:p>
        </w:tc>
      </w:tr>
      <w:tr w:rsidR="00590339" w:rsidRPr="009D7272" w:rsidTr="006F3112">
        <w:tc>
          <w:tcPr>
            <w:tcW w:w="0" w:type="auto"/>
            <w:shd w:val="clear" w:color="auto" w:fill="FFFFFF"/>
            <w:vAlign w:val="center"/>
            <w:hideMark/>
          </w:tcPr>
          <w:p w:rsidR="00012764" w:rsidRDefault="00012764" w:rsidP="006F3112">
            <w:pPr>
              <w:spacing w:after="0" w:line="240" w:lineRule="auto"/>
              <w:jc w:val="both"/>
              <w:rPr>
                <w:rFonts w:ascii="Times New Roman" w:eastAsia="Times New Roman" w:hAnsi="Times New Roman" w:cs="Times New Roman"/>
                <w:b/>
                <w:bCs/>
                <w:color w:val="212529"/>
                <w:sz w:val="24"/>
                <w:szCs w:val="24"/>
              </w:rPr>
            </w:pPr>
          </w:p>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FDIC</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Inversión Público-Privada*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Garantías liquidez FDIC</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316,5</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126</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Citigroup FDIC</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FDIC</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2038,5</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357,5</w:t>
            </w:r>
          </w:p>
        </w:tc>
      </w:tr>
      <w:tr w:rsidR="00590339" w:rsidRPr="009D7272" w:rsidTr="006F3112">
        <w:tc>
          <w:tcPr>
            <w:tcW w:w="0" w:type="auto"/>
            <w:shd w:val="clear" w:color="auto" w:fill="FFFFFF"/>
            <w:vAlign w:val="center"/>
            <w:hideMark/>
          </w:tcPr>
          <w:p w:rsidR="00012764" w:rsidRDefault="00012764" w:rsidP="006F3112">
            <w:pPr>
              <w:spacing w:after="0" w:line="240" w:lineRule="auto"/>
              <w:jc w:val="both"/>
              <w:rPr>
                <w:rFonts w:ascii="Times New Roman" w:eastAsia="Times New Roman" w:hAnsi="Times New Roman" w:cs="Times New Roman"/>
                <w:b/>
                <w:bCs/>
                <w:color w:val="212529"/>
                <w:sz w:val="24"/>
                <w:szCs w:val="24"/>
              </w:rPr>
            </w:pPr>
          </w:p>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Tesoro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TARP</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599,5</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Exenciones fiscales para bancos</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Paquete de estímulo (Bush)</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Estímulo II (Obama)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Estabilización Tesoro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préstamos para estudiante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Apoyo para Fannie/Freddie</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Línea de crédito FDIC</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del Tesoro</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2694</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1833,5</w:t>
            </w:r>
          </w:p>
        </w:tc>
      </w:tr>
      <w:tr w:rsidR="00590339" w:rsidRPr="009D7272" w:rsidTr="006F3112">
        <w:tc>
          <w:tcPr>
            <w:tcW w:w="0" w:type="auto"/>
            <w:shd w:val="clear" w:color="auto" w:fill="FFFFFF"/>
            <w:vAlign w:val="center"/>
            <w:hideMark/>
          </w:tcPr>
          <w:p w:rsidR="00012764" w:rsidRDefault="00012764" w:rsidP="006F3112">
            <w:pPr>
              <w:spacing w:after="0" w:line="240" w:lineRule="auto"/>
              <w:jc w:val="both"/>
              <w:rPr>
                <w:rFonts w:ascii="Times New Roman" w:eastAsia="Times New Roman" w:hAnsi="Times New Roman" w:cs="Times New Roman"/>
                <w:b/>
                <w:bCs/>
                <w:color w:val="212529"/>
                <w:sz w:val="24"/>
                <w:szCs w:val="24"/>
              </w:rPr>
            </w:pPr>
          </w:p>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Departamento Vivienda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sz w:val="24"/>
                <w:szCs w:val="24"/>
              </w:rPr>
            </w:pP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Hope for Homeowners FHA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590339" w:rsidRPr="009D7272" w:rsidTr="006F3112">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Departamento Vivienda</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590339" w:rsidRPr="009D7272" w:rsidTr="006F3112">
        <w:tc>
          <w:tcPr>
            <w:tcW w:w="0" w:type="auto"/>
            <w:shd w:val="clear" w:color="auto" w:fill="FFFFFF"/>
            <w:vAlign w:val="center"/>
            <w:hideMark/>
          </w:tcPr>
          <w:p w:rsidR="00012764" w:rsidRDefault="00012764" w:rsidP="006F3112">
            <w:pPr>
              <w:spacing w:after="0" w:line="240" w:lineRule="auto"/>
              <w:jc w:val="both"/>
              <w:rPr>
                <w:rFonts w:ascii="Times New Roman" w:eastAsia="Times New Roman" w:hAnsi="Times New Roman" w:cs="Times New Roman"/>
                <w:b/>
                <w:bCs/>
                <w:color w:val="212529"/>
                <w:sz w:val="24"/>
                <w:szCs w:val="24"/>
              </w:rPr>
            </w:pPr>
          </w:p>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TOTAL</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12798,14</w:t>
            </w:r>
          </w:p>
        </w:tc>
        <w:tc>
          <w:tcPr>
            <w:tcW w:w="0" w:type="auto"/>
            <w:shd w:val="clear" w:color="auto" w:fill="FFFFFF"/>
            <w:vAlign w:val="center"/>
            <w:hideMark/>
          </w:tcPr>
          <w:p w:rsidR="00590339" w:rsidRPr="009D7272" w:rsidRDefault="00590339" w:rsidP="006F311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4169,71</w:t>
            </w:r>
          </w:p>
        </w:tc>
      </w:tr>
    </w:tbl>
    <w:p w:rsidR="00590339" w:rsidRDefault="00590339" w:rsidP="00590339">
      <w:pPr>
        <w:shd w:val="clear" w:color="auto" w:fill="FFFFFF"/>
        <w:spacing w:after="270" w:line="240" w:lineRule="auto"/>
        <w:jc w:val="both"/>
        <w:rPr>
          <w:rFonts w:ascii="Times New Roman" w:eastAsia="Times New Roman" w:hAnsi="Times New Roman" w:cs="Times New Roman"/>
          <w:i/>
          <w:iCs/>
          <w:color w:val="212529"/>
          <w:spacing w:val="-1"/>
          <w:sz w:val="24"/>
          <w:szCs w:val="24"/>
        </w:rPr>
      </w:pPr>
    </w:p>
    <w:p w:rsidR="00590339" w:rsidRDefault="00590339" w:rsidP="00590339">
      <w:pPr>
        <w:shd w:val="clear" w:color="auto" w:fill="FFFFFF"/>
        <w:spacing w:after="270" w:line="240" w:lineRule="auto"/>
        <w:jc w:val="both"/>
        <w:rPr>
          <w:rFonts w:ascii="Times New Roman" w:eastAsia="Times New Roman" w:hAnsi="Times New Roman" w:cs="Times New Roman"/>
          <w:i/>
          <w:iCs/>
          <w:color w:val="212529"/>
          <w:spacing w:val="-1"/>
          <w:sz w:val="24"/>
          <w:szCs w:val="24"/>
        </w:rPr>
      </w:pPr>
      <w:r w:rsidRPr="009D7272">
        <w:rPr>
          <w:rFonts w:ascii="Times New Roman" w:eastAsia="Times New Roman" w:hAnsi="Times New Roman" w:cs="Times New Roman"/>
          <w:i/>
          <w:iCs/>
          <w:color w:val="212529"/>
          <w:spacing w:val="-1"/>
          <w:sz w:val="24"/>
          <w:szCs w:val="24"/>
        </w:rPr>
        <w:t>Fuente Bloomberg. Cantidades en miles de millones de dólares. *El compromiso de la FDIC para garantizar los préstamos en el marco de los Legacy Loan Program y Legacy Asset Program incluye una línea de crédito de 500.000 millones de dólares del Tesoro de Estados Unidos.</w:t>
      </w:r>
    </w:p>
    <w:p w:rsidR="00590339" w:rsidRPr="009D7272" w:rsidRDefault="00590339" w:rsidP="00590339">
      <w:pPr>
        <w:shd w:val="clear" w:color="auto" w:fill="FFFFFF"/>
        <w:spacing w:after="270" w:line="240" w:lineRule="auto"/>
        <w:jc w:val="both"/>
        <w:rPr>
          <w:rFonts w:ascii="Times New Roman" w:eastAsia="Times New Roman" w:hAnsi="Times New Roman" w:cs="Times New Roman"/>
          <w:color w:val="212529"/>
          <w:spacing w:val="-1"/>
          <w:sz w:val="24"/>
          <w:szCs w:val="24"/>
        </w:rPr>
      </w:pPr>
      <w:r>
        <w:rPr>
          <w:noProof/>
          <w:lang w:val="en-GB" w:eastAsia="zh-CN"/>
        </w:rPr>
        <w:drawing>
          <wp:inline distT="0" distB="0" distL="0" distR="0">
            <wp:extent cx="5730068" cy="5499847"/>
            <wp:effectExtent l="0" t="0" r="4445" b="5715"/>
            <wp:docPr id="364" name="Imagen 364" descr="1-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aumento-base-monetaria-fed.png"/>
                    <pic:cNvPicPr>
                      <a:picLocks noChangeAspect="1" noChangeArrowheads="1"/>
                    </pic:cNvPicPr>
                  </pic:nvPicPr>
                  <pic:blipFill>
                    <a:blip r:embed="rId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5501231"/>
                    </a:xfrm>
                    <a:prstGeom prst="rect">
                      <a:avLst/>
                    </a:prstGeom>
                    <a:noFill/>
                    <a:ln>
                      <a:noFill/>
                    </a:ln>
                  </pic:spPr>
                </pic:pic>
              </a:graphicData>
            </a:graphic>
          </wp:inline>
        </w:drawing>
      </w:r>
    </w:p>
    <w:p w:rsidR="00590339" w:rsidRPr="00923BA7" w:rsidRDefault="00590339" w:rsidP="00590339">
      <w:pPr>
        <w:pStyle w:val="NormalWeb"/>
        <w:shd w:val="clear" w:color="auto" w:fill="FFFFFF"/>
        <w:jc w:val="both"/>
        <w:rPr>
          <w:color w:val="000000"/>
          <w:lang w:val="en-US"/>
        </w:rPr>
      </w:pPr>
      <w:r w:rsidRPr="00923BA7">
        <w:rPr>
          <w:color w:val="000000"/>
          <w:lang w:val="en-US"/>
        </w:rPr>
        <w:t>M1 consists of (1) currency outside the U.S. Treasury, Federal Reserve Banks, and the vaults of depository institutions; (2) traveler's checks of nonbank issuers; (3) demand deposits at commercial banks (excluding those amounts held by depository institutions, the U.S. government, and foreign banks and official institutions) less cash items in the process of collection and Federal Reserve float; and (4) other checkable deposits (OCDs), consisting of negotiable order of withdrawal (NOW) and automatic transfer service (ATS) accounts at depository institutions, credit union share draft accounts, and demand deposits at thrift institutions. Seasonally adjusted M1 is constructed by summing currency, traveler's checks, demand deposits, and OCDs, each seasonally adjusted separately.</w:t>
      </w:r>
    </w:p>
    <w:p w:rsidR="00590339" w:rsidRDefault="00590339" w:rsidP="00590339">
      <w:pPr>
        <w:pStyle w:val="NormalWeb"/>
        <w:shd w:val="clear" w:color="auto" w:fill="FFFFFF"/>
        <w:jc w:val="both"/>
        <w:rPr>
          <w:color w:val="000000"/>
          <w:lang w:val="en-US"/>
        </w:rPr>
      </w:pPr>
      <w:r w:rsidRPr="00923BA7">
        <w:rPr>
          <w:color w:val="000000"/>
          <w:lang w:val="en-US"/>
        </w:rPr>
        <w:t>M2 consists of M1 plus (1) savings deposits (including money market deposit accounts); (2) small-denomination time deposits (time deposits in amounts of less than $100,000), less individual retirement account (IRA) and Keogh balances at depository institutions; and (3) balances in retail money market mutual funds, less IRA and Keogh balances at money market mutual funds. Seasonally adjusted M2 is constructed by summing savings deposits, small-denomination time deposits, and retail money funds, each seasonally adjusted separately, and adding this result to seasonally adjusted M1.</w:t>
      </w:r>
    </w:p>
    <w:p w:rsidR="00012764" w:rsidRDefault="00012764" w:rsidP="00590339">
      <w:pPr>
        <w:pStyle w:val="NormalWeb"/>
        <w:shd w:val="clear" w:color="auto" w:fill="FFFFFF"/>
        <w:jc w:val="both"/>
        <w:rPr>
          <w:color w:val="000000"/>
          <w:lang w:val="en-US"/>
        </w:rPr>
      </w:pPr>
    </w:p>
    <w:p w:rsidR="00590339" w:rsidRDefault="00590339" w:rsidP="00590339">
      <w:pPr>
        <w:pStyle w:val="NormalWeb"/>
        <w:shd w:val="clear" w:color="auto" w:fill="FFFFFF"/>
        <w:jc w:val="both"/>
        <w:rPr>
          <w:color w:val="000000"/>
          <w:lang w:val="en-US"/>
        </w:rPr>
      </w:pPr>
      <w:r>
        <w:rPr>
          <w:noProof/>
          <w:lang w:val="en-GB" w:eastAsia="zh-CN"/>
        </w:rPr>
        <w:drawing>
          <wp:inline distT="0" distB="0" distL="0" distR="0">
            <wp:extent cx="3473450" cy="4108450"/>
            <wp:effectExtent l="0" t="0" r="0" b="6350"/>
            <wp:docPr id="365" name="Imagen 365" descr="2-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aumento-base-monetaria-fed.png"/>
                    <pic:cNvPicPr>
                      <a:picLocks noChangeAspect="1" noChangeArrowheads="1"/>
                    </pic:cNvPicPr>
                  </pic:nvPicPr>
                  <pic:blipFill>
                    <a:blip r:embed="rId3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7924" cy="4113742"/>
                    </a:xfrm>
                    <a:prstGeom prst="rect">
                      <a:avLst/>
                    </a:prstGeom>
                    <a:noFill/>
                    <a:ln>
                      <a:noFill/>
                    </a:ln>
                  </pic:spPr>
                </pic:pic>
              </a:graphicData>
            </a:graphic>
          </wp:inline>
        </w:drawing>
      </w:r>
    </w:p>
    <w:p w:rsidR="00590339" w:rsidRDefault="00590339" w:rsidP="00422AAF">
      <w:pPr>
        <w:spacing w:line="240" w:lineRule="auto"/>
        <w:jc w:val="both"/>
        <w:rPr>
          <w:rFonts w:ascii="Times New Roman" w:hAnsi="Times New Roman" w:cs="Times New Roman"/>
          <w:b/>
          <w:sz w:val="24"/>
          <w:szCs w:val="24"/>
        </w:rPr>
      </w:pPr>
    </w:p>
    <w:p w:rsidR="00590339" w:rsidRDefault="00590339" w:rsidP="00422AAF">
      <w:pPr>
        <w:spacing w:line="240" w:lineRule="auto"/>
        <w:jc w:val="both"/>
        <w:rPr>
          <w:rFonts w:ascii="Times New Roman" w:hAnsi="Times New Roman" w:cs="Times New Roman"/>
          <w:b/>
          <w:sz w:val="24"/>
          <w:szCs w:val="24"/>
        </w:rPr>
      </w:pPr>
    </w:p>
    <w:p w:rsidR="00590339" w:rsidRDefault="00590339" w:rsidP="00422AAF">
      <w:pPr>
        <w:spacing w:line="240" w:lineRule="auto"/>
        <w:jc w:val="both"/>
        <w:rPr>
          <w:rFonts w:ascii="Times New Roman" w:hAnsi="Times New Roman" w:cs="Times New Roman"/>
          <w:b/>
          <w:sz w:val="24"/>
          <w:szCs w:val="24"/>
        </w:rPr>
      </w:pPr>
    </w:p>
    <w:p w:rsidR="006E5D75" w:rsidRPr="00FE130B" w:rsidRDefault="006E5D75" w:rsidP="006E5D75">
      <w:pPr>
        <w:pStyle w:val="NormalWeb"/>
        <w:shd w:val="clear" w:color="auto" w:fill="FFFFFF"/>
        <w:jc w:val="both"/>
        <w:rPr>
          <w:b/>
        </w:rPr>
      </w:pPr>
      <w:r w:rsidRPr="00FE130B">
        <w:rPr>
          <w:rFonts w:eastAsiaTheme="minorHAnsi"/>
          <w:lang w:eastAsia="en-US"/>
        </w:rPr>
        <w:t xml:space="preserve">- </w:t>
      </w:r>
      <w:r w:rsidRPr="00FE130B">
        <w:rPr>
          <w:b/>
        </w:rPr>
        <w:t>Heli</w:t>
      </w:r>
      <w:r w:rsidR="00C86EE5">
        <w:rPr>
          <w:b/>
        </w:rPr>
        <w:t>copter Money (rescate de la economía</w:t>
      </w:r>
      <w:r w:rsidRPr="00FE130B">
        <w:rPr>
          <w:b/>
        </w:rPr>
        <w:t xml:space="preserve"> - monetización de la deuda)</w:t>
      </w:r>
    </w:p>
    <w:p w:rsidR="006E5D75" w:rsidRPr="00923BA7" w:rsidRDefault="006E5D75" w:rsidP="006E5D75">
      <w:pPr>
        <w:pStyle w:val="NormalWeb"/>
        <w:shd w:val="clear" w:color="auto" w:fill="FFFFFF"/>
        <w:jc w:val="both"/>
        <w:rPr>
          <w:color w:val="000000"/>
          <w:lang w:val="en-US"/>
        </w:rPr>
      </w:pPr>
      <w:r>
        <w:rPr>
          <w:noProof/>
          <w:lang w:val="en-GB" w:eastAsia="zh-CN"/>
        </w:rPr>
        <w:drawing>
          <wp:inline distT="0" distB="0" distL="0" distR="0">
            <wp:extent cx="5634318" cy="3341594"/>
            <wp:effectExtent l="0" t="0" r="5080" b="0"/>
            <wp:docPr id="50" name="Imagen 50" descr="Ver imagen en 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er imagen en Twitter"/>
                    <pic:cNvPicPr>
                      <a:picLocks noChangeAspect="1" noChangeArrowheads="1"/>
                    </pic:cNvPicPr>
                  </pic:nvPicPr>
                  <pic:blipFill>
                    <a:blip r:embed="rId3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2514" cy="3340524"/>
                    </a:xfrm>
                    <a:prstGeom prst="rect">
                      <a:avLst/>
                    </a:prstGeom>
                    <a:noFill/>
                    <a:ln>
                      <a:noFill/>
                    </a:ln>
                  </pic:spPr>
                </pic:pic>
              </a:graphicData>
            </a:graphic>
          </wp:inline>
        </w:drawing>
      </w:r>
    </w:p>
    <w:p w:rsidR="006E5D75" w:rsidRDefault="006E5D75" w:rsidP="006E5D75">
      <w:pPr>
        <w:pStyle w:val="NormalWeb"/>
        <w:shd w:val="clear" w:color="auto" w:fill="FFFFFF"/>
        <w:jc w:val="both"/>
        <w:rPr>
          <w:b/>
          <w:color w:val="FF0000"/>
        </w:rPr>
      </w:pPr>
      <w:r w:rsidRPr="00FA170A">
        <w:rPr>
          <w:b/>
          <w:noProof/>
          <w:color w:val="FF0000"/>
          <w:lang w:val="en-GB" w:eastAsia="zh-CN"/>
        </w:rPr>
        <w:drawing>
          <wp:inline distT="0" distB="0" distL="0" distR="0">
            <wp:extent cx="5706687" cy="4659406"/>
            <wp:effectExtent l="0" t="0" r="8890" b="825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06272" cy="4659067"/>
                    </a:xfrm>
                    <a:prstGeom prst="rect">
                      <a:avLst/>
                    </a:prstGeom>
                  </pic:spPr>
                </pic:pic>
              </a:graphicData>
            </a:graphic>
          </wp:inline>
        </w:drawing>
      </w:r>
    </w:p>
    <w:p w:rsidR="006E5D75" w:rsidRDefault="006E5D75" w:rsidP="006E5D75">
      <w:pPr>
        <w:pStyle w:val="NormalWeb"/>
        <w:shd w:val="clear" w:color="auto" w:fill="FFFFFF"/>
        <w:jc w:val="both"/>
        <w:rPr>
          <w:b/>
          <w:color w:val="FF0000"/>
        </w:rPr>
      </w:pPr>
      <w:r w:rsidRPr="00FA170A">
        <w:rPr>
          <w:b/>
          <w:noProof/>
          <w:color w:val="FF0000"/>
          <w:lang w:val="en-GB" w:eastAsia="zh-CN"/>
        </w:rPr>
        <w:drawing>
          <wp:inline distT="0" distB="0" distL="0" distR="0">
            <wp:extent cx="5580528" cy="2198594"/>
            <wp:effectExtent l="0" t="0" r="127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582429" cy="2199343"/>
                    </a:xfrm>
                    <a:prstGeom prst="rect">
                      <a:avLst/>
                    </a:prstGeom>
                  </pic:spPr>
                </pic:pic>
              </a:graphicData>
            </a:graphic>
          </wp:inline>
        </w:drawing>
      </w:r>
    </w:p>
    <w:p w:rsidR="006E5D75" w:rsidRDefault="006E5D75" w:rsidP="006E5D75">
      <w:pPr>
        <w:pStyle w:val="NormalWeb"/>
        <w:shd w:val="clear" w:color="auto" w:fill="FFFFFF"/>
        <w:jc w:val="both"/>
        <w:rPr>
          <w:b/>
          <w:color w:val="FF0000"/>
        </w:rPr>
      </w:pPr>
      <w:r w:rsidRPr="00FA170A">
        <w:rPr>
          <w:b/>
          <w:noProof/>
          <w:color w:val="FF0000"/>
          <w:lang w:val="en-GB" w:eastAsia="zh-CN"/>
        </w:rPr>
        <w:drawing>
          <wp:inline distT="0" distB="0" distL="0" distR="0">
            <wp:extent cx="5540185" cy="2212041"/>
            <wp:effectExtent l="0" t="0" r="381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534798" cy="2209890"/>
                    </a:xfrm>
                    <a:prstGeom prst="rect">
                      <a:avLst/>
                    </a:prstGeom>
                  </pic:spPr>
                </pic:pic>
              </a:graphicData>
            </a:graphic>
          </wp:inline>
        </w:drawing>
      </w:r>
    </w:p>
    <w:p w:rsidR="006E5D75" w:rsidRPr="00897B8A" w:rsidRDefault="006E5D75" w:rsidP="006E5D75">
      <w:pPr>
        <w:pStyle w:val="NormalWeb"/>
        <w:shd w:val="clear" w:color="auto" w:fill="FFFFFF"/>
        <w:jc w:val="both"/>
        <w:rPr>
          <w:b/>
        </w:rPr>
      </w:pPr>
      <w:r w:rsidRPr="00897B8A">
        <w:rPr>
          <w:b/>
        </w:rPr>
        <w:t>La danza de los billones</w:t>
      </w:r>
    </w:p>
    <w:p w:rsidR="006E5D75" w:rsidRDefault="006E5D75" w:rsidP="006E5D75">
      <w:pPr>
        <w:pStyle w:val="NormalWeb"/>
        <w:shd w:val="clear" w:color="auto" w:fill="FFFFFF"/>
        <w:jc w:val="both"/>
      </w:pPr>
      <w:r>
        <w:t>La Reserva Federal (Fed) introdujo inicialmente varios programas destinados a aumentar la liquidez (como la Term Auction Facility) y a finales de 2008 la institución tenía en balance un montante de aproximadamente 194.000 millones de dólares en préstamos.</w:t>
      </w:r>
    </w:p>
    <w:p w:rsidR="006E5D75" w:rsidRDefault="006E5D75" w:rsidP="006E5D75">
      <w:pPr>
        <w:pStyle w:val="NormalWeb"/>
        <w:shd w:val="clear" w:color="auto" w:fill="FFFFFF"/>
        <w:jc w:val="both"/>
      </w:pPr>
      <w:r>
        <w:t xml:space="preserve">Posteriormente, además de acordar el establecimiento de líneas swaps en dólares con otros bancos centrales, emprendió tres programas de expansión cuantitativa (QE), anunciados en diciembre de 2008, junio de 2010 y septiembre de 2012, además de una medida que ampliaba el plazo medio de los títulos mantenidos en cartera (Maturity Expansion Programme). En mayo de 2013, anunció que podría dejar de expandir su balance en el futuro (Taper Tantrum). </w:t>
      </w:r>
    </w:p>
    <w:p w:rsidR="006E5D75" w:rsidRDefault="006E5D75" w:rsidP="006E5D75">
      <w:pPr>
        <w:pStyle w:val="NormalWeb"/>
        <w:shd w:val="clear" w:color="auto" w:fill="FFFFFF"/>
        <w:jc w:val="both"/>
      </w:pPr>
      <w:r>
        <w:t>La decisión fue finalmente tomada en diciembre de ese mismo año, y a partir de entonces se produjo una reducción paulatina del ritmo de compras (tapering) que concluyó en octubre de 2014. A finales de este año la Fed mantendría 1,7 billones de dólares en MBS y una cifra similar en títulos del Tesoro. Ya en diciembre de 2015 se produjo la primera subida en una década del objetivo del índice de fondos federales en un cuarto de punto.</w:t>
      </w:r>
    </w:p>
    <w:p w:rsidR="006E5D75" w:rsidRDefault="006E5D75" w:rsidP="006E5D75">
      <w:pPr>
        <w:pStyle w:val="NormalWeb"/>
        <w:shd w:val="clear" w:color="auto" w:fill="FFFFFF"/>
        <w:jc w:val="both"/>
      </w:pPr>
      <w:r>
        <w:t>El Banco Central Europeo (ECB) comenzó aumentando el volumen de las operaciones de financiación a más largo plazo (LTRO) frente a las operaciones principales de financiación (MRO). El ratio del volumen de las LTRO respecto a las MRO se situó en torno al 50% en los primeros meses de 2007 pero tras la perturbación de agosto de ese año llegó a superar el 170%.</w:t>
      </w:r>
    </w:p>
    <w:p w:rsidR="006E5D75" w:rsidRPr="00C85028" w:rsidRDefault="006E5D75" w:rsidP="006E5D75">
      <w:pPr>
        <w:pStyle w:val="NormalWeb"/>
        <w:shd w:val="clear" w:color="auto" w:fill="FFFFFF"/>
        <w:jc w:val="both"/>
      </w:pPr>
      <w:r>
        <w:t xml:space="preserve">Tras la quiebra de Lehman Brothers, el ECB modificó su procedimiento de subasta a tipo variable por subastas a tipo fijo y adjudicación plena (Fixed Rate/Full-Allotment), amplió el rango de colateral aceptado en sus operaciones de financiación y también el volumen y el plazo de vencimiento de las LTRO de modo sucesivo hasta alcanzar los 3 años. El total de LTRO pendiente de pago llegó a superar el 1,1 billón de euros en 2012 después de que se hubieran realizado las dos subastas con vencimiento a tres años, y su volumen fue declinando desde entonces, acelerándose el declive en 2013. Además, emprendió sucesivos programas de compras -de relativa baja cuantía- destinados a garantizar liquidez en ciertos mercados </w:t>
      </w:r>
      <w:r w:rsidRPr="00C85028">
        <w:t>(Covered Bond Purchase Programme, Securities Market Programme).</w:t>
      </w:r>
    </w:p>
    <w:p w:rsidR="006E5D75" w:rsidRDefault="006E5D75" w:rsidP="006E5D75">
      <w:pPr>
        <w:pStyle w:val="NormalWeb"/>
        <w:shd w:val="clear" w:color="auto" w:fill="FFFFFF"/>
        <w:jc w:val="both"/>
      </w:pPr>
      <w:r>
        <w:t>Ante la persistencia de la crisis de deuda soberana, el ECB anunció una medida, la Outright Monetary Transactions, para adquirir deuda de modo ilimitado de aquellos países que, además de otras condiciones, estuviesen recibiendo apoyo financiero a través del Mecanismo de Estabilidad Europeo. La compra selectiva de deuda no requirió ser aplicada para terminar con la crisis de deuda soberana. También instauró nuevas subastas a largo plazo condicionadas a la concesión de crédito (TLTRO). Recientemente, ha sido el último gran banco central que ha emprendido un cuantioso programa de compras que incluye activos garantizados, deuda pública, bonos garantizados y deuda de empresas -Expanded Purchase Programme- que dejaría de aplicarse en marzo de 2017 y reducido el tipo de interés de la facilidad de depósito por debajo del 0%.</w:t>
      </w:r>
    </w:p>
    <w:p w:rsidR="006E5D75" w:rsidRDefault="006E5D75" w:rsidP="006E5D75">
      <w:pPr>
        <w:pStyle w:val="NormalWeb"/>
        <w:shd w:val="clear" w:color="auto" w:fill="FFFFFF"/>
        <w:jc w:val="both"/>
      </w:pPr>
      <w:r>
        <w:t>El Banco de Inglaterra también instauró programas de liquidez como el Special Liquidity Scheme, pero fueron de escasa importancia en relación a los aplicados por la Fed y el ECB. Su principal programa fue el Asset Purchase Funding Facility (APFF) con el que adquirió un total de 375 mil millones de libras en títulos de deuda pública. En los últimos tiempos, debido al Brexit, ha reducido su tipo de interés de referencia en 25 puntos básicos y anunciado su intención de expandir su balance en 170 mil millones de libras más instaurando un nuevo programa de inyección de liquidez para el sector bancario y adquiriendo deuda pública y corporativa.</w:t>
      </w:r>
    </w:p>
    <w:p w:rsidR="006E5D75" w:rsidRDefault="006E5D75" w:rsidP="006E5D75">
      <w:pPr>
        <w:pStyle w:val="NormalWeb"/>
        <w:shd w:val="clear" w:color="auto" w:fill="FFFFFF"/>
        <w:jc w:val="both"/>
      </w:pPr>
      <w:r>
        <w:t>Por último, el Banco de Japón, al comenzar la crisis, aún estaba tratando de hacer frente al largo período de estancamiento económico que se inició con el estallido de su burbuja inmobiliaria a principios de los años 90. A finales de 2008, introdujo programas de suministro de liquidez (Special Funds Supplying Operations) y en octubre de 2010 instauró un programa de compra de activos, el Asset Purchase Program (APP). En marzo de 2013, el montante total de las operaciones llevadas a través del APP superaba los 720 mil millones de yenes. Tras el nombramiento de Kuroda como Gobernador del banco central y de la llegada a la presidencia del país nipón de Shinzo Abe se introdujeron importantes cambios en los instrumentos y operativas de la política monetaria como parte de una nueva política económica que ha sido denominada Abenomics. Esta nueva política económica ha supuesto el establecimiento de un objetivo explícito de inflación del 2%. Además, se ha pasado de instrumentar la política monetaria a través del tipo de interés a corto plazo a hacerlo a través de la base monetaria, que se iría incrementando de acuerdo a objetivos marcados previamente (Quantitative and qualitative easing). Entre las medidas más recientes podemos aludir a que, como también han decidido otros bancos centrales, viene aplicando un tipo de interés negativo por el exceso de reservas bancarias que mantengan los bancos desde enero de 2016.</w:t>
      </w:r>
    </w:p>
    <w:p w:rsidR="006E5D75" w:rsidRDefault="006E5D75" w:rsidP="006E5D75">
      <w:pPr>
        <w:pStyle w:val="NormalWeb"/>
        <w:shd w:val="clear" w:color="auto" w:fill="FFFFFF"/>
        <w:jc w:val="both"/>
      </w:pPr>
      <w:r>
        <w:t>En resumen, podemos concluir que han existido dos grupos de medidas desde que se iniciara la crisis que se han aplicado por los bancos centrales principales, si bien las mismas no han coincidido temporalmente en su aplicación en las zonas monetarias fundamentales:</w:t>
      </w:r>
    </w:p>
    <w:p w:rsidR="006E5D75" w:rsidRDefault="006E5D75" w:rsidP="006E5D75">
      <w:pPr>
        <w:pStyle w:val="NormalWeb"/>
        <w:numPr>
          <w:ilvl w:val="0"/>
          <w:numId w:val="12"/>
        </w:numPr>
        <w:shd w:val="clear" w:color="auto" w:fill="FFFFFF"/>
        <w:jc w:val="both"/>
      </w:pPr>
      <w:r>
        <w:t>Políticas de liquidez. Han tenido como objetivo garantizar la supervivencia de las entidades financieras, especialmente durante el inicio de la crisis.</w:t>
      </w:r>
    </w:p>
    <w:p w:rsidR="006E5D75" w:rsidRDefault="006E5D75" w:rsidP="006E5D75">
      <w:pPr>
        <w:pStyle w:val="NormalWeb"/>
        <w:numPr>
          <w:ilvl w:val="0"/>
          <w:numId w:val="12"/>
        </w:numPr>
        <w:shd w:val="clear" w:color="auto" w:fill="FFFFFF"/>
        <w:jc w:val="both"/>
      </w:pPr>
      <w:r>
        <w:t>Políticas monetarias activas. Los bancos centrales han asumido la función de contribuir a la recuperación económica ante el incumplimiento de las previsiones de autoajuste de la teoría de los mercados eficientes. (…) los tipos de interés nominales de los bancos centrales se aproximaron al 0%. La reducción de los tipos de interés a corto plazo buscaba afectar a los tipos de interés a largo plazo y a su vez, al coste del capital de la inversión…</w:t>
      </w:r>
    </w:p>
    <w:p w:rsidR="006E5D75" w:rsidRDefault="006E5D75" w:rsidP="006E5D75">
      <w:pPr>
        <w:pStyle w:val="NormalWeb"/>
        <w:shd w:val="clear" w:color="auto" w:fill="FFFFFF"/>
        <w:jc w:val="both"/>
      </w:pPr>
      <w:r>
        <w:t xml:space="preserve">Fuente: La política monetaria durante la “Gran Recesión” (Fructuoso Borrallo Egea - Tesis Doctoral 2016 - Universidad de Sevilla - </w:t>
      </w:r>
      <w:r w:rsidRPr="008B0EFC">
        <w:rPr>
          <w:b/>
        </w:rPr>
        <w:t>Septiembre 2016</w:t>
      </w:r>
      <w:r>
        <w:t>)</w:t>
      </w:r>
    </w:p>
    <w:p w:rsidR="006E5D75" w:rsidRPr="00897B8A" w:rsidRDefault="006E5D75" w:rsidP="006E5D75">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Los socios de la Unión Europea han alcanzado este lunes un principio de acuerdo con el que echar a rodar los 200.000 millones de euros del Banco Europeo de Inversiones (BEI), una de las tres patas</w:t>
      </w:r>
      <w:r>
        <w:rPr>
          <w:rFonts w:ascii="Times New Roman" w:hAnsi="Times New Roman" w:cs="Times New Roman"/>
          <w:sz w:val="24"/>
          <w:szCs w:val="24"/>
          <w:shd w:val="clear" w:color="auto" w:fill="FFFFFF"/>
        </w:rPr>
        <w:t xml:space="preserve"> de</w:t>
      </w:r>
      <w:r w:rsidRPr="00897B8A">
        <w:rPr>
          <w:rFonts w:ascii="Times New Roman" w:hAnsi="Times New Roman" w:cs="Times New Roman"/>
          <w:sz w:val="24"/>
          <w:szCs w:val="24"/>
          <w:shd w:val="clear" w:color="auto" w:fill="FFFFFF"/>
        </w:rPr>
        <w:t xml:space="preserve"> la triple red de seguridad acordada por los 27, que moviliza en total unos 540.000 millones de euros. A los 200.000 millones del BEI se le unen otros 240.000 millones del MEDE (el fondo de rescate europeo) y otros 100.000 millones de SURE, el mecanismo para costear los ERTE y herramientas similares en Europa. Respecto al BEI, la semana pasada los socios no consiguieron ponerse de acuerdo, ya que querían asegurarse de que el grueso de estos 200.000 millones va a parar a pequeñas y medianas empresas.</w:t>
      </w:r>
    </w:p>
    <w:p w:rsidR="006E5D75" w:rsidRPr="00897B8A" w:rsidRDefault="006E5D75" w:rsidP="006E5D75">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 xml:space="preserve">Con este movimiento, los mecanismos de la triple red de seguridad para estados, empresas y trabajadores acordada por la Unión Europea ya han sido validados. El MEDE, por ejemplo, dará préstamos equivalentes al 2% del PIB de cada país que pida la ayuda. La condicionalidad de este préstamo será muy favorable (0,115%), con un margen de hasta 10 años. Su uso, además, no estará vinculado a reformas ni a la vigilancia de una Troika. Por su parte, SURE, que también ha sido validado, está a la espera de ponerse a funcionar una vez tenga los avales de los países miembros. Los tres socios que más dinero pidan no podrán acumular, en conjunto, más de 60.000 millones de los 100.000 millones. </w:t>
      </w:r>
    </w:p>
    <w:p w:rsidR="006E5D75" w:rsidRDefault="006E5D75" w:rsidP="006E5D75">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Esta semana, por su parte, la Comisión Europea deberá presentar su borrador para el presupuesto europeo con vistas al Marco Financiero Plurianual 2021-2027, donde se espera que se incluya el fondo de recuperación a largo plazo previsto por la Unión Europea. Se prevé una movilización sin precedentes que podría rondar los 2 billones de euros, si bien faltan por concretarse las cifras finales y las partidas que en ella se incluyen, así como la articulación de las aportaciones de los socios, la forma en la que se devuelve el dinero y si finalmente se emite deuda conjunta a través de la Comisión.</w:t>
      </w:r>
      <w:r>
        <w:rPr>
          <w:rFonts w:ascii="Times New Roman" w:hAnsi="Times New Roman" w:cs="Times New Roman"/>
          <w:sz w:val="24"/>
          <w:szCs w:val="24"/>
          <w:shd w:val="clear" w:color="auto" w:fill="FFFFFF"/>
        </w:rPr>
        <w:t xml:space="preserve"> (Cinco Días - </w:t>
      </w:r>
      <w:r w:rsidRPr="00897B8A">
        <w:rPr>
          <w:rFonts w:ascii="Times New Roman" w:hAnsi="Times New Roman" w:cs="Times New Roman"/>
          <w:b/>
          <w:sz w:val="24"/>
          <w:szCs w:val="24"/>
          <w:shd w:val="clear" w:color="auto" w:fill="FFFFFF"/>
        </w:rPr>
        <w:t>25/5/20</w:t>
      </w:r>
      <w:r>
        <w:rPr>
          <w:rFonts w:ascii="Times New Roman" w:hAnsi="Times New Roman" w:cs="Times New Roman"/>
          <w:sz w:val="24"/>
          <w:szCs w:val="24"/>
          <w:shd w:val="clear" w:color="auto" w:fill="FFFFFF"/>
        </w:rPr>
        <w:t>)</w:t>
      </w:r>
    </w:p>
    <w:p w:rsidR="006E5D75" w:rsidRDefault="006E5D75" w:rsidP="006E5D75">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La estrategia propuesta por el órgano que preside Ursula von der Leyen se ancla en el presupuesto comunitario para el marco 2021-2027. Los marcos plurianuales, de siete años de duración debido a lo costoso de las negociaciones y a que no es factible pelear uno nuevo cada menos tiempo, conforman el presupuesto de la UE para cada periodo. En esta ocasión estaría dotado con 1,1 billones de euros. Con el respaldo de este presupuesto, la Comisión emitiría deuda en los mercados para financiar un Fondo de Recuperación por valor de 750.000 millones: en total se habla de 1,85 billones de euros, con los que también deben financiarse las partidas de la Política Agraria Común (PAC), la cohesión o la seguridad. Con diferentes multiplicadores y el resto de ayudas, no obstante, la Comisión confía en movilizar hasta 3,1 billones.</w:t>
      </w:r>
      <w:r>
        <w:rPr>
          <w:rFonts w:ascii="Times New Roman" w:hAnsi="Times New Roman" w:cs="Times New Roman"/>
          <w:sz w:val="24"/>
          <w:szCs w:val="24"/>
          <w:shd w:val="clear" w:color="auto" w:fill="FFFFFF"/>
        </w:rPr>
        <w:t xml:space="preserve"> (Cinco Días - </w:t>
      </w:r>
      <w:r w:rsidRPr="00897B8A">
        <w:rPr>
          <w:rFonts w:ascii="Times New Roman" w:hAnsi="Times New Roman" w:cs="Times New Roman"/>
          <w:b/>
          <w:sz w:val="24"/>
          <w:szCs w:val="24"/>
          <w:shd w:val="clear" w:color="auto" w:fill="FFFFFF"/>
        </w:rPr>
        <w:t>19/6/20</w:t>
      </w:r>
      <w:r>
        <w:rPr>
          <w:rFonts w:ascii="Times New Roman" w:hAnsi="Times New Roman" w:cs="Times New Roman"/>
          <w:sz w:val="24"/>
          <w:szCs w:val="24"/>
          <w:shd w:val="clear" w:color="auto" w:fill="FFFFFF"/>
        </w:rPr>
        <w:t>)</w:t>
      </w:r>
    </w:p>
    <w:p w:rsidR="00492EEF" w:rsidRDefault="00492EEF" w:rsidP="00492EEF">
      <w:pPr>
        <w:spacing w:line="240" w:lineRule="auto"/>
        <w:jc w:val="both"/>
        <w:rPr>
          <w:rFonts w:ascii="Times New Roman" w:hAnsi="Times New Roman" w:cs="Times New Roman"/>
          <w:b/>
          <w:sz w:val="24"/>
          <w:szCs w:val="24"/>
        </w:rPr>
      </w:pPr>
    </w:p>
    <w:p w:rsidR="00492EEF" w:rsidRDefault="00492EEF" w:rsidP="00492EEF">
      <w:pPr>
        <w:spacing w:line="240" w:lineRule="auto"/>
        <w:jc w:val="both"/>
        <w:rPr>
          <w:rFonts w:ascii="Times New Roman" w:hAnsi="Times New Roman" w:cs="Times New Roman"/>
          <w:b/>
          <w:sz w:val="24"/>
          <w:szCs w:val="24"/>
        </w:rPr>
      </w:pPr>
      <w:r>
        <w:rPr>
          <w:rFonts w:ascii="Times New Roman" w:hAnsi="Times New Roman" w:cs="Times New Roman"/>
          <w:b/>
          <w:sz w:val="24"/>
          <w:szCs w:val="24"/>
        </w:rPr>
        <w:t>Últimas noticias: “Suma y sigue”… u</w:t>
      </w:r>
      <w:r w:rsidRPr="00CB3933">
        <w:rPr>
          <w:rFonts w:ascii="Times New Roman" w:hAnsi="Times New Roman" w:cs="Times New Roman"/>
          <w:b/>
          <w:sz w:val="24"/>
          <w:szCs w:val="24"/>
        </w:rPr>
        <w:t>n breve rastreo por la “maldita” hemeroteca</w:t>
      </w:r>
    </w:p>
    <w:p w:rsidR="00492EEF" w:rsidRPr="00492EEF" w:rsidRDefault="00492EEF" w:rsidP="00492EEF">
      <w:pPr>
        <w:spacing w:line="240" w:lineRule="auto"/>
        <w:jc w:val="both"/>
        <w:rPr>
          <w:rFonts w:ascii="Times New Roman" w:hAnsi="Times New Roman" w:cs="Times New Roman"/>
          <w:sz w:val="24"/>
          <w:szCs w:val="24"/>
        </w:rPr>
      </w:pPr>
      <w:r w:rsidRPr="00492EEF">
        <w:rPr>
          <w:rFonts w:ascii="Times New Roman" w:hAnsi="Times New Roman" w:cs="Times New Roman"/>
          <w:sz w:val="24"/>
          <w:szCs w:val="24"/>
        </w:rPr>
        <w:t xml:space="preserve">- </w:t>
      </w:r>
      <w:r w:rsidRPr="00492EEF">
        <w:rPr>
          <w:rFonts w:ascii="Times New Roman" w:hAnsi="Times New Roman" w:cs="Times New Roman"/>
          <w:sz w:val="24"/>
          <w:szCs w:val="24"/>
          <w:u w:val="single"/>
        </w:rPr>
        <w:t>El BCE, la Fed y el Banco de Japón elevan su balance en cuatro billones en tres meses</w:t>
      </w:r>
      <w:r w:rsidRPr="00492EEF">
        <w:rPr>
          <w:rFonts w:ascii="Times New Roman" w:hAnsi="Times New Roman" w:cs="Times New Roman"/>
          <w:sz w:val="24"/>
          <w:szCs w:val="24"/>
        </w:rPr>
        <w:t xml:space="preserve"> (Cinco Días - </w:t>
      </w:r>
      <w:r w:rsidRPr="00492EEF">
        <w:rPr>
          <w:rFonts w:ascii="Times New Roman" w:hAnsi="Times New Roman" w:cs="Times New Roman"/>
          <w:b/>
          <w:sz w:val="24"/>
          <w:szCs w:val="24"/>
        </w:rPr>
        <w:t>2/7/20</w:t>
      </w:r>
      <w:r w:rsidRPr="00492EEF">
        <w:rPr>
          <w:rFonts w:ascii="Times New Roman" w:hAnsi="Times New Roman" w:cs="Times New Roman"/>
          <w:sz w:val="24"/>
          <w:szCs w:val="24"/>
        </w:rPr>
        <w:t>)</w:t>
      </w:r>
    </w:p>
    <w:p w:rsidR="00492EEF" w:rsidRPr="00492EEF" w:rsidRDefault="00492EEF" w:rsidP="00492EEF">
      <w:pPr>
        <w:spacing w:line="240" w:lineRule="auto"/>
        <w:jc w:val="both"/>
        <w:rPr>
          <w:rFonts w:ascii="Times New Roman" w:hAnsi="Times New Roman" w:cs="Times New Roman"/>
          <w:sz w:val="24"/>
          <w:szCs w:val="24"/>
        </w:rPr>
      </w:pPr>
      <w:r w:rsidRPr="00492EEF">
        <w:rPr>
          <w:rFonts w:ascii="Times New Roman" w:hAnsi="Times New Roman" w:cs="Times New Roman"/>
          <w:sz w:val="24"/>
          <w:szCs w:val="24"/>
        </w:rPr>
        <w:t>Despliegan una batería de medidas para hacer frente a la pandemia</w:t>
      </w:r>
    </w:p>
    <w:p w:rsidR="00492EEF" w:rsidRPr="00492EEF" w:rsidRDefault="00492EEF" w:rsidP="00492EEF">
      <w:pPr>
        <w:spacing w:line="240" w:lineRule="auto"/>
        <w:jc w:val="both"/>
        <w:rPr>
          <w:rFonts w:ascii="Times New Roman" w:hAnsi="Times New Roman" w:cs="Times New Roman"/>
          <w:sz w:val="24"/>
          <w:szCs w:val="24"/>
        </w:rPr>
      </w:pPr>
      <w:r w:rsidRPr="00492EEF">
        <w:rPr>
          <w:rFonts w:ascii="Times New Roman" w:hAnsi="Times New Roman" w:cs="Times New Roman"/>
          <w:noProof/>
          <w:sz w:val="24"/>
          <w:szCs w:val="24"/>
          <w:lang w:val="en-GB" w:eastAsia="zh-CN"/>
        </w:rPr>
        <w:drawing>
          <wp:inline distT="0" distB="0" distL="0" distR="0">
            <wp:extent cx="5731510" cy="3084098"/>
            <wp:effectExtent l="0" t="0" r="2540" b="2540"/>
            <wp:docPr id="484" name="Imagen 484"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la Fed y el Banco de Japón elevan su balance en cuatro billones en tres meses"/>
                    <pic:cNvPicPr>
                      <a:picLocks noChangeAspect="1" noChangeArrowheads="1"/>
                    </pic:cNvPicPr>
                  </pic:nvPicPr>
                  <pic:blipFill>
                    <a:blip r:embed="rId3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84098"/>
                    </a:xfrm>
                    <a:prstGeom prst="rect">
                      <a:avLst/>
                    </a:prstGeom>
                    <a:noFill/>
                    <a:ln>
                      <a:noFill/>
                    </a:ln>
                  </pic:spPr>
                </pic:pic>
              </a:graphicData>
            </a:graphic>
          </wp:inline>
        </w:drawing>
      </w:r>
    </w:p>
    <w:p w:rsidR="00492EEF" w:rsidRPr="00492EEF" w:rsidRDefault="00492EEF" w:rsidP="00492EEF">
      <w:pPr>
        <w:spacing w:line="240" w:lineRule="auto"/>
        <w:jc w:val="both"/>
        <w:rPr>
          <w:rFonts w:ascii="Times New Roman" w:hAnsi="Times New Roman" w:cs="Times New Roman"/>
          <w:sz w:val="24"/>
          <w:szCs w:val="24"/>
        </w:rPr>
      </w:pPr>
      <w:r w:rsidRPr="00492EEF">
        <w:rPr>
          <w:rFonts w:ascii="Times New Roman" w:hAnsi="Times New Roman" w:cs="Times New Roman"/>
          <w:color w:val="FF0000"/>
          <w:sz w:val="24"/>
          <w:szCs w:val="24"/>
          <w:u w:val="single"/>
        </w:rPr>
        <w:t>Si algo dejó claro la pasada crisis financiera es que cuanto más se dilate la aplicación de medidas más lenta puede ser la recuperación, por eso esta vez Gobiernos e instituciones se han afanado en poner en marcha iniciativas para paliar los efectos negativos de la pandemia.</w:t>
      </w:r>
      <w:r w:rsidRPr="00492EEF">
        <w:rPr>
          <w:rFonts w:ascii="Times New Roman" w:hAnsi="Times New Roman" w:cs="Times New Roman"/>
          <w:sz w:val="24"/>
          <w:szCs w:val="24"/>
        </w:rPr>
        <w:t>Los bancos centrales son el mejor reflejo de esta corriente y desde el pasado mes de marzo han desplegado un abanico de propuestas para apoyar la recuperación. Un movimiento que se ha traducido en la inyección de dinero en el sistema para evitar problemas de liquidez y mantener bajo control los costes de financiación.</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sz w:val="24"/>
          <w:szCs w:val="24"/>
          <w:u w:val="single"/>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w:t>
      </w:r>
      <w:r w:rsidRPr="00492EEF">
        <w:rPr>
          <w:rFonts w:ascii="Times New Roman" w:hAnsi="Times New Roman" w:cs="Times New Roman"/>
          <w:sz w:val="24"/>
          <w:szCs w:val="24"/>
        </w:rPr>
        <w:t xml:space="preserve">. </w:t>
      </w:r>
      <w:r w:rsidRPr="00492EEF">
        <w:rPr>
          <w:rFonts w:ascii="Times New Roman" w:hAnsi="Times New Roman" w:cs="Times New Roman"/>
          <w:b/>
          <w:color w:val="FF0000"/>
          <w:sz w:val="24"/>
          <w:szCs w:val="24"/>
          <w:u w:val="single"/>
        </w:rPr>
        <w:t>Desde el pasado mes de marzo, momento en el que la pandemia comen</w:t>
      </w:r>
      <w:r w:rsidR="00036FDF">
        <w:rPr>
          <w:rFonts w:ascii="Times New Roman" w:hAnsi="Times New Roman" w:cs="Times New Roman"/>
          <w:b/>
          <w:color w:val="FF0000"/>
          <w:sz w:val="24"/>
          <w:szCs w:val="24"/>
          <w:u w:val="single"/>
        </w:rPr>
        <w:t>zó su expansión por Europa y EE</w:t>
      </w:r>
      <w:r w:rsidRPr="00492EEF">
        <w:rPr>
          <w:rFonts w:ascii="Times New Roman" w:hAnsi="Times New Roman" w:cs="Times New Roman"/>
          <w:b/>
          <w:color w:val="FF0000"/>
          <w:sz w:val="24"/>
          <w:szCs w:val="24"/>
          <w:u w:val="single"/>
        </w:rPr>
        <w:t>UU, el balance de los tres grandes bancos centrales del planeta (el BCE, la Reserva Federal y el Banco de Japón) ha aumentado de manera conjunta en más de cuatro billones de euros, pasando de los 9,04 billones que tenían a cierre de febrero a los 13,35 billones actuales. El incremento de los balances sido una corriente progresiva desde 2008, pero la llegada de la crisis derivada del coronavirus ha provocado un incremento exponencial hasta niveles históricos.</w:t>
      </w:r>
    </w:p>
    <w:p w:rsidR="00492EEF" w:rsidRPr="00492EEF" w:rsidRDefault="00492EEF" w:rsidP="00492EEF">
      <w:pPr>
        <w:spacing w:line="240" w:lineRule="auto"/>
        <w:jc w:val="both"/>
        <w:rPr>
          <w:rFonts w:ascii="Times New Roman" w:hAnsi="Times New Roman" w:cs="Times New Roman"/>
          <w:sz w:val="24"/>
          <w:szCs w:val="24"/>
          <w:u w:val="single"/>
        </w:rPr>
      </w:pPr>
      <w:r w:rsidRPr="00492EEF">
        <w:rPr>
          <w:rFonts w:ascii="Times New Roman" w:hAnsi="Times New Roman" w:cs="Times New Roman"/>
          <w:b/>
          <w:color w:val="FF0000"/>
          <w:sz w:val="24"/>
          <w:szCs w:val="24"/>
          <w:u w:val="single"/>
        </w:rPr>
        <w:t>El BCE, que en cuestión de meses ha pasado de estudiar una subida de los tipos a poner en marcha el programa de compras frente a la pandemia, ha elevado su balance un 31,9% (más de un billón), hasta los 6,2 billones de euros, el 52,8% del PIB de la zona euro</w:t>
      </w:r>
      <w:r w:rsidRPr="00492EEF">
        <w:rPr>
          <w:rFonts w:ascii="Times New Roman" w:hAnsi="Times New Roman" w:cs="Times New Roman"/>
          <w:sz w:val="24"/>
          <w:szCs w:val="24"/>
        </w:rPr>
        <w:t xml:space="preserve">.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w:t>
      </w:r>
      <w:r w:rsidRPr="00492EEF">
        <w:rPr>
          <w:rFonts w:ascii="Times New Roman" w:hAnsi="Times New Roman" w:cs="Times New Roman"/>
          <w:sz w:val="24"/>
          <w:szCs w:val="24"/>
          <w:u w:val="single"/>
        </w:rPr>
        <w:t>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sz w:val="24"/>
          <w:szCs w:val="24"/>
          <w:u w:val="single"/>
        </w:rPr>
        <w:t xml:space="preserve">Como complemento a todo esto, el BCE puso en marcha el programa de compras de deuda. El plan, que en un principio estaba valorado en 750.00 millones de euros, fue ampliado en 600.000 millones, hasta los 1,36 billones. </w:t>
      </w:r>
      <w:r w:rsidRPr="00492EEF">
        <w:rPr>
          <w:rFonts w:ascii="Times New Roman" w:hAnsi="Times New Roman" w:cs="Times New Roman"/>
          <w:b/>
          <w:color w:val="FF0000"/>
          <w:sz w:val="24"/>
          <w:szCs w:val="24"/>
          <w:u w:val="single"/>
        </w:rPr>
        <w:t>Con todo ello el balance del organismo podría concluir 2020 en los 9 billones desde los 4,69 con los que comenzó el año.</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b/>
          <w:color w:val="FF0000"/>
          <w:sz w:val="24"/>
          <w:szCs w:val="24"/>
          <w:u w:val="single"/>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b/>
          <w:color w:val="FF0000"/>
          <w:sz w:val="24"/>
          <w:szCs w:val="24"/>
          <w:u w:val="single"/>
        </w:rPr>
        <w:t xml:space="preserve">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w:t>
      </w:r>
      <w:r w:rsidR="00036FDF">
        <w:rPr>
          <w:rFonts w:ascii="Times New Roman" w:hAnsi="Times New Roman" w:cs="Times New Roman"/>
          <w:b/>
          <w:color w:val="FF0000"/>
          <w:sz w:val="24"/>
          <w:szCs w:val="24"/>
          <w:u w:val="single"/>
        </w:rPr>
        <w:t>equivale al 32,6% del PIB de EE</w:t>
      </w:r>
      <w:r w:rsidRPr="00492EEF">
        <w:rPr>
          <w:rFonts w:ascii="Times New Roman" w:hAnsi="Times New Roman" w:cs="Times New Roman"/>
          <w:b/>
          <w:color w:val="FF0000"/>
          <w:sz w:val="24"/>
          <w:szCs w:val="24"/>
          <w:u w:val="single"/>
        </w:rPr>
        <w:t>UU. Atendiendo a las declaraciones efectuadas por el secretario del Tesoro, Steven Mnuchin, la institución podría finalizar el año con un balance cercano a los ocho billones de euros, cifra no registrada hasta la fecha.</w:t>
      </w:r>
    </w:p>
    <w:p w:rsidR="00492EEF" w:rsidRPr="00492EEF" w:rsidRDefault="00492EEF" w:rsidP="00492EEF">
      <w:pPr>
        <w:spacing w:line="240" w:lineRule="auto"/>
        <w:jc w:val="both"/>
        <w:rPr>
          <w:rFonts w:ascii="Times New Roman" w:hAnsi="Times New Roman" w:cs="Times New Roman"/>
          <w:sz w:val="24"/>
          <w:szCs w:val="24"/>
        </w:rPr>
      </w:pPr>
      <w:r w:rsidRPr="00492EEF">
        <w:rPr>
          <w:rFonts w:ascii="Times New Roman" w:hAnsi="Times New Roman" w:cs="Times New Roman"/>
          <w:sz w:val="24"/>
          <w:szCs w:val="24"/>
        </w:rPr>
        <w:t>Japón y Reino Unido amplían las compras de activos</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color w:val="FF0000"/>
          <w:sz w:val="24"/>
          <w:szCs w:val="24"/>
          <w:u w:val="single"/>
        </w:rPr>
        <w:t>Banco de Japón. La flexibilización monetaria es una de las características de las actuaciones del Banco Central de Japón, que mantiene los tipos de interés en el -0,1%</w:t>
      </w:r>
      <w:r w:rsidRPr="00492EEF">
        <w:rPr>
          <w:rFonts w:ascii="Times New Roman" w:hAnsi="Times New Roman" w:cs="Times New Roman"/>
          <w:sz w:val="24"/>
          <w:szCs w:val="24"/>
        </w:rPr>
        <w:t xml:space="preserve">.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w:t>
      </w:r>
      <w:r w:rsidRPr="00492EEF">
        <w:rPr>
          <w:rFonts w:ascii="Times New Roman" w:hAnsi="Times New Roman" w:cs="Times New Roman"/>
          <w:b/>
          <w:color w:val="FF0000"/>
          <w:sz w:val="24"/>
          <w:szCs w:val="24"/>
          <w:u w:val="single"/>
        </w:rPr>
        <w:t>Las medidas aplicadas desde comienzos de año han llevado a la institución a elevar su balance desde los 4,9 billones de euros hasta 5,4 billones de euros, con lo que se sitúa por encima del 115% del PIB.</w:t>
      </w:r>
    </w:p>
    <w:p w:rsidR="00492EEF" w:rsidRPr="00492EEF" w:rsidRDefault="00492EEF" w:rsidP="00492EEF">
      <w:pPr>
        <w:spacing w:line="240" w:lineRule="auto"/>
        <w:jc w:val="both"/>
        <w:rPr>
          <w:rFonts w:ascii="Times New Roman" w:hAnsi="Times New Roman" w:cs="Times New Roman"/>
          <w:b/>
          <w:color w:val="FF0000"/>
          <w:sz w:val="24"/>
          <w:szCs w:val="24"/>
          <w:u w:val="single"/>
        </w:rPr>
      </w:pPr>
      <w:r w:rsidRPr="00492EEF">
        <w:rPr>
          <w:rFonts w:ascii="Times New Roman" w:hAnsi="Times New Roman" w:cs="Times New Roman"/>
          <w:color w:val="FF0000"/>
          <w:sz w:val="24"/>
          <w:szCs w:val="24"/>
          <w:u w:val="single"/>
        </w:rPr>
        <w:t>Banco de Inglaterra</w:t>
      </w:r>
      <w:r w:rsidRPr="00492EEF">
        <w:rPr>
          <w:rFonts w:ascii="Times New Roman" w:hAnsi="Times New Roman" w:cs="Times New Roman"/>
          <w:sz w:val="24"/>
          <w:szCs w:val="24"/>
        </w:rPr>
        <w:t xml:space="preserve">. La institución ha ampliado su programa de compra en 1.110 millones de euros, hasta los 832.500 millones. </w:t>
      </w:r>
      <w:r w:rsidRPr="00492EEF">
        <w:rPr>
          <w:rFonts w:ascii="Times New Roman" w:hAnsi="Times New Roman" w:cs="Times New Roman"/>
          <w:b/>
          <w:color w:val="FF0000"/>
          <w:sz w:val="24"/>
          <w:szCs w:val="24"/>
          <w:u w:val="single"/>
        </w:rPr>
        <w:t>El balance del Banco de Inglaterra no ha escapado a los repuntes. Esto, unido a la caída del PIB, ha provocado que en cuestión de tres meses el balance pasara de representar el 21,7% del PIB al 31,3% actual.</w:t>
      </w:r>
    </w:p>
    <w:p w:rsidR="00492EEF" w:rsidRPr="00492EEF" w:rsidRDefault="00492EEF" w:rsidP="00492EEF">
      <w:pPr>
        <w:pStyle w:val="Estndar"/>
        <w:jc w:val="both"/>
        <w:rPr>
          <w:color w:val="auto"/>
          <w:szCs w:val="24"/>
        </w:rPr>
      </w:pPr>
      <w:r w:rsidRPr="00492EEF">
        <w:rPr>
          <w:color w:val="auto"/>
          <w:szCs w:val="24"/>
        </w:rPr>
        <w:t xml:space="preserve">- </w:t>
      </w:r>
      <w:r w:rsidRPr="00492EEF">
        <w:rPr>
          <w:color w:val="auto"/>
          <w:szCs w:val="24"/>
          <w:u w:val="single"/>
        </w:rPr>
        <w:t>Un tsunami de liquidez de más de 15 billones de dólares impulsará a las bolsas, según JPMorgan</w:t>
      </w:r>
      <w:r w:rsidRPr="00492EEF">
        <w:rPr>
          <w:color w:val="auto"/>
          <w:szCs w:val="24"/>
        </w:rPr>
        <w:t xml:space="preserve"> (El Economista - </w:t>
      </w:r>
      <w:r w:rsidRPr="00492EEF">
        <w:rPr>
          <w:b/>
          <w:color w:val="auto"/>
          <w:szCs w:val="24"/>
        </w:rPr>
        <w:t>7/7/20</w:t>
      </w:r>
      <w:r w:rsidRPr="00492EEF">
        <w:rPr>
          <w:color w:val="auto"/>
          <w:szCs w:val="24"/>
        </w:rPr>
        <w:t>)</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color w:val="auto"/>
          <w:szCs w:val="24"/>
        </w:rPr>
        <w:t>El aumento de créditos y estímulos ya se fue a las bolsas antes</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u w:val="single"/>
        </w:rPr>
      </w:pPr>
      <w:r w:rsidRPr="00492EEF">
        <w:rPr>
          <w:color w:val="auto"/>
          <w:szCs w:val="24"/>
          <w:u w:val="single"/>
        </w:rPr>
        <w:t>Al igual que ocurrió con la crisis financiera de 2008 y el colapso de Lehman Brothers, la pandemia del Covid-19 ha desencadenado un aumento gradual en la cantidad de deuda en el sistema financiero. La necesidad de reemplazar los ingresos perdidos induce a un mayor apalancamiento tanto por parte del sector público como el privado, donde se incluyen los hogares y las empresas no financieras.</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FF0000"/>
          <w:szCs w:val="24"/>
          <w:u w:val="single"/>
        </w:rPr>
      </w:pPr>
      <w:r w:rsidRPr="00492EEF">
        <w:rPr>
          <w:color w:val="FF0000"/>
          <w:szCs w:val="24"/>
          <w:u w:val="single"/>
        </w:rPr>
        <w:t>Según señala el analista de JPMorgan Nikolaos Panigirtzoglou, en un informe distribuido entre sus clientes, este año se sumarán un total de 16 billones de dólares en deuda adicional si se incluye la generada tanto por el sector privado como el público. Asumiendo que el PIB se contraerá en un 5% este año, la relación entre la deuda total y el PIB mundial ascenderá en alrededor de 35 puntos porcentuales hasta el 278% del PIB a fines de 2020.</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b/>
          <w:color w:val="FF0000"/>
          <w:szCs w:val="24"/>
          <w:u w:val="single"/>
        </w:rPr>
        <w:t>“Este aumento en el endeudamiento global es aún mayor que el aumento del 20% del PIB observado en el año posterior a la crisis de Lehman”,</w:t>
      </w:r>
      <w:r w:rsidRPr="00492EEF">
        <w:rPr>
          <w:color w:val="auto"/>
          <w:szCs w:val="24"/>
        </w:rPr>
        <w:t xml:space="preserve"> indica Panigirtzoglou, quien considera que </w:t>
      </w:r>
      <w:r w:rsidRPr="00492EEF">
        <w:rPr>
          <w:color w:val="auto"/>
          <w:szCs w:val="24"/>
          <w:u w:val="single"/>
        </w:rPr>
        <w:t>esto tendrá distintas implicaciones.</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color w:val="auto"/>
          <w:szCs w:val="24"/>
          <w:u w:val="single"/>
        </w:rPr>
        <w:t>La primera es que el sector privado probablemente estará más inclinado a ahorrar en el futuro</w:t>
      </w:r>
      <w:r w:rsidRPr="00492EEF">
        <w:rPr>
          <w:color w:val="auto"/>
          <w:szCs w:val="24"/>
        </w:rPr>
        <w:t>. Una tasa de ahorro persistentemente elevada puede lastrar tanto al crecimiento económico como a la inflación y dificultaría aún más la disminución de los niveles de deuda frente a los ingresos en el futuro.</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color w:val="auto"/>
          <w:szCs w:val="24"/>
          <w:u w:val="single"/>
        </w:rPr>
        <w:t>Por otro lado, los bancos centrales se verán obligados a mantener políticas muy acomodaticias y las tasas de interés bajas continuarán durante mucho tiempo para que así tanto el sector público como el privado puedan mantener niveles de deuda mucho más altos.</w:t>
      </w:r>
      <w:r w:rsidRPr="00492EEF">
        <w:rPr>
          <w:color w:val="auto"/>
          <w:szCs w:val="24"/>
        </w:rPr>
        <w:t xml:space="preserve"> En sus últimas proyecciones económicas, la Reserva Federal ya telegrafió que no se plantea volver a subir los tipos por lo menos hasta 2023.</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FF0000"/>
          <w:szCs w:val="24"/>
          <w:u w:val="single"/>
        </w:rPr>
      </w:pPr>
      <w:r w:rsidRPr="00492EEF">
        <w:rPr>
          <w:color w:val="FF0000"/>
          <w:szCs w:val="24"/>
          <w:u w:val="single"/>
        </w:rPr>
        <w:t>Esto a su vez implica una mayor liquidez. Más crédito y más estímulos monetarios en forma de compras de activos (el conocido como Quantitative Easing o QE, por sus siglas en inglés), garantizan una mayor oferta de dinero adicional y saldos de efectivo, lo que a su vez, según explica el analista de JPMorgan, beneficiará a la renta variable.</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b/>
          <w:color w:val="FF0000"/>
          <w:szCs w:val="24"/>
          <w:u w:val="single"/>
        </w:rPr>
      </w:pPr>
      <w:r w:rsidRPr="00492EEF">
        <w:rPr>
          <w:b/>
          <w:color w:val="FF0000"/>
          <w:szCs w:val="24"/>
          <w:u w:val="single"/>
        </w:rPr>
        <w:t>“Dado que la creación de deuda y el QE continuarán siendo más fuertes de lo normal hasta 2021, creemos que la creación total de dinero o liquidez podría superar los 15 billones de dólares a nivel mundial a mediados del próximo año”, asegura.</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color w:val="auto"/>
          <w:szCs w:val="24"/>
        </w:rPr>
        <w:t>Como resultado de esta creación de liquidez, JPMorgan estima que las tenencias de efectivo en las carteras de los inversores mundiales, que aumentó considerablemente en marzo, se mantienen muy por encima de los niveles previos a la pandemia a pesar del repunte experimentado por las bolsas de todo el mundo.</w:t>
      </w:r>
    </w:p>
    <w:p w:rsidR="00492EEF" w:rsidRPr="00492EEF" w:rsidRDefault="00492EEF" w:rsidP="00492EEF">
      <w:pPr>
        <w:pStyle w:val="Estndar"/>
        <w:jc w:val="both"/>
        <w:rPr>
          <w:color w:val="auto"/>
          <w:szCs w:val="24"/>
        </w:rPr>
      </w:pPr>
    </w:p>
    <w:p w:rsidR="00492EEF" w:rsidRPr="00492EEF" w:rsidRDefault="00492EEF" w:rsidP="00492EEF">
      <w:pPr>
        <w:pStyle w:val="Estndar"/>
        <w:jc w:val="both"/>
        <w:rPr>
          <w:color w:val="auto"/>
          <w:szCs w:val="24"/>
        </w:rPr>
      </w:pPr>
      <w:r w:rsidRPr="00492EEF">
        <w:rPr>
          <w:color w:val="auto"/>
          <w:szCs w:val="24"/>
        </w:rPr>
        <w:t>Este nivel elevado de efectivo en manos de los inversores respaldaría, según Panigirtzoglou, un próximo impulso tanto para el mercado de renta fija como el de acciones. Aun así, dada la baja rentabilidad de los bonos en este momento, “creemos que la mayor parte de esta liquidez eventualmente se destinará a la renta variable a medida que la necesidad de ahorros preventivos disminuye con el tiempo”, añade el analista de JPMorgan.</w:t>
      </w:r>
    </w:p>
    <w:p w:rsidR="00492EEF" w:rsidRPr="00492EEF" w:rsidRDefault="00492EEF" w:rsidP="00492EEF">
      <w:pPr>
        <w:pStyle w:val="Estndar"/>
        <w:jc w:val="both"/>
        <w:rPr>
          <w:color w:val="auto"/>
          <w:szCs w:val="24"/>
        </w:rPr>
      </w:pPr>
    </w:p>
    <w:p w:rsidR="00492EEF" w:rsidRDefault="00492EEF" w:rsidP="00492EEF">
      <w:pPr>
        <w:pStyle w:val="Estndar"/>
        <w:jc w:val="both"/>
        <w:rPr>
          <w:color w:val="auto"/>
          <w:szCs w:val="24"/>
        </w:rPr>
      </w:pPr>
      <w:r w:rsidRPr="00492EEF">
        <w:rPr>
          <w:color w:val="auto"/>
          <w:szCs w:val="24"/>
        </w:rPr>
        <w:t>--------</w:t>
      </w:r>
    </w:p>
    <w:p w:rsidR="00492EEF" w:rsidRDefault="00492EEF" w:rsidP="00492EEF">
      <w:pPr>
        <w:pStyle w:val="Estndar"/>
        <w:jc w:val="both"/>
        <w:rPr>
          <w:b/>
          <w:color w:val="FF0000"/>
          <w:szCs w:val="24"/>
          <w:u w:val="single"/>
        </w:rPr>
      </w:pPr>
      <w:r w:rsidRPr="00492EEF">
        <w:rPr>
          <w:b/>
          <w:color w:val="FF0000"/>
          <w:szCs w:val="24"/>
          <w:u w:val="single"/>
        </w:rPr>
        <w:t>Según el FMI el apoyo fiscal a nivel global como respuesta a la crisis será de unos 9 billones de dólares, aproximadamente un 12% del PIB mundial. En el año 2020, las expectativas de caída del PIB ya alcanzan el 5,5%. El enorme aumento de gasto público y la caída del PIB llevarán a un endeudamiento global de los gobiernos cercano al 105%.</w:t>
      </w:r>
    </w:p>
    <w:p w:rsidR="00492EEF" w:rsidRPr="00492EEF" w:rsidRDefault="00492EEF" w:rsidP="00492EEF">
      <w:pPr>
        <w:pStyle w:val="Estndar"/>
        <w:jc w:val="both"/>
        <w:rPr>
          <w:color w:val="FF0000"/>
          <w:szCs w:val="24"/>
          <w:u w:val="single"/>
        </w:rPr>
      </w:pPr>
      <w:r w:rsidRPr="00492EEF">
        <w:rPr>
          <w:color w:val="FF0000"/>
          <w:szCs w:val="24"/>
          <w:u w:val="single"/>
        </w:rPr>
        <w:t>El sector privado también aumentará su endeudamiento en 7 billones de dólares, elevando la deuda de empresas y familias a nivel mundial al 173% del PIB.</w:t>
      </w:r>
    </w:p>
    <w:p w:rsidR="00492EEF" w:rsidRPr="00492EEF" w:rsidRDefault="00492EEF" w:rsidP="00492EEF">
      <w:pPr>
        <w:pStyle w:val="Estndar"/>
        <w:jc w:val="both"/>
        <w:rPr>
          <w:color w:val="FF0000"/>
          <w:szCs w:val="24"/>
          <w:u w:val="single"/>
        </w:rPr>
      </w:pPr>
    </w:p>
    <w:p w:rsidR="00492EEF" w:rsidRPr="00492EEF" w:rsidRDefault="00492EEF" w:rsidP="00492EEF">
      <w:pPr>
        <w:pStyle w:val="Estndar"/>
        <w:jc w:val="both"/>
        <w:rPr>
          <w:color w:val="FF0000"/>
          <w:szCs w:val="24"/>
          <w:u w:val="single"/>
        </w:rPr>
      </w:pPr>
      <w:r w:rsidRPr="00492EEF">
        <w:rPr>
          <w:color w:val="FF0000"/>
          <w:szCs w:val="24"/>
          <w:u w:val="single"/>
        </w:rPr>
        <w:t>Entre deuda gubernamental y privada, estamos hablando de 200 billones de deuda, un aumento a nivel global sobre PIB del 35%, muy superior al 20% a lo que subió la deuda tras la crisis de 2008, y en un solo año.</w:t>
      </w:r>
    </w:p>
    <w:p w:rsidR="00492EEF" w:rsidRPr="00492EEF" w:rsidRDefault="00492EEF" w:rsidP="00492EEF">
      <w:pPr>
        <w:pStyle w:val="Estndar"/>
        <w:jc w:val="both"/>
        <w:rPr>
          <w:color w:val="FF0000"/>
          <w:szCs w:val="24"/>
          <w:u w:val="single"/>
        </w:rPr>
      </w:pPr>
    </w:p>
    <w:p w:rsidR="00492EEF" w:rsidRPr="00492EEF" w:rsidRDefault="00492EEF" w:rsidP="00492EEF">
      <w:pPr>
        <w:pStyle w:val="Estndar"/>
        <w:jc w:val="both"/>
        <w:rPr>
          <w:color w:val="FF0000"/>
          <w:szCs w:val="24"/>
          <w:u w:val="single"/>
        </w:rPr>
      </w:pPr>
      <w:r w:rsidRPr="00492EEF">
        <w:rPr>
          <w:color w:val="FF0000"/>
          <w:szCs w:val="24"/>
          <w:u w:val="single"/>
        </w:rPr>
        <w:t>Todo ese brutal aumento del endeudamiento no va a impedir que las economías caigan de manera relevante ni tampoco evitan que se hayan destruido 400 millones de puestos de trabajo a tiempo completo, según la Organización Mundial del Trabajo.</w:t>
      </w:r>
    </w:p>
    <w:p w:rsidR="00492EEF" w:rsidRPr="00492EEF" w:rsidRDefault="00492EEF" w:rsidP="00492EEF">
      <w:pPr>
        <w:pStyle w:val="Estndar"/>
        <w:jc w:val="both"/>
        <w:rPr>
          <w:color w:val="auto"/>
          <w:szCs w:val="24"/>
        </w:rPr>
      </w:pPr>
    </w:p>
    <w:p w:rsidR="00492EEF" w:rsidRDefault="00492EEF" w:rsidP="00492EEF">
      <w:pPr>
        <w:pStyle w:val="Estndar"/>
        <w:jc w:val="both"/>
        <w:rPr>
          <w:color w:val="auto"/>
          <w:szCs w:val="24"/>
        </w:rPr>
      </w:pPr>
      <w:r w:rsidRPr="00492EEF">
        <w:rPr>
          <w:color w:val="auto"/>
          <w:szCs w:val="24"/>
        </w:rPr>
        <w:t xml:space="preserve">La inmensa mayoría de esa deuda se ha creado para sostener gasto público de bonanza y el balance de “campeones nacionales”, empresas que ya estaban en problemas en 2018 y 2019, las llamadas empresas “zombi”… (Daniel Lacalle - El Español - </w:t>
      </w:r>
      <w:r w:rsidRPr="00036FDF">
        <w:rPr>
          <w:b/>
          <w:color w:val="auto"/>
          <w:szCs w:val="24"/>
        </w:rPr>
        <w:t>8/7/20</w:t>
      </w:r>
      <w:r w:rsidRPr="00492EEF">
        <w:rPr>
          <w:color w:val="auto"/>
          <w:szCs w:val="24"/>
        </w:rPr>
        <w:t>)</w:t>
      </w:r>
    </w:p>
    <w:p w:rsidR="00492EEF" w:rsidRPr="00492EEF" w:rsidRDefault="00492EEF" w:rsidP="00492EEF">
      <w:pPr>
        <w:pStyle w:val="Estndar"/>
        <w:jc w:val="both"/>
        <w:rPr>
          <w:color w:val="auto"/>
          <w:szCs w:val="24"/>
        </w:rPr>
      </w:pPr>
    </w:p>
    <w:p w:rsidR="00492EEF" w:rsidRDefault="00492EEF" w:rsidP="00492EEF">
      <w:pPr>
        <w:pStyle w:val="Estndar"/>
        <w:jc w:val="both"/>
        <w:rPr>
          <w:color w:val="auto"/>
          <w:szCs w:val="24"/>
        </w:rPr>
      </w:pPr>
      <w:r w:rsidRPr="00492EEF">
        <w:rPr>
          <w:color w:val="auto"/>
          <w:szCs w:val="24"/>
        </w:rPr>
        <w:t xml:space="preserve">Según el Bank Of International Settlements, el porcentaje de empresas zombi -aquellas que no pueden cubrir sus intereses de deuda con beneficios operativos- se ha disparado en el periodo de los estímulos gigantes y los tipos reales negativos… </w:t>
      </w:r>
    </w:p>
    <w:p w:rsidR="00492EEF" w:rsidRPr="00492EEF" w:rsidRDefault="00492EEF" w:rsidP="00492EEF">
      <w:pPr>
        <w:pStyle w:val="Estndar"/>
        <w:jc w:val="both"/>
        <w:rPr>
          <w:color w:val="auto"/>
          <w:szCs w:val="24"/>
        </w:rPr>
      </w:pPr>
    </w:p>
    <w:p w:rsidR="00492EEF" w:rsidRDefault="00492EEF" w:rsidP="00492EEF">
      <w:pPr>
        <w:pStyle w:val="Estndar"/>
        <w:jc w:val="both"/>
        <w:rPr>
          <w:color w:val="auto"/>
          <w:szCs w:val="24"/>
        </w:rPr>
      </w:pPr>
      <w:r w:rsidRPr="00492EEF">
        <w:rPr>
          <w:color w:val="auto"/>
          <w:szCs w:val="24"/>
        </w:rPr>
        <w:t>Es importante recordar estas cifras de enorme endeudamiento porque la desconexión entre mercados financieros y economía real es muy importante. Primero, esos enormes -y mal llamados- estímulos, probablemente sean demasiado grandes, demasiado pronto y claramente orientados a sostener sectores de baja productividad. Todo ello está soportado por una política monetaria que ha pasado de ser expansiva a ser desquiciada.</w:t>
      </w:r>
    </w:p>
    <w:p w:rsidR="00492EEF" w:rsidRPr="00492EEF" w:rsidRDefault="00492EEF" w:rsidP="00492EEF">
      <w:pPr>
        <w:pStyle w:val="Estndar"/>
        <w:jc w:val="both"/>
        <w:rPr>
          <w:color w:val="auto"/>
          <w:szCs w:val="24"/>
        </w:rPr>
      </w:pPr>
    </w:p>
    <w:p w:rsidR="00492EEF" w:rsidRPr="00B51BA6" w:rsidRDefault="00492EEF" w:rsidP="00492EEF">
      <w:pPr>
        <w:pStyle w:val="Estndar"/>
        <w:jc w:val="both"/>
        <w:rPr>
          <w:color w:val="FF0000"/>
          <w:szCs w:val="24"/>
          <w:u w:val="single"/>
        </w:rPr>
      </w:pPr>
      <w:r w:rsidRPr="00B51BA6">
        <w:rPr>
          <w:color w:val="FF0000"/>
          <w:szCs w:val="24"/>
          <w:u w:val="single"/>
        </w:rPr>
        <w:t>El balance del Banco Central Europeo ha aumentado en casi dos billones de euros en lo que va de año (julio 2020) y ya es más del 52% del PIB de la eurozona a cierre de este análisis, mucho mayor que el de la Reserva Federal, que se sitúa en el 32,6% del PIB de EEUU o el del Banco de Inglaterra, un 31,1%.</w:t>
      </w:r>
    </w:p>
    <w:p w:rsidR="00492EEF" w:rsidRPr="00B51BA6" w:rsidRDefault="00492EEF" w:rsidP="00492EEF">
      <w:pPr>
        <w:pStyle w:val="Estndar"/>
        <w:jc w:val="both"/>
        <w:rPr>
          <w:color w:val="FF0000"/>
          <w:szCs w:val="24"/>
          <w:u w:val="single"/>
        </w:rPr>
      </w:pPr>
    </w:p>
    <w:p w:rsidR="00492EEF" w:rsidRPr="00B51BA6" w:rsidRDefault="00492EEF" w:rsidP="00492EEF">
      <w:pPr>
        <w:pStyle w:val="Estndar"/>
        <w:jc w:val="both"/>
        <w:rPr>
          <w:color w:val="FF0000"/>
          <w:szCs w:val="24"/>
          <w:u w:val="single"/>
        </w:rPr>
      </w:pPr>
      <w:r w:rsidRPr="00B51BA6">
        <w:rPr>
          <w:color w:val="FF0000"/>
          <w:szCs w:val="24"/>
          <w:u w:val="single"/>
        </w:rPr>
        <w:t>El de Japón ya supone un 117% del PIB, aunque el encefalograma económico sigue plano. El consumo se ha desplomado en mayo y el país lleva dos décadas de estancamiento con una deuda que superará el 260% del PIB. Copiar a Japón es la receta del estancamiento secular.</w:t>
      </w:r>
    </w:p>
    <w:p w:rsidR="00492EEF" w:rsidRPr="00B51BA6" w:rsidRDefault="00492EEF" w:rsidP="00492EEF">
      <w:pPr>
        <w:pStyle w:val="Estndar"/>
        <w:jc w:val="both"/>
        <w:rPr>
          <w:color w:val="FF0000"/>
          <w:szCs w:val="24"/>
          <w:u w:val="single"/>
        </w:rPr>
      </w:pPr>
      <w:r w:rsidRPr="00B51BA6">
        <w:rPr>
          <w:color w:val="FF0000"/>
          <w:szCs w:val="24"/>
          <w:u w:val="single"/>
        </w:rPr>
        <w:t>El aumento del balance de los bancos centrales ha disparado las bolsas a pesar de que el 80% de las cotizadas han abandonado sus objetivos de beneficios.</w:t>
      </w:r>
    </w:p>
    <w:p w:rsidR="00492EEF" w:rsidRPr="00B51BA6" w:rsidRDefault="00492EEF" w:rsidP="00492EEF">
      <w:pPr>
        <w:pStyle w:val="Estndar"/>
        <w:jc w:val="both"/>
        <w:rPr>
          <w:color w:val="FF0000"/>
          <w:szCs w:val="24"/>
          <w:u w:val="single"/>
        </w:rPr>
      </w:pPr>
    </w:p>
    <w:p w:rsidR="00492EEF" w:rsidRDefault="00492EEF" w:rsidP="00492EEF">
      <w:pPr>
        <w:pStyle w:val="Estndar"/>
        <w:jc w:val="both"/>
        <w:rPr>
          <w:color w:val="auto"/>
          <w:szCs w:val="24"/>
        </w:rPr>
      </w:pPr>
      <w:r w:rsidRPr="00492EEF">
        <w:rPr>
          <w:color w:val="auto"/>
          <w:szCs w:val="24"/>
        </w:rPr>
        <w:t>Ese enorme aumento del balance de los bancos centrales para mantener artificialmente baja la prima de riesgo y los tipos exigidos de países al borde de la quiebra o con grandes dificultades, ha disparado las bolsas a pesar de que el 80% de las empresas cotizadas han abandonado sus objetivos de beneficios empresariales y los analistas están reduciendo estimaciones para 2020, 2021 y 2022 a la mayor velocidad de la última década, según JP Morgan y Bank of America.</w:t>
      </w:r>
    </w:p>
    <w:p w:rsidR="00492EEF" w:rsidRPr="00492EEF" w:rsidRDefault="00492EEF" w:rsidP="00492EEF">
      <w:pPr>
        <w:pStyle w:val="Estndar"/>
        <w:jc w:val="both"/>
        <w:rPr>
          <w:color w:val="auto"/>
          <w:szCs w:val="24"/>
        </w:rPr>
      </w:pPr>
    </w:p>
    <w:p w:rsidR="00492EEF" w:rsidRDefault="00492EEF" w:rsidP="00492EEF">
      <w:pPr>
        <w:pStyle w:val="Estndar"/>
        <w:jc w:val="both"/>
        <w:rPr>
          <w:color w:val="auto"/>
          <w:szCs w:val="24"/>
        </w:rPr>
      </w:pPr>
      <w:r w:rsidRPr="00492EEF">
        <w:rPr>
          <w:color w:val="auto"/>
          <w:szCs w:val="24"/>
        </w:rPr>
        <w:t>Esa enorme actividad de los bancos centrales lleva a una desconexión entre economía real y bolsas sin precedentes. La expansión de múltiplos se acelera porque dichos bancos centrales, al hacer los bonos soberanos -aparentemente el activo más seguro- mucho más caros llevan a que las bolsas se encarezcan rápidamente al lanzar a los inversores a tomar más riesgo.</w:t>
      </w:r>
    </w:p>
    <w:p w:rsidR="00B51BA6" w:rsidRDefault="00B51BA6" w:rsidP="00492EEF">
      <w:pPr>
        <w:pStyle w:val="Estndar"/>
        <w:jc w:val="both"/>
        <w:rPr>
          <w:color w:val="auto"/>
          <w:szCs w:val="24"/>
        </w:rPr>
      </w:pPr>
    </w:p>
    <w:p w:rsidR="00492EEF" w:rsidRPr="00B51BA6" w:rsidRDefault="00B51BA6" w:rsidP="00B51BA6">
      <w:pPr>
        <w:pStyle w:val="Estndar"/>
        <w:jc w:val="both"/>
        <w:rPr>
          <w:color w:val="auto"/>
          <w:szCs w:val="24"/>
        </w:rPr>
      </w:pPr>
      <w:r>
        <w:rPr>
          <w:color w:val="auto"/>
          <w:szCs w:val="24"/>
        </w:rPr>
        <w:t>-------</w:t>
      </w:r>
    </w:p>
    <w:p w:rsidR="00492EEF" w:rsidRPr="00B51BA6" w:rsidRDefault="00492EEF" w:rsidP="00492EEF">
      <w:pPr>
        <w:shd w:val="clear" w:color="auto" w:fill="FFFFFF"/>
        <w:spacing w:after="0" w:line="240" w:lineRule="auto"/>
        <w:jc w:val="both"/>
        <w:textAlignment w:val="baseline"/>
        <w:rPr>
          <w:rFonts w:ascii="Times New Roman" w:eastAsia="Times New Roman" w:hAnsi="Times New Roman" w:cs="Times New Roman"/>
          <w:sz w:val="24"/>
          <w:szCs w:val="24"/>
        </w:rPr>
      </w:pPr>
      <w:r w:rsidRPr="00B51BA6">
        <w:rPr>
          <w:rFonts w:ascii="Times New Roman" w:eastAsia="Times New Roman" w:hAnsi="Times New Roman" w:cs="Times New Roman"/>
          <w:sz w:val="24"/>
          <w:szCs w:val="24"/>
        </w:rPr>
        <w:t>¿En qué se traducen estos complejos fenómenos? Posiblemente el balance del BCE </w:t>
      </w:r>
      <w:r w:rsidRPr="00B51BA6">
        <w:rPr>
          <w:rFonts w:ascii="Times New Roman" w:eastAsia="Times New Roman" w:hAnsi="Times New Roman" w:cs="Times New Roman"/>
          <w:bCs/>
          <w:sz w:val="24"/>
          <w:szCs w:val="24"/>
          <w:bdr w:val="none" w:sz="0" w:space="0" w:color="auto" w:frame="1"/>
        </w:rPr>
        <w:t>haya subido en un billón de euros entre mediados de marzo y primeros de julio</w:t>
      </w:r>
      <w:r w:rsidRPr="00B51BA6">
        <w:rPr>
          <w:rFonts w:ascii="Times New Roman" w:eastAsia="Times New Roman" w:hAnsi="Times New Roman" w:cs="Times New Roman"/>
          <w:sz w:val="24"/>
          <w:szCs w:val="24"/>
        </w:rPr>
        <w:t>. Si observamos el dinero en circulación (M3) sabemos que entre febrero y mayo (últimos datos disponibles) la masa monetaria ha subido en más medio billón de euros o un 9%, uno de los mayores aumentos de la historia (ha venido creciendo entre el 3% y el 5% los últimos años). Con este precedente seguramente cuando conozcamos los datos de mayo y junio observaremos una clara identidad entre el aumento del tamaño del balance del BCE y el dinero en circulación.</w:t>
      </w:r>
    </w:p>
    <w:p w:rsidR="00492EEF" w:rsidRPr="00B51BA6" w:rsidRDefault="00492EEF" w:rsidP="00492EEF">
      <w:pPr>
        <w:shd w:val="clear" w:color="auto" w:fill="FFFFFF"/>
        <w:spacing w:after="0" w:line="240" w:lineRule="auto"/>
        <w:jc w:val="both"/>
        <w:textAlignment w:val="baseline"/>
        <w:rPr>
          <w:rFonts w:ascii="Times New Roman" w:eastAsia="Times New Roman" w:hAnsi="Times New Roman" w:cs="Times New Roman"/>
          <w:sz w:val="24"/>
          <w:szCs w:val="24"/>
        </w:rPr>
      </w:pPr>
      <w:r w:rsidRPr="00B51BA6">
        <w:rPr>
          <w:rFonts w:ascii="Times New Roman" w:eastAsia="Times New Roman" w:hAnsi="Times New Roman" w:cs="Times New Roman"/>
          <w:sz w:val="24"/>
          <w:szCs w:val="24"/>
        </w:rPr>
        <w:t>¿Es solo un fenómeno europeo? En absoluto. </w:t>
      </w:r>
      <w:r w:rsidRPr="00B51BA6">
        <w:rPr>
          <w:rFonts w:ascii="Times New Roman" w:eastAsia="Times New Roman" w:hAnsi="Times New Roman" w:cs="Times New Roman"/>
          <w:bCs/>
          <w:sz w:val="24"/>
          <w:szCs w:val="24"/>
          <w:bdr w:val="none" w:sz="0" w:space="0" w:color="auto" w:frame="1"/>
        </w:rPr>
        <w:t>En EEUU el dinero (M2) crece ya al 25%</w:t>
      </w:r>
      <w:r w:rsidRPr="00B51BA6">
        <w:rPr>
          <w:rFonts w:ascii="Times New Roman" w:eastAsia="Times New Roman" w:hAnsi="Times New Roman" w:cs="Times New Roman"/>
          <w:sz w:val="24"/>
          <w:szCs w:val="24"/>
        </w:rPr>
        <w:t> (el mayor crecimiento en décadas), tal y como puede observarse en el gráfico siguiente:</w:t>
      </w:r>
    </w:p>
    <w:p w:rsidR="00492EEF" w:rsidRPr="00492EEF" w:rsidRDefault="00492EEF" w:rsidP="00492EEF">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492EEF" w:rsidRPr="00492EEF" w:rsidRDefault="00492EEF" w:rsidP="00492EEF">
      <w:pPr>
        <w:shd w:val="clear" w:color="auto" w:fill="FFFFFF"/>
        <w:spacing w:line="240" w:lineRule="auto"/>
        <w:jc w:val="both"/>
        <w:textAlignment w:val="baseline"/>
        <w:rPr>
          <w:rFonts w:ascii="Times New Roman" w:eastAsia="Times New Roman" w:hAnsi="Times New Roman" w:cs="Times New Roman"/>
          <w:color w:val="1A1A1A"/>
          <w:sz w:val="24"/>
          <w:szCs w:val="24"/>
        </w:rPr>
      </w:pPr>
      <w:r w:rsidRPr="00492EEF">
        <w:rPr>
          <w:rFonts w:ascii="Times New Roman" w:eastAsia="Times New Roman" w:hAnsi="Times New Roman" w:cs="Times New Roman"/>
          <w:noProof/>
          <w:color w:val="1A1A1A"/>
          <w:sz w:val="24"/>
          <w:szCs w:val="24"/>
          <w:lang w:val="en-GB" w:eastAsia="zh-CN"/>
        </w:rPr>
        <w:drawing>
          <wp:inline distT="0" distB="0" distL="0" distR="0">
            <wp:extent cx="5765800" cy="2298700"/>
            <wp:effectExtent l="0" t="0" r="6350" b="6350"/>
            <wp:docPr id="485" name="Imagen 485" descr="Masa monetaria. (Fuente: Fed, Bloomberg y Arcano Economic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 monetaria. (Fuente: Fed, Bloomberg y Arcano Economic Research)"/>
                    <pic:cNvPicPr>
                      <a:picLocks noChangeAspect="1" noChangeArrowheads="1"/>
                    </pic:cNvPicPr>
                  </pic:nvPicPr>
                  <pic:blipFill>
                    <a:blip r:embed="rId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5800" cy="2298700"/>
                    </a:xfrm>
                    <a:prstGeom prst="rect">
                      <a:avLst/>
                    </a:prstGeom>
                    <a:noFill/>
                    <a:ln>
                      <a:noFill/>
                    </a:ln>
                  </pic:spPr>
                </pic:pic>
              </a:graphicData>
            </a:graphic>
          </wp:inline>
        </w:drawing>
      </w:r>
      <w:r w:rsidRPr="00492EEF">
        <w:rPr>
          <w:rFonts w:ascii="Times New Roman" w:eastAsia="Times New Roman" w:hAnsi="Times New Roman" w:cs="Times New Roman"/>
          <w:color w:val="1A1A1A"/>
          <w:sz w:val="24"/>
          <w:szCs w:val="24"/>
        </w:rPr>
        <w:t>Masa monetaria. (Fuente: Fed, Bloomberg y Arcano Economic Research)</w:t>
      </w:r>
    </w:p>
    <w:p w:rsidR="00492EEF" w:rsidRPr="00492EEF" w:rsidRDefault="00492EEF" w:rsidP="00492EEF">
      <w:pPr>
        <w:shd w:val="clear" w:color="auto" w:fill="FFFFFF"/>
        <w:spacing w:line="240" w:lineRule="auto"/>
        <w:jc w:val="both"/>
        <w:textAlignment w:val="baseline"/>
        <w:rPr>
          <w:rFonts w:ascii="Times New Roman" w:eastAsia="Times New Roman" w:hAnsi="Times New Roman" w:cs="Times New Roman"/>
          <w:color w:val="1A1A1A"/>
          <w:sz w:val="24"/>
          <w:szCs w:val="24"/>
        </w:rPr>
      </w:pPr>
      <w:r w:rsidRPr="00492EEF">
        <w:rPr>
          <w:rFonts w:ascii="Times New Roman" w:eastAsia="Times New Roman" w:hAnsi="Times New Roman" w:cs="Times New Roman"/>
          <w:color w:val="1A1A1A"/>
          <w:sz w:val="24"/>
          <w:szCs w:val="24"/>
        </w:rPr>
        <w:t>(</w:t>
      </w:r>
      <w:r w:rsidR="00036FDF">
        <w:rPr>
          <w:rFonts w:ascii="Times New Roman" w:eastAsia="Times New Roman" w:hAnsi="Times New Roman" w:cs="Times New Roman"/>
          <w:color w:val="1A1A1A"/>
          <w:sz w:val="24"/>
          <w:szCs w:val="24"/>
        </w:rPr>
        <w:t xml:space="preserve">Fuente: </w:t>
      </w:r>
      <w:r w:rsidRPr="00492EEF">
        <w:rPr>
          <w:rFonts w:ascii="Times New Roman" w:eastAsia="Times New Roman" w:hAnsi="Times New Roman" w:cs="Times New Roman"/>
          <w:color w:val="1A1A1A"/>
          <w:sz w:val="24"/>
          <w:szCs w:val="24"/>
        </w:rPr>
        <w:t xml:space="preserve">El Confidencial - </w:t>
      </w:r>
      <w:r w:rsidRPr="00492EEF">
        <w:rPr>
          <w:rFonts w:ascii="Times New Roman" w:eastAsia="Times New Roman" w:hAnsi="Times New Roman" w:cs="Times New Roman"/>
          <w:b/>
          <w:color w:val="1A1A1A"/>
          <w:sz w:val="24"/>
          <w:szCs w:val="24"/>
        </w:rPr>
        <w:t>9/7/20</w:t>
      </w:r>
      <w:r w:rsidRPr="00492EEF">
        <w:rPr>
          <w:rFonts w:ascii="Times New Roman" w:eastAsia="Times New Roman" w:hAnsi="Times New Roman" w:cs="Times New Roman"/>
          <w:color w:val="1A1A1A"/>
          <w:sz w:val="24"/>
          <w:szCs w:val="24"/>
        </w:rPr>
        <w:t>)</w:t>
      </w:r>
    </w:p>
    <w:p w:rsidR="00492EEF" w:rsidRPr="00492EEF" w:rsidRDefault="00492EEF" w:rsidP="00492EEF">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492EEF">
        <w:rPr>
          <w:rFonts w:ascii="Times New Roman" w:eastAsia="Times New Roman" w:hAnsi="Times New Roman" w:cs="Times New Roman"/>
          <w:color w:val="1A1A1A"/>
          <w:sz w:val="24"/>
          <w:szCs w:val="24"/>
        </w:rPr>
        <w:t>Las consecuencias de que el dinero fluya son profundísimas. La más preocupante es que generará un </w:t>
      </w:r>
      <w:r w:rsidRPr="00492EEF">
        <w:rPr>
          <w:rFonts w:ascii="Times New Roman" w:eastAsia="Times New Roman" w:hAnsi="Times New Roman" w:cs="Times New Roman"/>
          <w:bCs/>
          <w:color w:val="1A1A1A"/>
          <w:sz w:val="24"/>
          <w:szCs w:val="24"/>
          <w:bdr w:val="none" w:sz="0" w:space="0" w:color="auto" w:frame="1"/>
        </w:rPr>
        <w:t>importante riesgo de inflación</w:t>
      </w:r>
      <w:r w:rsidRPr="00492EEF">
        <w:rPr>
          <w:rFonts w:ascii="Times New Roman" w:eastAsia="Times New Roman" w:hAnsi="Times New Roman" w:cs="Times New Roman"/>
          <w:color w:val="1A1A1A"/>
          <w:sz w:val="24"/>
          <w:szCs w:val="24"/>
        </w:rPr>
        <w:t> una vez las economías hayan vuelto a la realidad y la velocidad del dinero se haya normalizado.</w:t>
      </w:r>
    </w:p>
    <w:p w:rsidR="00492EEF" w:rsidRPr="00492EEF" w:rsidRDefault="00492EEF" w:rsidP="00492EEF">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492EEF" w:rsidRDefault="00492EEF" w:rsidP="00492EEF">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492EEF">
        <w:rPr>
          <w:rFonts w:ascii="Times New Roman" w:eastAsia="Times New Roman" w:hAnsi="Times New Roman" w:cs="Times New Roman"/>
          <w:color w:val="1A1A1A"/>
          <w:sz w:val="24"/>
          <w:szCs w:val="24"/>
        </w:rPr>
        <w:t xml:space="preserve">Y los enemigos de la economía real (que no es la dictadura del mercado) se están frotando las manos con esta crisis, como ya lo hicieron en la anterior y, si los más jóvenes no lo remedian, volverán a hacerlo de nuevo, en la próxima, mientras les dejen seguir la fiesta (para ellos), de una economía irreal, dopada, especulativa, de entretenimiento, mendaz, falaz y toxica. </w:t>
      </w:r>
    </w:p>
    <w:p w:rsidR="00B51BA6" w:rsidRDefault="00B51BA6" w:rsidP="00492EEF">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B51BA6">
        <w:rPr>
          <w:rFonts w:ascii="Times New Roman" w:eastAsia="Times New Roman" w:hAnsi="Times New Roman" w:cs="Times New Roman"/>
          <w:color w:val="1A1A1A"/>
          <w:sz w:val="24"/>
          <w:szCs w:val="24"/>
        </w:rPr>
        <w:t xml:space="preserve">- </w:t>
      </w:r>
      <w:r w:rsidRPr="00B51BA6">
        <w:rPr>
          <w:rFonts w:ascii="Times New Roman" w:eastAsia="Times New Roman" w:hAnsi="Times New Roman" w:cs="Times New Roman"/>
          <w:color w:val="1A1A1A"/>
          <w:sz w:val="24"/>
          <w:szCs w:val="24"/>
          <w:u w:val="single"/>
        </w:rPr>
        <w:t>El “efecto Covid” duplicará el balance del BCE hasta el 70% del PIB de la eurozona en 2021</w:t>
      </w:r>
      <w:r w:rsidRPr="00B51BA6">
        <w:rPr>
          <w:rFonts w:ascii="Times New Roman" w:eastAsia="Times New Roman" w:hAnsi="Times New Roman" w:cs="Times New Roman"/>
          <w:color w:val="1A1A1A"/>
          <w:sz w:val="24"/>
          <w:szCs w:val="24"/>
        </w:rPr>
        <w:t xml:space="preserve"> (El Español - </w:t>
      </w:r>
      <w:r w:rsidRPr="00B51BA6">
        <w:rPr>
          <w:rFonts w:ascii="Times New Roman" w:eastAsia="Times New Roman" w:hAnsi="Times New Roman" w:cs="Times New Roman"/>
          <w:b/>
          <w:color w:val="1A1A1A"/>
          <w:sz w:val="24"/>
          <w:szCs w:val="24"/>
        </w:rPr>
        <w:t>14/7/20</w:t>
      </w:r>
      <w:r w:rsidRPr="00B51BA6">
        <w:rPr>
          <w:rFonts w:ascii="Times New Roman" w:eastAsia="Times New Roman" w:hAnsi="Times New Roman" w:cs="Times New Roman"/>
          <w:color w:val="1A1A1A"/>
          <w:sz w:val="24"/>
          <w:szCs w:val="24"/>
        </w:rPr>
        <w:t>)</w:t>
      </w: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51BA6">
        <w:rPr>
          <w:rFonts w:ascii="Times New Roman" w:eastAsia="Times New Roman" w:hAnsi="Times New Roman" w:cs="Times New Roman"/>
          <w:color w:val="FF0000"/>
          <w:sz w:val="24"/>
          <w:szCs w:val="24"/>
          <w:u w:val="single"/>
        </w:rPr>
        <w:t xml:space="preserve">Según Bank of America, los programas del organismo para impulsar la economía provocarán que su balance supere los 8 billones de euros.  </w:t>
      </w: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51BA6">
        <w:rPr>
          <w:rFonts w:ascii="Times New Roman" w:eastAsia="Times New Roman" w:hAnsi="Times New Roman" w:cs="Times New Roman"/>
          <w:color w:val="FF0000"/>
          <w:sz w:val="24"/>
          <w:szCs w:val="24"/>
          <w:u w:val="single"/>
        </w:rPr>
        <w:t>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 por primera vez en la historia.</w:t>
      </w: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51BA6">
        <w:rPr>
          <w:rFonts w:ascii="Times New Roman" w:eastAsia="Times New Roman" w:hAnsi="Times New Roman" w:cs="Times New Roman"/>
          <w:color w:val="FF0000"/>
          <w:sz w:val="24"/>
          <w:szCs w:val="24"/>
          <w:u w:val="single"/>
        </w:rPr>
        <w:t>La cifra que refleja el estado financiero del eurosistema cobra más envergadura si se tiene en cuenta que, a finales de febrero, justo antes del inicio de la pandemia, rondaba los 4,6 billones de euros</w:t>
      </w:r>
      <w:r w:rsidRPr="00B51BA6">
        <w:rPr>
          <w:rFonts w:ascii="Times New Roman" w:eastAsia="Times New Roman" w:hAnsi="Times New Roman" w:cs="Times New Roman"/>
          <w:color w:val="1A1A1A"/>
          <w:sz w:val="24"/>
          <w:szCs w:val="24"/>
        </w:rPr>
        <w:t xml:space="preserve">. </w:t>
      </w:r>
      <w:r w:rsidRPr="00B51BA6">
        <w:rPr>
          <w:rFonts w:ascii="Times New Roman" w:eastAsia="Times New Roman" w:hAnsi="Times New Roman" w:cs="Times New Roman"/>
          <w:color w:val="FF0000"/>
          <w:sz w:val="24"/>
          <w:szCs w:val="24"/>
          <w:u w:val="single"/>
        </w:rPr>
        <w:t>Y los analistas de Bank of America, que realizan previsiones periódicas sobre la evolución del “activo” y del “pasivo” del organismo para calcular también la evolución de la inflación, apuntan a que la cifra superará los 8 billones de euros el próximo año.</w:t>
      </w: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492EEF"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B51BA6">
        <w:rPr>
          <w:rFonts w:ascii="Times New Roman" w:eastAsia="Times New Roman" w:hAnsi="Times New Roman" w:cs="Times New Roman"/>
          <w:color w:val="FF0000"/>
          <w:sz w:val="24"/>
          <w:szCs w:val="24"/>
          <w:u w:val="single"/>
        </w:rPr>
        <w:t>Es decir, desde el inicio de la pandemia y hasta 2021, el BCE habrá casi duplicado su balance como consecuencia de los programas puestos en marcha para paliar la crisis, suponiendo al final del periodo un 70% del PIB de toda la eurozona</w:t>
      </w:r>
      <w:r w:rsidRPr="00B51BA6">
        <w:rPr>
          <w:rFonts w:ascii="Times New Roman" w:eastAsia="Times New Roman" w:hAnsi="Times New Roman" w:cs="Times New Roman"/>
          <w:color w:val="1A1A1A"/>
          <w:sz w:val="24"/>
          <w:szCs w:val="24"/>
        </w:rPr>
        <w:t>. El ritmo de crecimiento será mucho mayor que en cualquier otro banco central del mundo, incluido el de Japón…</w:t>
      </w:r>
    </w:p>
    <w:p w:rsid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212529"/>
          <w:sz w:val="24"/>
          <w:szCs w:val="24"/>
        </w:rPr>
      </w:pPr>
      <w:r>
        <w:rPr>
          <w:rFonts w:ascii="Times New Roman" w:eastAsia="Times New Roman" w:hAnsi="Times New Roman" w:cs="Times New Roman"/>
          <w:color w:val="1A1A1A"/>
          <w:sz w:val="24"/>
          <w:szCs w:val="24"/>
        </w:rPr>
        <w:t>-------</w:t>
      </w:r>
      <w:r w:rsidRPr="00492EEF">
        <w:rPr>
          <w:rFonts w:ascii="Times New Roman" w:eastAsia="Times New Roman" w:hAnsi="Times New Roman" w:cs="Times New Roman"/>
          <w:noProof/>
          <w:color w:val="212529"/>
          <w:sz w:val="24"/>
          <w:szCs w:val="24"/>
          <w:lang w:val="en-GB" w:eastAsia="zh-CN"/>
        </w:rPr>
        <w:drawing>
          <wp:inline distT="0" distB="0" distL="0" distR="0">
            <wp:extent cx="5715000" cy="2482850"/>
            <wp:effectExtent l="0" t="0" r="0" b="0"/>
            <wp:docPr id="488" name="Imagen 488" descr="https://s03.s3c.es/imag/_v0/770x492/c/2/6/eurozona-oferta-monet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92/c/2/6/eurozona-oferta-monetaria.jpg"/>
                    <pic:cNvPicPr>
                      <a:picLocks noChangeAspect="1" noChangeArrowheads="1"/>
                    </pic:cNvPicPr>
                  </pic:nvPicPr>
                  <pic:blipFill>
                    <a:blip r:embed="rId3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482850"/>
                    </a:xfrm>
                    <a:prstGeom prst="rect">
                      <a:avLst/>
                    </a:prstGeom>
                    <a:noFill/>
                    <a:ln>
                      <a:noFill/>
                    </a:ln>
                  </pic:spPr>
                </pic:pic>
              </a:graphicData>
            </a:graphic>
          </wp:inline>
        </w:drawing>
      </w:r>
      <w:r w:rsidRPr="00B51BA6">
        <w:rPr>
          <w:rFonts w:ascii="Times New Roman" w:eastAsia="Times New Roman" w:hAnsi="Times New Roman" w:cs="Times New Roman"/>
          <w:color w:val="212529"/>
          <w:sz w:val="24"/>
          <w:szCs w:val="24"/>
        </w:rPr>
        <w:t>Crecimiento de la oferta monetaria M3 en la zona euro a tasa interanual</w:t>
      </w: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492EEF">
        <w:rPr>
          <w:rFonts w:ascii="Times New Roman" w:eastAsia="Times New Roman" w:hAnsi="Times New Roman" w:cs="Times New Roman"/>
          <w:noProof/>
          <w:color w:val="212529"/>
          <w:sz w:val="24"/>
          <w:szCs w:val="24"/>
          <w:lang w:val="en-GB" w:eastAsia="zh-CN"/>
        </w:rPr>
        <w:drawing>
          <wp:inline distT="0" distB="0" distL="0" distR="0">
            <wp:extent cx="5683250" cy="2635250"/>
            <wp:effectExtent l="0" t="0" r="0" b="0"/>
            <wp:docPr id="489" name="Imagen 489" descr="https://s03.s3c.es/imag/_v0/770x472/a/e/1/estados-uni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72/a/e/1/estados-unidos.jpg"/>
                    <pic:cNvPicPr>
                      <a:picLocks noChangeAspect="1" noChangeArrowheads="1"/>
                    </pic:cNvPicPr>
                  </pic:nvPicPr>
                  <pic:blipFill>
                    <a:blip r:embed="rId3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2635250"/>
                    </a:xfrm>
                    <a:prstGeom prst="rect">
                      <a:avLst/>
                    </a:prstGeom>
                    <a:noFill/>
                    <a:ln>
                      <a:noFill/>
                    </a:ln>
                  </pic:spPr>
                </pic:pic>
              </a:graphicData>
            </a:graphic>
          </wp:inline>
        </w:drawing>
      </w:r>
      <w:r w:rsidRPr="00B51BA6">
        <w:rPr>
          <w:rFonts w:ascii="Times New Roman" w:eastAsia="Times New Roman" w:hAnsi="Times New Roman" w:cs="Times New Roman"/>
          <w:color w:val="212529"/>
          <w:sz w:val="24"/>
          <w:szCs w:val="24"/>
        </w:rPr>
        <w:t>Crecimiento de la oferta monetaria M2 en EEUU a tasa interanual</w:t>
      </w:r>
    </w:p>
    <w:p w:rsidR="00B51BA6" w:rsidRDefault="00B51BA6" w:rsidP="00B51BA6">
      <w:pPr>
        <w:shd w:val="clear" w:color="auto" w:fill="FFFFFF"/>
        <w:spacing w:after="0" w:line="240" w:lineRule="auto"/>
        <w:jc w:val="both"/>
        <w:textAlignment w:val="baseline"/>
        <w:rPr>
          <w:rFonts w:ascii="Times New Roman" w:hAnsi="Times New Roman" w:cs="Times New Roman"/>
          <w:spacing w:val="-1"/>
          <w:sz w:val="24"/>
          <w:szCs w:val="24"/>
        </w:rPr>
      </w:pPr>
    </w:p>
    <w:p w:rsidR="00B51BA6" w:rsidRPr="00B51BA6" w:rsidRDefault="00B51BA6" w:rsidP="00B51BA6">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B51BA6">
        <w:rPr>
          <w:rFonts w:ascii="Times New Roman" w:hAnsi="Times New Roman" w:cs="Times New Roman"/>
          <w:spacing w:val="-1"/>
          <w:sz w:val="24"/>
          <w:szCs w:val="24"/>
        </w:rPr>
        <w:t>L</w:t>
      </w:r>
      <w:r w:rsidRPr="00B51BA6">
        <w:rPr>
          <w:rFonts w:ascii="Times New Roman" w:eastAsia="Times New Roman" w:hAnsi="Times New Roman" w:cs="Times New Roman"/>
          <w:spacing w:val="-1"/>
          <w:sz w:val="24"/>
          <w:szCs w:val="24"/>
        </w:rPr>
        <w:t>a oferta de dinero o monetaria (impulsada por las operaciones de los bancos centrales, el crédito y el gasto público) </w:t>
      </w:r>
      <w:r w:rsidRPr="00B51BA6">
        <w:rPr>
          <w:rFonts w:ascii="Times New Roman" w:eastAsia="Times New Roman" w:hAnsi="Times New Roman" w:cs="Times New Roman"/>
          <w:bCs/>
          <w:spacing w:val="-1"/>
          <w:sz w:val="24"/>
          <w:szCs w:val="24"/>
        </w:rPr>
        <w:t>está creciendo al mayor ritmo de la historia</w:t>
      </w:r>
      <w:r w:rsidRPr="00B51BA6">
        <w:rPr>
          <w:rFonts w:ascii="Times New Roman" w:eastAsia="Times New Roman" w:hAnsi="Times New Roman" w:cs="Times New Roman"/>
          <w:spacing w:val="-1"/>
          <w:sz w:val="24"/>
          <w:szCs w:val="24"/>
        </w:rPr>
        <w:t> moderna en EEUU o Reino Unido y a tasas no vistas en más de una década en Europa. La intervención masiva de los gobiernos apoyando la economía y ofreciendo avales a los bancos para que concedan crédito ha llevado a que </w:t>
      </w:r>
      <w:r w:rsidRPr="00B51BA6">
        <w:rPr>
          <w:rFonts w:ascii="Times New Roman" w:eastAsia="Times New Roman" w:hAnsi="Times New Roman" w:cs="Times New Roman"/>
          <w:bCs/>
          <w:spacing w:val="-1"/>
          <w:sz w:val="24"/>
          <w:szCs w:val="24"/>
        </w:rPr>
        <w:t>el agregado monetario M2</w:t>
      </w:r>
      <w:r w:rsidRPr="00B51BA6">
        <w:rPr>
          <w:rFonts w:ascii="Times New Roman" w:eastAsia="Times New Roman" w:hAnsi="Times New Roman" w:cs="Times New Roman"/>
          <w:spacing w:val="-1"/>
          <w:sz w:val="24"/>
          <w:szCs w:val="24"/>
        </w:rPr>
        <w:t> en EEUU se dispare un 23% interanual, mientras que el M3 en la zona euro crece a un ritmo cercano al 9%.</w:t>
      </w:r>
    </w:p>
    <w:p w:rsidR="00B51BA6" w:rsidRDefault="00B51BA6" w:rsidP="006E5D75">
      <w:pPr>
        <w:pStyle w:val="NormalWeb"/>
        <w:shd w:val="clear" w:color="auto" w:fill="FFFFFF"/>
        <w:jc w:val="both"/>
        <w:rPr>
          <w:rFonts w:asciiTheme="majorHAnsi" w:eastAsiaTheme="majorEastAsia" w:hAnsiTheme="majorHAnsi" w:cstheme="majorBidi"/>
          <w:bCs/>
        </w:rPr>
      </w:pPr>
    </w:p>
    <w:p w:rsidR="006E5D75" w:rsidRPr="00FE130B" w:rsidRDefault="006E5D75" w:rsidP="006E5D75">
      <w:pPr>
        <w:pStyle w:val="NormalWeb"/>
        <w:shd w:val="clear" w:color="auto" w:fill="FFFFFF"/>
        <w:jc w:val="both"/>
        <w:rPr>
          <w:b/>
        </w:rPr>
      </w:pPr>
      <w:r w:rsidRPr="00FE130B">
        <w:rPr>
          <w:b/>
        </w:rPr>
        <w:t xml:space="preserve">- Represión financiera (socialización de las pérdidas - castigo al ahorro) </w:t>
      </w:r>
    </w:p>
    <w:p w:rsidR="006E5D75" w:rsidRDefault="006E5D75" w:rsidP="006E5D75">
      <w:pPr>
        <w:pStyle w:val="NormalWeb"/>
        <w:shd w:val="clear" w:color="auto" w:fill="FFFFFF"/>
        <w:jc w:val="both"/>
        <w:rPr>
          <w:color w:val="000000"/>
        </w:rPr>
      </w:pPr>
      <w:r w:rsidRPr="00581FC4">
        <w:rPr>
          <w:noProof/>
          <w:color w:val="000000"/>
          <w:lang w:val="en-GB" w:eastAsia="zh-CN"/>
        </w:rPr>
        <w:drawing>
          <wp:inline distT="0" distB="0" distL="0" distR="0">
            <wp:extent cx="5401429" cy="3353268"/>
            <wp:effectExtent l="0" t="0" r="889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401429" cy="3353268"/>
                    </a:xfrm>
                    <a:prstGeom prst="rect">
                      <a:avLst/>
                    </a:prstGeom>
                  </pic:spPr>
                </pic:pic>
              </a:graphicData>
            </a:graphic>
          </wp:inline>
        </w:drawing>
      </w:r>
      <w:r w:rsidRPr="00B01B0F">
        <w:rPr>
          <w:color w:val="000000"/>
        </w:rPr>
        <w:t> </w:t>
      </w:r>
    </w:p>
    <w:p w:rsidR="006E5D75" w:rsidRDefault="006E5D75" w:rsidP="006E5D75">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val="en-GB" w:eastAsia="zh-CN"/>
        </w:rPr>
        <w:drawing>
          <wp:inline distT="0" distB="0" distL="0" distR="0">
            <wp:extent cx="2716306" cy="3697941"/>
            <wp:effectExtent l="0" t="0" r="825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2716022" cy="3697554"/>
                    </a:xfrm>
                    <a:prstGeom prst="rect">
                      <a:avLst/>
                    </a:prstGeom>
                  </pic:spPr>
                </pic:pic>
              </a:graphicData>
            </a:graphic>
          </wp:inline>
        </w:drawing>
      </w:r>
      <w:r w:rsidRPr="00581FC4">
        <w:rPr>
          <w:rFonts w:ascii="Times New Roman" w:hAnsi="Times New Roman" w:cs="Times New Roman"/>
          <w:noProof/>
          <w:sz w:val="24"/>
          <w:szCs w:val="24"/>
          <w:lang w:val="en-GB" w:eastAsia="zh-CN"/>
        </w:rPr>
        <w:drawing>
          <wp:inline distT="0" distB="0" distL="0" distR="0">
            <wp:extent cx="2762600" cy="3583642"/>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2762636" cy="3583688"/>
                    </a:xfrm>
                    <a:prstGeom prst="rect">
                      <a:avLst/>
                    </a:prstGeom>
                  </pic:spPr>
                </pic:pic>
              </a:graphicData>
            </a:graphic>
          </wp:inline>
        </w:drawing>
      </w:r>
    </w:p>
    <w:p w:rsidR="006E5D75" w:rsidRDefault="006E5D75" w:rsidP="006E5D75">
      <w:pPr>
        <w:pStyle w:val="NormalWeb"/>
        <w:shd w:val="clear" w:color="auto" w:fill="FFFFFF"/>
        <w:jc w:val="both"/>
      </w:pPr>
      <w:r w:rsidRPr="007557F1">
        <w:rPr>
          <w:noProof/>
          <w:color w:val="000000"/>
          <w:lang w:val="en-GB" w:eastAsia="zh-CN"/>
        </w:rPr>
        <w:drawing>
          <wp:inline distT="0" distB="0" distL="0" distR="0">
            <wp:extent cx="5661212" cy="4585447"/>
            <wp:effectExtent l="0" t="0" r="0" b="5715"/>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658640" cy="4583364"/>
                    </a:xfrm>
                    <a:prstGeom prst="rect">
                      <a:avLst/>
                    </a:prstGeom>
                  </pic:spPr>
                </pic:pic>
              </a:graphicData>
            </a:graphic>
          </wp:inline>
        </w:drawing>
      </w:r>
      <w:r>
        <w:t xml:space="preserve">Fuente: La política monetaria durante la “Gran Recesión” (Fructuoso Borrallo Egea - Tesis Doctoral 2016 - Universidad de Sevilla - </w:t>
      </w:r>
      <w:r w:rsidRPr="00897B8A">
        <w:rPr>
          <w:b/>
        </w:rPr>
        <w:t>Septiembre 2016</w:t>
      </w:r>
      <w:r>
        <w:t>)</w:t>
      </w:r>
    </w:p>
    <w:p w:rsidR="006E5D75" w:rsidRDefault="006E5D75" w:rsidP="006E5D75">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val="en-GB" w:eastAsia="zh-CN"/>
        </w:rPr>
        <w:drawing>
          <wp:inline distT="0" distB="0" distL="0" distR="0">
            <wp:extent cx="5580529" cy="3032312"/>
            <wp:effectExtent l="0" t="0" r="127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582429" cy="3033344"/>
                    </a:xfrm>
                    <a:prstGeom prst="rect">
                      <a:avLst/>
                    </a:prstGeom>
                  </pic:spPr>
                </pic:pic>
              </a:graphicData>
            </a:graphic>
          </wp:inline>
        </w:drawing>
      </w:r>
    </w:p>
    <w:p w:rsidR="006E5D75" w:rsidRDefault="006E5D75" w:rsidP="006E5D75">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6E5D75" w:rsidRPr="00FE130B" w:rsidRDefault="006E5D75" w:rsidP="006E5D75">
      <w:pPr>
        <w:pStyle w:val="NormalWeb"/>
        <w:shd w:val="clear" w:color="auto" w:fill="FFFFFF"/>
        <w:jc w:val="both"/>
      </w:pPr>
      <w:r w:rsidRPr="00FE130B">
        <w:rPr>
          <w:b/>
          <w:shd w:val="clear" w:color="auto" w:fill="FFFFFF"/>
        </w:rPr>
        <w:t>El dulce porvenir: tipos de interés negativos, ¿sí o no?</w:t>
      </w:r>
    </w:p>
    <w:p w:rsidR="006E5D75" w:rsidRPr="002D06C6" w:rsidRDefault="006E5D75" w:rsidP="006E5D75">
      <w:pPr>
        <w:spacing w:line="240" w:lineRule="auto"/>
        <w:jc w:val="both"/>
        <w:rPr>
          <w:rFonts w:ascii="Times New Roman" w:hAnsi="Times New Roman" w:cs="Times New Roman"/>
          <w:b/>
          <w:color w:val="FF0000"/>
          <w:sz w:val="24"/>
          <w:szCs w:val="24"/>
          <w:shd w:val="clear" w:color="auto" w:fill="FFFFFF"/>
        </w:rPr>
      </w:pPr>
      <w:r>
        <w:rPr>
          <w:noProof/>
          <w:lang w:val="en-GB" w:eastAsia="zh-CN"/>
        </w:rPr>
        <w:drawing>
          <wp:inline distT="0" distB="0" distL="0" distR="0">
            <wp:extent cx="5728447" cy="2030506"/>
            <wp:effectExtent l="0" t="0" r="5715" b="8255"/>
            <wp:docPr id="271" name="Imagen 271" descr="https://s03.s3c.es/imag/_v0/770x393/f/1/4/tipos-fed-b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93/f/1/4/tipos-fed-boe.jpg"/>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031592"/>
                    </a:xfrm>
                    <a:prstGeom prst="rect">
                      <a:avLst/>
                    </a:prstGeom>
                    <a:noFill/>
                    <a:ln>
                      <a:noFill/>
                    </a:ln>
                  </pic:spPr>
                </pic:pic>
              </a:graphicData>
            </a:graphic>
          </wp:inline>
        </w:drawing>
      </w:r>
    </w:p>
    <w:p w:rsidR="006E5D75" w:rsidRPr="00B074FC" w:rsidRDefault="006E5D75" w:rsidP="006E5D75">
      <w:pPr>
        <w:spacing w:line="240" w:lineRule="auto"/>
        <w:jc w:val="both"/>
        <w:rPr>
          <w:rFonts w:ascii="Times New Roman" w:hAnsi="Times New Roman" w:cs="Times New Roman"/>
          <w:sz w:val="24"/>
          <w:szCs w:val="24"/>
          <w:shd w:val="clear" w:color="auto" w:fill="FFFFFF"/>
        </w:rPr>
      </w:pPr>
      <w:r w:rsidRPr="00B074FC">
        <w:rPr>
          <w:rFonts w:ascii="Times New Roman" w:hAnsi="Times New Roman" w:cs="Times New Roman"/>
          <w:sz w:val="24"/>
          <w:szCs w:val="24"/>
          <w:shd w:val="clear" w:color="auto" w:fill="FFFFFF"/>
        </w:rPr>
        <w:t>La crisis del coronavirus ha llevado a gobiernos y bancos centrales a dar varios pasos más en sus políticas para amortiguar el duro golpe que está sufriendo la economía. Aunque las políticas que están adoptando las instituciones no tienen precedentes en muchos casos, los bancos centrales de EEUU y Reino Unido no han querido ir más allá con los tipos de interés de lo que fueron durante la Gran Recesión de 2008-2009. La Fed y el Banco de Inglaterra, por ahora, se niegan a cruzar la frontera y llevar los tipos de interés oficiales a terreno negativo. Aunque quizá sea inevitable y terminen dando el paso final, parece que los países que han decidido adentrarse en el mundo de los tipos negativos son incapaces de volver a la normalidad monetaria. Sin embargo, bancos centrales como el BCE defienden que esta política ha sido clave para evitar la deflación y estimular el crecimiento ec</w:t>
      </w:r>
      <w:r>
        <w:rPr>
          <w:rFonts w:ascii="Times New Roman" w:hAnsi="Times New Roman" w:cs="Times New Roman"/>
          <w:sz w:val="24"/>
          <w:szCs w:val="24"/>
          <w:shd w:val="clear" w:color="auto" w:fill="FFFFFF"/>
        </w:rPr>
        <w:t xml:space="preserve">onómico. </w:t>
      </w:r>
    </w:p>
    <w:p w:rsidR="006E5D75" w:rsidRDefault="006E5D75" w:rsidP="006E5D75">
      <w:pPr>
        <w:pStyle w:val="NormalWeb"/>
        <w:shd w:val="clear" w:color="auto" w:fill="FFFFFF"/>
        <w:jc w:val="both"/>
        <w:rPr>
          <w:color w:val="000000"/>
        </w:rPr>
      </w:pPr>
      <w:r>
        <w:rPr>
          <w:color w:val="000000"/>
        </w:rPr>
        <w:t>Dicen que, cuando un gato se quemó con leche… ve una vaca y sale corriendo (“rajando”). Eso mismo me ocurre cuando leo sobre tasas de interés negativas, o inflación provocada para licuar pasivos (públicos y privados), o alentar la demanda (sic).</w:t>
      </w:r>
    </w:p>
    <w:p w:rsidR="006E5D75" w:rsidRDefault="006E5D75" w:rsidP="006E5D75">
      <w:pPr>
        <w:pStyle w:val="NormalWeb"/>
        <w:shd w:val="clear" w:color="auto" w:fill="FFFFFF"/>
        <w:jc w:val="both"/>
        <w:rPr>
          <w:color w:val="000000"/>
        </w:rPr>
      </w:pPr>
      <w:r>
        <w:rPr>
          <w:color w:val="000000"/>
        </w:rPr>
        <w:t>Como argentino de origen y padecimiento, y después de más de 30 años de exilio europeo voluntario, igual que los alemanes que vivieron la hiperinflación, aún mantengo un miedo cerval a la inflación (mecanismo oficial de prostitución monetaria, donde los precios suben por el ascensor, mientras los salarios suben por la escalera), a las tasas de interés que penalizan el ahorro (represión financiera), y a todo sistema de afeite o falsificación fiscal.</w:t>
      </w:r>
    </w:p>
    <w:p w:rsidR="006E5D75" w:rsidRDefault="006E5D75" w:rsidP="006E5D75">
      <w:pPr>
        <w:pStyle w:val="NormalWeb"/>
        <w:shd w:val="clear" w:color="auto" w:fill="FFFFFF"/>
        <w:jc w:val="both"/>
        <w:rPr>
          <w:color w:val="000000"/>
        </w:rPr>
      </w:pPr>
      <w:r>
        <w:rPr>
          <w:color w:val="000000"/>
        </w:rPr>
        <w:t>Muchos de los grandes bonetes (nobelados o noveleros), que juegan con los modelos econométricos, nunca han vivido en un país que ha padecido (o padece) la lacra de la inflación, no han visto cómo sus ahorros se evaporan, cómo sus salarios pierden poder adquisitivo, cómo sus pensiones se devalúan. No han perdido la confianza en la moneda de su país, no han tenido que comprar moneda extranjera (dólares, euros, francos suizos…) para cubrirse del deterioro inflacionario, no han vivido la experiencia de operar con dos monedas: el dólar para hacer los cálculos económicos, contratos, compras de propiedades, alquileres…, y la moneda del país para cobrar sus salarios (menguantes), pagar las deudas (que no están dolarizadas), los impuestos, los servicios públicos y los gastos menores.</w:t>
      </w:r>
    </w:p>
    <w:p w:rsidR="005E7E64" w:rsidRDefault="006E5D75" w:rsidP="006E5D75">
      <w:pPr>
        <w:pStyle w:val="NormalWeb"/>
        <w:shd w:val="clear" w:color="auto" w:fill="FFFFFF"/>
        <w:jc w:val="both"/>
        <w:rPr>
          <w:color w:val="000000"/>
        </w:rPr>
      </w:pPr>
      <w:r>
        <w:rPr>
          <w:color w:val="000000"/>
        </w:rPr>
        <w:t xml:space="preserve">Si de algo sirve mi experiencia extrema, puedo asegurarles que la inflación es una guerra “sin armas”, donde los más afectados (como en casi todas las guerras) suelen ser los más pobres. Aquellos que no tienen poder de negociación, que no les pueden pasar el muerto (de la inflación) a otros, que están pegados a un salario, a una pensión, a un alquiler, al plazo fijo…  </w:t>
      </w:r>
    </w:p>
    <w:p w:rsidR="005E7E64" w:rsidRPr="005F116B" w:rsidRDefault="005E7E64" w:rsidP="005E7E64">
      <w:pPr>
        <w:spacing w:line="240" w:lineRule="auto"/>
        <w:jc w:val="both"/>
        <w:rPr>
          <w:rFonts w:ascii="Times New Roman" w:hAnsi="Times New Roman" w:cs="Times New Roman"/>
          <w:b/>
          <w:sz w:val="24"/>
          <w:szCs w:val="24"/>
        </w:rPr>
      </w:pPr>
      <w:r w:rsidRPr="005F116B">
        <w:rPr>
          <w:rFonts w:ascii="Times New Roman" w:hAnsi="Times New Roman" w:cs="Times New Roman"/>
          <w:b/>
          <w:sz w:val="24"/>
          <w:szCs w:val="24"/>
        </w:rPr>
        <w:t xml:space="preserve">- Lo que en realidad importa </w:t>
      </w:r>
      <w:r w:rsidR="00196CF7">
        <w:rPr>
          <w:rFonts w:ascii="Times New Roman" w:hAnsi="Times New Roman" w:cs="Times New Roman"/>
          <w:b/>
          <w:sz w:val="24"/>
          <w:szCs w:val="24"/>
        </w:rPr>
        <w:t>(la mano que mece la cuna)</w:t>
      </w:r>
    </w:p>
    <w:p w:rsidR="005E7E64" w:rsidRDefault="005E7E64" w:rsidP="005E7E64">
      <w:pPr>
        <w:spacing w:line="240" w:lineRule="auto"/>
        <w:jc w:val="both"/>
        <w:rPr>
          <w:rFonts w:ascii="Times New Roman" w:hAnsi="Times New Roman" w:cs="Times New Roman"/>
          <w:color w:val="FF0000"/>
          <w:sz w:val="24"/>
          <w:szCs w:val="24"/>
          <w:u w:val="single"/>
        </w:rPr>
      </w:pPr>
      <w:r>
        <w:rPr>
          <w:noProof/>
          <w:lang w:val="en-GB" w:eastAsia="zh-CN"/>
        </w:rPr>
        <w:drawing>
          <wp:inline distT="0" distB="0" distL="0" distR="0">
            <wp:extent cx="5726931" cy="3005418"/>
            <wp:effectExtent l="0" t="0" r="7620" b="5080"/>
            <wp:docPr id="49" name="Imagen 49" descr="op_janeway5_robertsrobGetty Images_earthdisintig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_janeway5_robertsrobGetty Images_earthdisintigrating"/>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07821"/>
                    </a:xfrm>
                    <a:prstGeom prst="rect">
                      <a:avLst/>
                    </a:prstGeom>
                    <a:noFill/>
                    <a:ln>
                      <a:noFill/>
                    </a:ln>
                  </pic:spPr>
                </pic:pic>
              </a:graphicData>
            </a:graphic>
          </wp:inline>
        </w:drawing>
      </w:r>
    </w:p>
    <w:p w:rsidR="005E7E64" w:rsidRDefault="005E7E64" w:rsidP="005E7E64">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otra perspectiva</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Michael Pettis y </w:t>
      </w:r>
      <w:r w:rsidRPr="00CB18B4">
        <w:rPr>
          <w:rFonts w:ascii="Times New Roman" w:hAnsi="Times New Roman" w:cs="Times New Roman"/>
          <w:sz w:val="24"/>
          <w:szCs w:val="24"/>
        </w:rPr>
        <w:t>Matthew C. Klein</w:t>
      </w:r>
      <w:r>
        <w:rPr>
          <w:rFonts w:ascii="Times New Roman" w:hAnsi="Times New Roman" w:cs="Times New Roman"/>
          <w:sz w:val="24"/>
          <w:szCs w:val="24"/>
        </w:rPr>
        <w:t>, autores del libro “Trade wars are class wars”,</w:t>
      </w:r>
      <w:r w:rsidRPr="00CB18B4">
        <w:rPr>
          <w:rFonts w:ascii="Times New Roman" w:hAnsi="Times New Roman" w:cs="Times New Roman"/>
          <w:sz w:val="24"/>
          <w:szCs w:val="24"/>
        </w:rPr>
        <w:t xml:space="preserve"> publicado por Yale University Press</w:t>
      </w:r>
      <w:r>
        <w:rPr>
          <w:rFonts w:ascii="Times New Roman" w:hAnsi="Times New Roman" w:cs="Times New Roman"/>
          <w:sz w:val="24"/>
          <w:szCs w:val="24"/>
        </w:rPr>
        <w:t xml:space="preserve">, arrancan la obra </w:t>
      </w:r>
      <w:r w:rsidRPr="00CB18B4">
        <w:rPr>
          <w:rFonts w:ascii="Times New Roman" w:hAnsi="Times New Roman" w:cs="Times New Roman"/>
          <w:sz w:val="24"/>
          <w:szCs w:val="24"/>
        </w:rPr>
        <w:t>con una cita del economista britá</w:t>
      </w:r>
      <w:r>
        <w:rPr>
          <w:rFonts w:ascii="Times New Roman" w:hAnsi="Times New Roman" w:cs="Times New Roman"/>
          <w:sz w:val="24"/>
          <w:szCs w:val="24"/>
        </w:rPr>
        <w:t>nico John Hobson y de su libro “Imperialism, a study”</w:t>
      </w:r>
      <w:r w:rsidRPr="00CB18B4">
        <w:rPr>
          <w:rFonts w:ascii="Times New Roman" w:hAnsi="Times New Roman" w:cs="Times New Roman"/>
          <w:sz w:val="24"/>
          <w:szCs w:val="24"/>
        </w:rPr>
        <w:t>, publicado en 1902, que resume bastante bien el espíritu del libro: “Cuando la distribución de los ingresos es tal que permite que todas las clases de la nación conviertan sus necesidades en una demanda efectiva de productos básicos, no puede haber sobreproducción, no hay subempleo de capital y trabajo y no hay necesidad de luchar por mercados extranjeros... La lucha por los mercados, el mayor afán de los productores por vender que el de los consumidores por comprar, es la prueba de una falsa economía. El imperialismo es el fruto de esta falsa economía”.</w:t>
      </w:r>
    </w:p>
    <w:p w:rsidR="005E7E64" w:rsidRDefault="005E7E64" w:rsidP="005E7E64">
      <w:pPr>
        <w:spacing w:line="240" w:lineRule="auto"/>
        <w:jc w:val="both"/>
        <w:rPr>
          <w:rFonts w:ascii="Times New Roman" w:hAnsi="Times New Roman" w:cs="Times New Roman"/>
          <w:sz w:val="24"/>
          <w:szCs w:val="24"/>
        </w:rPr>
      </w:pPr>
      <w:r w:rsidRPr="00CB18B4">
        <w:rPr>
          <w:rFonts w:ascii="Times New Roman" w:hAnsi="Times New Roman" w:cs="Times New Roman"/>
          <w:sz w:val="24"/>
          <w:szCs w:val="24"/>
        </w:rPr>
        <w:t>Básicamente, lo que apunta en la cita, y lo que subraya el libro, es que estamos pensando al revés. Se señala a la globalización como la responsable de que las clases medias y las trabajadoras occidentales hayan caído en la escala social y cuenten cada vez con menos recursos, pero la realidad es la inversa: es precisamente la desestructuración interna la que ha conducido a que la globalización se dispare.</w:t>
      </w:r>
    </w:p>
    <w:p w:rsidR="005E7E64" w:rsidRPr="00CB18B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Esteban Hernández, en un artículo publicado en El Confidencial (</w:t>
      </w:r>
      <w:r w:rsidRPr="003F5222">
        <w:rPr>
          <w:rFonts w:ascii="Times New Roman" w:hAnsi="Times New Roman" w:cs="Times New Roman"/>
          <w:b/>
          <w:sz w:val="24"/>
          <w:szCs w:val="24"/>
        </w:rPr>
        <w:t>6/7/20</w:t>
      </w:r>
      <w:r>
        <w:rPr>
          <w:rFonts w:ascii="Times New Roman" w:hAnsi="Times New Roman" w:cs="Times New Roman"/>
          <w:sz w:val="24"/>
          <w:szCs w:val="24"/>
        </w:rPr>
        <w:t>), señala que: “e</w:t>
      </w:r>
      <w:r w:rsidRPr="00CB18B4">
        <w:rPr>
          <w:rFonts w:ascii="Times New Roman" w:hAnsi="Times New Roman" w:cs="Times New Roman"/>
          <w:sz w:val="24"/>
          <w:szCs w:val="24"/>
        </w:rPr>
        <w:t>sa es la clave de bóveda del texto: los desequilibrios internos en los países, que han provocado transferencias de riqueza hacia las clases con más recursos y que han deteriorado el nivel de vida de los trabajadores y las clases medias, han generado profundos efectos negativos en el ámbito internacional. Puesto que la mayoría de los ciudadanos, al no contar con recursos suficientes, no pueden consumir los bienes que necesitan, las clases acomodadas, que tienen capitales excedentes, no los reinvierten en su país, ya que no encontrarán rentabilidad, por lo que optan por buscar otros mercados. Esto es lo que decía Hobson hace un siglo: los superávits de capital que no pueden encontrar inversiones sólidas en su Estado son la explicación central del imperialismo europeo y estadounidense. Y esto es lo que está ocurriendo ahora, según los autores</w:t>
      </w:r>
      <w:r>
        <w:rPr>
          <w:rFonts w:ascii="Times New Roman" w:hAnsi="Times New Roman" w:cs="Times New Roman"/>
          <w:sz w:val="24"/>
          <w:szCs w:val="24"/>
        </w:rPr>
        <w:t>”…</w:t>
      </w:r>
    </w:p>
    <w:p w:rsidR="005E7E64" w:rsidRPr="00CB18B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Las empresas alemanas</w:t>
      </w:r>
      <w:r w:rsidRPr="00CB18B4">
        <w:rPr>
          <w:rFonts w:ascii="Times New Roman" w:hAnsi="Times New Roman" w:cs="Times New Roman"/>
          <w:sz w:val="24"/>
          <w:szCs w:val="24"/>
        </w:rPr>
        <w:t xml:space="preserve"> aumentaron su rentabilidad a expensas de los empleados, al reducir los salarios y la inversión de capital en los hogares, y subcontratar el trabajo y trasladar operaciones al extranjero. Al mismo tiempo, la inversión del Estado en su economía interior disminuyó, y las diferencias entre clases sociales y territorios se ampliaron. El resultado es que la riqueza se concentró. El alemán promedio es el más rico de Europa, “un 50 por ciento más rico que el italiano medio y el doble de rico que el español”. Al mismo tiempo, la desigualdad ha aumentado hasta el punto de que el hogar alemán medio es más pobre que el hogar español medio, a la altura de los griegos o de los polacos. Klein y Pettis citan “una encuesta exhaustiva realizada por el Banco Central Europeo, según la cual los alemanes con ingresos más bajos tienen menos riqueza neta, en términos absolutos, que los estonios y húngaros de bajos ingresos”.</w:t>
      </w:r>
    </w:p>
    <w:p w:rsidR="005E7E64" w:rsidRPr="00CB18B4" w:rsidRDefault="005E7E64" w:rsidP="005E7E64">
      <w:pPr>
        <w:spacing w:line="240" w:lineRule="auto"/>
        <w:jc w:val="both"/>
        <w:rPr>
          <w:rFonts w:ascii="Times New Roman" w:hAnsi="Times New Roman" w:cs="Times New Roman"/>
          <w:sz w:val="24"/>
          <w:szCs w:val="24"/>
        </w:rPr>
      </w:pPr>
      <w:r w:rsidRPr="00CB18B4">
        <w:rPr>
          <w:rFonts w:ascii="Times New Roman" w:hAnsi="Times New Roman" w:cs="Times New Roman"/>
          <w:sz w:val="24"/>
          <w:szCs w:val="24"/>
        </w:rPr>
        <w:t>Fruto de esa desestructuración social, las empresas alemanas tuvieron que mirar al exterior para evitar el estancamiento de su mercado, ya que sus ciudadanos no podían consumir lo que producían, y antes de 2008 eran ya una economía en la que la cuarta parte del valor generado por el trabajo y el capital germano había sido enviado al extranjero. “Las ganancias aumentaron a medida que los costes (salarios) se mantuvieron estables, y los ingresos por exportaciones aumentaron en correspondencia con el crecimiento global. El menor gasto alemán generó ingresos excedentes que se utilizaron para acumular activos financieros extranjeros, lo que a su vez apoyó la demanda extranjera de exportaciones alemanas y aumentó la rentabilidad corporativa. La distribución cada vez más desigual de los ingresos de Alemania transfirió efectivamente el poder adquisitivo de los trabajadores alemanes a los consumido</w:t>
      </w:r>
      <w:r>
        <w:rPr>
          <w:rFonts w:ascii="Times New Roman" w:hAnsi="Times New Roman" w:cs="Times New Roman"/>
          <w:sz w:val="24"/>
          <w:szCs w:val="24"/>
        </w:rPr>
        <w:t>res del resto del mundo”.</w:t>
      </w:r>
    </w:p>
    <w:p w:rsidR="005E7E64" w:rsidRDefault="005E7E64" w:rsidP="005E7E64">
      <w:pPr>
        <w:spacing w:line="240" w:lineRule="auto"/>
        <w:jc w:val="both"/>
        <w:rPr>
          <w:rFonts w:ascii="Times New Roman" w:hAnsi="Times New Roman" w:cs="Times New Roman"/>
          <w:sz w:val="24"/>
          <w:szCs w:val="24"/>
        </w:rPr>
      </w:pPr>
      <w:r w:rsidRPr="00CB18B4">
        <w:rPr>
          <w:rFonts w:ascii="Times New Roman" w:hAnsi="Times New Roman" w:cs="Times New Roman"/>
          <w:sz w:val="24"/>
          <w:szCs w:val="24"/>
        </w:rPr>
        <w:t>Esto ocu</w:t>
      </w:r>
      <w:r>
        <w:rPr>
          <w:rFonts w:ascii="Times New Roman" w:hAnsi="Times New Roman" w:cs="Times New Roman"/>
          <w:sz w:val="24"/>
          <w:szCs w:val="24"/>
        </w:rPr>
        <w:t>rrió con las mercancías alemanas</w:t>
      </w:r>
      <w:r w:rsidRPr="00CB18B4">
        <w:rPr>
          <w:rFonts w:ascii="Times New Roman" w:hAnsi="Times New Roman" w:cs="Times New Roman"/>
          <w:sz w:val="24"/>
          <w:szCs w:val="24"/>
        </w:rPr>
        <w:t xml:space="preserve"> y con todo el capital que iban acumulando, de modo que los déficits en otros lugares fueron la contrapartida necesaria del superávit de Alemania. Antes de la crisis financiera, esto significaba que “los alemanes ricos, y las compañías que controlaban, financiaron el gasto de sus vecinos europeos al acumular billones de euros de activos financieros extranjeros”.</w:t>
      </w:r>
    </w:p>
    <w:p w:rsidR="005E7E64" w:rsidRDefault="005E7E64" w:rsidP="005E7E64">
      <w:pPr>
        <w:spacing w:line="240" w:lineRule="auto"/>
        <w:jc w:val="both"/>
        <w:rPr>
          <w:rFonts w:ascii="Times New Roman" w:hAnsi="Times New Roman" w:cs="Times New Roman"/>
          <w:sz w:val="24"/>
          <w:szCs w:val="24"/>
        </w:rPr>
      </w:pPr>
      <w:r w:rsidRPr="00AB4BD5">
        <w:rPr>
          <w:rFonts w:ascii="Times New Roman" w:hAnsi="Times New Roman" w:cs="Times New Roman"/>
          <w:sz w:val="24"/>
          <w:szCs w:val="24"/>
        </w:rPr>
        <w:t>El caso estadounidense es también llamativo. Su desarrollo económico en las últimas décadas tiene muchos puntos en común con el de Alemania, ya que en ambos países aumentó la desigualdad, hubo cambios en la distribución de los ingresos desde el trabajo hacia el capital y se buscó mano de obra barata fuera de sus fronteras, en un caso en Europa Central y del Este, en el otro en México y China. Los dos pusieron en marcha una rebaja notable de impuestos y cambiaron su normativa laboral. Sin embargo, Alemania, se convirtió en el país con el mayor superávit del mundo, mientras que EEUU es el Estado con mayor déficit.</w:t>
      </w:r>
    </w:p>
    <w:p w:rsidR="005E7E64" w:rsidRPr="00AB4BD5" w:rsidRDefault="005E7E64" w:rsidP="005E7E64">
      <w:pPr>
        <w:spacing w:line="240" w:lineRule="auto"/>
        <w:jc w:val="both"/>
        <w:rPr>
          <w:rFonts w:ascii="Times New Roman" w:hAnsi="Times New Roman" w:cs="Times New Roman"/>
          <w:sz w:val="24"/>
          <w:szCs w:val="24"/>
        </w:rPr>
      </w:pPr>
      <w:r w:rsidRPr="00AB4BD5">
        <w:rPr>
          <w:rFonts w:ascii="Times New Roman" w:hAnsi="Times New Roman" w:cs="Times New Roman"/>
          <w:sz w:val="24"/>
          <w:szCs w:val="24"/>
        </w:rPr>
        <w:t>La respuesta a esta paradoja, según los autores, reside en las características específicas del sistema financiero de EEUU. Su flexibilidad, su tamaño y su atención a los derechos de los inversores extranjeros lo convierten en un lugar muy atractivo para los capitales. Además, y esto es muy relevante, “Estados Unidos es el emisor del principal activo seguro del mundo. La deuda soberana estadounidense es abundante, fácil de negociar y sin riesgo de incumplimiento”. Y como la economía de EEUU es grande, diversificada y abierta, y el dólar puede convertirse en cualquier otra moneda y es siempre aceptado como pago, EEUU se ha convertido en el gran depositario d</w:t>
      </w:r>
      <w:r>
        <w:rPr>
          <w:rFonts w:ascii="Times New Roman" w:hAnsi="Times New Roman" w:cs="Times New Roman"/>
          <w:sz w:val="24"/>
          <w:szCs w:val="24"/>
        </w:rPr>
        <w:t>el exceso de ahorros del mundo.</w:t>
      </w:r>
    </w:p>
    <w:p w:rsidR="005E7E64" w:rsidRDefault="005E7E64" w:rsidP="005E7E64">
      <w:pPr>
        <w:spacing w:line="240" w:lineRule="auto"/>
        <w:jc w:val="both"/>
        <w:rPr>
          <w:rFonts w:ascii="Times New Roman" w:hAnsi="Times New Roman" w:cs="Times New Roman"/>
          <w:sz w:val="24"/>
          <w:szCs w:val="24"/>
        </w:rPr>
      </w:pPr>
      <w:r w:rsidRPr="00AB4BD5">
        <w:rPr>
          <w:rFonts w:ascii="Times New Roman" w:hAnsi="Times New Roman" w:cs="Times New Roman"/>
          <w:sz w:val="24"/>
          <w:szCs w:val="24"/>
        </w:rPr>
        <w:t>Pero esto no es bueno para EEUU, porque tiende a profundizar en el mal que le aqueja. Dado que toda esa cantidad de dinero no puede ser absorbida por su economía, se ve obligado a buscar oportunidades de inversión fuera, con las consecuencias negativas explicadas, en términos de deuda ajena y de deterioro de sus clases trabajadoras.</w:t>
      </w:r>
    </w:p>
    <w:p w:rsidR="005E7E64" w:rsidRPr="00AB4BD5"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Según</w:t>
      </w:r>
      <w:r w:rsidRPr="00AB4BD5">
        <w:rPr>
          <w:rFonts w:ascii="Times New Roman" w:hAnsi="Times New Roman" w:cs="Times New Roman"/>
          <w:sz w:val="24"/>
          <w:szCs w:val="24"/>
        </w:rPr>
        <w:t>Michael Pettis y Matthew C. Klein, todos estos problemas parten</w:t>
      </w:r>
      <w:r>
        <w:rPr>
          <w:rFonts w:ascii="Times New Roman" w:hAnsi="Times New Roman" w:cs="Times New Roman"/>
          <w:sz w:val="24"/>
          <w:szCs w:val="24"/>
        </w:rPr>
        <w:t xml:space="preserve"> -en definitiva-</w:t>
      </w:r>
      <w:r w:rsidRPr="00AB4BD5">
        <w:rPr>
          <w:rFonts w:ascii="Times New Roman" w:hAnsi="Times New Roman" w:cs="Times New Roman"/>
          <w:sz w:val="24"/>
          <w:szCs w:val="24"/>
        </w:rPr>
        <w:t xml:space="preserve"> del mismo punto. No se trata de que existan conflictos geopolíticos profundos o nacionalismos exacerbados que conduzcan a un enfrentamiento inevitable: “La guerra comercial a menudo se presenta como un conflicto entre países. No lo es. Se trata de un conflicto principalmente entre banqueros y propietarios de activos financieros, por un lado, y los hogares comunes, por el otro; entre los muy ricos y todos los demás. El aumento de la desigualdad ha producido pérdida de empleos, un exceso de productos manufacturados y aumento del endeudamiento. Es una perversión económica y financiera de lo que se suponía que lograría la integración global. Durante décadas, Estados Unidos ha sido la mayor víctima individual de esta perversión. Absorber el exceso de producción y ahorro del resto del mundo, a costa de la desindustrialización y las crisis financieras, ha sido la carga exorbitante de EEUU. Pero los estadounidenses no son las únicas víctimas. Todos los pueblos del mundo s</w:t>
      </w:r>
      <w:r>
        <w:rPr>
          <w:rFonts w:ascii="Times New Roman" w:hAnsi="Times New Roman" w:cs="Times New Roman"/>
          <w:sz w:val="24"/>
          <w:szCs w:val="24"/>
        </w:rPr>
        <w:t>ufren a causa de este acuerdo”.</w:t>
      </w:r>
    </w:p>
    <w:p w:rsidR="005E7E64" w:rsidRPr="00AB4BD5" w:rsidRDefault="005E7E64" w:rsidP="005E7E64">
      <w:pPr>
        <w:spacing w:line="240" w:lineRule="auto"/>
        <w:jc w:val="both"/>
        <w:rPr>
          <w:rFonts w:ascii="Times New Roman" w:hAnsi="Times New Roman" w:cs="Times New Roman"/>
          <w:sz w:val="24"/>
          <w:szCs w:val="24"/>
        </w:rPr>
      </w:pPr>
      <w:r w:rsidRPr="00AB4BD5">
        <w:rPr>
          <w:rFonts w:ascii="Times New Roman" w:hAnsi="Times New Roman" w:cs="Times New Roman"/>
          <w:sz w:val="24"/>
          <w:szCs w:val="24"/>
        </w:rPr>
        <w:t>El resultado perverso es que la profundización de la globalización y la creciente desigualdad se han reforzado mutuamente: “Las empresas de todo el mundo utilizan la competencia internacional como una excusa para conseguir salarios más bajos, regulaciones ambientales y de seguridad más débiles, regímenes fiscales preferenciales y transferencias regresivas. Aparentemente, exprimir a los hogares comunes ha sido mucho más fácil que aumentar la productividad, invertir en infraestructuras y mejorar la salud y la educación. Sin embargo, esto es insostenible porque los salarios deprimidos deben conducir a una combinación de menor consumo, lo que reduce el gasto total en la economía global, y mayor endeudamiento, que en última instancia es autolimitante y contraproducente. No es una coincidencia que, a lo largo de la historia moderna, los altos niveles de desigualdad hayan coinci</w:t>
      </w:r>
      <w:r>
        <w:rPr>
          <w:rFonts w:ascii="Times New Roman" w:hAnsi="Times New Roman" w:cs="Times New Roman"/>
          <w:sz w:val="24"/>
          <w:szCs w:val="24"/>
        </w:rPr>
        <w:t>dido con altos niveles de deuda”.</w:t>
      </w:r>
    </w:p>
    <w:p w:rsidR="005E7E64" w:rsidRDefault="005E7E64" w:rsidP="005E7E64">
      <w:pPr>
        <w:spacing w:line="240" w:lineRule="auto"/>
        <w:jc w:val="both"/>
        <w:rPr>
          <w:rFonts w:ascii="Times New Roman" w:hAnsi="Times New Roman" w:cs="Times New Roman"/>
          <w:sz w:val="24"/>
          <w:szCs w:val="24"/>
        </w:rPr>
      </w:pPr>
      <w:r w:rsidRPr="00AB4BD5">
        <w:rPr>
          <w:rFonts w:ascii="Times New Roman" w:hAnsi="Times New Roman" w:cs="Times New Roman"/>
          <w:sz w:val="24"/>
          <w:szCs w:val="24"/>
        </w:rPr>
        <w:t>El libro de Pettis y Klein supone una invitación a releer la interrelación entre lo interior y lo exterior, entre los efectos de las políticas económicas que efectúan los principales países y sus consecuencias para el conjunto del mundo. Hasta ahora, esa dependencia solía analizarse desde factores que sobrevolaban las acciones locales, como una suerte de máquina general que producía efec</w:t>
      </w:r>
      <w:r>
        <w:rPr>
          <w:rFonts w:ascii="Times New Roman" w:hAnsi="Times New Roman" w:cs="Times New Roman"/>
          <w:sz w:val="24"/>
          <w:szCs w:val="24"/>
        </w:rPr>
        <w:t>tos particulares. El mérito de “Trade wars are class wars”</w:t>
      </w:r>
      <w:r w:rsidRPr="00AB4BD5">
        <w:rPr>
          <w:rFonts w:ascii="Times New Roman" w:hAnsi="Times New Roman" w:cs="Times New Roman"/>
          <w:sz w:val="24"/>
          <w:szCs w:val="24"/>
        </w:rPr>
        <w:t xml:space="preserve"> es cambiar la perspectiva y poner el acento en el desequilibrio interno como origen de los desequilibri</w:t>
      </w:r>
      <w:r>
        <w:rPr>
          <w:rFonts w:ascii="Times New Roman" w:hAnsi="Times New Roman" w:cs="Times New Roman"/>
          <w:sz w:val="24"/>
          <w:szCs w:val="24"/>
        </w:rPr>
        <w:t xml:space="preserve">os globales, concluye </w:t>
      </w:r>
      <w:r w:rsidR="009E3D31">
        <w:rPr>
          <w:rFonts w:ascii="Times New Roman" w:hAnsi="Times New Roman" w:cs="Times New Roman"/>
          <w:sz w:val="24"/>
          <w:szCs w:val="24"/>
        </w:rPr>
        <w:t>EstebanHernández</w:t>
      </w:r>
      <w:r>
        <w:rPr>
          <w:rFonts w:ascii="Times New Roman" w:hAnsi="Times New Roman" w:cs="Times New Roman"/>
          <w:sz w:val="24"/>
          <w:szCs w:val="24"/>
        </w:rPr>
        <w:t xml:space="preserve"> en el citado artículo.</w:t>
      </w:r>
    </w:p>
    <w:p w:rsidR="005E7E64" w:rsidRPr="000D7855" w:rsidRDefault="005E7E64" w:rsidP="005E7E64">
      <w:pPr>
        <w:spacing w:line="240" w:lineRule="auto"/>
        <w:jc w:val="both"/>
        <w:rPr>
          <w:rFonts w:ascii="Times New Roman" w:hAnsi="Times New Roman" w:cs="Times New Roman"/>
          <w:b/>
          <w:sz w:val="24"/>
          <w:szCs w:val="24"/>
        </w:rPr>
      </w:pPr>
      <w:r>
        <w:rPr>
          <w:rFonts w:ascii="Times New Roman" w:hAnsi="Times New Roman" w:cs="Times New Roman"/>
          <w:sz w:val="24"/>
          <w:szCs w:val="24"/>
        </w:rPr>
        <w:t>Hasta aquí, puedo señalar: “</w:t>
      </w:r>
      <w:r>
        <w:rPr>
          <w:rFonts w:ascii="Times New Roman" w:hAnsi="Times New Roman" w:cs="Times New Roman"/>
          <w:b/>
          <w:sz w:val="24"/>
          <w:szCs w:val="24"/>
        </w:rPr>
        <w:t>lo que dice</w:t>
      </w:r>
      <w:r w:rsidRPr="00CA0B32">
        <w:rPr>
          <w:rFonts w:ascii="Times New Roman" w:hAnsi="Times New Roman" w:cs="Times New Roman"/>
          <w:b/>
          <w:sz w:val="24"/>
          <w:szCs w:val="24"/>
        </w:rPr>
        <w:t xml:space="preserve"> Agamenón</w:t>
      </w:r>
      <w:r>
        <w:rPr>
          <w:rFonts w:ascii="Times New Roman" w:hAnsi="Times New Roman" w:cs="Times New Roman"/>
          <w:sz w:val="24"/>
          <w:szCs w:val="24"/>
        </w:rPr>
        <w:t>” (</w:t>
      </w:r>
      <w:r w:rsidRPr="00AB4BD5">
        <w:rPr>
          <w:rFonts w:ascii="Times New Roman" w:hAnsi="Times New Roman" w:cs="Times New Roman"/>
          <w:sz w:val="24"/>
          <w:szCs w:val="24"/>
        </w:rPr>
        <w:t>Pettis y Klein</w:t>
      </w:r>
      <w:r>
        <w:rPr>
          <w:rFonts w:ascii="Times New Roman" w:hAnsi="Times New Roman" w:cs="Times New Roman"/>
          <w:sz w:val="24"/>
          <w:szCs w:val="24"/>
        </w:rPr>
        <w:t xml:space="preserve">, </w:t>
      </w:r>
      <w:r w:rsidRPr="00A970BD">
        <w:rPr>
          <w:rFonts w:ascii="Times New Roman" w:hAnsi="Times New Roman" w:cs="Times New Roman"/>
          <w:b/>
          <w:sz w:val="24"/>
          <w:szCs w:val="24"/>
        </w:rPr>
        <w:t>Julio de 2020</w:t>
      </w:r>
      <w:r>
        <w:rPr>
          <w:rFonts w:ascii="Times New Roman" w:hAnsi="Times New Roman" w:cs="Times New Roman"/>
          <w:sz w:val="24"/>
          <w:szCs w:val="24"/>
        </w:rPr>
        <w:t>), ahora veamos “</w:t>
      </w:r>
      <w:r w:rsidRPr="00FE6827">
        <w:rPr>
          <w:rFonts w:ascii="Times New Roman" w:hAnsi="Times New Roman" w:cs="Times New Roman"/>
          <w:b/>
          <w:sz w:val="24"/>
          <w:szCs w:val="24"/>
        </w:rPr>
        <w:t>lo que decía</w:t>
      </w:r>
      <w:r w:rsidRPr="00CA0B32">
        <w:rPr>
          <w:rFonts w:ascii="Times New Roman" w:hAnsi="Times New Roman" w:cs="Times New Roman"/>
          <w:b/>
          <w:sz w:val="24"/>
          <w:szCs w:val="24"/>
        </w:rPr>
        <w:t>su porquero</w:t>
      </w:r>
      <w:r>
        <w:rPr>
          <w:rFonts w:ascii="Times New Roman" w:hAnsi="Times New Roman" w:cs="Times New Roman"/>
          <w:sz w:val="24"/>
          <w:szCs w:val="24"/>
        </w:rPr>
        <w:t xml:space="preserve">” (un servidor), allá por </w:t>
      </w:r>
      <w:r w:rsidRPr="0057185C">
        <w:rPr>
          <w:rFonts w:ascii="Times New Roman" w:hAnsi="Times New Roman" w:cs="Times New Roman"/>
          <w:b/>
          <w:sz w:val="24"/>
          <w:szCs w:val="24"/>
        </w:rPr>
        <w:t>Octubre de 1998</w:t>
      </w:r>
      <w:r w:rsidR="00A970BD">
        <w:rPr>
          <w:rFonts w:ascii="Times New Roman" w:hAnsi="Times New Roman" w:cs="Times New Roman"/>
          <w:sz w:val="24"/>
          <w:szCs w:val="24"/>
        </w:rPr>
        <w:t>: “</w:t>
      </w:r>
      <w:r w:rsidRPr="000D7855">
        <w:rPr>
          <w:rFonts w:ascii="Times New Roman" w:hAnsi="Times New Roman" w:cs="Times New Roman"/>
          <w:b/>
          <w:sz w:val="24"/>
          <w:szCs w:val="24"/>
        </w:rPr>
        <w:t xml:space="preserve">Globalización económica </w:t>
      </w:r>
      <w:r w:rsidR="00A970BD">
        <w:rPr>
          <w:rFonts w:ascii="Times New Roman" w:hAnsi="Times New Roman" w:cs="Times New Roman"/>
          <w:b/>
          <w:sz w:val="24"/>
          <w:szCs w:val="24"/>
        </w:rPr>
        <w:t>- El imperio de la mediocridad”.</w:t>
      </w:r>
    </w:p>
    <w:p w:rsidR="005E7E64" w:rsidRPr="00CA0B32" w:rsidRDefault="005E7E64" w:rsidP="005E7E64">
      <w:pPr>
        <w:spacing w:line="240" w:lineRule="auto"/>
        <w:jc w:val="both"/>
        <w:rPr>
          <w:rFonts w:ascii="Times New Roman" w:hAnsi="Times New Roman" w:cs="Times New Roman"/>
          <w:b/>
          <w:sz w:val="24"/>
          <w:szCs w:val="24"/>
        </w:rPr>
      </w:pPr>
      <w:r w:rsidRPr="00CA0B32">
        <w:rPr>
          <w:rFonts w:ascii="Times New Roman" w:hAnsi="Times New Roman" w:cs="Times New Roman"/>
          <w:b/>
          <w:sz w:val="24"/>
          <w:szCs w:val="24"/>
        </w:rPr>
        <w:t>Viejas y queridas causas perdidas</w:t>
      </w:r>
    </w:p>
    <w:p w:rsidR="005E7E64" w:rsidRDefault="005E7E64" w:rsidP="005E7E64">
      <w:pPr>
        <w:pStyle w:val="Estndar"/>
        <w:jc w:val="both"/>
        <w:rPr>
          <w:szCs w:val="24"/>
        </w:rPr>
      </w:pPr>
      <w:r w:rsidRPr="00CC7B53">
        <w:rPr>
          <w:szCs w:val="24"/>
        </w:rPr>
        <w:t>Ante  esta situación de irracionalidad, frente  a un estado de desesperanza, nos planteamos algunos interrogantes que servirán para el análisis y propuesta a desarrollar:</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¿Por qué las empresas impulsan la global</w:t>
      </w:r>
      <w:r>
        <w:rPr>
          <w:szCs w:val="24"/>
        </w:rPr>
        <w:t>ización? ¿Por qué</w:t>
      </w:r>
      <w:r w:rsidRPr="00CC7B53">
        <w:rPr>
          <w:szCs w:val="24"/>
        </w:rPr>
        <w:t xml:space="preserve"> los países o blo</w:t>
      </w:r>
      <w:r>
        <w:rPr>
          <w:szCs w:val="24"/>
        </w:rPr>
        <w:t>ques aceptan la  globalización?</w:t>
      </w:r>
      <w:r w:rsidRPr="00CC7B53">
        <w:rPr>
          <w:szCs w:val="24"/>
        </w:rPr>
        <w:t xml:space="preserve"> ¿Por qué  los trabajadores y consumid</w:t>
      </w:r>
      <w:r>
        <w:rPr>
          <w:szCs w:val="24"/>
        </w:rPr>
        <w:t xml:space="preserve">ores aceptan la globalización? </w:t>
      </w:r>
      <w:r w:rsidRPr="00CC7B53">
        <w:rPr>
          <w:szCs w:val="24"/>
        </w:rPr>
        <w:t>¿Adónde nos lleva e</w:t>
      </w:r>
      <w:r>
        <w:rPr>
          <w:szCs w:val="24"/>
        </w:rPr>
        <w:t>sta situación? ¿Quiénes ganan? ¿Quiénes pierden? ¿Cuáles son los costos?</w:t>
      </w:r>
      <w:r w:rsidRPr="00CC7B53">
        <w:rPr>
          <w:szCs w:val="24"/>
        </w:rPr>
        <w:t xml:space="preserve"> ¿Será posible que la glob</w:t>
      </w:r>
      <w:r>
        <w:rPr>
          <w:szCs w:val="24"/>
        </w:rPr>
        <w:t>alización globalice las crisis?</w:t>
      </w:r>
      <w:r w:rsidRPr="00CC7B53">
        <w:rPr>
          <w:szCs w:val="24"/>
        </w:rPr>
        <w:t xml:space="preserve"> ¿Es cierto que el libre comerci</w:t>
      </w:r>
      <w:r>
        <w:rPr>
          <w:szCs w:val="24"/>
        </w:rPr>
        <w:t>o beneficia a todos los países? ¿Por qué se debe flexibilizar “sólo” el mercado de trabajo?</w:t>
      </w:r>
      <w:r w:rsidRPr="00CC7B53">
        <w:rPr>
          <w:szCs w:val="24"/>
        </w:rPr>
        <w:t xml:space="preserve"> ¿Quién se beneficia con </w:t>
      </w:r>
      <w:r>
        <w:rPr>
          <w:szCs w:val="24"/>
        </w:rPr>
        <w:t>el aumento de la productividad?</w:t>
      </w:r>
      <w:r w:rsidRPr="00CC7B53">
        <w:rPr>
          <w:szCs w:val="24"/>
        </w:rPr>
        <w:t xml:space="preserve"> ¿Estamos llegando a la paradoja de un c</w:t>
      </w:r>
      <w:r>
        <w:rPr>
          <w:szCs w:val="24"/>
        </w:rPr>
        <w:t>apitalismo sin consumidores? ¿El paro se tornará endémico? ¿Puede Europa competir?</w:t>
      </w:r>
      <w:r w:rsidRPr="00CC7B53">
        <w:rPr>
          <w:szCs w:val="24"/>
        </w:rPr>
        <w:t xml:space="preserve"> ¿Puede</w:t>
      </w:r>
      <w:r>
        <w:rPr>
          <w:szCs w:val="24"/>
        </w:rPr>
        <w:t xml:space="preserve"> el capitalismo morir de éxito?</w:t>
      </w:r>
      <w:r w:rsidRPr="00CC7B53">
        <w:rPr>
          <w:szCs w:val="24"/>
        </w:rPr>
        <w:t xml:space="preserve"> ¿Estamos ante el fin de la his</w:t>
      </w:r>
      <w:r>
        <w:rPr>
          <w:szCs w:val="24"/>
        </w:rPr>
        <w:t>toria o ante el fin del futuro?</w:t>
      </w:r>
      <w:r w:rsidRPr="00CC7B53">
        <w:rPr>
          <w:szCs w:val="24"/>
        </w:rPr>
        <w:t xml:space="preserve"> ¿Puede la economía de casino seguir especulando ante el peligro del </w:t>
      </w:r>
      <w:r>
        <w:rPr>
          <w:szCs w:val="24"/>
        </w:rPr>
        <w:t>estallido social?</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 xml:space="preserve"> Así y todo</w:t>
      </w:r>
      <w:r>
        <w:rPr>
          <w:szCs w:val="24"/>
        </w:rPr>
        <w:t>,</w:t>
      </w:r>
      <w:r w:rsidRPr="00CC7B53">
        <w:rPr>
          <w:szCs w:val="24"/>
        </w:rPr>
        <w:t xml:space="preserve"> la duración de los aplausos se ap</w:t>
      </w:r>
      <w:r>
        <w:rPr>
          <w:szCs w:val="24"/>
        </w:rPr>
        <w:t>agará en una generación. Estos “sopistas” que denostan el “estado de bienestar”</w:t>
      </w:r>
      <w:r w:rsidRPr="00CC7B53">
        <w:rPr>
          <w:szCs w:val="24"/>
        </w:rPr>
        <w:t xml:space="preserve"> recurrirán a los gobiernos -como lo han hecho tantas veces como han necesitado- para que les resuelvan las consecuencias -como siempre, imprevistas, no deseadas- del próximo crack bursátil, inestabilidad, pánico o huida financiera, hija de sus especulaciones, de sus volatilidades y de sus frivolidades culposas.</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¿Cómo podemos, sin mentir, no enterrar la esperanza?</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Mientras la mano invisible -del mercado- tira de la horca, el fundamentalismo económico nos condena al analfabetismo democrático.</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Están dadas todas las condiciones para que entremos al nuevo siglo caminando hacia atrás en el futuro. Este cambio indigerible del atletismo económico quiere dar por bue</w:t>
      </w:r>
      <w:r>
        <w:rPr>
          <w:szCs w:val="24"/>
        </w:rPr>
        <w:t xml:space="preserve">no al trabajador de usar y… </w:t>
      </w:r>
      <w:r w:rsidRPr="00CC7B53">
        <w:rPr>
          <w:szCs w:val="24"/>
        </w:rPr>
        <w:t>tirar.</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La miopía capitalista ha puesto al hombre co</w:t>
      </w:r>
      <w:r>
        <w:rPr>
          <w:szCs w:val="24"/>
        </w:rPr>
        <w:t>ntra el mercado. La óptica del “ganador se lleva todo” puede llevar a la “rebelión de los esclavos”</w:t>
      </w:r>
      <w:r w:rsidRPr="00CC7B53">
        <w:rPr>
          <w:szCs w:val="24"/>
        </w:rPr>
        <w:t xml:space="preserve"> en busca de una nueva fe.</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De la economía del miedo, hemos pasado al salario del miedo, como escala previa a la globalización de la miseria.</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En esta guerra sin frente, que impone un mercado de trabajo brutal, ¿puede Europa competir?, ¿debe Europa competir?</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¿Cuál s</w:t>
      </w:r>
      <w:r>
        <w:rPr>
          <w:szCs w:val="24"/>
        </w:rPr>
        <w:t>erá  el voto de los perdedores?</w:t>
      </w:r>
      <w:r w:rsidRPr="00CC7B53">
        <w:rPr>
          <w:szCs w:val="24"/>
        </w:rPr>
        <w:t xml:space="preserve"> ¿Cuánto se demorará la rebelión de los trabajadores ante  el  espiral descendente de la globaliz</w:t>
      </w:r>
      <w:r>
        <w:rPr>
          <w:szCs w:val="24"/>
        </w:rPr>
        <w:t>ación?</w:t>
      </w:r>
      <w:r w:rsidRPr="00CC7B53">
        <w:rPr>
          <w:szCs w:val="24"/>
        </w:rPr>
        <w:t xml:space="preserve"> ¿Se p</w:t>
      </w:r>
      <w:r>
        <w:rPr>
          <w:szCs w:val="24"/>
        </w:rPr>
        <w:t>odrá detener el sida económico?</w:t>
      </w:r>
      <w:r w:rsidRPr="00CC7B53">
        <w:rPr>
          <w:szCs w:val="24"/>
        </w:rPr>
        <w:t xml:space="preserve"> ¿Tendrá remedio </w:t>
      </w:r>
      <w:r>
        <w:rPr>
          <w:szCs w:val="24"/>
        </w:rPr>
        <w:t>la bacteria asesina del empleo?</w:t>
      </w:r>
      <w:r w:rsidRPr="00CC7B53">
        <w:rPr>
          <w:szCs w:val="24"/>
        </w:rPr>
        <w:t xml:space="preserve"> ¿Est</w:t>
      </w:r>
      <w:r>
        <w:rPr>
          <w:szCs w:val="24"/>
        </w:rPr>
        <w:t>amos todos atrapados en la red?</w:t>
      </w:r>
      <w:r w:rsidRPr="00CC7B53">
        <w:rPr>
          <w:szCs w:val="24"/>
        </w:rPr>
        <w:t xml:space="preserve"> ¿Iremos todos juntos a laquiebra?    </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Los cambios  motivados por la tecnología en robótica, informática y biotecnología; la internacionalización de las finanzas; la expansión de las comunicaciones; y la emergencia multinacional de las corporaciones son las fuerzas o vectores principales que impulsaron la globalización económica.</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w:t>
      </w:r>
      <w:r>
        <w:rPr>
          <w:szCs w:val="24"/>
        </w:rPr>
        <w:t>i</w:t>
      </w:r>
      <w:r w:rsidRPr="00CC7B53">
        <w:rPr>
          <w:szCs w:val="24"/>
        </w:rPr>
        <w:t>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¿Cuándo comenzó el proceso de liberación de las corrientes de intercambio?</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El Grupo Lisboa, señala los últimos cincuenta años, como período dominante; Ravi Batra, indica el año 1973, como el punto clave de inflexión para los Estados Unidos.</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¿Por qué algo que tiene entre un cuarto y medio siglo de evolución recién en los últimos 15 años se exacerbó y en los últimos 10 años se volvió tan extremo?</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La victoria del capitalismo se logra en tres frentes, opina Michael Albert, y en un intervalo histórico reducido. Los gobiernos de Margaret Thatcher en Gran Bretaña y Ronald Reagan en Es</w:t>
      </w:r>
      <w:r>
        <w:rPr>
          <w:szCs w:val="24"/>
        </w:rPr>
        <w:t>tados Unidos; la confrontación “galáctica”</w:t>
      </w:r>
      <w:r w:rsidRPr="00CC7B53">
        <w:rPr>
          <w:szCs w:val="24"/>
        </w:rPr>
        <w:t xml:space="preserve"> con el comunismo; y la </w:t>
      </w:r>
      <w:r>
        <w:rPr>
          <w:szCs w:val="24"/>
        </w:rPr>
        <w:t>guerra contra Irak sirven para “liquidar” tres importantes “limitantes”</w:t>
      </w:r>
      <w:r w:rsidRPr="00CC7B53">
        <w:rPr>
          <w:szCs w:val="24"/>
        </w:rPr>
        <w:t xml:space="preserve"> al libre mercado y alcance global del capitalismo. La lucha contra el intervencionismo estatal, la muerte del comunismo soviético por descomposición interna y la lección terminal dada a los dictadores -mesiánicos- de los pueb</w:t>
      </w:r>
      <w:r>
        <w:rPr>
          <w:szCs w:val="24"/>
        </w:rPr>
        <w:t>los subdesarrollados, dejo las “manos libres”</w:t>
      </w:r>
      <w:r w:rsidRPr="00CC7B53">
        <w:rPr>
          <w:szCs w:val="24"/>
        </w:rPr>
        <w:t xml:space="preserve"> al capitalismo y a la globalización competitiva.</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El mundo como mercado, un stock de tecnología disponible y un capital ansioso de maximizar las ganancias, fueron el objetivo y los recursos necesarios y suficientes para iniciar el asalto global.</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Al internacionalizarse los merca</w:t>
      </w:r>
      <w:r>
        <w:rPr>
          <w:szCs w:val="24"/>
        </w:rPr>
        <w:t>dos, empieza una batalla de “todos contra todos”</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Pr>
          <w:szCs w:val="24"/>
        </w:rPr>
        <w:t>Al desaparecer las fronteras (</w:t>
      </w:r>
      <w:r w:rsidRPr="00CC7B53">
        <w:rPr>
          <w:szCs w:val="24"/>
        </w:rPr>
        <w:t>barreras) comerciales, la competitividad alcanza a todos los factores. Y comienzan a registrarse algunos efectos (</w:t>
      </w:r>
      <w:r>
        <w:rPr>
          <w:szCs w:val="24"/>
        </w:rPr>
        <w:t>¿deseados</w:t>
      </w:r>
      <w:r w:rsidRPr="00CC7B53">
        <w:rPr>
          <w:szCs w:val="24"/>
        </w:rPr>
        <w:t xml:space="preserve"> o no deseados?) en la ocupación, en los salarios, en el medio ambiente, en los sectores industriales, en el estado del bienestar, que van derivando en definitivos problemas económicos, ecológicos y éticos, de gran magnitud, con alta peligrosidad, y, no solamente -aún- irresueltos, sino en franca progresión </w:t>
      </w:r>
    </w:p>
    <w:p w:rsidR="005E7E64" w:rsidRPr="00CC7B53" w:rsidRDefault="005E7E64" w:rsidP="005E7E64">
      <w:pPr>
        <w:pStyle w:val="Estndar"/>
        <w:jc w:val="both"/>
        <w:rPr>
          <w:szCs w:val="24"/>
        </w:rPr>
      </w:pPr>
    </w:p>
    <w:p w:rsidR="005E7E64" w:rsidRDefault="005E7E64" w:rsidP="005E7E64">
      <w:pPr>
        <w:pStyle w:val="Estndar"/>
        <w:jc w:val="both"/>
        <w:rPr>
          <w:szCs w:val="24"/>
        </w:rPr>
      </w:pPr>
      <w:r>
        <w:rPr>
          <w:szCs w:val="24"/>
        </w:rPr>
        <w:t>Era de esperar, que un “comercio sin normas”, llevara a una “</w:t>
      </w:r>
      <w:r w:rsidRPr="00CC7B53">
        <w:rPr>
          <w:szCs w:val="24"/>
        </w:rPr>
        <w:t>com</w:t>
      </w:r>
      <w:r>
        <w:rPr>
          <w:szCs w:val="24"/>
        </w:rPr>
        <w:t>petencia despiadada y sin final”</w:t>
      </w:r>
      <w:r w:rsidRPr="00CC7B53">
        <w:rPr>
          <w:szCs w:val="24"/>
        </w:rPr>
        <w:t>, que conduce a una pérdida constante de puestos de trabajo, a una concentración creciente de empresas multinacionales, a una pérdida de poder de los gobiernos nacionales y a un aumento de la desigualdad.</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En muchos casos, la competencia no sólo significa la pérdida de puestos de trabajo sino también la pérdida de fuentes de trabajo. En su caso la tecnificación sustituye a la mano de obra y en el otro elimina -directamente- por cierre, la posibilidad de todo tipo de ocupación.</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Antes de concluir este capítulo, quisiéramos volver a lo que a nuestro juicio, actuó como catalizador de todo este proceso. El final del comunismo, su quiebra, su involución, fue lo que facilitó que el polvo se transformara en lodo.</w:t>
      </w:r>
    </w:p>
    <w:p w:rsidR="005E7E64" w:rsidRPr="00CC7B53" w:rsidRDefault="005E7E64" w:rsidP="005E7E64">
      <w:pPr>
        <w:pStyle w:val="Estndar"/>
        <w:jc w:val="both"/>
        <w:rPr>
          <w:szCs w:val="24"/>
        </w:rPr>
      </w:pPr>
      <w:r w:rsidRPr="00CC7B53">
        <w:rPr>
          <w:szCs w:val="24"/>
        </w:rPr>
        <w:t>En las empresas, en los países, y</w:t>
      </w:r>
      <w:r>
        <w:rPr>
          <w:szCs w:val="24"/>
        </w:rPr>
        <w:t xml:space="preserve"> en las regiones económicas el “miedo”</w:t>
      </w:r>
      <w:r w:rsidRPr="00CC7B53">
        <w:rPr>
          <w:szCs w:val="24"/>
        </w:rPr>
        <w:t xml:space="preserve"> al comunismo hacía de freno, demoraba, atenuaba o suspendía -en muchos casos- la acción descarnada del capitalismo. La tolerancia de formas de gobierno social-demócratas, socialistas, laboristas o demócratas-cristianos, en regiones sensibles al av</w:t>
      </w:r>
      <w:r>
        <w:rPr>
          <w:szCs w:val="24"/>
        </w:rPr>
        <w:t>ance comunista se consideraban “pragmáticas”</w:t>
      </w:r>
      <w:r w:rsidRPr="00CC7B53">
        <w:rPr>
          <w:szCs w:val="24"/>
        </w:rPr>
        <w:t xml:space="preserve"> para evitar males mayores. El estado del bienestar fue el bálsamo para detener o disminuir la peligrosidad de los disconformes, de los necesitados, de los postergados, de los</w:t>
      </w:r>
      <w:r>
        <w:rPr>
          <w:szCs w:val="24"/>
        </w:rPr>
        <w:t xml:space="preserve"> perdedores. Hacía falta mucha “red de seguridad”</w:t>
      </w:r>
      <w:r w:rsidRPr="00CC7B53">
        <w:rPr>
          <w:szCs w:val="24"/>
        </w:rPr>
        <w:t xml:space="preserve"> para evitar fugas, desvíos o aún peor derivaciones. El mayor ejemplo del caso lo tenemos en Italia, donde por 50 años Estados Unidos apadrinó (nunca mejor dicho) la connivencia de la mafia y la democracia cristiana, para evitar la llegada democrática de un gobierno comunista.</w:t>
      </w:r>
    </w:p>
    <w:p w:rsidR="005E7E64" w:rsidRPr="00CC7B53" w:rsidRDefault="005E7E64" w:rsidP="005E7E64">
      <w:pPr>
        <w:pStyle w:val="Estndar"/>
        <w:jc w:val="both"/>
        <w:rPr>
          <w:szCs w:val="24"/>
        </w:rPr>
      </w:pPr>
    </w:p>
    <w:p w:rsidR="0030483A" w:rsidRDefault="005E7E64" w:rsidP="005E7E64">
      <w:pPr>
        <w:pStyle w:val="Estndar"/>
        <w:jc w:val="both"/>
        <w:rPr>
          <w:szCs w:val="24"/>
        </w:rPr>
      </w:pPr>
      <w:r w:rsidRPr="00CC7B53">
        <w:rPr>
          <w:szCs w:val="24"/>
        </w:rPr>
        <w:t>Y así se hizo en cantidad y calidad suficiente, mientras fue necesario. Cuando el estado de necesidad desapareci</w:t>
      </w:r>
      <w:r>
        <w:rPr>
          <w:szCs w:val="24"/>
        </w:rPr>
        <w:t>ó la “</w:t>
      </w:r>
      <w:r w:rsidRPr="00CC7B53">
        <w:rPr>
          <w:szCs w:val="24"/>
        </w:rPr>
        <w:t>ab</w:t>
      </w:r>
      <w:r>
        <w:rPr>
          <w:szCs w:val="24"/>
        </w:rPr>
        <w:t>uelita se transformó en el lobo” y conocimos la “verdad verdadera”</w:t>
      </w:r>
      <w:r w:rsidRPr="00CC7B53">
        <w:rPr>
          <w:szCs w:val="24"/>
        </w:rPr>
        <w:t>.</w:t>
      </w:r>
      <w:r>
        <w:rPr>
          <w:szCs w:val="24"/>
        </w:rPr>
        <w:t>Al ganar “por abandono”, el capitalismo queda “sólo en el ring”</w:t>
      </w:r>
      <w:r w:rsidRPr="00CC7B53">
        <w:rPr>
          <w:szCs w:val="24"/>
        </w:rPr>
        <w:t>, con todo su espíritu (doctrina) y cuerpo (tecnología), para pelear en el f</w:t>
      </w:r>
      <w:r w:rsidR="0030483A">
        <w:rPr>
          <w:szCs w:val="24"/>
        </w:rPr>
        <w:t>uturo únicamente con su sombra</w:t>
      </w:r>
    </w:p>
    <w:p w:rsidR="005E7E64" w:rsidRPr="00CC7B53" w:rsidRDefault="0030483A" w:rsidP="005E7E64">
      <w:pPr>
        <w:pStyle w:val="Estndar"/>
        <w:jc w:val="both"/>
        <w:rPr>
          <w:szCs w:val="24"/>
        </w:rPr>
      </w:pPr>
      <w:r>
        <w:rPr>
          <w:szCs w:val="24"/>
        </w:rPr>
        <w:t>.</w:t>
      </w:r>
    </w:p>
    <w:p w:rsidR="005E7E64" w:rsidRPr="00CC7B53" w:rsidRDefault="005E7E64" w:rsidP="005E7E64">
      <w:pPr>
        <w:pStyle w:val="Estndar"/>
        <w:jc w:val="both"/>
        <w:rPr>
          <w:szCs w:val="24"/>
        </w:rPr>
      </w:pPr>
      <w:r w:rsidRPr="00CC7B53">
        <w:rPr>
          <w:szCs w:val="24"/>
        </w:rPr>
        <w:t>Con el monopolio de la razón, sin competidores ideológicos, y con las fuerzas íntegras el capitalismo -puro y duro- se lanza a la conquista del mundo (globalización), imponiendo la supervivencia del más fuerte (competitividad), y no aceptando ningún tipo de límites o barreras condicionantes (libre comercio).</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A partir de ese momento la única ley vigente es la del mercado. El único símbolo reconocido es el din</w:t>
      </w:r>
      <w:r>
        <w:rPr>
          <w:szCs w:val="24"/>
        </w:rPr>
        <w:t>ero. La única divisa válida es “el que gana se lleva todo”</w:t>
      </w:r>
      <w:r w:rsidRPr="00CC7B53">
        <w:rPr>
          <w:szCs w:val="24"/>
        </w:rPr>
        <w:t>. El hombre sólo interesa como consumidor y los países como mercado. La especulación sustituye a la producción. Y la única intervención del gobierno tolerada es para "socializar" las pérdidas de los poderosos.</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Pr>
          <w:szCs w:val="24"/>
        </w:rPr>
        <w:t>En este “dualismo económico”</w:t>
      </w:r>
      <w:r w:rsidRPr="00CC7B53">
        <w:rPr>
          <w:szCs w:val="24"/>
        </w:rPr>
        <w:t xml:space="preserve">  que ha generado la globalización, la economía de mercado, la competencia mundial y el libre comercio, hay muy pocos que ganan mucho -muchísimo- y u</w:t>
      </w:r>
      <w:r>
        <w:rPr>
          <w:szCs w:val="24"/>
        </w:rPr>
        <w:t>n resto enorme que transita la “depresión silenciosa”</w:t>
      </w:r>
      <w:r w:rsidRPr="00CC7B53">
        <w:rPr>
          <w:szCs w:val="24"/>
        </w:rPr>
        <w:t>.</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En otras épocas, las gruesas paredes de los castillos, hacían más opaca la riqueza de los poderosos, al menos para una gran parte de la población. Hoy -gracias a los  mismos medios y productos que ellos han creado- casi toda la riqueza se m</w:t>
      </w:r>
      <w:r>
        <w:rPr>
          <w:szCs w:val="24"/>
        </w:rPr>
        <w:t>uestra, podríamos decir que se “ostenta”</w:t>
      </w:r>
      <w:r w:rsidRPr="00CC7B53">
        <w:rPr>
          <w:szCs w:val="24"/>
        </w:rPr>
        <w:t>. Casi simultáneamente que los empresarios (capitanes de industria) fueron  reemplazados por los ejecutivos, y los banqueros por los bancarios; a partir de</w:t>
      </w:r>
      <w:r>
        <w:rPr>
          <w:szCs w:val="24"/>
        </w:rPr>
        <w:t>l inicio del juego capitalista “con dinero ajeno”</w:t>
      </w:r>
      <w:r w:rsidRPr="00CC7B53">
        <w:rPr>
          <w:szCs w:val="24"/>
        </w:rPr>
        <w:t>; comenzó el show multimedios.</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La riqueza a la vista -aunque no al alcance- de todos. Los ricos y famosos aparecen a diario, a lo largo y ancho del planeta, por medios de comunicación (fundamentalmente televisión) fácilmente ac</w:t>
      </w:r>
      <w:r>
        <w:rPr>
          <w:szCs w:val="24"/>
        </w:rPr>
        <w:t>cesibles a los no invitados al “banquete terrenal”</w:t>
      </w:r>
      <w:r w:rsidRPr="00CC7B53">
        <w:rPr>
          <w:szCs w:val="24"/>
        </w:rPr>
        <w:t>.</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 xml:space="preserve">Pero tiempo tendremos de volver a ello. Ahora, intentaremos -con la ayuda de estudiosos y analistas- resaltar quienes son los beneficiados por la globalización. </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Como se verá más adelante -en detalle- entre los principales ganadores están:</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 xml:space="preserve">       · los países preparados para competir industrialmente</w:t>
      </w:r>
    </w:p>
    <w:p w:rsidR="005E7E64" w:rsidRPr="00CC7B53" w:rsidRDefault="005E7E64" w:rsidP="005E7E64">
      <w:pPr>
        <w:pStyle w:val="Estndar"/>
        <w:jc w:val="both"/>
        <w:rPr>
          <w:szCs w:val="24"/>
        </w:rPr>
      </w:pPr>
      <w:r w:rsidRPr="00CC7B53">
        <w:rPr>
          <w:szCs w:val="24"/>
        </w:rPr>
        <w:t xml:space="preserve">       · los países donde las empresas ya compiten intensamente en el mercado interior</w:t>
      </w:r>
    </w:p>
    <w:p w:rsidR="005E7E64" w:rsidRPr="00CC7B53" w:rsidRDefault="005E7E64" w:rsidP="005E7E64">
      <w:pPr>
        <w:pStyle w:val="Estndar"/>
        <w:jc w:val="both"/>
        <w:rPr>
          <w:szCs w:val="24"/>
        </w:rPr>
      </w:pPr>
      <w:r w:rsidRPr="00CC7B53">
        <w:rPr>
          <w:szCs w:val="24"/>
        </w:rPr>
        <w:t xml:space="preserve">       · las grandes empresas multinacionales</w:t>
      </w:r>
    </w:p>
    <w:p w:rsidR="005E7E64" w:rsidRPr="00CC7B53" w:rsidRDefault="005E7E64" w:rsidP="005E7E64">
      <w:pPr>
        <w:pStyle w:val="Estndar"/>
        <w:jc w:val="both"/>
        <w:rPr>
          <w:szCs w:val="24"/>
        </w:rPr>
      </w:pPr>
      <w:r w:rsidRPr="00CC7B53">
        <w:rPr>
          <w:szCs w:val="24"/>
        </w:rPr>
        <w:t xml:space="preserve">       · un 20% de la población activa</w:t>
      </w:r>
    </w:p>
    <w:p w:rsidR="005E7E64" w:rsidRPr="00CC7B53" w:rsidRDefault="005E7E64" w:rsidP="005E7E64">
      <w:pPr>
        <w:pStyle w:val="Estndar"/>
        <w:jc w:val="both"/>
        <w:rPr>
          <w:szCs w:val="24"/>
        </w:rPr>
      </w:pPr>
      <w:r w:rsidRPr="00CC7B53">
        <w:rPr>
          <w:szCs w:val="24"/>
        </w:rPr>
        <w:t xml:space="preserve">       · el 1% de las familias más ricas</w:t>
      </w:r>
    </w:p>
    <w:p w:rsidR="005E7E64" w:rsidRPr="00CC7B53" w:rsidRDefault="005E7E64" w:rsidP="005E7E64">
      <w:pPr>
        <w:pStyle w:val="Estndar"/>
        <w:jc w:val="both"/>
        <w:rPr>
          <w:szCs w:val="24"/>
        </w:rPr>
      </w:pPr>
      <w:r w:rsidRPr="00CC7B53">
        <w:rPr>
          <w:szCs w:val="24"/>
        </w:rPr>
        <w:t xml:space="preserve">       · el capitalismo financiero</w:t>
      </w:r>
    </w:p>
    <w:p w:rsidR="005E7E64" w:rsidRPr="00CC7B53" w:rsidRDefault="005E7E64" w:rsidP="005E7E64">
      <w:pPr>
        <w:pStyle w:val="Estndar"/>
        <w:jc w:val="both"/>
        <w:rPr>
          <w:szCs w:val="24"/>
        </w:rPr>
      </w:pPr>
      <w:r w:rsidRPr="00CC7B53">
        <w:rPr>
          <w:szCs w:val="24"/>
        </w:rPr>
        <w:t xml:space="preserve">       · los altos directivos </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Con lo visto anteriormente -podría</w:t>
      </w:r>
      <w:r>
        <w:rPr>
          <w:szCs w:val="24"/>
        </w:rPr>
        <w:t>mos decir “visto para sentencia”</w:t>
      </w:r>
      <w:r w:rsidRPr="00CC7B53">
        <w:rPr>
          <w:szCs w:val="24"/>
        </w:rPr>
        <w:t>-, tenemos una amplia confirmación, sobre lo que nos contaban en el capítulo anterior Hans-Peter Martin y Harald Schumann, de lo tratado en el Hotel Fairmont de San Francisco, en la reunión de notables de los negocios, universidades y gobernantes del mundo</w:t>
      </w:r>
      <w:r>
        <w:rPr>
          <w:szCs w:val="24"/>
        </w:rPr>
        <w:t>, en Septiembre de 1995. Estos “pragmáticos”</w:t>
      </w:r>
      <w:r w:rsidRPr="00CC7B53">
        <w:rPr>
          <w:szCs w:val="24"/>
        </w:rPr>
        <w:t xml:space="preserve"> 500 de primera línea asumían que en el próximo siglo el 20% de la población activa bastará para mantener en marcha la economía mundial. No se necesitará más fuerza de trabajo.</w:t>
      </w:r>
    </w:p>
    <w:p w:rsidR="005E7E64" w:rsidRPr="00CC7B53" w:rsidRDefault="005E7E64" w:rsidP="005E7E64">
      <w:pPr>
        <w:pStyle w:val="Estndar"/>
        <w:jc w:val="both"/>
        <w:rPr>
          <w:szCs w:val="24"/>
        </w:rPr>
      </w:pPr>
    </w:p>
    <w:p w:rsidR="005E7E64" w:rsidRDefault="005E7E64" w:rsidP="005E7E64">
      <w:pPr>
        <w:pStyle w:val="Estndar"/>
        <w:jc w:val="both"/>
        <w:rPr>
          <w:szCs w:val="24"/>
        </w:rPr>
      </w:pPr>
      <w:r w:rsidRPr="00CC7B53">
        <w:rPr>
          <w:szCs w:val="24"/>
        </w:rPr>
        <w:t>Evi</w:t>
      </w:r>
      <w:r>
        <w:rPr>
          <w:szCs w:val="24"/>
        </w:rPr>
        <w:t>dentemente han tenido razón “una década”</w:t>
      </w:r>
      <w:r w:rsidRPr="00CC7B53">
        <w:rPr>
          <w:szCs w:val="24"/>
        </w:rPr>
        <w:t xml:space="preserve"> antes. El </w:t>
      </w:r>
      <w:r>
        <w:rPr>
          <w:szCs w:val="24"/>
        </w:rPr>
        <w:t>resto como expresó Brzezinski: “tittytainment”</w:t>
      </w:r>
      <w:r w:rsidRPr="00CC7B53">
        <w:rPr>
          <w:szCs w:val="24"/>
        </w:rPr>
        <w:t>, entretenimiento aturdidor y alimentación suficiente, aunque esto último nos permitimos ponerlo en duda.</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La mayoría silenciosa (la que no vota), verá a la minoría satisfecha (mayoría que vota, al decir de Galbraith) por televisión. Invertirá sus ahorros -cuando los tenga- en los fondos de pensión o de inversión para que algún especulador aplique los recursos en acciones en las empresas que luego los despedirán para aumentar la rentabilidad de la inversión.</w:t>
      </w:r>
    </w:p>
    <w:p w:rsidR="005E7E64" w:rsidRPr="00CC7B53" w:rsidRDefault="005E7E64" w:rsidP="005E7E64">
      <w:pPr>
        <w:pStyle w:val="Estndar"/>
        <w:jc w:val="both"/>
        <w:rPr>
          <w:szCs w:val="24"/>
        </w:rPr>
      </w:pPr>
    </w:p>
    <w:p w:rsidR="005E7E64" w:rsidRPr="00CC7B53" w:rsidRDefault="005E7E64" w:rsidP="005E7E64">
      <w:pPr>
        <w:pStyle w:val="Estndar"/>
        <w:jc w:val="both"/>
        <w:rPr>
          <w:szCs w:val="24"/>
        </w:rPr>
      </w:pPr>
      <w:r w:rsidRPr="00CC7B53">
        <w:rPr>
          <w:szCs w:val="24"/>
        </w:rPr>
        <w:t>¿Podrá una minoría tan reducida -aunque poderosa- asumir l</w:t>
      </w:r>
      <w:r>
        <w:rPr>
          <w:szCs w:val="24"/>
        </w:rPr>
        <w:t>os problemas comunes del mundo? ¿</w:t>
      </w:r>
      <w:r w:rsidRPr="00CC7B53">
        <w:rPr>
          <w:szCs w:val="24"/>
        </w:rPr>
        <w:t>La competencia les dejará tiempo para atender los cada vez más grandes desafíos medioambientales, demográficos, eco</w:t>
      </w:r>
      <w:r>
        <w:rPr>
          <w:szCs w:val="24"/>
        </w:rPr>
        <w:t>nómicos y sociales?</w:t>
      </w:r>
      <w:r w:rsidRPr="00CC7B53">
        <w:rPr>
          <w:szCs w:val="24"/>
        </w:rPr>
        <w:t xml:space="preserve"> ¿Habrá alguno o algunos dispuestos a actuar como</w:t>
      </w:r>
      <w:r>
        <w:rPr>
          <w:szCs w:val="24"/>
        </w:rPr>
        <w:t xml:space="preserve"> prestamista de último recurso? ¿</w:t>
      </w:r>
      <w:r w:rsidRPr="00CC7B53">
        <w:rPr>
          <w:szCs w:val="24"/>
        </w:rPr>
        <w:t>Podrán la cibernética, la automatización y las tecnologías revolucionarias devolver al consumidor su ciudadanía y al individuo la voluntad de ser sujeto</w:t>
      </w:r>
      <w:r>
        <w:rPr>
          <w:szCs w:val="24"/>
        </w:rPr>
        <w:t>?</w:t>
      </w:r>
      <w:r w:rsidRPr="00CC7B53">
        <w:rPr>
          <w:szCs w:val="24"/>
        </w:rPr>
        <w:t xml:space="preserve"> ¿Podrán los triunfadores abri</w:t>
      </w:r>
      <w:r>
        <w:rPr>
          <w:szCs w:val="24"/>
        </w:rPr>
        <w:t>r sus mentes antes del fracaso?</w:t>
      </w:r>
      <w:r w:rsidRPr="00CC7B53">
        <w:rPr>
          <w:szCs w:val="24"/>
        </w:rPr>
        <w:t xml:space="preserve"> ¿Quiénes administrará</w:t>
      </w:r>
      <w:r>
        <w:rPr>
          <w:szCs w:val="24"/>
        </w:rPr>
        <w:t>n el sistema comercial mundial?</w:t>
      </w:r>
      <w:r w:rsidRPr="00CC7B53">
        <w:rPr>
          <w:szCs w:val="24"/>
        </w:rPr>
        <w:t xml:space="preserve"> ¿Q</w:t>
      </w:r>
      <w:r>
        <w:rPr>
          <w:szCs w:val="24"/>
        </w:rPr>
        <w:t>uién restablecerá la confianza?</w:t>
      </w:r>
      <w:r w:rsidRPr="00CC7B53">
        <w:rPr>
          <w:szCs w:val="24"/>
        </w:rPr>
        <w:t xml:space="preserve"> ¿Hasta dónde</w:t>
      </w:r>
      <w:r>
        <w:rPr>
          <w:szCs w:val="24"/>
        </w:rPr>
        <w:t xml:space="preserve"> serán capaces de liberalizar?</w:t>
      </w:r>
      <w:r w:rsidRPr="00CC7B53">
        <w:rPr>
          <w:szCs w:val="24"/>
        </w:rPr>
        <w:t xml:space="preserve"> ¿Hasta dónde</w:t>
      </w:r>
      <w:r>
        <w:rPr>
          <w:szCs w:val="24"/>
        </w:rPr>
        <w:t xml:space="preserve"> llevarán la privatización?</w:t>
      </w:r>
      <w:r w:rsidRPr="00CC7B53">
        <w:rPr>
          <w:szCs w:val="24"/>
        </w:rPr>
        <w:t xml:space="preserve"> ¿Podrán equilibra</w:t>
      </w:r>
      <w:r>
        <w:rPr>
          <w:szCs w:val="24"/>
        </w:rPr>
        <w:t>r la libertad con la igualdad? ¿Harán duradero el desarrollo? ¿Tolerarán otras culturas?</w:t>
      </w:r>
      <w:r w:rsidRPr="00CC7B53">
        <w:rPr>
          <w:szCs w:val="24"/>
        </w:rPr>
        <w:t xml:space="preserve"> ¿Quién e</w:t>
      </w:r>
      <w:r>
        <w:rPr>
          <w:szCs w:val="24"/>
        </w:rPr>
        <w:t>s el policía que monta guardia?</w:t>
      </w:r>
      <w:r w:rsidRPr="00CC7B53">
        <w:rPr>
          <w:szCs w:val="24"/>
        </w:rPr>
        <w:t xml:space="preserve"> ¿Alguien se interesa por lo</w:t>
      </w:r>
      <w:r>
        <w:rPr>
          <w:szCs w:val="24"/>
        </w:rPr>
        <w:t>s desequilibrios estructurales?</w:t>
      </w:r>
      <w:r w:rsidRPr="00CC7B53">
        <w:rPr>
          <w:szCs w:val="24"/>
        </w:rPr>
        <w:t xml:space="preserve"> ¿A los ganadores l</w:t>
      </w:r>
      <w:r>
        <w:rPr>
          <w:szCs w:val="24"/>
        </w:rPr>
        <w:t>es interesa la justicia social?</w:t>
      </w:r>
      <w:r w:rsidRPr="00CC7B53">
        <w:rPr>
          <w:szCs w:val="24"/>
        </w:rPr>
        <w:t xml:space="preserve"> ¿Estarán dispuestos a hacerse carg</w:t>
      </w:r>
      <w:r>
        <w:rPr>
          <w:szCs w:val="24"/>
        </w:rPr>
        <w:t>o de las víctimas del progreso?</w:t>
      </w:r>
      <w:r w:rsidRPr="00CC7B53">
        <w:rPr>
          <w:szCs w:val="24"/>
        </w:rPr>
        <w:t xml:space="preserve"> ¿Serán capaces de no co</w:t>
      </w:r>
      <w:r>
        <w:rPr>
          <w:szCs w:val="24"/>
        </w:rPr>
        <w:t>nsiderar al mundo como un todo?</w:t>
      </w:r>
      <w:r w:rsidRPr="00CC7B53">
        <w:rPr>
          <w:szCs w:val="24"/>
        </w:rPr>
        <w:t xml:space="preserve"> ¿Quiénes serán los encargados de pensar g</w:t>
      </w:r>
      <w:r>
        <w:rPr>
          <w:szCs w:val="24"/>
        </w:rPr>
        <w:t>lobalmente y actuar localmente?</w:t>
      </w:r>
      <w:r w:rsidRPr="00CC7B53">
        <w:rPr>
          <w:szCs w:val="24"/>
        </w:rPr>
        <w:t xml:space="preserve"> ¿Serán capaces de reformular el contrato social para una sociedad no ba</w:t>
      </w:r>
      <w:r>
        <w:rPr>
          <w:szCs w:val="24"/>
        </w:rPr>
        <w:t>sada en el trabajo? ¿</w:t>
      </w:r>
      <w:r w:rsidRPr="00CC7B53">
        <w:rPr>
          <w:szCs w:val="24"/>
        </w:rPr>
        <w:t>Podrán dejar de sacrificar delibe</w:t>
      </w:r>
      <w:r>
        <w:rPr>
          <w:szCs w:val="24"/>
        </w:rPr>
        <w:t>radamente el futuro al presente</w:t>
      </w:r>
      <w:r w:rsidRPr="00CC7B53">
        <w:rPr>
          <w:szCs w:val="24"/>
        </w:rPr>
        <w:t>?</w:t>
      </w:r>
    </w:p>
    <w:p w:rsidR="005E7E64" w:rsidRPr="00CC7B53" w:rsidRDefault="005E7E64" w:rsidP="005E7E64">
      <w:pPr>
        <w:pStyle w:val="Estndar"/>
        <w:jc w:val="both"/>
        <w:rPr>
          <w:szCs w:val="24"/>
        </w:rPr>
      </w:pPr>
    </w:p>
    <w:p w:rsidR="005E7E64" w:rsidRDefault="005E7E64" w:rsidP="005E7E64">
      <w:pPr>
        <w:spacing w:line="240" w:lineRule="auto"/>
        <w:jc w:val="both"/>
        <w:rPr>
          <w:rFonts w:ascii="Times New Roman" w:hAnsi="Times New Roman" w:cs="Times New Roman"/>
          <w:sz w:val="24"/>
          <w:szCs w:val="24"/>
        </w:rPr>
      </w:pPr>
      <w:r w:rsidRPr="00CC7B53">
        <w:rPr>
          <w:rFonts w:ascii="Times New Roman" w:hAnsi="Times New Roman" w:cs="Times New Roman"/>
          <w:sz w:val="24"/>
          <w:szCs w:val="24"/>
        </w:rPr>
        <w:t>Mientras reflexio</w:t>
      </w:r>
      <w:r>
        <w:rPr>
          <w:rFonts w:ascii="Times New Roman" w:hAnsi="Times New Roman" w:cs="Times New Roman"/>
          <w:sz w:val="24"/>
          <w:szCs w:val="24"/>
        </w:rPr>
        <w:t>namos sobre las posibilidades -</w:t>
      </w:r>
      <w:r w:rsidRPr="00CC7B53">
        <w:rPr>
          <w:rFonts w:ascii="Times New Roman" w:hAnsi="Times New Roman" w:cs="Times New Roman"/>
          <w:sz w:val="24"/>
          <w:szCs w:val="24"/>
        </w:rPr>
        <w:t xml:space="preserve">o más </w:t>
      </w:r>
      <w:r>
        <w:rPr>
          <w:rFonts w:ascii="Times New Roman" w:hAnsi="Times New Roman" w:cs="Times New Roman"/>
          <w:sz w:val="24"/>
          <w:szCs w:val="24"/>
        </w:rPr>
        <w:t>aún sobre la voluntad- de los “ganadores”</w:t>
      </w:r>
      <w:r w:rsidRPr="00CC7B53">
        <w:rPr>
          <w:rFonts w:ascii="Times New Roman" w:hAnsi="Times New Roman" w:cs="Times New Roman"/>
          <w:sz w:val="24"/>
          <w:szCs w:val="24"/>
        </w:rPr>
        <w:t xml:space="preserve"> de asumir, en tiempo y forma, la problemática global del mundo como suya propia, pasemos a reconocer, e</w:t>
      </w:r>
      <w:r>
        <w:rPr>
          <w:rFonts w:ascii="Times New Roman" w:hAnsi="Times New Roman" w:cs="Times New Roman"/>
          <w:sz w:val="24"/>
          <w:szCs w:val="24"/>
        </w:rPr>
        <w:t>n el siguiente capítulo, a los “perdedores”</w:t>
      </w:r>
      <w:r w:rsidRPr="00CC7B53">
        <w:rPr>
          <w:rFonts w:ascii="Times New Roman" w:hAnsi="Times New Roman" w:cs="Times New Roman"/>
          <w:sz w:val="24"/>
          <w:szCs w:val="24"/>
        </w:rPr>
        <w:t xml:space="preserve"> de la globalización.</w:t>
      </w:r>
    </w:p>
    <w:p w:rsidR="005E7E64" w:rsidRPr="0078272B"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Las víctimas del dualismo económico se cuentan por millones. Los que no pudieron -</w:t>
      </w:r>
      <w:r>
        <w:rPr>
          <w:rFonts w:ascii="Times New Roman" w:hAnsi="Times New Roman" w:cs="Times New Roman"/>
          <w:sz w:val="24"/>
          <w:szCs w:val="24"/>
        </w:rPr>
        <w:t>¿</w:t>
      </w:r>
      <w:r w:rsidRPr="0078272B">
        <w:rPr>
          <w:rFonts w:ascii="Times New Roman" w:hAnsi="Times New Roman" w:cs="Times New Roman"/>
          <w:sz w:val="24"/>
          <w:szCs w:val="24"/>
        </w:rPr>
        <w:t>ni podrá</w:t>
      </w:r>
      <w:r>
        <w:rPr>
          <w:rFonts w:ascii="Times New Roman" w:hAnsi="Times New Roman" w:cs="Times New Roman"/>
          <w:sz w:val="24"/>
          <w:szCs w:val="24"/>
        </w:rPr>
        <w:t>n</w:t>
      </w:r>
      <w:r w:rsidRPr="0078272B">
        <w:rPr>
          <w:rFonts w:ascii="Times New Roman" w:hAnsi="Times New Roman" w:cs="Times New Roman"/>
          <w:sz w:val="24"/>
          <w:szCs w:val="24"/>
        </w:rPr>
        <w:t>?- cruzar el muro de la pobreza están pagando cara la globalización, el libre comercio, la economía de mercado y la competitividad.</w:t>
      </w:r>
    </w:p>
    <w:p w:rsidR="005E7E64" w:rsidRPr="0078272B"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 xml:space="preserve">Una enorme subclase inmóvil opta en forma permanente entre el paro o la pobreza. El ejército multinacional de los desamparados, excluidos y carenciados, se sienten definitivamente apartados de la gran aldea global. Los nuevos pobres, generados por esta economía </w:t>
      </w:r>
      <w:r>
        <w:rPr>
          <w:rFonts w:ascii="Times New Roman" w:hAnsi="Times New Roman" w:cs="Times New Roman"/>
          <w:sz w:val="24"/>
          <w:szCs w:val="24"/>
        </w:rPr>
        <w:t>a dos velocidades, integran el “ejército en la reserva”</w:t>
      </w:r>
      <w:r w:rsidRPr="0078272B">
        <w:rPr>
          <w:rFonts w:ascii="Times New Roman" w:hAnsi="Times New Roman" w:cs="Times New Roman"/>
          <w:sz w:val="24"/>
          <w:szCs w:val="24"/>
        </w:rPr>
        <w:t>, en permanente adaptación hacia abajo.</w:t>
      </w:r>
    </w:p>
    <w:p w:rsidR="005E7E64" w:rsidRPr="0078272B"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El miedo al mañana, la angustia y la in</w:t>
      </w:r>
      <w:r>
        <w:rPr>
          <w:rFonts w:ascii="Times New Roman" w:hAnsi="Times New Roman" w:cs="Times New Roman"/>
          <w:sz w:val="24"/>
          <w:szCs w:val="24"/>
        </w:rPr>
        <w:t>seguridad, impulsan esta nueva “era de las desigualdades” (Fitoussi). Las víctimas del “horror económico”</w:t>
      </w:r>
      <w:r w:rsidRPr="0078272B">
        <w:rPr>
          <w:rFonts w:ascii="Times New Roman" w:hAnsi="Times New Roman" w:cs="Times New Roman"/>
          <w:sz w:val="24"/>
          <w:szCs w:val="24"/>
        </w:rPr>
        <w:t xml:space="preserve"> (Forrester) se sienten definitivamente excluidos</w:t>
      </w:r>
      <w:r>
        <w:rPr>
          <w:rFonts w:ascii="Times New Roman" w:hAnsi="Times New Roman" w:cs="Times New Roman"/>
          <w:sz w:val="24"/>
          <w:szCs w:val="24"/>
        </w:rPr>
        <w:t xml:space="preserve"> de “integrar la red”. “La mayoría insatisfecha”</w:t>
      </w:r>
      <w:r w:rsidRPr="0078272B">
        <w:rPr>
          <w:rFonts w:ascii="Times New Roman" w:hAnsi="Times New Roman" w:cs="Times New Roman"/>
          <w:sz w:val="24"/>
          <w:szCs w:val="24"/>
        </w:rPr>
        <w:t xml:space="preserve"> sufre aturdida las consecuencias de la privatización, la liberación y la desregulación, realizadas en nombre del progreso.</w:t>
      </w:r>
    </w:p>
    <w:p w:rsidR="005E7E64"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Trabajador de usar y tirar, disponible en el momento justo y por el tiempo necesario, flexibilizado, excluido, padeciendo los modernos procedimientos de reducción (downsizing), desplazamiento (outsourcing)</w:t>
      </w:r>
      <w:r>
        <w:rPr>
          <w:rFonts w:ascii="Times New Roman" w:hAnsi="Times New Roman" w:cs="Times New Roman"/>
          <w:sz w:val="24"/>
          <w:szCs w:val="24"/>
        </w:rPr>
        <w:t>,  reorganización (re-</w:t>
      </w:r>
      <w:r w:rsidRPr="0078272B">
        <w:rPr>
          <w:rFonts w:ascii="Times New Roman" w:hAnsi="Times New Roman" w:cs="Times New Roman"/>
          <w:sz w:val="24"/>
          <w:szCs w:val="24"/>
        </w:rPr>
        <w:t xml:space="preserve">engineering ), sienten que </w:t>
      </w:r>
      <w:r>
        <w:rPr>
          <w:rFonts w:ascii="Times New Roman" w:hAnsi="Times New Roman" w:cs="Times New Roman"/>
          <w:sz w:val="24"/>
          <w:szCs w:val="24"/>
        </w:rPr>
        <w:t>han caído -definitivamente- en “la trampa de la globalización”</w:t>
      </w:r>
      <w:r w:rsidRPr="0078272B">
        <w:rPr>
          <w:rFonts w:ascii="Times New Roman" w:hAnsi="Times New Roman" w:cs="Times New Roman"/>
          <w:sz w:val="24"/>
          <w:szCs w:val="24"/>
        </w:rPr>
        <w:t xml:space="preserve"> (Martin y Schumann).</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E7E64"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Dos cuchillas de la misma tijera, en nombre de la flexibilización y la competitividad</w:t>
      </w:r>
      <w:r>
        <w:rPr>
          <w:rFonts w:ascii="Times New Roman" w:hAnsi="Times New Roman" w:cs="Times New Roman"/>
          <w:sz w:val="24"/>
          <w:szCs w:val="24"/>
        </w:rPr>
        <w:t>,</w:t>
      </w:r>
      <w:r w:rsidRPr="0078272B">
        <w:rPr>
          <w:rFonts w:ascii="Times New Roman" w:hAnsi="Times New Roman" w:cs="Times New Roman"/>
          <w:sz w:val="24"/>
          <w:szCs w:val="24"/>
        </w:rPr>
        <w:t xml:space="preserve"> se somete al hombre al drama individual de la pérdida del trabajo, de la precariedad, de la baja de salarios y al drama colectivo de la pérdida del estado del bienestar. De allí que Viviane Forrester diga que estamos ante una elección: desocupación o pobreza, aunque finalmente concluya que te</w:t>
      </w:r>
      <w:r>
        <w:rPr>
          <w:rFonts w:ascii="Times New Roman" w:hAnsi="Times New Roman" w:cs="Times New Roman"/>
          <w:sz w:val="24"/>
          <w:szCs w:val="24"/>
        </w:rPr>
        <w:t>ndremos las dos cosas. El otro “corte”</w:t>
      </w:r>
      <w:r w:rsidRPr="0078272B">
        <w:rPr>
          <w:rFonts w:ascii="Times New Roman" w:hAnsi="Times New Roman" w:cs="Times New Roman"/>
          <w:sz w:val="24"/>
          <w:szCs w:val="24"/>
        </w:rPr>
        <w:t xml:space="preserve"> competitivo se está dando al gasto público. Estados Unidos acepta una gran disparidad de los ingresos. Y considera a la pobreza como un problema particular. Por ello no se inmuta (a pesar de los costos: criminalidad - drogadicción - homeless) al recortar los programas de educación, sanidad, vivienda, indigencia, servicios públicos. Europa tiene una larga tradición social y considera la pobreza como un problema público. De ahí las dificultades existentes a la hora de recortar el estado del b</w:t>
      </w:r>
      <w:r>
        <w:rPr>
          <w:rFonts w:ascii="Times New Roman" w:hAnsi="Times New Roman" w:cs="Times New Roman"/>
          <w:sz w:val="24"/>
          <w:szCs w:val="24"/>
        </w:rPr>
        <w:t>ienestar.</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E7E64" w:rsidRPr="0078272B"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Quisiéramos reflexionar, brevemente, sobre algunos aspectos que hacen a la crisis individual de la persona sometida a la dramática situación social y económica descripta anteriormente.</w:t>
      </w:r>
    </w:p>
    <w:p w:rsidR="005E7E64" w:rsidRDefault="005E7E64" w:rsidP="005E7E64">
      <w:pPr>
        <w:spacing w:line="240" w:lineRule="auto"/>
        <w:jc w:val="both"/>
        <w:rPr>
          <w:rFonts w:ascii="Times New Roman" w:hAnsi="Times New Roman" w:cs="Times New Roman"/>
          <w:sz w:val="24"/>
          <w:szCs w:val="24"/>
        </w:rPr>
      </w:pPr>
      <w:r w:rsidRPr="0078272B">
        <w:rPr>
          <w:rFonts w:ascii="Times New Roman" w:hAnsi="Times New Roman" w:cs="Times New Roman"/>
          <w:sz w:val="24"/>
          <w:szCs w:val="24"/>
        </w:rPr>
        <w:t>¿Puede el hombre vivir en un estado de inseguridad permanente? ¿Tiene capacidad para absorber la extraordinaria angustia que le produce estar sin trabajo? ¿Hasta dónde puede resignar ingresos? ¿Habrá siempre alguno dispuesto a aceptar una remuneración menor?</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¿Qué esperanzas puede tener un joven que se i</w:t>
      </w:r>
      <w:r>
        <w:rPr>
          <w:rFonts w:ascii="Times New Roman" w:hAnsi="Times New Roman" w:cs="Times New Roman"/>
          <w:sz w:val="24"/>
          <w:szCs w:val="24"/>
        </w:rPr>
        <w:t>nicia en el mercado de trabajo?</w:t>
      </w:r>
      <w:r w:rsidRPr="009460CF">
        <w:rPr>
          <w:rFonts w:ascii="Times New Roman" w:hAnsi="Times New Roman" w:cs="Times New Roman"/>
          <w:sz w:val="24"/>
          <w:szCs w:val="24"/>
        </w:rPr>
        <w:t xml:space="preserve"> ¿Y una persona de 4</w:t>
      </w:r>
      <w:r>
        <w:rPr>
          <w:rFonts w:ascii="Times New Roman" w:hAnsi="Times New Roman" w:cs="Times New Roman"/>
          <w:sz w:val="24"/>
          <w:szCs w:val="24"/>
        </w:rPr>
        <w:t>5/55 años que pierde el empleo?</w:t>
      </w:r>
      <w:r w:rsidRPr="009460CF">
        <w:rPr>
          <w:rFonts w:ascii="Times New Roman" w:hAnsi="Times New Roman" w:cs="Times New Roman"/>
          <w:sz w:val="24"/>
          <w:szCs w:val="24"/>
        </w:rPr>
        <w:t xml:space="preserve"> ¿Puede hacer algún tipo de planes quien vive de contrato precario en cont</w:t>
      </w:r>
      <w:r>
        <w:rPr>
          <w:rFonts w:ascii="Times New Roman" w:hAnsi="Times New Roman" w:cs="Times New Roman"/>
          <w:sz w:val="24"/>
          <w:szCs w:val="24"/>
        </w:rPr>
        <w:t>rato precario? ¿Puede casarse?</w:t>
      </w:r>
      <w:r w:rsidRPr="009460CF">
        <w:rPr>
          <w:rFonts w:ascii="Times New Roman" w:hAnsi="Times New Roman" w:cs="Times New Roman"/>
          <w:sz w:val="24"/>
          <w:szCs w:val="24"/>
        </w:rPr>
        <w:t xml:space="preserve"> ¿Puede comprar una pro</w:t>
      </w:r>
      <w:r>
        <w:rPr>
          <w:rFonts w:ascii="Times New Roman" w:hAnsi="Times New Roman" w:cs="Times New Roman"/>
          <w:sz w:val="24"/>
          <w:szCs w:val="24"/>
        </w:rPr>
        <w:t>piedad con crédito hipotecario?</w:t>
      </w:r>
      <w:r w:rsidRPr="009460CF">
        <w:rPr>
          <w:rFonts w:ascii="Times New Roman" w:hAnsi="Times New Roman" w:cs="Times New Roman"/>
          <w:sz w:val="24"/>
          <w:szCs w:val="24"/>
        </w:rPr>
        <w:t xml:space="preserve"> ¿Puede funcio</w:t>
      </w:r>
      <w:r>
        <w:rPr>
          <w:rFonts w:ascii="Times New Roman" w:hAnsi="Times New Roman" w:cs="Times New Roman"/>
          <w:sz w:val="24"/>
          <w:szCs w:val="24"/>
        </w:rPr>
        <w:t>nar así la sociedad de consumo?</w:t>
      </w:r>
      <w:r w:rsidRPr="009460CF">
        <w:rPr>
          <w:rFonts w:ascii="Times New Roman" w:hAnsi="Times New Roman" w:cs="Times New Roman"/>
          <w:sz w:val="24"/>
          <w:szCs w:val="24"/>
        </w:rPr>
        <w:t xml:space="preserve"> ¿O lo único</w:t>
      </w:r>
      <w:r>
        <w:rPr>
          <w:rFonts w:ascii="Times New Roman" w:hAnsi="Times New Roman" w:cs="Times New Roman"/>
          <w:sz w:val="24"/>
          <w:szCs w:val="24"/>
        </w:rPr>
        <w:t xml:space="preserve"> que queda son los consumos de “evasión”: alcohol y droga?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Pareciera que el capitalismo (o turbocapitalismo, como lo llaman Hans-Peter Martin y Harald Schumann) se está destruyendo a sí mismo. Aunque  p</w:t>
      </w:r>
      <w:r>
        <w:rPr>
          <w:rFonts w:ascii="Times New Roman" w:hAnsi="Times New Roman" w:cs="Times New Roman"/>
          <w:sz w:val="24"/>
          <w:szCs w:val="24"/>
        </w:rPr>
        <w:t>robablemente los que hoy están “danzando en el Titanic”</w:t>
      </w:r>
      <w:r w:rsidRPr="009460CF">
        <w:rPr>
          <w:rFonts w:ascii="Times New Roman" w:hAnsi="Times New Roman" w:cs="Times New Roman"/>
          <w:sz w:val="24"/>
          <w:szCs w:val="24"/>
        </w:rPr>
        <w:t xml:space="preserve"> estén en los botes salvavidas antes q</w:t>
      </w:r>
      <w:r>
        <w:rPr>
          <w:rFonts w:ascii="Times New Roman" w:hAnsi="Times New Roman" w:cs="Times New Roman"/>
          <w:sz w:val="24"/>
          <w:szCs w:val="24"/>
        </w:rPr>
        <w:t>ue choquemos contra el iceberg.</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¿Todos seremos trabajadores del conocimien</w:t>
      </w:r>
      <w:r>
        <w:rPr>
          <w:rFonts w:ascii="Times New Roman" w:hAnsi="Times New Roman" w:cs="Times New Roman"/>
          <w:sz w:val="24"/>
          <w:szCs w:val="24"/>
        </w:rPr>
        <w:t>to o trabajadores de McDonalds?</w:t>
      </w:r>
      <w:r w:rsidRPr="009460CF">
        <w:rPr>
          <w:rFonts w:ascii="Times New Roman" w:hAnsi="Times New Roman" w:cs="Times New Roman"/>
          <w:sz w:val="24"/>
          <w:szCs w:val="24"/>
        </w:rPr>
        <w:t xml:space="preserve"> ¿Los robots fabricarán los productos y los hombres se</w:t>
      </w:r>
      <w:r>
        <w:rPr>
          <w:rFonts w:ascii="Times New Roman" w:hAnsi="Times New Roman" w:cs="Times New Roman"/>
          <w:sz w:val="24"/>
          <w:szCs w:val="24"/>
        </w:rPr>
        <w:t>rán camareros de otros hombres?¿Será eso la sociedad del ocio? ¿Así deben ser la</w:t>
      </w:r>
      <w:r w:rsidR="0030483A">
        <w:rPr>
          <w:rFonts w:ascii="Times New Roman" w:hAnsi="Times New Roman" w:cs="Times New Roman"/>
          <w:sz w:val="24"/>
          <w:szCs w:val="24"/>
        </w:rPr>
        <w:t>s</w:t>
      </w:r>
      <w:r>
        <w:rPr>
          <w:rFonts w:ascii="Times New Roman" w:hAnsi="Times New Roman" w:cs="Times New Roman"/>
          <w:sz w:val="24"/>
          <w:szCs w:val="24"/>
        </w:rPr>
        <w:t xml:space="preserve"> cosas?</w:t>
      </w:r>
    </w:p>
    <w:p w:rsidR="005E7E64" w:rsidRPr="009460CF"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Dice Francis Fukuyama:”</w:t>
      </w:r>
      <w:r w:rsidRPr="009460CF">
        <w:rPr>
          <w:rFonts w:ascii="Times New Roman" w:hAnsi="Times New Roman" w:cs="Times New Roman"/>
          <w:sz w:val="24"/>
          <w:szCs w:val="24"/>
        </w:rPr>
        <w:t>que el bienestar de una nación, así como su capacidad para competir, se halla condicionada por una única y penetrante característica cultural:el nivel de con</w:t>
      </w:r>
      <w:r>
        <w:rPr>
          <w:rFonts w:ascii="Times New Roman" w:hAnsi="Times New Roman" w:cs="Times New Roman"/>
          <w:sz w:val="24"/>
          <w:szCs w:val="24"/>
        </w:rPr>
        <w:t>fianza inherente a esa sociedad”</w:t>
      </w:r>
      <w:r w:rsidRPr="009460CF">
        <w:rPr>
          <w:rFonts w:ascii="Times New Roman" w:hAnsi="Times New Roman" w:cs="Times New Roman"/>
          <w:sz w:val="24"/>
          <w:szCs w:val="24"/>
        </w:rPr>
        <w:t>.</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Nos preguntamos, que confianza podemos tener hoy en una sociedad que nos niega el trabajo, una remuneración digna, educación, sanidad, acceso a la vivienda, seguridad, y nos dificulta o condiciona la alimentación, la libertad, el transporte, la información, la comunicación, el arte, la democracia, la justicia, la solida</w:t>
      </w:r>
      <w:r>
        <w:rPr>
          <w:rFonts w:ascii="Times New Roman" w:hAnsi="Times New Roman" w:cs="Times New Roman"/>
          <w:sz w:val="24"/>
          <w:szCs w:val="24"/>
        </w:rPr>
        <w:t>ridad, y la identidad cultural.</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¿A</w:t>
      </w:r>
      <w:r>
        <w:rPr>
          <w:rFonts w:ascii="Times New Roman" w:hAnsi="Times New Roman" w:cs="Times New Roman"/>
          <w:sz w:val="24"/>
          <w:szCs w:val="24"/>
        </w:rPr>
        <w:t xml:space="preserve"> quién debemos tener confianza?</w:t>
      </w:r>
      <w:r w:rsidRPr="009460CF">
        <w:rPr>
          <w:rFonts w:ascii="Times New Roman" w:hAnsi="Times New Roman" w:cs="Times New Roman"/>
          <w:sz w:val="24"/>
          <w:szCs w:val="24"/>
        </w:rPr>
        <w:t xml:space="preserve"> ¿A los golden boys (por </w:t>
      </w:r>
      <w:r>
        <w:rPr>
          <w:rFonts w:ascii="Times New Roman" w:hAnsi="Times New Roman" w:cs="Times New Roman"/>
          <w:sz w:val="24"/>
          <w:szCs w:val="24"/>
        </w:rPr>
        <w:t>aquello de que “algo caerá”)?</w:t>
      </w:r>
      <w:r w:rsidRPr="009460CF">
        <w:rPr>
          <w:rFonts w:ascii="Times New Roman" w:hAnsi="Times New Roman" w:cs="Times New Roman"/>
          <w:sz w:val="24"/>
          <w:szCs w:val="24"/>
        </w:rPr>
        <w:t xml:space="preserve"> ¿Al capit</w:t>
      </w:r>
      <w:r>
        <w:rPr>
          <w:rFonts w:ascii="Times New Roman" w:hAnsi="Times New Roman" w:cs="Times New Roman"/>
          <w:sz w:val="24"/>
          <w:szCs w:val="24"/>
        </w:rPr>
        <w:t>alismo que sustituye al estado? ¿A la economía social? ¿O al abismo?</w:t>
      </w:r>
      <w:r w:rsidRPr="009460CF">
        <w:rPr>
          <w:rFonts w:ascii="Times New Roman" w:hAnsi="Times New Roman" w:cs="Times New Roman"/>
          <w:sz w:val="24"/>
          <w:szCs w:val="24"/>
        </w:rPr>
        <w:t xml:space="preserve"> Ese abismo que cada vez amplía más la distancia entre ricos y pobres y que a</w:t>
      </w:r>
      <w:r>
        <w:rPr>
          <w:rFonts w:ascii="Times New Roman" w:hAnsi="Times New Roman" w:cs="Times New Roman"/>
          <w:sz w:val="24"/>
          <w:szCs w:val="24"/>
        </w:rPr>
        <w:t>menaza con tragarse el sistema.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El freno capitalista y la mano invisible del mercado han ahogado toda posibilidad de aproximarse al ideal liberal de igualdad sin dominación. Dominados por el miedo no atinamos siquiera a reclamar ni la más mínima igualdad.</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 xml:space="preserve">Probablemente Adam Smith, hoy, </w:t>
      </w:r>
      <w:r>
        <w:rPr>
          <w:rFonts w:ascii="Times New Roman" w:hAnsi="Times New Roman" w:cs="Times New Roman"/>
          <w:sz w:val="24"/>
          <w:szCs w:val="24"/>
        </w:rPr>
        <w:t>los hubiera corrido del templo.</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¿Cómo decirles a nuestros hijos que muy posiblemente -aunque estén más cualificados que nosotros- tendrán p</w:t>
      </w:r>
      <w:r>
        <w:rPr>
          <w:rFonts w:ascii="Times New Roman" w:hAnsi="Times New Roman" w:cs="Times New Roman"/>
          <w:sz w:val="24"/>
          <w:szCs w:val="24"/>
        </w:rPr>
        <w:t>eores trabajos y ganarán menos?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¿Cuánto tiempo puede mantenerse el sistema ante el continuo aumento del número de desocupados y ante el estancamiento del nivel de vida de los que trabajan?, pregunta C. Castoriadis.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¿Puede la competencia gobernar el planeta?, pregunta el Grupo Lisboa.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¿Cuánto falta para que los tittytainment o el zappingantropo apague el te</w:t>
      </w:r>
      <w:r>
        <w:rPr>
          <w:rFonts w:ascii="Times New Roman" w:hAnsi="Times New Roman" w:cs="Times New Roman"/>
          <w:sz w:val="24"/>
          <w:szCs w:val="24"/>
        </w:rPr>
        <w:t>levisor y comience el derrumbe?</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Habrá llegado el momento -tal vez- cuando la</w:t>
      </w:r>
      <w:r>
        <w:rPr>
          <w:rFonts w:ascii="Times New Roman" w:hAnsi="Times New Roman" w:cs="Times New Roman"/>
          <w:sz w:val="24"/>
          <w:szCs w:val="24"/>
        </w:rPr>
        <w:t xml:space="preserve"> desesperación supere al miedo.</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 xml:space="preserve">En apenas una generación hemos pasado de ser hippies, a ser yuppies, para </w:t>
      </w:r>
      <w:r>
        <w:rPr>
          <w:rFonts w:ascii="Times New Roman" w:hAnsi="Times New Roman" w:cs="Times New Roman"/>
          <w:sz w:val="24"/>
          <w:szCs w:val="24"/>
        </w:rPr>
        <w:t>terminar siendo solamente… yonqui</w:t>
      </w:r>
      <w:r w:rsidRPr="009460CF">
        <w:rPr>
          <w:rFonts w:ascii="Times New Roman" w:hAnsi="Times New Roman" w:cs="Times New Roman"/>
          <w:sz w:val="24"/>
          <w:szCs w:val="24"/>
        </w:rPr>
        <w:t>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Actualmente los hijos del Nintendo, súbditos del Tamagochi, han sustituido la autoestima por la autoagresión. Apesebrados, clónicos con resignación ovina, víctimas propiciatorias del becerro de oro, asisten resignados al canibalismo de mercado.</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Antes de pasar al próximo capítulo, vamos a dejar planteado un tema para la re</w:t>
      </w:r>
      <w:r>
        <w:rPr>
          <w:rFonts w:ascii="Times New Roman" w:hAnsi="Times New Roman" w:cs="Times New Roman"/>
          <w:sz w:val="24"/>
          <w:szCs w:val="24"/>
        </w:rPr>
        <w:t>flexión o mejor para el debate.</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 xml:space="preserve">¿Y si todo este proceso de globalización -por parte de la multinacionales- tuviera como fin último sustituir -en gran parte- a consumidores maduros -y saturados de productos- de los países desarrollados, por consumidores nuevos -y ansiosos de productos- </w:t>
      </w:r>
      <w:r>
        <w:rPr>
          <w:rFonts w:ascii="Times New Roman" w:hAnsi="Times New Roman" w:cs="Times New Roman"/>
          <w:sz w:val="24"/>
          <w:szCs w:val="24"/>
        </w:rPr>
        <w:t>de países menos desarrollados?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Desde los orígenes del fordismo, la idea base del capitalismo era, que el trabajador ganara lo suficiente, y durante el suficiente tiempo, como para transformarse en la piedra angular, de lo que dio en llamarse la sociedad de consumo. Los ricos tienen un alto poder de consumo y desde ya son adquirentes de muchos bienes. Pero nunca, salvo en productos de lujo, representan un alto porcentaje en la facturación de las empresas. El gran mercado lo forman los millones de consumidores anónimos. Los que no son ricos ni famosos. Los millones de operarios, administrativos, funcionarios, pequeños empresarios, profesionales, pensionistas, y otros, que empuja</w:t>
      </w:r>
      <w:r>
        <w:rPr>
          <w:rFonts w:ascii="Times New Roman" w:hAnsi="Times New Roman" w:cs="Times New Roman"/>
          <w:sz w:val="24"/>
          <w:szCs w:val="24"/>
        </w:rPr>
        <w:t>n el carrito del supermercado, “tiran”</w:t>
      </w:r>
      <w:r w:rsidRPr="009460CF">
        <w:rPr>
          <w:rFonts w:ascii="Times New Roman" w:hAnsi="Times New Roman" w:cs="Times New Roman"/>
          <w:sz w:val="24"/>
          <w:szCs w:val="24"/>
        </w:rPr>
        <w:t xml:space="preserve"> de la tarjeta de crédito, e incrementan su colesterol con fast food.</w:t>
      </w:r>
    </w:p>
    <w:p w:rsidR="005E7E64" w:rsidRPr="009460CF"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La mecánica operativa era</w:t>
      </w:r>
      <w:r w:rsidRPr="009460CF">
        <w:rPr>
          <w:rFonts w:ascii="Times New Roman" w:hAnsi="Times New Roman" w:cs="Times New Roman"/>
          <w:sz w:val="24"/>
          <w:szCs w:val="24"/>
        </w:rPr>
        <w:t>, dar trabajo e ingresos a gran parte de la población,</w:t>
      </w:r>
      <w:r>
        <w:rPr>
          <w:rFonts w:ascii="Times New Roman" w:hAnsi="Times New Roman" w:cs="Times New Roman"/>
          <w:sz w:val="24"/>
          <w:szCs w:val="24"/>
        </w:rPr>
        <w:t xml:space="preserve"> para que la misma consumiera, “todo lo que le echen”</w:t>
      </w:r>
      <w:r w:rsidRPr="009460CF">
        <w:rPr>
          <w:rFonts w:ascii="Times New Roman" w:hAnsi="Times New Roman" w:cs="Times New Roman"/>
          <w:sz w:val="24"/>
          <w:szCs w:val="24"/>
        </w:rPr>
        <w:t>, las empresas.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¿Que llevó a las empresas a desarmar este e</w:t>
      </w:r>
      <w:r>
        <w:rPr>
          <w:rFonts w:ascii="Times New Roman" w:hAnsi="Times New Roman" w:cs="Times New Roman"/>
          <w:sz w:val="24"/>
          <w:szCs w:val="24"/>
        </w:rPr>
        <w:t>squema?</w:t>
      </w:r>
      <w:r w:rsidRPr="009460CF">
        <w:rPr>
          <w:rFonts w:ascii="Times New Roman" w:hAnsi="Times New Roman" w:cs="Times New Roman"/>
          <w:sz w:val="24"/>
          <w:szCs w:val="24"/>
        </w:rPr>
        <w:t xml:space="preserve"> ¿Los altos costos de la mano de obra, la continua presión e interferencia de los sindicatos, la inflexibilidad laboral, la competencia de empresas instaladas en regiones con menores costos, los deseos de mayor rentabilidad en menor plazo, una actitud de venganza por los años de aceptación y silencio -como mal menor- ante el peligro comunista?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Más allá de los motivos operativos -algunos de los cuales analizaremos en el capítulo sobre competitividad- lo concreto es que el paro y las menores remuneraciones llevan -in extremis- a una disminución de la capacidad de consumo de la población en cantidad (consumidores) y en calidad (dinero).</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Algunas empresas podrían pensar en compensar -y superar- la pérdida de mercado interno, con el mercado externo. Pero el mercado externo de estas empresas, es - ni más, ni menos- el interno de otras -o aún peor de las mismas- en el tercer país; que para más</w:t>
      </w:r>
      <w:r>
        <w:rPr>
          <w:rFonts w:ascii="Times New Roman" w:hAnsi="Times New Roman" w:cs="Times New Roman"/>
          <w:sz w:val="24"/>
          <w:szCs w:val="24"/>
        </w:rPr>
        <w:t xml:space="preserve"> “inri”</w:t>
      </w:r>
      <w:r w:rsidRPr="009460CF">
        <w:rPr>
          <w:rFonts w:ascii="Times New Roman" w:hAnsi="Times New Roman" w:cs="Times New Roman"/>
          <w:sz w:val="24"/>
          <w:szCs w:val="24"/>
        </w:rPr>
        <w:t xml:space="preserve"> podrían estar actuando del mismo modo. O sea que la competitividad podría estar reduciendo el mercado interno de los dos países.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Si los mercados -maduros- internos se reducen, ¿cuál puede ser el beneficio de llevar la producción a países poco desarrollados -no maduros-, si no se puede aprovechar la exportación, como sustituto de la producción interior abandonada?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Con criterio global -más allá del caso a caso particular empresario-, la explicación que nos gustaría se reflexione o se debata, es,</w:t>
      </w:r>
      <w:r>
        <w:rPr>
          <w:rFonts w:ascii="Times New Roman" w:hAnsi="Times New Roman" w:cs="Times New Roman"/>
          <w:sz w:val="24"/>
          <w:szCs w:val="24"/>
        </w:rPr>
        <w:t xml:space="preserve"> si no se estará apostando por “generar”</w:t>
      </w:r>
      <w:r w:rsidRPr="009460CF">
        <w:rPr>
          <w:rFonts w:ascii="Times New Roman" w:hAnsi="Times New Roman" w:cs="Times New Roman"/>
          <w:sz w:val="24"/>
          <w:szCs w:val="24"/>
        </w:rPr>
        <w:t xml:space="preserve"> mercado, en países con bajo costo de mano de obra. Sería como recrear la sociedad de consumo donde nunca existió.</w:t>
      </w:r>
    </w:p>
    <w:p w:rsidR="005E7E64"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Si la hipótesis es cierta, la producción en regiones con bajo costo, no sería principalmente para exportación -que también-, sino para desarrollar el mercado interno. Éste sería -</w:t>
      </w:r>
      <w:r>
        <w:rPr>
          <w:rFonts w:ascii="Times New Roman" w:hAnsi="Times New Roman" w:cs="Times New Roman"/>
          <w:sz w:val="24"/>
          <w:szCs w:val="24"/>
        </w:rPr>
        <w:t>tal vez-, el mayor interés que “despierta”</w:t>
      </w:r>
      <w:r w:rsidRPr="009460CF">
        <w:rPr>
          <w:rFonts w:ascii="Times New Roman" w:hAnsi="Times New Roman" w:cs="Times New Roman"/>
          <w:sz w:val="24"/>
          <w:szCs w:val="24"/>
        </w:rPr>
        <w:t xml:space="preserve"> el mercado asiático, fundamentalmente China.</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Si nuestra hipótesis es correcta, el tema no tiene retorno. Para los trabajadores de los</w:t>
      </w:r>
      <w:r>
        <w:rPr>
          <w:rFonts w:ascii="Times New Roman" w:hAnsi="Times New Roman" w:cs="Times New Roman"/>
          <w:sz w:val="24"/>
          <w:szCs w:val="24"/>
        </w:rPr>
        <w:t xml:space="preserve"> países desarrollados sería un “drama sin final”</w:t>
      </w:r>
      <w:r w:rsidRPr="009460CF">
        <w:rPr>
          <w:rFonts w:ascii="Times New Roman" w:hAnsi="Times New Roman" w:cs="Times New Roman"/>
          <w:sz w:val="24"/>
          <w:szCs w:val="24"/>
        </w:rPr>
        <w:t>. Por más que se flexibilicen, las empresas no volverán. Además de trabajadores caros, son consumidores maduros. En otros lados hay, trabajadores baratos, y consumidores ansiosos.</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 xml:space="preserve">Aunque </w:t>
      </w:r>
      <w:r>
        <w:rPr>
          <w:rFonts w:ascii="Times New Roman" w:hAnsi="Times New Roman" w:cs="Times New Roman"/>
          <w:sz w:val="24"/>
          <w:szCs w:val="24"/>
        </w:rPr>
        <w:t>la mentira nos la van diciendo “de a poquito”</w:t>
      </w:r>
      <w:r w:rsidRPr="009460CF">
        <w:rPr>
          <w:rFonts w:ascii="Times New Roman" w:hAnsi="Times New Roman" w:cs="Times New Roman"/>
          <w:sz w:val="24"/>
          <w:szCs w:val="24"/>
        </w:rPr>
        <w:t xml:space="preserve"> no logran compaginar la idea y el pensamiento con la coherencia y la honestidad.</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Por más bajo que sea el costo de producción en los países desarrollados, muy poco podrían exportar a los países en desarrollo, si sus habitantes no tienen poder de consumo; y de eso se trata, dar trabajo -con mínima remuner</w:t>
      </w:r>
      <w:r>
        <w:rPr>
          <w:rFonts w:ascii="Times New Roman" w:hAnsi="Times New Roman" w:cs="Times New Roman"/>
          <w:sz w:val="24"/>
          <w:szCs w:val="24"/>
        </w:rPr>
        <w:t>ación tolerable- a millones de “nuevos”</w:t>
      </w:r>
      <w:r w:rsidRPr="009460CF">
        <w:rPr>
          <w:rFonts w:ascii="Times New Roman" w:hAnsi="Times New Roman" w:cs="Times New Roman"/>
          <w:sz w:val="24"/>
          <w:szCs w:val="24"/>
        </w:rPr>
        <w:t xml:space="preserve"> consumidores potenciales que to</w:t>
      </w:r>
      <w:r>
        <w:rPr>
          <w:rFonts w:ascii="Times New Roman" w:hAnsi="Times New Roman" w:cs="Times New Roman"/>
          <w:sz w:val="24"/>
          <w:szCs w:val="24"/>
        </w:rPr>
        <w:t>davía tienen que descubrir las “delicias”</w:t>
      </w:r>
      <w:r w:rsidRPr="009460CF">
        <w:rPr>
          <w:rFonts w:ascii="Times New Roman" w:hAnsi="Times New Roman" w:cs="Times New Roman"/>
          <w:sz w:val="24"/>
          <w:szCs w:val="24"/>
        </w:rPr>
        <w:t xml:space="preserve"> de la s</w:t>
      </w:r>
      <w:r>
        <w:rPr>
          <w:rFonts w:ascii="Times New Roman" w:hAnsi="Times New Roman" w:cs="Times New Roman"/>
          <w:sz w:val="24"/>
          <w:szCs w:val="24"/>
        </w:rPr>
        <w:t>ociedad de consumo. Los nuevos “tontos útiles”</w:t>
      </w:r>
      <w:r w:rsidRPr="009460CF">
        <w:rPr>
          <w:rFonts w:ascii="Times New Roman" w:hAnsi="Times New Roman" w:cs="Times New Roman"/>
          <w:sz w:val="24"/>
          <w:szCs w:val="24"/>
        </w:rPr>
        <w:t xml:space="preserve"> del capitalismo (global).</w:t>
      </w:r>
    </w:p>
    <w:p w:rsidR="005E7E64" w:rsidRPr="009460CF"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C</w:t>
      </w:r>
      <w:r>
        <w:rPr>
          <w:rFonts w:ascii="Times New Roman" w:hAnsi="Times New Roman" w:cs="Times New Roman"/>
          <w:sz w:val="24"/>
          <w:szCs w:val="24"/>
        </w:rPr>
        <w:t>hina, India, África (?)...</w:t>
      </w:r>
      <w:r w:rsidRPr="009460CF">
        <w:rPr>
          <w:rFonts w:ascii="Times New Roman" w:hAnsi="Times New Roman" w:cs="Times New Roman"/>
          <w:sz w:val="24"/>
          <w:szCs w:val="24"/>
        </w:rPr>
        <w:t xml:space="preserve"> miles</w:t>
      </w:r>
      <w:r>
        <w:rPr>
          <w:rFonts w:ascii="Times New Roman" w:hAnsi="Times New Roman" w:cs="Times New Roman"/>
          <w:sz w:val="24"/>
          <w:szCs w:val="24"/>
        </w:rPr>
        <w:t xml:space="preserve"> de millones de habitantes... miles de millones de “nuevos”</w:t>
      </w:r>
      <w:r w:rsidRPr="009460CF">
        <w:rPr>
          <w:rFonts w:ascii="Times New Roman" w:hAnsi="Times New Roman" w:cs="Times New Roman"/>
          <w:sz w:val="24"/>
          <w:szCs w:val="24"/>
        </w:rPr>
        <w:t xml:space="preserve"> consumidores</w:t>
      </w:r>
      <w:r>
        <w:rPr>
          <w:rFonts w:ascii="Times New Roman" w:hAnsi="Times New Roman" w:cs="Times New Roman"/>
          <w:sz w:val="24"/>
          <w:szCs w:val="24"/>
        </w:rPr>
        <w:t>... si y sólo si tienen “algo”</w:t>
      </w:r>
      <w:r w:rsidRPr="009460CF">
        <w:rPr>
          <w:rFonts w:ascii="Times New Roman" w:hAnsi="Times New Roman" w:cs="Times New Roman"/>
          <w:sz w:val="24"/>
          <w:szCs w:val="24"/>
        </w:rPr>
        <w:t xml:space="preserve"> de dinero para hacerlo. Ese algo se lo están dando las multinacionales. Y además se quedan en ventaja para competir, en lo que se pueda, en el mercado desarrollado, mientras dura.</w:t>
      </w:r>
    </w:p>
    <w:p w:rsidR="005E7E64" w:rsidRDefault="005E7E64" w:rsidP="005E7E64">
      <w:pPr>
        <w:spacing w:line="240" w:lineRule="auto"/>
        <w:jc w:val="both"/>
        <w:rPr>
          <w:rFonts w:ascii="Times New Roman" w:hAnsi="Times New Roman" w:cs="Times New Roman"/>
          <w:sz w:val="24"/>
          <w:szCs w:val="24"/>
        </w:rPr>
      </w:pPr>
      <w:r w:rsidRPr="009460CF">
        <w:rPr>
          <w:rFonts w:ascii="Times New Roman" w:hAnsi="Times New Roman" w:cs="Times New Roman"/>
          <w:sz w:val="24"/>
          <w:szCs w:val="24"/>
        </w:rPr>
        <w:t>Habría alguna razón -histórica- de justicia para tantos países postergados</w:t>
      </w:r>
      <w:r>
        <w:rPr>
          <w:rFonts w:ascii="Times New Roman" w:hAnsi="Times New Roman" w:cs="Times New Roman"/>
          <w:sz w:val="24"/>
          <w:szCs w:val="24"/>
        </w:rPr>
        <w:t>, sino fuera porque la pobreza “nunca se acaba”</w:t>
      </w:r>
      <w:r w:rsidRPr="009460CF">
        <w:rPr>
          <w:rFonts w:ascii="Times New Roman" w:hAnsi="Times New Roman" w:cs="Times New Roman"/>
          <w:sz w:val="24"/>
          <w:szCs w:val="24"/>
        </w:rPr>
        <w:t xml:space="preserve"> y sólo están llamados a ser una etapa -transitoria- en el devenir competitivo del mercado libre</w:t>
      </w:r>
      <w:r>
        <w:rPr>
          <w:rFonts w:ascii="Times New Roman" w:hAnsi="Times New Roman" w:cs="Times New Roman"/>
          <w:sz w:val="24"/>
          <w:szCs w:val="24"/>
        </w:rPr>
        <w:t>…</w:t>
      </w:r>
    </w:p>
    <w:p w:rsidR="005E7E64" w:rsidRDefault="005E7E64" w:rsidP="005E7E64">
      <w:pPr>
        <w:spacing w:line="240" w:lineRule="auto"/>
        <w:jc w:val="both"/>
        <w:rPr>
          <w:rFonts w:ascii="Times New Roman" w:hAnsi="Times New Roman" w:cs="Times New Roman"/>
          <w:b/>
          <w:sz w:val="24"/>
          <w:szCs w:val="24"/>
        </w:rPr>
      </w:pPr>
      <w:r>
        <w:rPr>
          <w:rFonts w:ascii="Times New Roman" w:hAnsi="Times New Roman" w:cs="Times New Roman"/>
          <w:b/>
          <w:sz w:val="24"/>
          <w:szCs w:val="24"/>
        </w:rPr>
        <w:t>(Julio 2020) De Agamenón al</w:t>
      </w:r>
      <w:r w:rsidRPr="00542958">
        <w:rPr>
          <w:rFonts w:ascii="Times New Roman" w:hAnsi="Times New Roman" w:cs="Times New Roman"/>
          <w:b/>
          <w:sz w:val="24"/>
          <w:szCs w:val="24"/>
        </w:rPr>
        <w:t xml:space="preserve"> porquero</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Con el tiempo, la brecha se fue haciendo más grande. Los daños colaterales se fueron haciendo estructurales. Los mantras, paradigmas, dogmas, promesas e ilusiones, nunca se cumplieron. Desde lo dicho en 1998, tuvimos el sida financiero (2008) que EEUU contagió (con premeditación y alevosía) al resto del mundo, del que aún no nos habíamos repuesto (a pesar de la ingente cantidad de dinero público que se utilizó para rescatar a los bancos), cuando se nos vino de golpe, la plaga sanitaria (2020) que China contagió (con ocultación e indiferencia) al resto del mundo, de la que aún (julio 2020) no se conoce su costo, y su final.</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Si con todo esto, no se modifica el credo geoeconómico imperante, creando otras cortinas de humo (robótica, algoritmos, big data, inteligencia artificial, cloud…), otros</w:t>
      </w:r>
      <w:r w:rsidRPr="000B07BC">
        <w:rPr>
          <w:rFonts w:ascii="Times New Roman" w:hAnsi="Times New Roman" w:cs="Times New Roman"/>
          <w:sz w:val="24"/>
          <w:szCs w:val="24"/>
        </w:rPr>
        <w:t xml:space="preserve"> can</w:t>
      </w:r>
      <w:r>
        <w:rPr>
          <w:rFonts w:ascii="Times New Roman" w:hAnsi="Times New Roman" w:cs="Times New Roman"/>
          <w:sz w:val="24"/>
          <w:szCs w:val="24"/>
        </w:rPr>
        <w:t>tos de sirena posmodernos (nuevas tecnologías, disrupción, asociacionismo, nueva realidad, nueva normalidad), u otros</w:t>
      </w:r>
      <w:r w:rsidRPr="000B07BC">
        <w:rPr>
          <w:rFonts w:ascii="Times New Roman" w:hAnsi="Times New Roman" w:cs="Times New Roman"/>
          <w:sz w:val="24"/>
          <w:szCs w:val="24"/>
        </w:rPr>
        <w:t xml:space="preserve"> espejismo</w:t>
      </w:r>
      <w:r>
        <w:rPr>
          <w:rFonts w:ascii="Times New Roman" w:hAnsi="Times New Roman" w:cs="Times New Roman"/>
          <w:sz w:val="24"/>
          <w:szCs w:val="24"/>
        </w:rPr>
        <w:t>s</w:t>
      </w:r>
      <w:r w:rsidRPr="000B07BC">
        <w:rPr>
          <w:rFonts w:ascii="Times New Roman" w:hAnsi="Times New Roman" w:cs="Times New Roman"/>
          <w:sz w:val="24"/>
          <w:szCs w:val="24"/>
        </w:rPr>
        <w:t xml:space="preserve"> artificial</w:t>
      </w:r>
      <w:r>
        <w:rPr>
          <w:rFonts w:ascii="Times New Roman" w:hAnsi="Times New Roman" w:cs="Times New Roman"/>
          <w:sz w:val="24"/>
          <w:szCs w:val="24"/>
        </w:rPr>
        <w:t>es</w:t>
      </w:r>
      <w:r w:rsidRPr="000B07BC">
        <w:rPr>
          <w:rFonts w:ascii="Times New Roman" w:hAnsi="Times New Roman" w:cs="Times New Roman"/>
          <w:sz w:val="24"/>
          <w:szCs w:val="24"/>
        </w:rPr>
        <w:t xml:space="preserve"> impuesto</w:t>
      </w:r>
      <w:r>
        <w:rPr>
          <w:rFonts w:ascii="Times New Roman" w:hAnsi="Times New Roman" w:cs="Times New Roman"/>
          <w:sz w:val="24"/>
          <w:szCs w:val="24"/>
        </w:rPr>
        <w:t>s</w:t>
      </w:r>
      <w:r w:rsidRPr="000B07BC">
        <w:rPr>
          <w:rFonts w:ascii="Times New Roman" w:hAnsi="Times New Roman" w:cs="Times New Roman"/>
          <w:sz w:val="24"/>
          <w:szCs w:val="24"/>
        </w:rPr>
        <w:t xml:space="preserve"> mediante campañas de distracción</w:t>
      </w:r>
      <w:r>
        <w:rPr>
          <w:rFonts w:ascii="Times New Roman" w:hAnsi="Times New Roman" w:cs="Times New Roman"/>
          <w:sz w:val="24"/>
          <w:szCs w:val="24"/>
        </w:rPr>
        <w:t xml:space="preserve"> masiva, para ocultar los</w:t>
      </w:r>
      <w:r w:rsidRPr="000B07BC">
        <w:rPr>
          <w:rFonts w:ascii="Times New Roman" w:hAnsi="Times New Roman" w:cs="Times New Roman"/>
          <w:sz w:val="24"/>
          <w:szCs w:val="24"/>
        </w:rPr>
        <w:t xml:space="preserve"> dolo</w:t>
      </w:r>
      <w:r>
        <w:rPr>
          <w:rFonts w:ascii="Times New Roman" w:hAnsi="Times New Roman" w:cs="Times New Roman"/>
          <w:sz w:val="24"/>
          <w:szCs w:val="24"/>
        </w:rPr>
        <w:t>s</w:t>
      </w:r>
      <w:r w:rsidRPr="000B07BC">
        <w:rPr>
          <w:rFonts w:ascii="Times New Roman" w:hAnsi="Times New Roman" w:cs="Times New Roman"/>
          <w:sz w:val="24"/>
          <w:szCs w:val="24"/>
        </w:rPr>
        <w:t xml:space="preserve"> e incompetencia intolerables,</w:t>
      </w:r>
      <w:r>
        <w:rPr>
          <w:rFonts w:ascii="Times New Roman" w:hAnsi="Times New Roman" w:cs="Times New Roman"/>
          <w:sz w:val="24"/>
          <w:szCs w:val="24"/>
        </w:rPr>
        <w:t xml:space="preserve"> de los causantes de las crisis (too big to fail and too big to jail), será</w:t>
      </w:r>
      <w:r w:rsidRPr="000B07BC">
        <w:rPr>
          <w:rFonts w:ascii="Times New Roman" w:hAnsi="Times New Roman" w:cs="Times New Roman"/>
          <w:sz w:val="24"/>
          <w:szCs w:val="24"/>
        </w:rPr>
        <w:t xml:space="preserve"> bastan</w:t>
      </w:r>
      <w:r>
        <w:rPr>
          <w:rFonts w:ascii="Times New Roman" w:hAnsi="Times New Roman" w:cs="Times New Roman"/>
          <w:sz w:val="24"/>
          <w:szCs w:val="24"/>
        </w:rPr>
        <w:t xml:space="preserve">te difícil explorar </w:t>
      </w:r>
      <w:r w:rsidRPr="000B07BC">
        <w:rPr>
          <w:rFonts w:ascii="Times New Roman" w:hAnsi="Times New Roman" w:cs="Times New Roman"/>
          <w:sz w:val="24"/>
          <w:szCs w:val="24"/>
        </w:rPr>
        <w:t>nuevos hor</w:t>
      </w:r>
      <w:r>
        <w:rPr>
          <w:rFonts w:ascii="Times New Roman" w:hAnsi="Times New Roman" w:cs="Times New Roman"/>
          <w:sz w:val="24"/>
          <w:szCs w:val="24"/>
        </w:rPr>
        <w:t>izontes económicos.</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Si la opción de reemplazar a Don</w:t>
      </w:r>
      <w:r w:rsidR="003F5222">
        <w:rPr>
          <w:rFonts w:ascii="Times New Roman" w:hAnsi="Times New Roman" w:cs="Times New Roman"/>
          <w:sz w:val="24"/>
          <w:szCs w:val="24"/>
        </w:rPr>
        <w:t>a</w:t>
      </w:r>
      <w:r>
        <w:rPr>
          <w:rFonts w:ascii="Times New Roman" w:hAnsi="Times New Roman" w:cs="Times New Roman"/>
          <w:sz w:val="24"/>
          <w:szCs w:val="24"/>
        </w:rPr>
        <w:t xml:space="preserve">ld Trump y Melania, está en votar al </w:t>
      </w:r>
      <w:r w:rsidRPr="00A27FFE">
        <w:rPr>
          <w:rFonts w:ascii="Times New Roman" w:hAnsi="Times New Roman" w:cs="Times New Roman"/>
          <w:sz w:val="24"/>
          <w:szCs w:val="24"/>
        </w:rPr>
        <w:t>rapero Kanye West</w:t>
      </w:r>
      <w:r>
        <w:rPr>
          <w:rFonts w:ascii="Times New Roman" w:hAnsi="Times New Roman" w:cs="Times New Roman"/>
          <w:sz w:val="24"/>
          <w:szCs w:val="24"/>
        </w:rPr>
        <w:t xml:space="preserve">, y tener como primera dama a </w:t>
      </w:r>
      <w:r w:rsidRPr="00A27FFE">
        <w:rPr>
          <w:rFonts w:ascii="Times New Roman" w:hAnsi="Times New Roman" w:cs="Times New Roman"/>
          <w:sz w:val="24"/>
          <w:szCs w:val="24"/>
        </w:rPr>
        <w:t>Kim Kardashian</w:t>
      </w:r>
      <w:r>
        <w:rPr>
          <w:rFonts w:ascii="Times New Roman" w:hAnsi="Times New Roman" w:cs="Times New Roman"/>
          <w:sz w:val="24"/>
          <w:szCs w:val="24"/>
        </w:rPr>
        <w:t>, creo que “estamos jodidos”. Lo único seguro es que seguirá el “reality show” de Washington SA. Aunque sería de desear que termine como la “paradoja de Simpson” (*), no se debe descartar el éxito de “la conjura de los necios”.</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Pr="009E042A">
        <w:rPr>
          <w:rFonts w:ascii="Times New Roman" w:hAnsi="Times New Roman" w:cs="Times New Roman"/>
          <w:sz w:val="24"/>
          <w:szCs w:val="24"/>
        </w:rPr>
        <w:t>En probabilidad y estadística, la paradoja de Simpson o efecto Yule-Simpson es una paradoja en la cual una tendencia que aparece en varios grupos de datos desaparece cuando estos grupos se combinan y en su lugar aparece la tendencia con</w:t>
      </w:r>
      <w:r>
        <w:rPr>
          <w:rFonts w:ascii="Times New Roman" w:hAnsi="Times New Roman" w:cs="Times New Roman"/>
          <w:sz w:val="24"/>
          <w:szCs w:val="24"/>
        </w:rPr>
        <w:t>traria para los datos agregados</w:t>
      </w:r>
      <w:r w:rsidRPr="009E042A">
        <w:rPr>
          <w:rFonts w:ascii="Times New Roman" w:hAnsi="Times New Roman" w:cs="Times New Roman"/>
          <w:sz w:val="24"/>
          <w:szCs w:val="24"/>
        </w:rPr>
        <w:t>.</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otro Paper antiguo: </w:t>
      </w:r>
      <w:r w:rsidR="00A970BD">
        <w:rPr>
          <w:rFonts w:ascii="Times New Roman" w:hAnsi="Times New Roman" w:cs="Times New Roman"/>
          <w:sz w:val="24"/>
          <w:szCs w:val="24"/>
        </w:rPr>
        <w:t>“</w:t>
      </w:r>
      <w:r w:rsidRPr="000D7855">
        <w:rPr>
          <w:rFonts w:ascii="Times New Roman" w:hAnsi="Times New Roman" w:cs="Times New Roman"/>
          <w:b/>
          <w:sz w:val="24"/>
          <w:szCs w:val="24"/>
        </w:rPr>
        <w:t>¿De la burbuja financiera al fin del “súper boom”? Un año después de la globalización de la crisis: de la amnesia cómplice al revisionismo provisional (antes del fin de la esquizofrenia)</w:t>
      </w:r>
      <w:r w:rsidR="00A970BD">
        <w:rPr>
          <w:rFonts w:ascii="Times New Roman" w:hAnsi="Times New Roman" w:cs="Times New Roman"/>
          <w:b/>
          <w:sz w:val="24"/>
          <w:szCs w:val="24"/>
        </w:rPr>
        <w:t>”</w:t>
      </w:r>
      <w:r>
        <w:rPr>
          <w:rFonts w:ascii="Times New Roman" w:hAnsi="Times New Roman" w:cs="Times New Roman"/>
          <w:sz w:val="24"/>
          <w:szCs w:val="24"/>
        </w:rPr>
        <w:t xml:space="preserve">, publicado el </w:t>
      </w:r>
      <w:r w:rsidRPr="0057185C">
        <w:rPr>
          <w:rFonts w:ascii="Times New Roman" w:hAnsi="Times New Roman" w:cs="Times New Roman"/>
          <w:b/>
          <w:sz w:val="24"/>
          <w:szCs w:val="24"/>
        </w:rPr>
        <w:t>15/7/2008</w:t>
      </w:r>
      <w:r>
        <w:rPr>
          <w:rFonts w:ascii="Times New Roman" w:hAnsi="Times New Roman" w:cs="Times New Roman"/>
          <w:sz w:val="24"/>
          <w:szCs w:val="24"/>
        </w:rPr>
        <w:t>, decía:</w:t>
      </w:r>
    </w:p>
    <w:p w:rsidR="005E7E64" w:rsidRPr="000D7855" w:rsidRDefault="005E7E64" w:rsidP="005E7E64">
      <w:pPr>
        <w:spacing w:line="240" w:lineRule="auto"/>
        <w:jc w:val="both"/>
        <w:rPr>
          <w:rFonts w:ascii="Times New Roman" w:hAnsi="Times New Roman" w:cs="Times New Roman"/>
          <w:sz w:val="24"/>
          <w:szCs w:val="24"/>
          <w:u w:val="single"/>
        </w:rPr>
      </w:pPr>
      <w:r w:rsidRPr="000D7855">
        <w:rPr>
          <w:rFonts w:ascii="Times New Roman" w:hAnsi="Times New Roman" w:cs="Times New Roman"/>
          <w:sz w:val="24"/>
          <w:szCs w:val="24"/>
          <w:u w:val="single"/>
        </w:rPr>
        <w:t>Entre la codicia y la miopía (la parálisis del pensamiento)</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(Con la decisión de no alejarme de la franqueza y la honestidad en un momento en que esas cuali</w:t>
      </w:r>
      <w:r>
        <w:rPr>
          <w:rFonts w:ascii="Times New Roman" w:hAnsi="Times New Roman" w:cs="Times New Roman"/>
          <w:sz w:val="24"/>
          <w:szCs w:val="24"/>
        </w:rPr>
        <w:t>dades son de lo más necesarias)</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Cantando las verdades del barque</w:t>
      </w:r>
      <w:r>
        <w:rPr>
          <w:rFonts w:ascii="Times New Roman" w:hAnsi="Times New Roman" w:cs="Times New Roman"/>
          <w:sz w:val="24"/>
          <w:szCs w:val="24"/>
        </w:rPr>
        <w:t>ro, sin la más mínima compasión</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Si alguien le dice: Tú bebe, que yo conduzco. ¿Usted qué hace? Pues bebe…</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Si alguien le dice: Tú bebe, que yo pago. ¿Usted qué hace? Pues bebe…</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 xml:space="preserve">Y si alguien le dice: Tú bebe, que yo pago y conduzco. ¿Usted qué hace? Muy probablemente beba el “doble o más”. Hasta </w:t>
      </w:r>
      <w:r>
        <w:rPr>
          <w:rFonts w:ascii="Times New Roman" w:hAnsi="Times New Roman" w:cs="Times New Roman"/>
          <w:sz w:val="24"/>
          <w:szCs w:val="24"/>
        </w:rPr>
        <w:t>que el cuerpo aguante, digamos…</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Pues eso es lo que han hecho las entidades financieras. Disparar con pólvora del Rey y sin ningún control cinegético. Entonces, lo que tenía que pasar pasó. No hay sorpresas. La sorpresa es sorprenderse. ¿Se podría haber esperado otro resultado de una economía de manos l</w:t>
      </w:r>
      <w:r>
        <w:rPr>
          <w:rFonts w:ascii="Times New Roman" w:hAnsi="Times New Roman" w:cs="Times New Roman"/>
          <w:sz w:val="24"/>
          <w:szCs w:val="24"/>
        </w:rPr>
        <w:t xml:space="preserve">ibres y sin espejo retrovisor? </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Ahora tratan de escapar. O sea: ¿Cómo servirse de la globalización sin ser globalizado? ¿Cómo preservar la riqueza que generan esos monstruos financieros sin cara y sin ideas que no sean</w:t>
      </w:r>
      <w:r>
        <w:rPr>
          <w:rFonts w:ascii="Times New Roman" w:hAnsi="Times New Roman" w:cs="Times New Roman"/>
          <w:sz w:val="24"/>
          <w:szCs w:val="24"/>
        </w:rPr>
        <w:t xml:space="preserve"> las de obtener más beneficios?</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w:t>
      </w:r>
      <w:r>
        <w:rPr>
          <w:rFonts w:ascii="Times New Roman" w:hAnsi="Times New Roman" w:cs="Times New Roman"/>
          <w:sz w:val="24"/>
          <w:szCs w:val="24"/>
        </w:rPr>
        <w:t xml:space="preserve"> por 2”. Cornudos y apaleados. </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El problema no es que nos vayamos a la mierda, sino que no sabemos si habrá mierda para todos. Algunos han confundido libertad de mercado con licencia para estafar. La libertad de</w:t>
      </w:r>
      <w:r>
        <w:rPr>
          <w:rFonts w:ascii="Times New Roman" w:hAnsi="Times New Roman" w:cs="Times New Roman"/>
          <w:sz w:val="24"/>
          <w:szCs w:val="24"/>
        </w:rPr>
        <w:t xml:space="preserve"> mercado no debe ser ilimitada.</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Una economía “a dos velas”: los bancos centrales y los fondos soberanos. ¿Y si alguno las sopla? ¿Y si una corriente de aire…? ¿Y si el batir de las alas d</w:t>
      </w:r>
      <w:r>
        <w:rPr>
          <w:rFonts w:ascii="Times New Roman" w:hAnsi="Times New Roman" w:cs="Times New Roman"/>
          <w:sz w:val="24"/>
          <w:szCs w:val="24"/>
        </w:rPr>
        <w:t>e una mariposa…?</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¿De la burbuja financiera al fin del “súper-boom? Debilitamiento y agonía de la economía en Estados Unidos. Debilitamiento y agonía del modelo del libre mercado. Debilitamiento y agonía del modelo neoliberal (privatización, desregularizac</w:t>
      </w:r>
      <w:r>
        <w:rPr>
          <w:rFonts w:ascii="Times New Roman" w:hAnsi="Times New Roman" w:cs="Times New Roman"/>
          <w:sz w:val="24"/>
          <w:szCs w:val="24"/>
        </w:rPr>
        <w:t xml:space="preserve">ión, financierización). </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decidió descargar 400.000 millones de dólares de su balance, da buena prueba de la verdad de la afirmación y de la dimensión del problema).</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w:t>
      </w:r>
      <w:r>
        <w:rPr>
          <w:rFonts w:ascii="Times New Roman" w:hAnsi="Times New Roman" w:cs="Times New Roman"/>
          <w:sz w:val="24"/>
          <w:szCs w:val="24"/>
        </w:rPr>
        <w:t xml:space="preserve"> excusa de retener el talento. </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infraestimación del riesgo real conduce a una acumulación de activos “seguros” cuyo consumo de capital es mínimo, lo que finalmente provoca que el retorno sobre recursos propios o ROE de los bancos se dispare. Todo ello, construido, eso sí, sobre un punto de p</w:t>
      </w:r>
      <w:r>
        <w:rPr>
          <w:rFonts w:ascii="Times New Roman" w:hAnsi="Times New Roman" w:cs="Times New Roman"/>
          <w:sz w:val="24"/>
          <w:szCs w:val="24"/>
        </w:rPr>
        <w:t>artida inválido</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¿Qué estaban haciendo mientras los reguladores? Repasemos tanto a las agencias de rating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w:t>
      </w:r>
      <w:r>
        <w:rPr>
          <w:rFonts w:ascii="Times New Roman" w:hAnsi="Times New Roman" w:cs="Times New Roman"/>
          <w:sz w:val="24"/>
          <w:szCs w:val="24"/>
        </w:rPr>
        <w:t xml:space="preserve"> propios modelos de valoración.</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w:t>
      </w:r>
      <w:r>
        <w:rPr>
          <w:rFonts w:ascii="Times New Roman" w:hAnsi="Times New Roman" w:cs="Times New Roman"/>
          <w:sz w:val="24"/>
          <w:szCs w:val="24"/>
        </w:rPr>
        <w:t>era ya con el cuerno retorcido.</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 xml:space="preserve">Conclusión preliminar: Han creado un sistema basado en grandes instituciones financieras excesivamente apalancadas e infracapitalizadas; demasiado importantes como para que el regulador pueda permitir su caída sin acudir antes a su rescate; en las que todos, propietarios, acreedores y empleados son ampliamente remunerados si las cosas van bien mientras cuentan con el respaldo de los contribuyentes si, por el contrario, las cosas se tuercen. Capitalización de ganancias y socialización de pérdidas, esto es: lo contrario de lo que defendería Robin Hood.  </w:t>
      </w:r>
    </w:p>
    <w:p w:rsidR="005E7E64" w:rsidRPr="000E71E9"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Esta crisis ha puesto de manifiesto las limitaciones de los mercados. Todo el mundo debería comprender que la idea de que los mercados funcionan perfectamente es absolutamente errónea. Las implicaciones de esto es que hay un amplio margen para la regulación. Las regulaciones de los bancos comerciales deben extenderse a los de inversión, hedge funds y otras formas de instituciones financieras. Necesitamos requisitos de capital, supervisión e información. Cualquier institución que requiera de ayuda de emergencia en una crisis debe estar sujeta a algún régimen de regulación.</w:t>
      </w:r>
    </w:p>
    <w:p w:rsidR="005E7E64" w:rsidRPr="00542958" w:rsidRDefault="005E7E64" w:rsidP="005E7E64">
      <w:pPr>
        <w:spacing w:line="240" w:lineRule="auto"/>
        <w:jc w:val="both"/>
        <w:rPr>
          <w:rFonts w:ascii="Times New Roman" w:hAnsi="Times New Roman" w:cs="Times New Roman"/>
          <w:sz w:val="24"/>
          <w:szCs w:val="24"/>
        </w:rPr>
      </w:pPr>
      <w:r w:rsidRPr="000E71E9">
        <w:rPr>
          <w:rFonts w:ascii="Times New Roman" w:hAnsi="Times New Roman" w:cs="Times New Roman"/>
          <w:sz w:val="24"/>
          <w:szCs w:val="24"/>
        </w:rPr>
        <w:t>Muchos de los problemas que ha traído consigo esta crisis podrían haberse evitado con la regulación adecuada. Aun así, soy bastante escéptico con que haya un cambio fundamental porque hay gente que ha ganado mucho dinero con este modelo.</w:t>
      </w:r>
    </w:p>
    <w:p w:rsidR="005E7E64" w:rsidRDefault="005E7E64" w:rsidP="005E7E64">
      <w:pPr>
        <w:spacing w:line="240" w:lineRule="auto"/>
        <w:jc w:val="both"/>
        <w:rPr>
          <w:rFonts w:ascii="Times New Roman" w:hAnsi="Times New Roman"/>
          <w:sz w:val="24"/>
          <w:szCs w:val="24"/>
        </w:rPr>
      </w:pPr>
      <w:r>
        <w:rPr>
          <w:rFonts w:ascii="Times New Roman" w:hAnsi="Times New Roman" w:cs="Times New Roman"/>
          <w:sz w:val="24"/>
          <w:szCs w:val="24"/>
        </w:rPr>
        <w:t xml:space="preserve">En el Ensayo: </w:t>
      </w:r>
      <w:r w:rsidR="00A970BD">
        <w:rPr>
          <w:rFonts w:ascii="Times New Roman" w:hAnsi="Times New Roman" w:cs="Times New Roman"/>
          <w:sz w:val="24"/>
          <w:szCs w:val="24"/>
        </w:rPr>
        <w:t>“</w:t>
      </w:r>
      <w:r>
        <w:rPr>
          <w:rFonts w:ascii="Times New Roman" w:hAnsi="Times New Roman"/>
          <w:b/>
          <w:sz w:val="24"/>
          <w:szCs w:val="24"/>
        </w:rPr>
        <w:t>El “factor” Bernanke: otro “Maestro” que se cae del tabernáculo - Hagiografía -no autorizada- del heterodoxo “socializador” de las pérdidas del sistema financiero - Una larga “cadena de favores” en la que los intereses comerciales han ido por delante de las cuestiones legales, económicas y sociales</w:t>
      </w:r>
      <w:r w:rsidR="00A970BD">
        <w:rPr>
          <w:rFonts w:ascii="Times New Roman" w:hAnsi="Times New Roman"/>
          <w:b/>
          <w:sz w:val="24"/>
          <w:szCs w:val="24"/>
        </w:rPr>
        <w:t>”</w:t>
      </w:r>
      <w:r>
        <w:rPr>
          <w:rFonts w:ascii="Times New Roman" w:hAnsi="Times New Roman"/>
          <w:b/>
          <w:sz w:val="24"/>
          <w:szCs w:val="24"/>
        </w:rPr>
        <w:t xml:space="preserve">, </w:t>
      </w:r>
      <w:r w:rsidRPr="0057185C">
        <w:rPr>
          <w:rFonts w:ascii="Times New Roman" w:hAnsi="Times New Roman"/>
          <w:sz w:val="24"/>
          <w:szCs w:val="24"/>
        </w:rPr>
        <w:t>publicado en</w:t>
      </w:r>
      <w:r>
        <w:rPr>
          <w:rFonts w:ascii="Times New Roman" w:hAnsi="Times New Roman"/>
          <w:b/>
          <w:sz w:val="24"/>
          <w:szCs w:val="24"/>
        </w:rPr>
        <w:t xml:space="preserve"> Junio de 2013, </w:t>
      </w:r>
      <w:r w:rsidRPr="0057185C">
        <w:rPr>
          <w:rFonts w:ascii="Times New Roman" w:hAnsi="Times New Roman"/>
          <w:sz w:val="24"/>
          <w:szCs w:val="24"/>
        </w:rPr>
        <w:t>sostenía:</w:t>
      </w:r>
    </w:p>
    <w:p w:rsidR="005E7E64" w:rsidRDefault="005E7E64" w:rsidP="005E7E64">
      <w:pPr>
        <w:spacing w:line="240" w:lineRule="auto"/>
        <w:jc w:val="both"/>
        <w:rPr>
          <w:rFonts w:ascii="Times New Roman" w:hAnsi="Times New Roman"/>
          <w:b/>
          <w:sz w:val="24"/>
          <w:szCs w:val="24"/>
        </w:rPr>
      </w:pPr>
      <w:r w:rsidRPr="0057185C">
        <w:rPr>
          <w:rFonts w:ascii="Times New Roman" w:hAnsi="Times New Roman" w:cs="Times New Roman"/>
          <w:sz w:val="24"/>
          <w:szCs w:val="24"/>
          <w:u w:val="single"/>
        </w:rPr>
        <w:t>Entonces… (iniciativas de desempeño aberrante)</w:t>
      </w:r>
    </w:p>
    <w:p w:rsidR="005E7E64" w:rsidRPr="000712CA" w:rsidRDefault="005E7E64" w:rsidP="005E7E64">
      <w:pPr>
        <w:spacing w:line="240" w:lineRule="auto"/>
        <w:jc w:val="both"/>
        <w:rPr>
          <w:rFonts w:ascii="Times New Roman" w:hAnsi="Times New Roman"/>
          <w:b/>
          <w:sz w:val="24"/>
          <w:szCs w:val="24"/>
        </w:rPr>
      </w:pPr>
      <w:r w:rsidRPr="0057185C">
        <w:rPr>
          <w:rFonts w:ascii="Times New Roman" w:hAnsi="Times New Roman" w:cs="Times New Roman"/>
          <w:sz w:val="24"/>
          <w:szCs w:val="24"/>
        </w:rPr>
        <w:t>La crisis financiera mundial puso al descubierto defectos del capitalismo al estilo estadounidense, las insuficiencias de lo que los británicos apodaron como la regulación financiera “leve” y la tendencia del sistema hacia cometer excesos periódicos. Más recientemente, la crisis de la deuda soberana de Europa puso de relieve la tensión de un costoso estado de bienestar en ausencia de un vigoroso crecimiento económico que lo financie.</w:t>
      </w:r>
    </w:p>
    <w:p w:rsidR="005E7E64" w:rsidRPr="0057185C" w:rsidRDefault="005E7E64" w:rsidP="005E7E64">
      <w:pPr>
        <w:spacing w:line="240" w:lineRule="auto"/>
        <w:jc w:val="both"/>
        <w:rPr>
          <w:rFonts w:ascii="Times New Roman" w:hAnsi="Times New Roman" w:cs="Times New Roman"/>
          <w:sz w:val="24"/>
          <w:szCs w:val="24"/>
        </w:rPr>
      </w:pPr>
      <w:r w:rsidRPr="0057185C">
        <w:rPr>
          <w:rFonts w:ascii="Times New Roman" w:hAnsi="Times New Roman" w:cs="Times New Roman"/>
          <w:sz w:val="24"/>
          <w:szCs w:val="24"/>
        </w:rPr>
        <w:t>El modelo de EEUU continúa en dificultades tres años después de que los reguladores dejaran que Lehman Brothers se hundiera. Miles de millones de dólares duermen ociosos en las arcas de las empresas, a pesar de que millones de trabajadores se hallan desempleados desde hace más de un año. El mercado inmobiliario sigue deprimido. La parálisis política en materia fiscal socava la autoridad económica en EEUU. Todo esto y más ha debilitado el argumento más simple a favor del modelo económico de EEUU: el hecho de que funciona.</w:t>
      </w:r>
    </w:p>
    <w:p w:rsidR="005E7E64" w:rsidRPr="0057185C" w:rsidRDefault="005E7E64" w:rsidP="005E7E64">
      <w:pPr>
        <w:spacing w:line="240" w:lineRule="auto"/>
        <w:jc w:val="both"/>
        <w:rPr>
          <w:rFonts w:ascii="Times New Roman" w:hAnsi="Times New Roman" w:cs="Times New Roman"/>
          <w:sz w:val="24"/>
          <w:szCs w:val="24"/>
        </w:rPr>
      </w:pPr>
      <w:r w:rsidRPr="0057185C">
        <w:rPr>
          <w:rFonts w:ascii="Times New Roman" w:hAnsi="Times New Roman" w:cs="Times New Roman"/>
          <w:sz w:val="24"/>
          <w:szCs w:val="24"/>
        </w:rPr>
        <w:t>El modelo europeo tampoco ofrece demasiado. En uno de los momentos más reveladores de 2011, Klaus Regling, que dirige el fondo de rescate de la zona euro, fue enviado en busca de dinero no a Washington, sino a Beijing. La misión no produjo resultados, pero sí provocó arrebatos de desdén por parte de algunos en China sobre las imperfecciones en el modelo europeo. En una entrevista con Al Jazeera TV, en noviembre (2011), Jin Liqun, director de la junta supervisora del fondo soberano China Investment Corp., se refirió a Europa como una “sociedad de bienestar agotada”.</w:t>
      </w:r>
    </w:p>
    <w:p w:rsidR="005E7E64" w:rsidRPr="0057185C" w:rsidRDefault="005E7E64" w:rsidP="005E7E64">
      <w:pPr>
        <w:spacing w:line="240" w:lineRule="auto"/>
        <w:jc w:val="both"/>
        <w:rPr>
          <w:rFonts w:ascii="Times New Roman" w:hAnsi="Times New Roman" w:cs="Times New Roman"/>
          <w:sz w:val="24"/>
          <w:szCs w:val="24"/>
        </w:rPr>
      </w:pPr>
      <w:r w:rsidRPr="0057185C">
        <w:rPr>
          <w:rFonts w:ascii="Times New Roman" w:hAnsi="Times New Roman" w:cs="Times New Roman"/>
          <w:sz w:val="24"/>
          <w:szCs w:val="24"/>
        </w:rPr>
        <w:t>El modelo japonés, impulsado por las exportaciones, en su día la envidia de casi todas las demás economías, ha sido en gran medida descartado, como consecuencia de una década de luchas para reactivar el crecimiento. Si a eso sumamos el golpe asestado por la calamidad nuclear de Fukushima Daiichi, provocada en marzo (2012) por un tsunami y un terremoto, resulta que la reputación de Japón en términos de competencia y eficiencia se vio gravemente perjudicada.</w:t>
      </w:r>
    </w:p>
    <w:p w:rsidR="005E7E64" w:rsidRPr="0057185C" w:rsidRDefault="005E7E64" w:rsidP="005E7E64">
      <w:pPr>
        <w:spacing w:line="240" w:lineRule="auto"/>
        <w:jc w:val="both"/>
        <w:rPr>
          <w:rFonts w:ascii="Times New Roman" w:hAnsi="Times New Roman" w:cs="Times New Roman"/>
          <w:sz w:val="24"/>
          <w:szCs w:val="24"/>
        </w:rPr>
      </w:pPr>
      <w:r w:rsidRPr="0057185C">
        <w:rPr>
          <w:rFonts w:ascii="Times New Roman" w:hAnsi="Times New Roman" w:cs="Times New Roman"/>
          <w:sz w:val="24"/>
          <w:szCs w:val="24"/>
        </w:rPr>
        <w:t>¿Pero existe una alternativa bien articulada al capitalismo de mercado de los países  (anteriormente) ricos?</w:t>
      </w:r>
    </w:p>
    <w:p w:rsidR="005E7E64" w:rsidRDefault="005E7E64" w:rsidP="005E7E64">
      <w:pPr>
        <w:spacing w:line="240" w:lineRule="auto"/>
        <w:jc w:val="both"/>
        <w:rPr>
          <w:rFonts w:ascii="Times New Roman" w:hAnsi="Times New Roman" w:cs="Times New Roman"/>
          <w:sz w:val="24"/>
          <w:szCs w:val="24"/>
        </w:rPr>
      </w:pPr>
      <w:r w:rsidRPr="0057185C">
        <w:rPr>
          <w:rFonts w:ascii="Times New Roman" w:hAnsi="Times New Roman" w:cs="Times New Roman"/>
          <w:sz w:val="24"/>
          <w:szCs w:val="24"/>
        </w:rPr>
        <w:t>Por ahora, los países (anteriormente) ricos están demostrando que no aprendieron la lección, y continúan actuando con “lentitud, parsimonia y vacilación”…</w:t>
      </w:r>
    </w:p>
    <w:p w:rsidR="005E7E64" w:rsidRDefault="005E7E64" w:rsidP="005E7E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terminar con las citas del </w:t>
      </w:r>
      <w:r w:rsidRPr="00B96110">
        <w:rPr>
          <w:rFonts w:ascii="Times New Roman" w:hAnsi="Times New Roman" w:cs="Times New Roman"/>
          <w:b/>
          <w:sz w:val="24"/>
          <w:szCs w:val="24"/>
        </w:rPr>
        <w:t>porquero</w:t>
      </w:r>
      <w:r>
        <w:rPr>
          <w:rFonts w:ascii="Times New Roman" w:hAnsi="Times New Roman" w:cs="Times New Roman"/>
          <w:sz w:val="24"/>
          <w:szCs w:val="24"/>
        </w:rPr>
        <w:t xml:space="preserve"> (un servidor), les dejo algunos párrafos del Paper: </w:t>
      </w:r>
      <w:r w:rsidR="00A970BD">
        <w:rPr>
          <w:rFonts w:ascii="Times New Roman" w:hAnsi="Times New Roman" w:cs="Times New Roman"/>
          <w:sz w:val="24"/>
          <w:szCs w:val="24"/>
        </w:rPr>
        <w:t>“</w:t>
      </w:r>
      <w:r>
        <w:rPr>
          <w:rFonts w:ascii="Times New Roman" w:hAnsi="Times New Roman" w:cs="Times New Roman"/>
          <w:b/>
          <w:sz w:val="24"/>
          <w:szCs w:val="24"/>
        </w:rPr>
        <w:t>Reflexiones económicas sobre la crisis sanitaria (Covid 19)</w:t>
      </w:r>
      <w:r w:rsidR="00A970BD">
        <w:rPr>
          <w:rFonts w:ascii="Times New Roman" w:hAnsi="Times New Roman" w:cs="Times New Roman"/>
          <w:b/>
          <w:sz w:val="24"/>
          <w:szCs w:val="24"/>
        </w:rPr>
        <w:t>”</w:t>
      </w:r>
      <w:r>
        <w:rPr>
          <w:rFonts w:ascii="Times New Roman" w:hAnsi="Times New Roman" w:cs="Times New Roman"/>
          <w:sz w:val="24"/>
          <w:szCs w:val="24"/>
        </w:rPr>
        <w:t xml:space="preserve">, publicado el </w:t>
      </w:r>
      <w:r w:rsidRPr="00B96110">
        <w:rPr>
          <w:rFonts w:ascii="Times New Roman" w:hAnsi="Times New Roman" w:cs="Times New Roman"/>
          <w:b/>
          <w:sz w:val="24"/>
          <w:szCs w:val="24"/>
        </w:rPr>
        <w:t>15/5/2020</w:t>
      </w:r>
      <w:r>
        <w:rPr>
          <w:rFonts w:ascii="Times New Roman" w:hAnsi="Times New Roman" w:cs="Times New Roman"/>
          <w:sz w:val="24"/>
          <w:szCs w:val="24"/>
        </w:rPr>
        <w:t>:</w:t>
      </w:r>
    </w:p>
    <w:p w:rsidR="005E7E64" w:rsidRPr="00B96110" w:rsidRDefault="005E7E64" w:rsidP="005E7E64">
      <w:pPr>
        <w:pStyle w:val="NormalWeb"/>
        <w:jc w:val="both"/>
        <w:textAlignment w:val="baseline"/>
        <w:rPr>
          <w:u w:val="single"/>
        </w:rPr>
      </w:pPr>
      <w:r w:rsidRPr="00B96110">
        <w:rPr>
          <w:u w:val="single"/>
        </w:rPr>
        <w:t>El “gran latigazo” (y los portavoces del presente)</w:t>
      </w:r>
    </w:p>
    <w:p w:rsidR="005E7E64" w:rsidRDefault="005E7E64" w:rsidP="005E7E64">
      <w:pPr>
        <w:pStyle w:val="NormalWeb"/>
        <w:jc w:val="both"/>
        <w:textAlignment w:val="baseline"/>
      </w:pPr>
      <w:r>
        <w:t>En lo peor de la anterior crisis económica, cuando no se veía la luz, la prensa estadounidense rescató de la memoria colectiva el término “hooverville”, probablemente la locución que mejor expresa la tragedia de la Gran Depresión.</w:t>
      </w:r>
    </w:p>
    <w:p w:rsidR="005E7E64" w:rsidRDefault="005E7E64" w:rsidP="005E7E64">
      <w:pPr>
        <w:pStyle w:val="NormalWeb"/>
        <w:jc w:val="both"/>
        <w:textAlignment w:val="baseline"/>
      </w:pPr>
      <w:r>
        <w:t>Las “hooverville” se referían al presidente Herbert Hoover, bajo cuyo mandato el país se llenó de chabolas y de miseria. Los cochambrosos y mugrientos barracones, muchos situados a orillas del gran lago que reina en el Central Park, se podían observar desde los imponentes edificios de la quinta avenida. Imágenes de la época, y que hoy cuestan creer que sean ciertas, reflejan las duras condiciones de vida de los moradores de esas villas miseria en medio de una hecatombe económica que expulsó de sus casas a millones de norteamericanos.</w:t>
      </w:r>
    </w:p>
    <w:p w:rsidR="005E7E64" w:rsidRDefault="005E7E64" w:rsidP="005E7E64">
      <w:pPr>
        <w:pStyle w:val="NormalWeb"/>
        <w:jc w:val="both"/>
        <w:textAlignment w:val="baseline"/>
      </w:pPr>
      <w:r>
        <w:t>Steinbeck, el gran cronista de la Gran Depresión, lo recogió de forma portentosa en aquel viaje aciago que hizo la familia Joad desde Oklahoma a California en busca de un empleo, después de que la crisis les hubiera despojado de sus tierras.</w:t>
      </w:r>
    </w:p>
    <w:p w:rsidR="005E7E64" w:rsidRDefault="005E7E64" w:rsidP="005E7E64">
      <w:pPr>
        <w:pStyle w:val="NormalWeb"/>
        <w:jc w:val="both"/>
        <w:textAlignment w:val="baseline"/>
      </w:pPr>
      <w:r>
        <w:t>Aquel fracaso, sin embargo, sirvió de lección sobre lo que no había que hacer cuando estallara una crisis, tanto exógena (como la actual), como endógena (como la anterior). Los gobiernos de todo el mundo aprendieron de los errores y desde entonces han optado por garantizar la liquidez (más de 5.000 bancos quebraron durante la Gran Depresión en EEUU) y evitar, al mismo tiempo, la imposición de aranceles que hubieran dado alas al proteccionismo hundiendo, en paralelo, el comercio mundial. También se ha optado por dejar funcionar libremente los estabilizadores automáticos con el fin de asegurar un determinado nivel de rentas.</w:t>
      </w:r>
    </w:p>
    <w:p w:rsidR="005E7E64" w:rsidRDefault="005E7E64" w:rsidP="005E7E64">
      <w:pPr>
        <w:pStyle w:val="NormalWeb"/>
        <w:jc w:val="both"/>
        <w:textAlignment w:val="baseline"/>
      </w:pPr>
      <w:r>
        <w:t>Ese esquema básico sobre cómo enfrentarse a una crisis ha sido, en líneas generales, con mayor o menor intensidad, el que se ha utilizado tras la aparición de la pandemia: ayudas directas, toda la liquidez que sea necesaria por parte de los bancos centrales, que hoy son quienes gobiernan el mundo, y moratorias o exenciones de impuestos para evitar el colapso del tejido productivo.</w:t>
      </w:r>
    </w:p>
    <w:p w:rsidR="005E7E64" w:rsidRDefault="005E7E64" w:rsidP="005E7E64">
      <w:pPr>
        <w:pStyle w:val="NormalWeb"/>
        <w:jc w:val="both"/>
        <w:textAlignment w:val="baseline"/>
      </w:pPr>
      <w:r>
        <w:t>Incluso Europa, que en la anterior crisis se equivocó imponiendo duros ajustes a países que estaban con el agua al cuello, ha rectificado. Ahora, ni pone pegas ni castiga a quienes hacen políticas fiscales expansivas.</w:t>
      </w:r>
    </w:p>
    <w:p w:rsidR="005E7E64" w:rsidRDefault="005E7E64" w:rsidP="005E7E64">
      <w:pPr>
        <w:pStyle w:val="NormalWeb"/>
        <w:jc w:val="both"/>
        <w:textAlignment w:val="baseline"/>
      </w:pPr>
      <w:r>
        <w:t>Esa estrategia, sin embargo, no evitó en la anterior crisis una tragedia sobrevenida: la destrucción del modo de vida de amplias capas de la población que, de la noche a la mañana, observaron cómo bajaban uno o varios peldaños en la estructura social.</w:t>
      </w:r>
    </w:p>
    <w:p w:rsidR="005E7E64" w:rsidRDefault="005E7E64" w:rsidP="005E7E64">
      <w:pPr>
        <w:pStyle w:val="NormalWeb"/>
        <w:jc w:val="both"/>
        <w:textAlignment w:val="baseline"/>
      </w:pPr>
      <w:r>
        <w:t>Millones de personas se desplazaron de la zona central a la parte baja de la distribución de la renta… A pesar de la recuperación económica posterior a la crisis, hay pocas dudas de que en el camino han quedado cientos de miles de familias que antes eran clase media y hoy viven a merced del precariado, que es una de las características de nuestra época.</w:t>
      </w:r>
    </w:p>
    <w:p w:rsidR="005E7E64" w:rsidRDefault="005E7E64" w:rsidP="005E7E64">
      <w:pPr>
        <w:pStyle w:val="NormalWeb"/>
        <w:jc w:val="both"/>
        <w:textAlignment w:val="baseline"/>
      </w:pPr>
      <w:r>
        <w:t>Se podría utilizar también el término clásico de proletariado, que hace referencia a quienes tenían hijos, pero no propiedades, pero hoy muchos jóvenes ni siquiera pueden tenerlos por la existencia de un entorno económico que favorece tanto la precariedad laboral como la fragmentación de las clases sociales a través de un ensanchamiento de las desigualdades, no solo económicas, sino también sanitarias o educativas. Incluso, el acceso a la justicia o a la función pública genera distorsiones en cuanto a igualdad de oportunidades.</w:t>
      </w:r>
    </w:p>
    <w:p w:rsidR="005E7E64" w:rsidRDefault="005E7E64" w:rsidP="005E7E64">
      <w:pPr>
        <w:pStyle w:val="NormalWeb"/>
        <w:jc w:val="both"/>
        <w:textAlignment w:val="baseline"/>
      </w:pPr>
      <w:r>
        <w:t>Lo que está en juego en esta nueva crisis (sanitaria / económica), por lo tanto, no es solo salir del agujero lo más rápidamente posible, y para eso todos los gobiernos se han mostrado muy activos, sino también el regreso a una estructura social más equilibrada y, por definición, menos polarizada. Esa fue la herencia maldita de la anterior crisis (financiera / económica), lo que explica, en parte, el auge de actitudes políticas populistas (demagógicas) que en lugar de buscar la cohesión social encuentran en el enfrentamiento su razón de ser.</w:t>
      </w:r>
    </w:p>
    <w:p w:rsidR="005E7E64" w:rsidRDefault="005E7E64" w:rsidP="005E7E64">
      <w:pPr>
        <w:pStyle w:val="NormalWeb"/>
        <w:jc w:val="both"/>
        <w:textAlignment w:val="baseline"/>
      </w:pPr>
      <w:r>
        <w:t>A esto hay que añadir la amenaza real de la globalización y de avances técnicos que, por el momento, se verá en el futuro, destruyen oficios y profesiones que antes ocupaban clases medias urbanas que tenían acceso a bienes y servicios en cantidad suficiente para asegurarse un bienestar material.</w:t>
      </w:r>
    </w:p>
    <w:p w:rsidR="005E7E64" w:rsidRDefault="005E7E64" w:rsidP="005E7E64">
      <w:pPr>
        <w:pStyle w:val="NormalWeb"/>
        <w:jc w:val="both"/>
        <w:textAlignment w:val="baseline"/>
      </w:pPr>
      <w:r>
        <w:t>El colosal choque económico derivado de la pandemia del coronavirus provoca la aparición del fenómeno de la desglobalización y eso, ¿por qué es tan importante para la Unión Europea, y por qué debe estudiarse con extraordinario interés?</w:t>
      </w:r>
    </w:p>
    <w:p w:rsidR="005E7E64" w:rsidRDefault="005E7E64" w:rsidP="005E7E64">
      <w:pPr>
        <w:pStyle w:val="NormalWeb"/>
        <w:jc w:val="both"/>
        <w:textAlignment w:val="baseline"/>
      </w:pPr>
      <w:r>
        <w:t>Lo que se sabe ahora con certeza es que el Covid-19 golpea con especial virulencia a las grandes ciudades: Milán, Madrid, Nueva York, Londres... Es decir, allí donde históricamente se han agrupado las clases medias, y que tradicionalmente se han definido como los hogares cuya renta disponible se sitúa entre el 75% y el 200% de la renta mediana nacional.</w:t>
      </w:r>
    </w:p>
    <w:p w:rsidR="005E7E64" w:rsidRDefault="005E7E64" w:rsidP="005E7E64">
      <w:pPr>
        <w:pStyle w:val="NormalWeb"/>
        <w:jc w:val="both"/>
        <w:textAlignment w:val="baseline"/>
      </w:pPr>
      <w:r>
        <w:t>En los países más avanzados, los del norte, las clases medias llegan a representar el 70% de la población, mientras que en los que hay menos cohesión social se sitúa solo por encima del 50%. Es por eso por lo que cabe prever que tanto el actual marco en el que se mueve el sistema fiscal como la estructura del mercado laboral serán ampliamente superados por el coronavirus, y de ahí la necesidad de introducir cambios radicales. Poniendo más énfasis en el ensanchamiento de las bases imponibles y en la eficiencia de las políticas de gasto que en el manido debate sobre si hay que subir o bajar impuestos.</w:t>
      </w:r>
    </w:p>
    <w:p w:rsidR="005E7E64" w:rsidRDefault="005E7E64" w:rsidP="005E7E64">
      <w:pPr>
        <w:pStyle w:val="NormalWeb"/>
        <w:jc w:val="both"/>
        <w:textAlignment w:val="baseline"/>
      </w:pPr>
      <w:r>
        <w:t>Precisamente, con un único objetivo. Evitar el riesgo de construir un Estado clientelar en el que amplias capas de la sociedad dependan para su subsistencia de la acción protectora de los poderes públicos. Mientras que, en paralelo, élites extractivas se benefician de un capitalismo financiero cada vez más alejado de los sistemas productivos, y que hoy no tiene nada que ver con sus fundamentos clásicos, como muchos auténticos liberales han denunciado.</w:t>
      </w:r>
    </w:p>
    <w:p w:rsidR="005E7E64" w:rsidRDefault="005E7E64" w:rsidP="005E7E64">
      <w:pPr>
        <w:pStyle w:val="NormalWeb"/>
        <w:jc w:val="both"/>
        <w:textAlignment w:val="baseline"/>
      </w:pPr>
      <w:r>
        <w:t>Como han demostrado las democracias más avanzadas, la mejor receta contra la polarización social y la degradación de las clases medias son salarios dignos, una mejora de la calidad institucional de las políticas públicas y un sistema fiscal más equilibrado, y que hoy privilegia a las rentas del capital frente a las del trabajo. Conviene recordarlo antes de que sea tarde. Entre otras cosas, porque si algo define la calidad de una democracia es el espacio que ocupan las clases medias.</w:t>
      </w:r>
    </w:p>
    <w:p w:rsidR="005E7E64" w:rsidRDefault="005E7E64" w:rsidP="005E7E64">
      <w:pPr>
        <w:pStyle w:val="NormalWeb"/>
        <w:jc w:val="both"/>
        <w:textAlignment w:val="baseline"/>
      </w:pPr>
      <w:r>
        <w:t>“Habrá que poner encima de la mesa reformas radicales, invirtiendo la dirección imperante en las cuatro últimas décadas. Los gobiernos tendrán que aceptar un papel más activo en la economía. Tienen que ver los servicios públicos más como inversiones que como una mera responsabilidad, y buscar formas de que los mercados laborales no sean tan inseguros. La redistribución estará de nuevo en la agenda; los privilegios de mayores y ricos se cuestionarán. Políticas hasta hace poco consideradas excéntricas, como una renta básica o impuestos a los grandes patrimonios, tendrán que tenerse en cuenta”.</w:t>
      </w:r>
    </w:p>
    <w:p w:rsidR="005E7E64" w:rsidRDefault="005E7E64" w:rsidP="005E7E64">
      <w:pPr>
        <w:pStyle w:val="NormalWeb"/>
        <w:jc w:val="both"/>
        <w:textAlignment w:val="baseline"/>
      </w:pPr>
      <w:r>
        <w:t>¿Se trata de un refrito del manifiesto de los laboristas británicos? No, es un párrafo de un editorial del “Financial Times”. En la misma línea, Bill Gates hace un llamamiento a un 'enfoque global' para combatir la enfermedad, y advierte de que, si se deja que el virus se propague libremente por las naciones en vías de desarrollo, repuntará y golpeará a las naciones más ricas en sucesivas oleadas. “Aun cuando las naciones desarrolladas logren ralentizar la enfermedad en los próximos meses, el Covid-19 podría regresar si la pandemia continúa siendo lo suficientemente grave en otras partes. Probablemente solo sea cuestión de tiempo que una parte del planeta vuelva a infectar a la otra. (…) Creo firmemente en el capitalismo, pero algunos mercados sencillamente no funcionan bien en una pandemia, y el mercado de bienes básicos es un ejemplo obvio”.</w:t>
      </w:r>
    </w:p>
    <w:p w:rsidR="005E7E64" w:rsidRPr="00B96110" w:rsidRDefault="005E7E64" w:rsidP="005E7E64">
      <w:pPr>
        <w:pStyle w:val="NormalWeb"/>
        <w:jc w:val="both"/>
        <w:textAlignment w:val="baseline"/>
        <w:rPr>
          <w:u w:val="single"/>
        </w:rPr>
      </w:pPr>
      <w:r w:rsidRPr="00B96110">
        <w:rPr>
          <w:u w:val="single"/>
        </w:rPr>
        <w:t xml:space="preserve">Sin confianza e imposibilitados de hacer planes (chapoteando en un presente terrible) </w:t>
      </w:r>
    </w:p>
    <w:p w:rsidR="005E7E64" w:rsidRDefault="005E7E64" w:rsidP="005E7E64">
      <w:pPr>
        <w:pStyle w:val="NormalWeb"/>
        <w:jc w:val="both"/>
        <w:textAlignment w:val="baseline"/>
      </w:pPr>
      <w:r>
        <w:t>Nos encontramos en un momento clave, en el que la imposibilidad de mirar al futuro a medio plazo puede convertirnos en seres agotados, egoístas y cínicos.</w:t>
      </w:r>
    </w:p>
    <w:p w:rsidR="005E7E64" w:rsidRDefault="005E7E64" w:rsidP="005E7E64">
      <w:pPr>
        <w:pStyle w:val="NormalWeb"/>
        <w:jc w:val="both"/>
        <w:textAlignment w:val="baseline"/>
      </w:pPr>
      <w:r>
        <w:t xml:space="preserve">El Estado moderno se asienta sobre varios principios, la mayoría implícitos y que, como tal, pueden </w:t>
      </w:r>
      <w:r w:rsidR="00A54F82">
        <w:t xml:space="preserve">esfumarse en cualquier momento. </w:t>
      </w:r>
      <w:r>
        <w:t>Uno de ellos es la promesa de continuidad en nuestras vidas: frente a la arbitrariedad de la naturaleza, el ciudadano civilizado sabe que el Estado acudirá a su auxilio en caso de que la balanza se decante demasiado</w:t>
      </w:r>
      <w:r w:rsidR="00A54F82">
        <w:t xml:space="preserve"> por el lado de la mala suerte. </w:t>
      </w:r>
      <w:r>
        <w:t>Por supuesto, esto nunca ha sido completamente así, pero es lo que pensábamos hasta hace poco. La crisis de 2008 fue un derechazo de realidad; el confinamiento ha sido un “knockout” total.</w:t>
      </w:r>
    </w:p>
    <w:p w:rsidR="005E7E64" w:rsidRDefault="005E7E64" w:rsidP="005E7E64">
      <w:pPr>
        <w:pStyle w:val="NormalWeb"/>
        <w:jc w:val="both"/>
        <w:textAlignment w:val="baseline"/>
      </w:pPr>
      <w:r>
        <w:t>Ni el gobierno ni la ciencia ni la globalización, el perdedor absoluto de la presente crisis es el futuro, que hacía ya tiempo que no era lo que solía ser. ¿Futuro? ¿qué futuro, si ya sabemos que nuestra vida puede cambiar de la noche a la mañana? ¿si no sabemos qué ocurrirá el próximo minuto, si los mensajes son contradictorios y está todo por discutir? El que compre ahora un billete de avión, deje su trabajo, se ponga manos a la obra a tener un hijo o piense en algo que no sea la próxima visita al supermercado, es un iluso.</w:t>
      </w:r>
    </w:p>
    <w:p w:rsidR="005E7E64" w:rsidRDefault="005E7E64" w:rsidP="005E7E64">
      <w:pPr>
        <w:pStyle w:val="NormalWeb"/>
        <w:jc w:val="both"/>
        <w:textAlignment w:val="baseline"/>
      </w:pPr>
      <w:r>
        <w:t>Una sociedad en la que ya no podemos esperar nada y en la que estamos obligados a vivir un presente continuo es terrible… eso quiere decir que nuestra preocupación es satisfacer nuestras necesidades inmediatas, sean estas emocionales o materiales, que vamos a ser cada vez menos solidarios… Nuestro cinismo aumentará, como lo suele hacer en momentos en los que no se puede creer en nada.</w:t>
      </w:r>
    </w:p>
    <w:p w:rsidR="005E7E64" w:rsidRDefault="005E7E64" w:rsidP="005E7E64">
      <w:pPr>
        <w:pStyle w:val="NormalWeb"/>
        <w:jc w:val="both"/>
        <w:textAlignment w:val="baseline"/>
      </w:pPr>
      <w:r>
        <w:t>El gran peligro que se avecina ya no es solo la pandemia, con la que nos hemos terminado entendiendo cognitivamente, sino instalarnos en una transición constante, un presente indefinido en el que los cambios sean tan frecuentes que no haya posibilidad de establecer un plan a medio plazo. Que seamos muñecos vapuleados ante los designios de la enfermedad, de la política, de los mercados. Ya lo éramos, pero ahora resultará evidente.</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La economía mundial colapsa, un microbio ha echado por tierra la arrogancia de los gobiernos de los países avanzados (ahora, en vías de subdesarrollo), y de las grandes corporaciones multinacionales (dueñas del imperio, donde nunca se pone el sol).</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El virus nos ha puesto frente a la “levedad” del ser, la crisis económica nos pondrá ante los “límites” del crecimiento, y el desempleo nos revelará la “insuficiencia” de la asistencia social. La fábrica de la felicidad (Facebook, Apple, Amazon, Netflix, Google), no alcanza para evadirnos, abducirnos, hipnotizarnos. Los trileros del low-cost (Uber, Airbnb, Ryanair) no tienen ofertas para personas en “arresto domiciliario”.</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 xml:space="preserve">El Gran Hermano nos vigila, controla, intoxica, amaestra… pero no puede negar la evidencia, pero no nos puede liberar de la sensación de vivir en el “Día de la Marmota”, pero no nos puede devolver el futuro robado. </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 xml:space="preserve">Si no nos mata el virus, nos matará el hambre. La amenaza es existencial. Ya no se puede seguir siendo “esclavos felices”. Ya no alcanza con el “silencio de los corderos”.  </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Ya sabemos (lamentablemente) que el sistema sanitario ha colapsado (en casi todos los países avanzados), pero por lo menos, habría que tratar que no colapse (también) el sistema económico. Mientras se comienzan a construir los cimientos de lo nuevo en las cenizas de lo viejo, deberíamos preguntarnos cómo llegamos a este punto.</w:t>
      </w:r>
    </w:p>
    <w:p w:rsidR="005E7E64" w:rsidRPr="0016590F" w:rsidRDefault="005E7E64" w:rsidP="005E7E64">
      <w:pPr>
        <w:spacing w:line="240" w:lineRule="auto"/>
        <w:jc w:val="both"/>
        <w:rPr>
          <w:rFonts w:ascii="Times New Roman" w:hAnsi="Times New Roman" w:cs="Times New Roman"/>
          <w:sz w:val="24"/>
          <w:szCs w:val="24"/>
          <w:lang w:eastAsia="es-ES"/>
        </w:rPr>
      </w:pPr>
      <w:r w:rsidRPr="0016590F">
        <w:rPr>
          <w:rFonts w:ascii="Times New Roman" w:hAnsi="Times New Roman" w:cs="Times New Roman"/>
          <w:sz w:val="24"/>
          <w:szCs w:val="24"/>
          <w:lang w:eastAsia="es-ES"/>
        </w:rPr>
        <w:t xml:space="preserve">En esta “gran disrupción” hay mentiras que matan. No se puede tolerar un fracaso semejante, sin culpables. Los mariscales de la derrota (arrogantes, fatuos, falaces, mendaces, ciegos voluntarios, corruptos)  deben ser juzgados y encarcelados, en su caso. </w:t>
      </w:r>
    </w:p>
    <w:p w:rsidR="005E7E64" w:rsidRPr="0016590F" w:rsidRDefault="005E7E64" w:rsidP="005E7E64">
      <w:pPr>
        <w:spacing w:line="240" w:lineRule="auto"/>
        <w:jc w:val="both"/>
        <w:rPr>
          <w:rFonts w:ascii="Times New Roman" w:hAnsi="Times New Roman" w:cs="Times New Roman"/>
          <w:sz w:val="24"/>
          <w:szCs w:val="24"/>
        </w:rPr>
      </w:pPr>
      <w:r w:rsidRPr="0016590F">
        <w:rPr>
          <w:rFonts w:ascii="Times New Roman" w:hAnsi="Times New Roman" w:cs="Times New Roman"/>
          <w:sz w:val="24"/>
          <w:szCs w:val="24"/>
        </w:rPr>
        <w:t xml:space="preserve">El “gran latigazo” hubiera sido menor (infinitamente menor) si no hubiera existido la globalización, el librecambio, la deslocalización… En una economía de bloques, podrían haber funcionado los compartimentos estancos, que hubieran evitado la extensión del virus, la crisis de oferta, y al final, que la crisis sanitaria y económica alcanzara niveles de pandemia y depresión globales (crisis de demanda). Si China no hubiera estado tan “imbricada”, tal vez, no tendíamos que estar lamentando tantas muertes y tanto daño económico. Espero que sean los economistas, y no los historiadores, los que juzguen.     </w:t>
      </w:r>
    </w:p>
    <w:p w:rsidR="005E7E64" w:rsidRPr="00B96110" w:rsidRDefault="005E7E64" w:rsidP="005E7E64">
      <w:pPr>
        <w:pStyle w:val="NormalWeb"/>
        <w:jc w:val="both"/>
        <w:textAlignment w:val="baseline"/>
      </w:pPr>
      <w:r w:rsidRPr="00B96110">
        <w:t>Para hacerla corta (la verdad de la milanesa): la globalización no ha servido para evitar las “crisis de oferta” (como se demostró en el tsunami de Japón, y durante el tiempo que China cerró su economía por el Covid 19, con el corte de las líneas de abastecimiento de suministros y productos elaborados), no ha servido para evitar la “crisis financiara” (por el contrario expandió los efectos de la las hipotecas subprime de USA, al resto del mundo), y finalmente (por ahora), no ha servido para acotar el alcance de una “crisis sanitaria” que se inició en China y que por acción (tráfico de mercancías y personas), u omisión (ocultación de la información y negación de la evidencia) se extendió al mundo.</w:t>
      </w:r>
    </w:p>
    <w:p w:rsidR="005E7E64" w:rsidRPr="00B96110" w:rsidRDefault="005E7E64" w:rsidP="005E7E64">
      <w:pPr>
        <w:pStyle w:val="NormalWeb"/>
        <w:jc w:val="both"/>
        <w:textAlignment w:val="baseline"/>
      </w:pPr>
      <w:r w:rsidRPr="00B96110">
        <w:t>¿Alguna vez, esos grandes “think tank” que hacen lobby en los pasillos del Congreso de EEUU o del Parlamento Europeo, calcularán el costo de estos “desaguisados” a nivel mundial, para contraponerlo a los beneficios (</w:t>
      </w:r>
      <w:r w:rsidR="00A54F82">
        <w:t xml:space="preserve">supuestos) de la globalización? </w:t>
      </w:r>
      <w:r w:rsidRPr="00B96110">
        <w:t>¿Interesará en las prestigiosas universidades de la “Ivy leage”: Harvard, Yale, Cornell, Princeton, Darmouth College, Pensilvania, Columbia, Brown, Chicago, hacer balance? ¿Querrán los académicos de Oxford, Cambridge, London School of Economics, MIT, Stanford, Georgetown, presidir un equipo de investigación al respecto?</w:t>
      </w:r>
    </w:p>
    <w:p w:rsidR="005E7E64" w:rsidRPr="00B96110" w:rsidRDefault="005E7E64" w:rsidP="005E7E64">
      <w:pPr>
        <w:pStyle w:val="NormalWeb"/>
        <w:jc w:val="both"/>
        <w:textAlignment w:val="baseline"/>
      </w:pPr>
      <w:r w:rsidRPr="00B96110">
        <w:t xml:space="preserve">¿Leeremos alguna vez un “sesudo” informe de los Organismos Internacionales: Banco Mundial, Fondo Monetario Internacional, Banco de Pagos Internacionales, OCDE…,  de los centros de poder: World Economic Forum, Club Bilderberg, Council on Foreign Relations, Trilateral Commission…, o de los miembros del establishment: Cato Institute, Heritage Foundation… con el cálculo del costo/beneficio, a nivel macroeconómico, de la era de la globalización? ¿Todo el dinero que costó el “invento”? </w:t>
      </w:r>
    </w:p>
    <w:p w:rsidR="005E7E64" w:rsidRDefault="005E7E64" w:rsidP="005E7E64">
      <w:pPr>
        <w:pStyle w:val="NormalWeb"/>
        <w:jc w:val="both"/>
        <w:textAlignment w:val="baseline"/>
      </w:pPr>
      <w:r w:rsidRPr="00B96110">
        <w:t>¿Veremos -por fin- a la globalización… “hundida” (y</w:t>
      </w:r>
      <w:r>
        <w:t xml:space="preserve"> no solo, “tocada”)? ¡Oremos!… </w:t>
      </w:r>
    </w:p>
    <w:p w:rsidR="00606A74" w:rsidRPr="00606A74" w:rsidRDefault="00606A74" w:rsidP="00606A74">
      <w:pPr>
        <w:pStyle w:val="NormalWeb"/>
        <w:jc w:val="both"/>
        <w:textAlignment w:val="baseline"/>
        <w:rPr>
          <w:b/>
        </w:rPr>
      </w:pPr>
      <w:r w:rsidRPr="00606A74">
        <w:rPr>
          <w:b/>
        </w:rPr>
        <w:t xml:space="preserve">(Julio 2020) Actualización del “marcador” </w:t>
      </w:r>
    </w:p>
    <w:p w:rsidR="00606A74" w:rsidRDefault="00606A74" w:rsidP="00606A74">
      <w:pPr>
        <w:pStyle w:val="NormalWeb"/>
        <w:jc w:val="both"/>
        <w:textAlignment w:val="baseline"/>
      </w:pPr>
      <w:r>
        <w:t xml:space="preserve">12 años después de la Gran Crisis Financiera las economías aún arrastran ciertos excesos </w:t>
      </w:r>
      <w:r w:rsidR="0030483A">
        <w:t xml:space="preserve">que salieron a la luz entonces. </w:t>
      </w:r>
      <w:r>
        <w:t>El mayor problema es el desacoplamiento entre el mundo financiero y la economía real, que es la que crea empleos, la que aumenta la productividad y genera riqueza adicional verdadera.</w:t>
      </w:r>
    </w:p>
    <w:p w:rsidR="00606A74" w:rsidRDefault="00606A74" w:rsidP="00606A74">
      <w:pPr>
        <w:pStyle w:val="NormalWeb"/>
        <w:jc w:val="both"/>
        <w:textAlignment w:val="baseline"/>
      </w:pPr>
      <w:r>
        <w:t>Lo que hace el mundo financiero es armar y vender paquetes de deudas (corporativas, inmobiliarias o personales), especular con las fluctuaciones de las monedas y realizar operaciones de alta frecuencia (aprovechando información privilegiada en microsegundos).En general, las finanzas se comportan como en un gran casino, enriqueciéndose mediante la inflación de los activos y el empobrecimiento de quienes no los poseen, especialmente a los jóvenes.</w:t>
      </w:r>
    </w:p>
    <w:p w:rsidR="00606A74" w:rsidRDefault="00606A74" w:rsidP="00606A74">
      <w:pPr>
        <w:pStyle w:val="NormalWeb"/>
        <w:jc w:val="both"/>
        <w:textAlignment w:val="baseline"/>
      </w:pPr>
      <w:r>
        <w:t>Lo que hicieron los gobiernos después del 11-S y desde el 2007-08 fue intensificar estas tendencias, salvando a los banqueros y dándoles la liquidez necesaria para seguirle echando leña al fuego del casino. Con eso los hicieron sentir seguros en su comportamiento, tan dañino para la sociedad, con lo cual los problemas no hicieron más que continuar y empeorar.</w:t>
      </w:r>
    </w:p>
    <w:p w:rsidR="00606A74" w:rsidRDefault="00606A74" w:rsidP="00606A74">
      <w:pPr>
        <w:pStyle w:val="NormalWeb"/>
        <w:jc w:val="both"/>
        <w:textAlignment w:val="baseline"/>
      </w:pPr>
      <w:r>
        <w:t xml:space="preserve">En la actual economía del empleo flexible, de la alta movilidad, de la educación continua, de los contratos cero-horas, de las empresas tipo-Uber, del autoempleo creciente, hay demasiada gente que no está ni empleada ni desempleada. </w:t>
      </w:r>
    </w:p>
    <w:p w:rsidR="00606A74" w:rsidRDefault="00606A74" w:rsidP="00606A74">
      <w:pPr>
        <w:pStyle w:val="NormalWeb"/>
        <w:jc w:val="both"/>
        <w:textAlignment w:val="baseline"/>
      </w:pPr>
      <w:r>
        <w:t>Al principio, globalizarse fue la solución que encontraron las empresas de la anterior revolución -la de la producción en masa- para reducir los costos salariales y de materiales y energía. Para ello necesitaban que se abrieran todas las fronteras y se levantaran todas las protecciones arancelarias al igual que algunas de las políticas restrictivas. El neoliberalismo se impuso como teoría</w:t>
      </w:r>
      <w:r w:rsidR="00A54F82">
        <w:t xml:space="preserve"> económica y práctica política. </w:t>
      </w:r>
      <w:r w:rsidR="0030483A">
        <w:t>Para ello aceptó un alto</w:t>
      </w:r>
      <w:r>
        <w:t xml:space="preserve"> nivel de capitalismo salvaje sin restricciones, aunque nada hubiera impedido que los gobiernos se ocuparan de las víctimas. Pero en vez de hacer eso, las empresas que siempre quisieron sacarse al Estado de encima, corrieron a pedirle auxilio (crisis financiera 2008), para ellas (Wall Street) y no para las víctimas (Main Street). Si hubiera sido del otro modo no tendríamos que enfrentar el populismo que se alimenta del resentimiento de las víctimas del cambio tecnológico y la globalización (2020). </w:t>
      </w:r>
    </w:p>
    <w:p w:rsidR="00606A74" w:rsidRDefault="00606A74" w:rsidP="00606A74">
      <w:pPr>
        <w:pStyle w:val="NormalWeb"/>
        <w:jc w:val="both"/>
        <w:textAlignment w:val="baseline"/>
      </w:pPr>
      <w:r>
        <w:t xml:space="preserve">Es hora de abandonar el fundamentalismo de mercado y la austeridad bipolar (para los trabajadores y no para los empresarios, los políticos o los funcionarios) impuestas por el neoliberalismo y pasar a construir una nueva sociedad del bienestar en la “Edad de la Información”. Una vez que las nuevas tecnologías están plenamente instaladas hay que pasar a rediseñar el contexto económico para que el potencial de las mismas lleve a un crecimiento sano en beneficio de todos los miembros de la sociedad (tal vez abandonando el modelo de aprovecharse de los datos para hacerse rico, de algoritmos abusivos, de explotación de las  vulnerabilidades de ciertos perfiles, del minado y rastreo de personas para crear perfiles sin su consentimiento a partir de datos recolectados de terceros, de alegalidad, de evasión de impuestos, de alta concentración… y podríamos seguir). </w:t>
      </w:r>
    </w:p>
    <w:p w:rsidR="00606A74" w:rsidRDefault="00606A74" w:rsidP="00606A74">
      <w:pPr>
        <w:pStyle w:val="NormalWeb"/>
        <w:jc w:val="both"/>
        <w:textAlignment w:val="baseline"/>
      </w:pPr>
      <w:r>
        <w:t>La pandemia ha revelado la falta de criterio estratégico que llevó a muchas empresas globales a ignorar posibles catástrofes o emergencias y a no incorporar redundancia en sus redes, al mismo tiempo que desdeñaban a la población de su país. También ha demostrado las debilidades estratégicas de los países avanzados en cuanto a equipamiento, producción, y abastecimiento, del material necesario para</w:t>
      </w:r>
      <w:r w:rsidR="0030483A">
        <w:t xml:space="preserve"> enfrentar la crisis sanitaria. </w:t>
      </w:r>
      <w:r>
        <w:t>Todo ello lleva a pensar que habrá que tratar de lograr un sistema de comercio internacional y de movimiento de capitales, más inteligente, equilibrado, compensado, bilateral, y no el brutal que se ha venido dando, en busca de mano de obra barata a cualquier costo social, sanitario y ambiental, o de negocios puramente especulativos, de espalda a la economía real.</w:t>
      </w:r>
    </w:p>
    <w:p w:rsidR="00606A74" w:rsidRPr="00A970BD" w:rsidRDefault="00606A74" w:rsidP="00606A74">
      <w:pPr>
        <w:pStyle w:val="NormalWeb"/>
        <w:jc w:val="both"/>
        <w:textAlignment w:val="baseline"/>
        <w:rPr>
          <w:b/>
        </w:rPr>
      </w:pPr>
      <w:r w:rsidRPr="00A970BD">
        <w:rPr>
          <w:b/>
        </w:rPr>
        <w:t>En el plano de las relaciones económicas se necesita una revisión de las reglas. Ya mucho antes de la pandemia, el sistema híbrido de capitalismo de Estado chino era sostén de un modelo mercantilista injusto que distorsionó el funcionamiento de la Organización Mundial del Comercio. El resultado será un desacople de las cadenas globales de suministro, sobre todo allí donde esté en juego la seguridad nacional.</w:t>
      </w:r>
    </w:p>
    <w:p w:rsidR="006E5D75" w:rsidRPr="00CD1787" w:rsidRDefault="006E5D75" w:rsidP="006E5D75">
      <w:pPr>
        <w:pStyle w:val="NormalWeb"/>
        <w:shd w:val="clear" w:color="auto" w:fill="FFFFFF"/>
        <w:jc w:val="both"/>
        <w:rPr>
          <w:color w:val="000000"/>
        </w:rPr>
        <w:sectPr w:rsidR="006E5D75" w:rsidRPr="00CD1787" w:rsidSect="006E5D75">
          <w:pgSz w:w="11906" w:h="16838"/>
          <w:pgMar w:top="1440" w:right="1440" w:bottom="1440" w:left="1440" w:header="709" w:footer="709" w:gutter="0"/>
          <w:cols w:space="708"/>
          <w:docGrid w:linePitch="360"/>
        </w:sectPr>
      </w:pPr>
    </w:p>
    <w:p w:rsidR="006E5D75" w:rsidRDefault="006E5D75" w:rsidP="006E5D75">
      <w:pPr>
        <w:spacing w:line="240" w:lineRule="auto"/>
        <w:jc w:val="both"/>
        <w:rPr>
          <w:rFonts w:ascii="Times New Roman" w:hAnsi="Times New Roman" w:cs="Times New Roman"/>
          <w:b/>
          <w:sz w:val="24"/>
          <w:szCs w:val="24"/>
        </w:rPr>
      </w:pPr>
      <w:r w:rsidRPr="00344F06">
        <w:rPr>
          <w:rFonts w:ascii="Times New Roman" w:hAnsi="Times New Roman" w:cs="Times New Roman"/>
          <w:b/>
          <w:sz w:val="24"/>
          <w:szCs w:val="24"/>
        </w:rPr>
        <w:t xml:space="preserve">- Con este escenario, es inevitable que la crisis actual rehaga la globalización </w:t>
      </w:r>
      <w:r>
        <w:rPr>
          <w:rFonts w:ascii="Times New Roman" w:hAnsi="Times New Roman" w:cs="Times New Roman"/>
          <w:b/>
          <w:sz w:val="24"/>
          <w:szCs w:val="24"/>
        </w:rPr>
        <w:t xml:space="preserve">de un modo u otro. ¿Pero cómo? </w:t>
      </w:r>
    </w:p>
    <w:p w:rsidR="006E5D75" w:rsidRPr="00736E56"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5171" cy="2938182"/>
            <wp:effectExtent l="0" t="0" r="0" b="0"/>
            <wp:docPr id="186" name="Imagen 186" descr="Foto: Foto de archiv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oto de archivo: Reuters"/>
                    <pic:cNvPicPr>
                      <a:picLocks noChangeAspect="1" noChangeArrowheads="1"/>
                    </pic:cNvPicPr>
                  </pic:nvPicPr>
                  <pic:blipFill>
                    <a:blip r:embed="rId3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36306"/>
                    </a:xfrm>
                    <a:prstGeom prst="rect">
                      <a:avLst/>
                    </a:prstGeom>
                    <a:noFill/>
                    <a:ln>
                      <a:noFill/>
                    </a:ln>
                  </pic:spPr>
                </pic:pic>
              </a:graphicData>
            </a:graphic>
          </wp:inline>
        </w:drawing>
      </w:r>
    </w:p>
    <w:p w:rsidR="006E5D75" w:rsidRPr="006C6A7B" w:rsidRDefault="006E5D75" w:rsidP="006E5D75">
      <w:pPr>
        <w:spacing w:line="240" w:lineRule="auto"/>
        <w:jc w:val="both"/>
        <w:rPr>
          <w:rFonts w:ascii="Times New Roman" w:hAnsi="Times New Roman" w:cs="Times New Roman"/>
          <w:b/>
          <w:sz w:val="24"/>
          <w:szCs w:val="24"/>
          <w:shd w:val="clear" w:color="auto" w:fill="FFFFFF"/>
        </w:rPr>
      </w:pPr>
      <w:r w:rsidRPr="006C6A7B">
        <w:rPr>
          <w:rFonts w:ascii="Times New Roman" w:hAnsi="Times New Roman" w:cs="Times New Roman"/>
          <w:b/>
          <w:sz w:val="24"/>
          <w:szCs w:val="24"/>
          <w:shd w:val="clear" w:color="auto" w:fill="FFFFFF"/>
        </w:rPr>
        <w:t>Intentando tapar una verdad imposible de ocultar</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Hasta hace unos años, todavía resultaba viable que los “amos del universo” recapacitasen. Todavía tenía sentido preguntarse por los motivos de tanta obstinación. Sin el recurso de la racionalidad económica, </w:t>
      </w:r>
      <w:r w:rsidRPr="006C6A7B">
        <w:rPr>
          <w:rStyle w:val="Textoennegrita"/>
          <w:rFonts w:ascii="Times New Roman" w:hAnsi="Times New Roman" w:cs="Times New Roman"/>
          <w:sz w:val="24"/>
          <w:szCs w:val="24"/>
          <w:bdr w:val="none" w:sz="0" w:space="0" w:color="auto" w:frame="1"/>
          <w:shd w:val="clear" w:color="auto" w:fill="FFFFFF"/>
        </w:rPr>
        <w:t>cabía buscar otras explicaciones</w:t>
      </w:r>
      <w:r w:rsidRPr="006C6A7B">
        <w:rPr>
          <w:rFonts w:ascii="Times New Roman" w:hAnsi="Times New Roman" w:cs="Times New Roman"/>
          <w:sz w:val="24"/>
          <w:szCs w:val="24"/>
          <w:shd w:val="clear" w:color="auto" w:fill="FFFFFF"/>
        </w:rPr>
        <w:t>. Por ejemplo, entre los resortes de la condición humana (avaricia, arrogancia, fatuidad, indiferencia…).</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El trastorno narcisista se perfila desde los patrones de la grandiosidad. La adicción a la adulación es paralela a la incapacidad de admitir errores. Por eso, quienes sufren esta desgracia suelen </w:t>
      </w:r>
      <w:r w:rsidRPr="006C6A7B">
        <w:rPr>
          <w:rStyle w:val="Textoennegrita"/>
          <w:rFonts w:ascii="Times New Roman" w:hAnsi="Times New Roman" w:cs="Times New Roman"/>
          <w:sz w:val="24"/>
          <w:szCs w:val="24"/>
          <w:bdr w:val="none" w:sz="0" w:space="0" w:color="auto" w:frame="1"/>
          <w:shd w:val="clear" w:color="auto" w:fill="FFFFFF"/>
        </w:rPr>
        <w:t>erradicar de su entorno la deliberación y el pensamiento crítico</w:t>
      </w:r>
      <w:r w:rsidRPr="006C6A7B">
        <w:rPr>
          <w:rFonts w:ascii="Times New Roman" w:hAnsi="Times New Roman" w:cs="Times New Roman"/>
          <w:sz w:val="24"/>
          <w:szCs w:val="24"/>
          <w:shd w:val="clear" w:color="auto" w:fill="FFFFFF"/>
        </w:rPr>
        <w:t xml:space="preserve">. Nadie parece haberse atrevido a desvelar lo obvio: la vida siempre acaba trayendo alguna ocasión para aprender que, a veces, la verdadera grandeza solo puede demostrarse reconociendo la equivocación. Basta con eso. </w:t>
      </w:r>
    </w:p>
    <w:p w:rsidR="006E5D75" w:rsidRPr="00347CD3"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Con el andar, andar, el “pecado original” de la globalización, se ha transformado en un “pecado mortal” representado en (al menos) dos grandes crisis (financiera, en el año 2008, y sanitaria, en el año 2020), que han puesto al mundo, en ambas circunstancias ante un estado de depresión, nunca visto desde 1930. Todo ello en poco más de una década. No se podría haber hecho mayor daño económico en menor plazo. Un gran éxito de la globalización, vamos. Puro nihilismo, de los “amos del universo”, donde parece que los “mercados” viven en un mundo ajeno, diferente del que habitamos los demás, en el que no existen, ni las crisis financieras, ni las pandemias,</w:t>
      </w:r>
      <w:r>
        <w:rPr>
          <w:rFonts w:ascii="Times New Roman" w:hAnsi="Times New Roman" w:cs="Times New Roman"/>
          <w:sz w:val="24"/>
          <w:szCs w:val="24"/>
          <w:shd w:val="clear" w:color="auto" w:fill="FFFFFF"/>
        </w:rPr>
        <w:t xml:space="preserve"> ni las tensiones comerciales. </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Mientras las imágenes de EEUU entre finales de mayo y principios de junio (2020) mostraban cuán rápido se puede romper el orden cuando se juntan divisiones de larga data, graves dificultades económicas y una sensación de injusticia… Wall Street seguía subiendo, subiendo y subiendo. </w:t>
      </w:r>
    </w:p>
    <w:p w:rsidR="006E5D75" w:rsidRPr="006C6A7B" w:rsidRDefault="006E5D75" w:rsidP="006E5D75">
      <w:pPr>
        <w:spacing w:line="240" w:lineRule="auto"/>
        <w:jc w:val="both"/>
        <w:rPr>
          <w:rFonts w:ascii="Times New Roman" w:hAnsi="Times New Roman" w:cs="Times New Roman"/>
          <w:szCs w:val="24"/>
        </w:rPr>
      </w:pPr>
      <w:r w:rsidRPr="006C6A7B">
        <w:rPr>
          <w:rFonts w:ascii="Times New Roman" w:hAnsi="Times New Roman" w:cs="Times New Roman"/>
          <w:noProof/>
          <w:szCs w:val="24"/>
          <w:lang w:val="en-GB" w:eastAsia="zh-CN"/>
        </w:rPr>
        <w:drawing>
          <wp:inline distT="0" distB="0" distL="0" distR="0">
            <wp:extent cx="5728447" cy="2857500"/>
            <wp:effectExtent l="0" t="0" r="5715"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731510" cy="2859028"/>
                    </a:xfrm>
                    <a:prstGeom prst="rect">
                      <a:avLst/>
                    </a:prstGeom>
                  </pic:spPr>
                </pic:pic>
              </a:graphicData>
            </a:graphic>
          </wp:inline>
        </w:drawing>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Ignoran la pandemia… ignoran la crisis económica… ignoran la conflictividad social… ¿qué es lo que de verdad importa? ¿el dopaje de los bancos centrales? ¿la regadera monetaria? ¿el gas de la risa? ¿el espejismo del riesgo moral? ¿los algoritmos de la exuberancia irracional? … ¿a qué viene tanta euforia?... ¿un altr</w:t>
      </w:r>
      <w:r w:rsidR="00A970BD">
        <w:rPr>
          <w:rFonts w:ascii="Times New Roman" w:hAnsi="Times New Roman" w:cs="Times New Roman"/>
          <w:sz w:val="24"/>
          <w:szCs w:val="24"/>
        </w:rPr>
        <w:t xml:space="preserve">a volta? </w:t>
      </w:r>
      <w:r w:rsidRPr="006C6A7B">
        <w:rPr>
          <w:rFonts w:ascii="Times New Roman" w:hAnsi="Times New Roman" w:cs="Times New Roman"/>
          <w:sz w:val="24"/>
          <w:szCs w:val="24"/>
        </w:rPr>
        <w:t>¿volvemos a disfrazar el riesgo? ¿empezamos a vivir los engaños de la pospandemia? ¿siguen intentando negocios epilépticos (especulativos, improductivos, y ficticios) con costos infinitos para los contribuyentes (sociedad civil) y ganancias infinitas para sus protagonistas (ladronazos), que repartieron y reparten su rapiña con los funcionarios de turno (el poder en la sombra)?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Según Manuel Romera, director del Sector Financiero de la IE Business School, España, el mercado está apostando por una rápida recuperación de la economía en forma de V.  “Los mercados financieros descuentan lo que va a pasar en seis o 12 meses más, es decir, la cotización de hoy está valorando la economía del año que viene”, le dice a BBC Mundo (5/6/20).</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mensaje de los inversores es que la pandemia ha sido un shock puntual, y que aunque sus efectos están a la vista, el problema ya tocó fondo, apunta. A eso se suman las grandes inversiones que se han hecho para producir una vacuna y desarrollar tratamientos que, teóricamente, deberían producir resultados el año entrante.</w:t>
      </w:r>
    </w:p>
    <w:p w:rsidR="006E5D75" w:rsidRPr="006C6A7B" w:rsidRDefault="006E5D75" w:rsidP="006E5D75">
      <w:pPr>
        <w:spacing w:line="240" w:lineRule="auto"/>
        <w:jc w:val="both"/>
        <w:rPr>
          <w:rFonts w:ascii="Times New Roman" w:hAnsi="Times New Roman" w:cs="Times New Roman"/>
          <w:sz w:val="24"/>
          <w:szCs w:val="24"/>
        </w:rPr>
      </w:pPr>
      <w:r w:rsidRPr="006C6A7B">
        <w:rPr>
          <w:noProof/>
          <w:lang w:val="en-GB" w:eastAsia="zh-CN"/>
        </w:rPr>
        <w:drawing>
          <wp:inline distT="0" distB="0" distL="0" distR="0">
            <wp:extent cx="5728447" cy="2433918"/>
            <wp:effectExtent l="0" t="0" r="5715" b="5080"/>
            <wp:docPr id="260" name="Imagen 260" descr="El Ibex firma su mejor semana desde 2008 con el impulso del empleo en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firma su mejor semana desde 2008 con el impulso del empleo en EE UU"/>
                    <pic:cNvPicPr>
                      <a:picLocks noChangeAspect="1" noChangeArrowheads="1"/>
                    </pic:cNvPicPr>
                  </pic:nvPicPr>
                  <pic:blipFill>
                    <a:blip r:embed="rId3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8447" cy="2433918"/>
                    </a:xfrm>
                    <a:prstGeom prst="rect">
                      <a:avLst/>
                    </a:prstGeom>
                    <a:noFill/>
                    <a:ln>
                      <a:noFill/>
                    </a:ln>
                  </pic:spPr>
                </pic:pic>
              </a:graphicData>
            </a:graphic>
          </wp:inline>
        </w:drawing>
      </w:r>
    </w:p>
    <w:p w:rsidR="006E5D75" w:rsidRPr="006C6A7B" w:rsidRDefault="006E5D75" w:rsidP="006E5D75">
      <w:pPr>
        <w:spacing w:line="240" w:lineRule="auto"/>
        <w:jc w:val="both"/>
        <w:rPr>
          <w:rFonts w:ascii="Times New Roman" w:hAnsi="Times New Roman" w:cs="Times New Roman"/>
          <w:sz w:val="24"/>
          <w:szCs w:val="24"/>
        </w:rPr>
      </w:pPr>
      <w:r w:rsidRPr="006C6A7B">
        <w:rPr>
          <w:noProof/>
          <w:lang w:val="en-GB" w:eastAsia="zh-CN"/>
        </w:rPr>
        <w:drawing>
          <wp:inline distT="0" distB="0" distL="0" distR="0">
            <wp:extent cx="5735171" cy="3973606"/>
            <wp:effectExtent l="0" t="0" r="0" b="8255"/>
            <wp:docPr id="278" name="Imagen 278" descr="https://s03.s3c.es/imag/_v0/800x496/1/d/1/060620-S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800x496/1/d/1/060620-SP-2.gif"/>
                    <pic:cNvPicPr>
                      <a:picLocks noChangeAspect="1" noChangeArrowheads="1"/>
                    </pic:cNvPicPr>
                  </pic:nvPicPr>
                  <pic:blipFill>
                    <a:blip r:embed="rId3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71069"/>
                    </a:xfrm>
                    <a:prstGeom prst="rect">
                      <a:avLst/>
                    </a:prstGeom>
                    <a:noFill/>
                    <a:ln>
                      <a:noFill/>
                    </a:ln>
                  </pic:spPr>
                </pic:pic>
              </a:graphicData>
            </a:graphic>
          </wp:inline>
        </w:drawing>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S&amp;P calca la recuperación de 2009: “un augurio que apunta a más alzas a 12 meses”, según los “analistas”.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3 de junio cerró su mayor subida en 50 sesiones de la historia y el índice ha ido replicando el ascenso que experimentó desde los mínimos de la gran crisis financiera en marzo de 2009.</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se consuela el que no quiere”: debo reconocer el placer del conformismo, la ligereza de corazón que otorga, la forma en que resuelve tantos dilemas personales y profesionales.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¿Por qué esta vez iba a ser distinto?</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 veces la idea no es conseguir que la gente se crea una mentira, sino que el mentiroso meta miedo a la gente. Con el Covid-19, lo están logrando. Mentiras y miedo… miedo y mentiras.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¿Terminará alguna vez este período de esquizofrenia económica, que ya lleva dos grandes crisis (2008 y 2020) en su haber?</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¿Se puede terminar con la economía de casino, sin abordar el proceso de desglobalización, para recuperar las actividades productivas perdidas?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Además de mirarse el ombligo en el espejo (los global players) no vendría mal echar una ojeada a la involución de buena parte de la sociedad de los países avanzados.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 saber: de seguir en la misma, quizás ya sea demasiado tarde hasta para las lágrimas.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Cuidado con intentar disparar con armas que desconocen, cuidado con no evaluar la importancia del retroceso, el culatazo que produce un disparo de novato. Si esa fuerza tiende su manto sobre las clases populares de la precariedad laboral y el coronavirus…  entonces sabremos, por quién doblan las campanas (que no serán para dar inicio a la rueda bursátil).</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Los historiadores (con más tiempo y perspectiva) podrán establecer si en el proceso de globalización económica hubo dolo o culpa. </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diferencia esencial es que en el dolo siempre existe mala fe, un concepto jurídico que se refiere a la intencionalidad, a la premeditación para alcanzar un determinado fin conociendo que supone un daño o perjuicio para alguien. La arbitrariedad en la aplicación de algunas medidas correctivas ante las alarmas manifiestas corrobora la mala fe. Los avisos existieron y daban tiempo a reaccionar para evitar un mal mayor en el tejido industrial de EEUU o la UE.</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Me resulta difícil saber si estos grandes empresarios son conscientes de lo que se viene encima o les gusta jugar con fuego y quemarse. </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mala fe de una clase dirigente decadente, anclada en un mundo de economía productiva que desaparece sin que dé muestra de haberse enterado, no tiene excusa y supongo que tampoco perdón.</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Mientras espero a los historiador</w:t>
      </w:r>
      <w:r w:rsidR="00117A2B">
        <w:rPr>
          <w:rFonts w:ascii="Times New Roman" w:hAnsi="Times New Roman" w:cs="Times New Roman"/>
          <w:sz w:val="24"/>
          <w:szCs w:val="24"/>
        </w:rPr>
        <w:t>es (que darán o quitarán razón</w:t>
      </w:r>
      <w:r w:rsidRPr="006C6A7B">
        <w:rPr>
          <w:rFonts w:ascii="Times New Roman" w:hAnsi="Times New Roman" w:cs="Times New Roman"/>
          <w:sz w:val="24"/>
          <w:szCs w:val="24"/>
        </w:rPr>
        <w:t>), no puedo callar (ni quiero) mi mensaje a los “amos del universo” (global players): nos han robado el trabajo, no han robado los ingresos, nos han robado el futuro, pero al menos, no ofendan nuestra inteligencia.</w:t>
      </w:r>
    </w:p>
    <w:p w:rsidR="006E5D75" w:rsidRPr="006C6A7B" w:rsidRDefault="006E5D75" w:rsidP="006E5D75">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Negocios, traiciones, y disparates, como sistema económico de la posmodernidad</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A </w:t>
      </w:r>
      <w:r w:rsidRPr="006C6A7B">
        <w:rPr>
          <w:rFonts w:ascii="Times New Roman" w:hAnsi="Times New Roman" w:cs="Times New Roman"/>
          <w:b/>
          <w:sz w:val="24"/>
          <w:szCs w:val="24"/>
          <w:u w:val="single"/>
        </w:rPr>
        <w:t>la crisis financiera de 2008</w:t>
      </w:r>
      <w:r w:rsidRPr="006C6A7B">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Esta salida fue una huida hacia delante. Ese dinero no podía generar crecimiento en la economía real, ya que la presión para reducir los déficits de los gobiernos, así como la 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problema de fondo es que todo ese enorme capital que circula por las esferas virtuales, raramente aterriza en la economía productiva, la de la gente común. Se destina al sector financiero, a la deuda, a los fondos de inversión, al “private equity”, que circulan por una vía muy distinta. Es una economía muy real en tanto produce beneficios y rentabilidad, pero no genera efectos positivos en el conjunto de la sociedad; peor aún, la debilita.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Lo que ocurrió con la crisis de 2008 fue que esas grandes cantidades de dinero que se introdujeron en el mercado alimentaron ese circuito, y además de sanar las cuentas de los grandes bancos y solucionar los problemas esperados de rentabilidad, inflaron la burbuja de ese sector paralelo. El mercado de las acciones y de los bonos, pero también de las fusiones y adquisiciones, del apalancamiento o de las operaciones del “private equity”, se </w:t>
      </w:r>
      <w:r w:rsidR="00A468EB" w:rsidRPr="006C6A7B">
        <w:rPr>
          <w:rFonts w:ascii="Times New Roman" w:hAnsi="Times New Roman" w:cs="Times New Roman"/>
          <w:sz w:val="24"/>
          <w:szCs w:val="24"/>
        </w:rPr>
        <w:t>ha</w:t>
      </w:r>
      <w:r w:rsidRPr="006C6A7B">
        <w:rPr>
          <w:rFonts w:ascii="Times New Roman" w:hAnsi="Times New Roman" w:cs="Times New Roman"/>
          <w:sz w:val="24"/>
          <w:szCs w:val="24"/>
        </w:rPr>
        <w:t xml:space="preserve">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b/>
          <w:sz w:val="24"/>
          <w:szCs w:val="24"/>
          <w:u w:val="single"/>
        </w:rPr>
        <w:t>Así se ha llegado a 2020, el año de la pandemia</w:t>
      </w:r>
      <w:r w:rsidRPr="006C6A7B">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modo que beneficiase a la primera. Solo por ese camino, el de que las clases medias y trabajadoras occidentales volvieran a tener recursos, se generaría crecimiento.</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minar el recorrido ascendente de la potencia asiática, en especial en la competencia que realiza en sectores de alto valor añadido y en su poder militar, o en bienes estratégicos, no en la fabricación barata.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 </w:t>
      </w:r>
      <w:r w:rsidR="00A468EB" w:rsidRPr="006C6A7B">
        <w:rPr>
          <w:rFonts w:ascii="Times New Roman" w:hAnsi="Times New Roman" w:cs="Times New Roman"/>
          <w:sz w:val="24"/>
          <w:szCs w:val="24"/>
        </w:rPr>
        <w:t>potenciarían</w:t>
      </w:r>
      <w:r w:rsidRPr="006C6A7B">
        <w:rPr>
          <w:rFonts w:ascii="Times New Roman" w:hAnsi="Times New Roman" w:cs="Times New Roman"/>
          <w:sz w:val="24"/>
          <w:szCs w:val="24"/>
        </w:rPr>
        <w:t xml:space="preserve">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En su último libro, “Hablemos claro sobre el comercio mundial”, Dani Rodrik iba directo al grano: ¿eran los economistas culpables de la victoria de Donald Trump? </w:t>
      </w:r>
      <w:r w:rsidRPr="00C73630">
        <w:rPr>
          <w:rFonts w:ascii="Times New Roman" w:hAnsi="Times New Roman" w:cs="Times New Roman"/>
          <w:sz w:val="24"/>
          <w:szCs w:val="24"/>
        </w:rPr>
        <w:t>Rodrik, ganador</w:t>
      </w:r>
      <w:r w:rsidRPr="006C6A7B">
        <w:rPr>
          <w:rFonts w:ascii="Times New Roman" w:hAnsi="Times New Roman" w:cs="Times New Roman"/>
          <w:sz w:val="24"/>
          <w:szCs w:val="24"/>
        </w:rPr>
        <w:t>(12/6/20) del premio Princesa de Asturias de Ciencias Sociales, acusaba a sus colegas de haber estado durante décadas cegados por las bondades de la globalización, de haberse convertido en unos “idiotas sabios de las ciencias sociales” que solo eran capaces de usar marcos teóricos simples para explicar fenómenos sociales complejos.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economistas tienden a subestimar algunas de las complicaciones de la globalización, como los efectos distributivos o las consecuencias sobre los grupos que se ven afectados de forma negativa”, explicaba en una entrevista en diciembre de 2018 a El Confidencial. “Tampoco les gusta hablar sobre los inconvenientes en público porque tienen miedo de ofrecer munición a los proteccionistas, a quienes ven como “bárbaros”, que o bien no entienden la defensa del libre mercado o quieren proteger tan solo sus estrechos puntos de vista”.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Dani Rodrik (Estambul, 1957) lleva años y años repitiendo que el exceso de globalización traería consecuencias negativas. Ya en la primera década de los dos mil, antes de la gran recesión, advertía del fanatismo neoliberal, “un concepto resbaladizo y cambiante” que ha acabado impregnando gran parte de nuestro pensamiento y transformando la economía en un sustrato puramente ideológico. Desde que publicara “¿Ha ido la globalización demasiado lejos?” en 1997, este profesor de la Universidad de Harvard ha cargado contra los partidos políticos centristas que pensaban que la economía se podía disociar de la política, que la globalización había caído “del cielo” y que uno puede trasplantar modelos económicos a otros países con circunstancias y culturas muy distintas.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“De sus trabajos, se deduce la necesidad de mejorar el gobierno de la globalización, un tema de gran relevancia en un momento de cuestionamiento del multilateralismo”, ha explicado el jurado del premio Princesa de Asturias en un comunicado. “En una coyuntura en la que el déficit creciente de gobernanza global y la necesidad de generar bienes públicos se hace más evidente (y la actual pandemia lo pone de manifiesto), la obra de Dani Rodrik aporta instrumentos esenciales para el análisis de las relaciones internacionales y el refuerzo de las instituciones multilaterales”, afirmaba.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Probablemente, la aportación más novedosa de este economista haya sido el “trilema de la globalización”, teoría clave para entender las circunstancias políticas de nuestro tiempo. En “La paradoja de la globalización” (2011), Rodrik dibujó un triángulo cuyos vértices eran la globalización económica, la soberanía nacional y la democracia. ¿El problema? Solo se pueden escoger dos, y los demócratas liberales se han pasado años tratando sin éxito de tener los tres al mismo tiempo, provocando el descontento de sus votantes.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En ese sentido, Trump, el Brexit y los nuevos movimientos iliberales, hijos de ese trilema, no se explican solo como fenómenos identitarios, sino que responden a la hipocresía de los partidos políticos, que han intentado comerse el pastel sin dejar de tenerlo en ningún momento: “(Los movimientos populistas) son el resultado de la falta de honestidad de políticos centristas que no se han enfrentado a las implicaciones del trilema. Les dijeron a sus votantes que podrían perseguir la hiperglobalización sin abandonar la soberanía o la rendición de cuentas democrática”, explicaba en su última </w:t>
      </w:r>
      <w:r>
        <w:rPr>
          <w:rFonts w:ascii="Times New Roman" w:hAnsi="Times New Roman" w:cs="Times New Roman"/>
          <w:sz w:val="24"/>
          <w:szCs w:val="24"/>
        </w:rPr>
        <w:t>entrevista con El Confidencial.</w:t>
      </w:r>
    </w:p>
    <w:p w:rsidR="006E5D75"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 subrayaba.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trilema de la globalización, afirmaba en su obra, no implica abandonar por completo las organizaciones internacionales ni el comercio mundial. De hecho, en muchos casos, han sido muy positivos. Hay algunas áreas, reconocía el propio Rodrik, donde la gobernanza global es indispensable, “como en el combate contra el cambio climático, el control de la venta de armas o las precauciones ante las pandemias”. Pero la gestión económica del día a día y el peso de la responsabilidad, argumentaba, deben permanecer en manos nacionales, pues, si los estados-nación hacen sus deberes, acabaremos con una economía mundial razonablemente abierta igual.</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enemigos de Rodrik le han tildado de proteccionista y le han acusado de dar armas ideológicas a los autárquicos identitarios, pero él siempre ha negado su rechazo al capitalismo. “No hay nada malo en los mercados, el emprendedurismo privado o los incentivos, cuando se aplican de manera adecuada”, decía en un reciente artículo en la revista “Letras Libres”. “Su uso creativo está detrás de los avances económicos más significativos de nuestro tiempo. Mientras acumulamos críticas contra el neoliberalismo, nos arriesgamos a despreciar algunas de sus útiles ideas”.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Para Rodrik, a quien el “Financial Times” acabó catalogando como “pragmático del comercio”, no existe incompatibilidad inherente entre la apertura económica y perseguir el interés nacional. La globalización, recalca, debe servir a los objetivos de los países y las sociedades. No a la inversa.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Keynes dijo una vez que sería genial que se consiguiera ver a los economistas como personas tan humildes y competentes como a los dentistas. Quizá la gran aportación de Rodrik haya sido esa: “desinyectar” un poco de arrogancia de una profesión tan desprestigiada por la crisis financiera de 2008 y la del euro de 2012. Explicar, en definitiva, que la economía nunca ha sido una ciencia estrictamente rigurosa que dé respuestas inequívocas a nuestros problemas. “Tenemos que enseñar a nuestros estudiantes que la mayoría del tiempo la mejor respuesta que podemos dar a una pregunta sobre una política económica es “depende”, seguida de una larga explicación sobre de qué depende”, afirmaba.</w:t>
      </w:r>
    </w:p>
    <w:p w:rsidR="006E5D75" w:rsidRPr="006C6A7B" w:rsidRDefault="006E5D75" w:rsidP="006E5D75">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Las perversiones económicas globales (2008: culpable EEUU y 2020: culpable China)</w:t>
      </w:r>
    </w:p>
    <w:p w:rsidR="006E5D75"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Las dos últimas crisis que hemos vivido han estado basadas en esquemas de exponencialidad y de contagio (falta de confianza). La primera se basó en la ley de capitalización compuesta, que rige los mercados financieros y que explica cómo la economía financiera crece muy por encima de la economía real (lineal) sin posibilidad de redención. La consecuencia no es una economía basada en los bienes, como probablemente hubiera dicho Aristóteles, en los activos, que se dice ahora; sino una economía basada en la deuda, en los pasivos: en las perversas ideas de reserva fraccionaria, de dinero basado en la deuda, de las ventas en descubierto, de los derechos a contaminar y otras tantas perversiones que va generando nuestro sistema de acumulación y nuestra economía de casino. Por no hablar de las innovaciones eufemísticas en el ámbito financiero de llamar, por ejemplo, a un bono, que es un título de deuda, activo financiero. Y la segunda, la crisis del Covid-19, basada en la curva exponencial de contagio de cualquier epidemia y que nos ha sobrecogido a todos, no tanto por sus efectos, pues en la historia ha habido crisis epidemiológicas con mayor impacto sanitario, sino por su integración en el sistema económico y por ser el síntoma, aparte del cambio geoestratégico entre China y EEUU, de un problema ambiental sin precedentes: pérdida de biodiversidad, cambio climático, ciclo del nitróge</w:t>
      </w:r>
      <w:r>
        <w:rPr>
          <w:rFonts w:ascii="Times New Roman" w:hAnsi="Times New Roman" w:cs="Times New Roman"/>
          <w:sz w:val="24"/>
          <w:szCs w:val="24"/>
        </w:rPr>
        <w:t>no, acidificación oceánica</w:t>
      </w:r>
      <w:r w:rsidRPr="006C6A7B">
        <w:rPr>
          <w:rFonts w:ascii="Times New Roman" w:hAnsi="Times New Roman" w:cs="Times New Roman"/>
          <w:sz w:val="24"/>
          <w:szCs w:val="24"/>
        </w:rPr>
        <w:t>, etc.</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esta crisis los mercados no han funcionado. Los modelos de tercerización o de temporización de la cadena de suministro han mostrado su vulnerabilidad. La obsesión por la rotación de las cosas (obsolescencia programada y economía lineal) y de las personas nos genera problemas ambientales e infelicidad. El riesgo moral y el riesgo de agencia han campado a sus anchas. No estaba previsto un sistema de seguros para hacer frente a una catástrofe de esta índole, que era considerada en términos gaussianos como un problema de cola, y no la reconocimos cuando llegó (como tampoco la crisis financiera de 2008). Los Gobiernos se han visto más débiles que las grandes corporaciones para poder proveer de material sanitario y preservar la seguridad de los ciudadanos. Y lo que es mucho más grave, ha habido un cambio sustancial en las externalidades. Las externalidades negativas, como la del Covid-19, se han hecho transversales y/o globales. Las empresas y la economía financiera trasladan hoy más riesgos que costes a la sociedad. Cada vez más riesgos específicos se van convirtiendo en riesgos sistémicos, con importantes consecuencias en términos de desigualdad (socialización de los costes de las crisis y privatización de las ganancias) y distribución de la carga impositiva, de capacidad de diversificación y gestión de los riesgos, o de gobernanza.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Precisamente el reto de la gobernanza está en la generación de certidumbre y horizontes de certeza. Ya sabemos que el mundo es incierto y azaroso, que todo está sometido a las leyes del cambio, pero no podemos permitir que las instituciones humanas (Gobiernos y empresas, por ejemplo) sean las que aceleren la incertidumbre, incrementen la entropía y eludan la planificación ante la fungibilidad y el cambio omnipresentes. El fetichismo que nuestra sociedad siente por el cambio nos ha llevado a generar esquemas de exponencialidad a los que no estamos acostumbrados, ni nuestra economía ni nuestra salud mental. Todos deberíamos pensar cómo aportar certidumbre a nuestro entorno, tanto a nivel individual como institucional. Esa debe ser nuestra licencia social para operar: la clave de la confianza a la que debemos enfrentarnos. Y confiar no es eludir el espíritu crítico.</w:t>
      </w:r>
    </w:p>
    <w:p w:rsidR="006E5D75" w:rsidRPr="006C6A7B" w:rsidRDefault="006E5D75" w:rsidP="006E5D75">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More questions than answers (la realidad que tanto cuesta reconocer al establishment)</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Fed suele hacer una encuesta en la que se pregunta a los estadounidenses si posee fondos suficientes para hacer frente a un gasto imprevisto de 400 dólares. En la última, el 40% contestó que no podría pagarlo sin vender algo o pedir dinero prestado. Y no es solo una situación privada, es un mapa general. (El Confidencial - 7/5/20)</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eran solo los particulares: una parte importante de trabajadores y de pequeños empresarios vivían al límite, en EEUU, en España y en gran parte de Occidente, y la pandemia ha provocado que lo rebasen: las quiebras que vendrán a partir de ahora, así como las dificultades de subsistencia, tienen que ver con la imposibilidad de asumir más gastos y más deuda.</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Era una situación paradójica, porque al mismo tiempo que esos sectores pasaban dificultades, las grandes empresas vivían una oleada de dividendos y de recompras de acciones que proporcionaban más riqueza a sus accionistas. Sin embargo, y esto es importante para entender la presente crisis, tales flujos de beneficio no mejoraron la situación de las firmas; más al contrario, aquellas transferencias de fondos hacia los accionistas no fueron gratis, porque tuvieron el efecto de endeudar a esas compañías y de colocarlas en una posición débil.</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De modo que, cuando el virus ha llegado, se ha encontrado con muchísimas empresas, grandes y pequeñas, que estaban en la situación de no poder soportar siquiera un imprevisto, por seguir con el ejemplo, de 400 dólares al mes.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Repasemos: un mundo fragmentado, con EEUU lanzado hacia la desglobalización y China creciendo; una Unión Europea con fuertes tensiones; una necesidad urgente de conseguir fondos para la recuperación de los que carecemos; la posibilidad de que el endeudamiento estatal nos pase factura a to</w:t>
      </w:r>
      <w:r>
        <w:rPr>
          <w:rFonts w:ascii="Times New Roman" w:hAnsi="Times New Roman" w:cs="Times New Roman"/>
          <w:sz w:val="24"/>
          <w:szCs w:val="24"/>
        </w:rPr>
        <w:t>dos los contribuyentes</w:t>
      </w:r>
      <w:r w:rsidRPr="006C6A7B">
        <w:rPr>
          <w:rFonts w:ascii="Times New Roman" w:hAnsi="Times New Roman" w:cs="Times New Roman"/>
          <w:sz w:val="24"/>
          <w:szCs w:val="24"/>
        </w:rPr>
        <w:t xml:space="preserve"> en poco tiempo; la quiebra de pequeñas empresas y el paro aumentando; y todo esto sin haber salido de la pandemia.</w:t>
      </w:r>
    </w:p>
    <w:p w:rsidR="006E5D75" w:rsidRPr="006C6A7B"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O expresado de otra manera: los subsidios estatales para devolver “la tranquilidad a los mercados” (sic), otorgados en la crisis financiera (2008), y en la crisis sanitaria (2020), han  sido una política pública diseñada en beneficio de algunas grandes corporaciones con una notable capacidad de presionar e influir sobre los gobernant</w:t>
      </w:r>
      <w:r>
        <w:rPr>
          <w:rFonts w:ascii="Times New Roman" w:eastAsia="Times New Roman" w:hAnsi="Times New Roman" w:cs="Times New Roman"/>
          <w:sz w:val="24"/>
          <w:szCs w:val="24"/>
        </w:rPr>
        <w:t>es. Sirven como ejemplo claro sobre</w:t>
      </w:r>
      <w:r w:rsidRPr="006C6A7B">
        <w:rPr>
          <w:rFonts w:ascii="Times New Roman" w:eastAsia="Times New Roman" w:hAnsi="Times New Roman" w:cs="Times New Roman"/>
          <w:sz w:val="24"/>
          <w:szCs w:val="24"/>
        </w:rPr>
        <w:t xml:space="preserve"> cómo el regulador es capturado por aquellos intereses privados que consiguen doblegar el intervencionismo estatal en su favor: un motivo más de por qué se deberían </w:t>
      </w:r>
      <w:r w:rsidRPr="006C6A7B">
        <w:rPr>
          <w:rFonts w:ascii="Times New Roman" w:eastAsia="Times New Roman" w:hAnsi="Times New Roman" w:cs="Times New Roman"/>
          <w:bCs/>
          <w:sz w:val="24"/>
          <w:szCs w:val="24"/>
          <w:bdr w:val="none" w:sz="0" w:space="0" w:color="auto" w:frame="1"/>
        </w:rPr>
        <w:t>incrementar los controles internos sobre el diseño de políticas públicas</w:t>
      </w:r>
      <w:r w:rsidRPr="006C6A7B">
        <w:rPr>
          <w:rFonts w:ascii="Times New Roman" w:eastAsia="Times New Roman" w:hAnsi="Times New Roman" w:cs="Times New Roman"/>
          <w:sz w:val="24"/>
          <w:szCs w:val="24"/>
        </w:rPr>
        <w:t> o, idealmente, reducir el ámbito de un intervencionismo estatal tan fácilmente pervertible y corrompible.</w:t>
      </w:r>
    </w:p>
    <w:p w:rsidR="006E5D75" w:rsidRPr="006C6A7B"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6C6A7B"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Para dar cobertura a semejante socialización de las pérdidas (manteniendo la privatización de las ganancias) están los dóciles académicos (algunos Nobelados y muchos noveleros), con sus afines asimilables, con sus colegas de alpiste, formado la uniforme comparsa de los felices de haberse conocido, que en vez de ser premiados por satisfacer determinados intereses (de los que mandan), deberían ser inhabilitados por la dura realidad socio-económica (de los ajenos) y los sonoros fracasos de los modelos y pronósticos (de los propios). Son los (supuestos) expertos en los que se amparan (y justifican) los global players.</w:t>
      </w:r>
    </w:p>
    <w:p w:rsidR="006E5D75" w:rsidRPr="006C6A7B" w:rsidRDefault="006E5D75" w:rsidP="006E5D75">
      <w:pPr>
        <w:shd w:val="clear" w:color="auto" w:fill="FFFFFF"/>
        <w:spacing w:after="0" w:line="240" w:lineRule="auto"/>
        <w:jc w:val="both"/>
        <w:textAlignment w:val="baseline"/>
        <w:rPr>
          <w:rStyle w:val="Textoennegrita"/>
          <w:rFonts w:ascii="Times New Roman" w:hAnsi="Times New Roman" w:cs="Times New Roman"/>
          <w:sz w:val="24"/>
          <w:szCs w:val="24"/>
          <w:shd w:val="clear" w:color="auto" w:fill="EEF0EF"/>
        </w:rPr>
      </w:pPr>
    </w:p>
    <w:p w:rsidR="006E5D75" w:rsidRPr="003B038D" w:rsidRDefault="006E5D75" w:rsidP="006E5D75">
      <w:pPr>
        <w:spacing w:line="240" w:lineRule="auto"/>
        <w:jc w:val="both"/>
        <w:rPr>
          <w:rFonts w:ascii="Times New Roman" w:hAnsi="Times New Roman" w:cs="Times New Roman"/>
          <w:sz w:val="24"/>
          <w:szCs w:val="24"/>
          <w:shd w:val="clear" w:color="auto" w:fill="FFFFFF"/>
          <w:lang w:val="en-US"/>
        </w:rPr>
      </w:pPr>
      <w:r w:rsidRPr="006C6A7B">
        <w:rPr>
          <w:rFonts w:ascii="Times New Roman" w:hAnsi="Times New Roman" w:cs="Times New Roman"/>
          <w:sz w:val="24"/>
          <w:szCs w:val="24"/>
          <w:shd w:val="clear" w:color="auto" w:fill="FFFFFF"/>
        </w:rPr>
        <w:t xml:space="preserve">“Los europeos debemos reconsiderar nuestro modo de encarar la globalización, y reconocer la importancia crucial de producir bienes esenciales (por ejemplo equipos médicos) dentro de la Unión Europea. Tenemos que diversificar las cadenas de suministro para no ser totalmente dependientes de un único país o región. Pero repensar la globalización no implica reducir la cooperación internacional”... </w:t>
      </w:r>
      <w:r w:rsidRPr="003B038D">
        <w:rPr>
          <w:rFonts w:ascii="Times New Roman" w:hAnsi="Times New Roman" w:cs="Times New Roman"/>
          <w:sz w:val="24"/>
          <w:szCs w:val="24"/>
          <w:shd w:val="clear" w:color="auto" w:fill="FFFFFF"/>
          <w:lang w:val="en-US"/>
        </w:rPr>
        <w:t xml:space="preserve">(Jens Spahn, Germany’s Federal Minister of Health - Project Syndicate - </w:t>
      </w:r>
      <w:r w:rsidRPr="003B038D">
        <w:rPr>
          <w:rFonts w:ascii="Times New Roman" w:hAnsi="Times New Roman" w:cs="Times New Roman"/>
          <w:b/>
          <w:sz w:val="24"/>
          <w:szCs w:val="24"/>
          <w:shd w:val="clear" w:color="auto" w:fill="FFFFFF"/>
          <w:lang w:val="en-US"/>
        </w:rPr>
        <w:t>22/5/20</w:t>
      </w:r>
      <w:r w:rsidRPr="003B038D">
        <w:rPr>
          <w:rFonts w:ascii="Times New Roman" w:hAnsi="Times New Roman" w:cs="Times New Roman"/>
          <w:sz w:val="24"/>
          <w:szCs w:val="24"/>
          <w:shd w:val="clear" w:color="auto" w:fill="FFFFFF"/>
          <w:lang w:val="en-US"/>
        </w:rPr>
        <w:t>)</w:t>
      </w:r>
    </w:p>
    <w:p w:rsidR="006E5D75" w:rsidRPr="00660406" w:rsidRDefault="006E5D75" w:rsidP="006E5D75">
      <w:pPr>
        <w:spacing w:line="240" w:lineRule="auto"/>
        <w:jc w:val="both"/>
        <w:rPr>
          <w:rFonts w:ascii="Times New Roman" w:hAnsi="Times New Roman" w:cs="Times New Roman"/>
          <w:b/>
          <w:sz w:val="24"/>
          <w:szCs w:val="24"/>
        </w:rPr>
      </w:pPr>
      <w:proofErr w:type="spellStart"/>
      <w:r w:rsidRPr="008B56EF">
        <w:rPr>
          <w:rFonts w:ascii="Times New Roman" w:hAnsi="Times New Roman" w:cs="Times New Roman"/>
          <w:b/>
          <w:sz w:val="24"/>
          <w:szCs w:val="24"/>
          <w:lang w:val="es-ES_tradnl"/>
        </w:rPr>
        <w:t>Tanguedia</w:t>
      </w:r>
      <w:proofErr w:type="spellEnd"/>
      <w:r w:rsidRPr="008B56EF">
        <w:rPr>
          <w:rFonts w:ascii="Times New Roman" w:hAnsi="Times New Roman" w:cs="Times New Roman"/>
          <w:b/>
          <w:sz w:val="24"/>
          <w:szCs w:val="24"/>
          <w:lang w:val="es-ES_tradnl"/>
        </w:rPr>
        <w:t xml:space="preserve"> I: Cuentas que no cierran… </w:t>
      </w:r>
      <w:r w:rsidRPr="00660406">
        <w:rPr>
          <w:rFonts w:ascii="Times New Roman" w:hAnsi="Times New Roman" w:cs="Times New Roman"/>
          <w:b/>
          <w:sz w:val="24"/>
          <w:szCs w:val="24"/>
        </w:rPr>
        <w:t>(</w:t>
      </w:r>
      <w:proofErr w:type="gramStart"/>
      <w:r w:rsidRPr="00660406">
        <w:rPr>
          <w:rFonts w:ascii="Times New Roman" w:hAnsi="Times New Roman" w:cs="Times New Roman"/>
          <w:b/>
          <w:sz w:val="24"/>
          <w:szCs w:val="24"/>
        </w:rPr>
        <w:t>y</w:t>
      </w:r>
      <w:proofErr w:type="gramEnd"/>
      <w:r w:rsidRPr="00660406">
        <w:rPr>
          <w:rFonts w:ascii="Times New Roman" w:hAnsi="Times New Roman" w:cs="Times New Roman"/>
          <w:b/>
          <w:sz w:val="24"/>
          <w:szCs w:val="24"/>
        </w:rPr>
        <w:t xml:space="preserve"> sangran todavía)</w:t>
      </w:r>
    </w:p>
    <w:p w:rsidR="006E5D75" w:rsidRPr="00660406" w:rsidRDefault="006E5D75" w:rsidP="006E5D75">
      <w:pPr>
        <w:spacing w:line="240" w:lineRule="auto"/>
        <w:jc w:val="both"/>
        <w:rPr>
          <w:rFonts w:ascii="Times New Roman" w:hAnsi="Times New Roman" w:cs="Times New Roman"/>
          <w:sz w:val="24"/>
          <w:szCs w:val="24"/>
        </w:rPr>
      </w:pPr>
      <w:r w:rsidRPr="00660406">
        <w:rPr>
          <w:rFonts w:ascii="Times New Roman" w:hAnsi="Times New Roman" w:cs="Times New Roman"/>
          <w:sz w:val="24"/>
          <w:szCs w:val="24"/>
        </w:rPr>
        <w:t>La prestigiosa consultora McKinsey estima que, al 26/6/20, los gobiernos afectados acumularán un déficit de entre 25 y 30 billones de dólares hasta 2023, equivalente al 30% del PIB global, una cifra inédita en tiempos de paz. Este desequilibrio es fruto, por un lado, del fuerte aumento que registrará el gasto público como consecuencia de los estímulos fiscales puestos en marcha para tratar de combatir la crisis económica y, por otro, de la intensa reducción de los ingresos debido, igualmente, a la recesión.</w:t>
      </w:r>
    </w:p>
    <w:p w:rsidR="006E5D75" w:rsidRPr="00660406" w:rsidRDefault="006E5D75" w:rsidP="006E5D75">
      <w:pPr>
        <w:spacing w:line="240" w:lineRule="auto"/>
        <w:jc w:val="both"/>
        <w:rPr>
          <w:rFonts w:ascii="Times New Roman" w:hAnsi="Times New Roman" w:cs="Times New Roman"/>
          <w:sz w:val="24"/>
          <w:szCs w:val="24"/>
        </w:rPr>
      </w:pPr>
      <w:r w:rsidRPr="00660406">
        <w:rPr>
          <w:rFonts w:ascii="Times New Roman" w:hAnsi="Times New Roman" w:cs="Times New Roman"/>
          <w:sz w:val="24"/>
          <w:szCs w:val="24"/>
        </w:rPr>
        <w:t xml:space="preserve">Tan sólo los estímulos que han anunciado las potencias pertenecientes al G-20 suman cerca de 10 billones de dólares, tres veces más que el importe desembolsado para hacer frente a la crisis financiera de 2008 y 2009, mientras que la recaudación podría bajar entre 3 </w:t>
      </w:r>
      <w:r>
        <w:rPr>
          <w:rFonts w:ascii="Times New Roman" w:hAnsi="Times New Roman" w:cs="Times New Roman"/>
          <w:sz w:val="24"/>
          <w:szCs w:val="24"/>
        </w:rPr>
        <w:t xml:space="preserve">y 4 billones al cierre de 2020. </w:t>
      </w:r>
      <w:r w:rsidRPr="00660406">
        <w:rPr>
          <w:rFonts w:ascii="Times New Roman" w:hAnsi="Times New Roman" w:cs="Times New Roman"/>
          <w:sz w:val="24"/>
          <w:szCs w:val="24"/>
        </w:rPr>
        <w:t xml:space="preserve">El mundo cerrará este año con un déficit de entre 9 y 11 billones de dólares, triplicando la cifra registrada en 2019, y, aunque descenderá de forma progresiva en los próximos ejercicios, la diferencia entre ingresos y gasto seguirá siendo sustancial. Y es que, tanto el PIB global como la recaudación podrían tardar dos o tres años en recuperar el nivel previo a la crisis del coronavirus. </w:t>
      </w:r>
    </w:p>
    <w:p w:rsidR="006E5D75" w:rsidRDefault="006E5D75" w:rsidP="006E5D75">
      <w:pPr>
        <w:spacing w:line="240" w:lineRule="auto"/>
        <w:jc w:val="both"/>
        <w:rPr>
          <w:rFonts w:ascii="Times New Roman" w:hAnsi="Times New Roman" w:cs="Times New Roman"/>
          <w:b/>
          <w:sz w:val="24"/>
          <w:szCs w:val="24"/>
        </w:rPr>
      </w:pPr>
      <w:r w:rsidRPr="00660406">
        <w:rPr>
          <w:rFonts w:ascii="Times New Roman" w:hAnsi="Times New Roman" w:cs="Times New Roman"/>
          <w:b/>
          <w:sz w:val="24"/>
          <w:szCs w:val="24"/>
        </w:rPr>
        <w:t xml:space="preserve">Tanguedia II: Lo que más bronca me da, es haber sido tan </w:t>
      </w:r>
      <w:r w:rsidR="00D82C36">
        <w:rPr>
          <w:rFonts w:ascii="Times New Roman" w:hAnsi="Times New Roman" w:cs="Times New Roman"/>
          <w:b/>
          <w:sz w:val="24"/>
          <w:szCs w:val="24"/>
        </w:rPr>
        <w:t>“</w:t>
      </w:r>
      <w:r w:rsidRPr="00660406">
        <w:rPr>
          <w:rFonts w:ascii="Times New Roman" w:hAnsi="Times New Roman" w:cs="Times New Roman"/>
          <w:b/>
          <w:sz w:val="24"/>
          <w:szCs w:val="24"/>
        </w:rPr>
        <w:t>gil</w:t>
      </w:r>
      <w:r w:rsidR="00D82C36">
        <w:rPr>
          <w:rFonts w:ascii="Times New Roman" w:hAnsi="Times New Roman" w:cs="Times New Roman"/>
          <w:b/>
          <w:sz w:val="24"/>
          <w:szCs w:val="24"/>
        </w:rPr>
        <w:t>”</w:t>
      </w:r>
      <w:r w:rsidRPr="00660406">
        <w:rPr>
          <w:rFonts w:ascii="Times New Roman" w:hAnsi="Times New Roman" w:cs="Times New Roman"/>
          <w:b/>
          <w:sz w:val="24"/>
          <w:szCs w:val="24"/>
        </w:rPr>
        <w:t xml:space="preserve"> (idiota) </w:t>
      </w:r>
    </w:p>
    <w:p w:rsidR="006E5D75" w:rsidRDefault="006E5D75" w:rsidP="006E5D75">
      <w:pPr>
        <w:shd w:val="clear" w:color="auto" w:fill="FFFFFF"/>
        <w:spacing w:after="225" w:line="240" w:lineRule="auto"/>
        <w:jc w:val="both"/>
        <w:rPr>
          <w:rFonts w:ascii="Times New Roman" w:hAnsi="Times New Roman" w:cs="Times New Roman"/>
          <w:sz w:val="24"/>
          <w:szCs w:val="24"/>
        </w:rPr>
      </w:pPr>
      <w:r>
        <w:rPr>
          <w:rFonts w:ascii="Times New Roman" w:eastAsia="Times New Roman" w:hAnsi="Times New Roman"/>
          <w:sz w:val="24"/>
          <w:szCs w:val="24"/>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Pr>
          <w:rFonts w:ascii="Times New Roman" w:eastAsia="Times New Roman" w:hAnsi="Times New Roman"/>
          <w:color w:val="FF0000"/>
          <w:sz w:val="24"/>
          <w:szCs w:val="24"/>
        </w:rPr>
        <w:t>“pudo evitarse”</w:t>
      </w:r>
      <w:r>
        <w:rPr>
          <w:rFonts w:ascii="Times New Roman" w:eastAsia="Times New Roman" w:hAnsi="Times New Roman"/>
          <w:sz w:val="24"/>
          <w:szCs w:val="24"/>
        </w:rPr>
        <w:t xml:space="preserve">. Decir lo contrario sería, dice, </w:t>
      </w:r>
      <w:r>
        <w:rPr>
          <w:rFonts w:ascii="Times New Roman" w:eastAsia="Times New Roman" w:hAnsi="Times New Roman"/>
          <w:color w:val="FF0000"/>
          <w:sz w:val="24"/>
          <w:szCs w:val="24"/>
        </w:rPr>
        <w:t>“admitir que se repetirá”.</w:t>
      </w:r>
      <w:r>
        <w:rPr>
          <w:rFonts w:ascii="Times New Roman" w:hAnsi="Times New Roman" w:cs="Times New Roman"/>
          <w:sz w:val="24"/>
          <w:szCs w:val="24"/>
        </w:rPr>
        <w:t xml:space="preserve">Queda pendiente el “forensic” de la crisis sanitaria (2020). A priori, China es el “gran causante”, pero en el fondo está la globalización como el “vector”. Otra vez concluirán, en que </w:t>
      </w:r>
      <w:r w:rsidRPr="007637DA">
        <w:rPr>
          <w:rFonts w:ascii="Times New Roman" w:hAnsi="Times New Roman" w:cs="Times New Roman"/>
          <w:color w:val="FF0000"/>
          <w:sz w:val="24"/>
          <w:szCs w:val="24"/>
        </w:rPr>
        <w:t>“pudo evitarse”</w:t>
      </w:r>
      <w:r>
        <w:rPr>
          <w:rFonts w:ascii="Times New Roman" w:hAnsi="Times New Roman" w:cs="Times New Roman"/>
          <w:sz w:val="24"/>
          <w:szCs w:val="24"/>
        </w:rPr>
        <w:t xml:space="preserve">; y otra vez, </w:t>
      </w:r>
      <w:r w:rsidRPr="007637DA">
        <w:rPr>
          <w:rFonts w:ascii="Times New Roman" w:hAnsi="Times New Roman" w:cs="Times New Roman"/>
          <w:color w:val="FF0000"/>
          <w:sz w:val="24"/>
          <w:szCs w:val="24"/>
        </w:rPr>
        <w:t>“admitirán que se repetirá”</w:t>
      </w:r>
      <w:r>
        <w:rPr>
          <w:rFonts w:ascii="Times New Roman" w:hAnsi="Times New Roman" w:cs="Times New Roman"/>
          <w:sz w:val="24"/>
          <w:szCs w:val="24"/>
        </w:rPr>
        <w:t xml:space="preserve">. </w:t>
      </w:r>
    </w:p>
    <w:p w:rsidR="006E5D75" w:rsidRPr="00D40965" w:rsidRDefault="006E5D75" w:rsidP="006E5D75">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Una combinación de desconfianza, miedo y errores de percepción terminaron afectando gravemente (y está por verse, si no destruyeron) los vínculos en los que se basan, hasta el momento las relaciones económicas internacionales.</w:t>
      </w:r>
    </w:p>
    <w:p w:rsidR="006E5D75" w:rsidRPr="00D40965" w:rsidRDefault="006E5D75" w:rsidP="006E5D75">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La peor pandemia desde el brote de gripe de 1918‑20 se está convirtiendo rápidamente en una crisis sistémica de la globalización, que puede crear el escenario para la confrontación geopolítica más peligrosa desde el final de la Guerra Fría.</w:t>
      </w:r>
    </w:p>
    <w:p w:rsidR="006E5D75" w:rsidRPr="00D40965" w:rsidRDefault="006E5D75" w:rsidP="006E5D75">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 xml:space="preserve">En apenas dos semanas, la pandemia de COVID‑19 paralizó la tercera parte de la economía mundial y provocó la mayor perturbación económica desde la Gran Depresión. El factor más importante que definirá la evolución futura de esta crisis es el liderazgo colectivo. Pero este componente crucial sigue ausente. </w:t>
      </w: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bCs/>
          <w:sz w:val="24"/>
          <w:szCs w:val="24"/>
          <w:bdr w:val="none" w:sz="0" w:space="0" w:color="auto" w:frame="1"/>
        </w:rPr>
        <w:t xml:space="preserve">Según </w:t>
      </w:r>
      <w:r w:rsidRPr="00D40965">
        <w:rPr>
          <w:rFonts w:ascii="Times New Roman" w:hAnsi="Times New Roman" w:cs="Times New Roman"/>
          <w:sz w:val="24"/>
          <w:szCs w:val="24"/>
        </w:rPr>
        <w:t>McKinsey,</w:t>
      </w:r>
      <w:r w:rsidRPr="00D40965">
        <w:rPr>
          <w:rFonts w:ascii="Times New Roman" w:eastAsia="Times New Roman" w:hAnsi="Times New Roman" w:cs="Times New Roman"/>
          <w:bCs/>
          <w:sz w:val="24"/>
          <w:szCs w:val="24"/>
          <w:bdr w:val="none" w:sz="0" w:space="0" w:color="auto" w:frame="1"/>
        </w:rPr>
        <w:t xml:space="preserve"> el mundo cerrará este año con un déficit de entre 9 y 11 billones</w:t>
      </w:r>
      <w:r w:rsidRPr="00D40965">
        <w:rPr>
          <w:rFonts w:ascii="Times New Roman" w:eastAsia="Times New Roman" w:hAnsi="Times New Roman" w:cs="Times New Roman"/>
          <w:sz w:val="24"/>
          <w:szCs w:val="24"/>
        </w:rPr>
        <w:t> de dólares, triplicando la cifra registrada en 2019, y, aunque descenderá de forma progresiva en los próximos ejercicios, la diferencia entre ingresos y gasto seguirá siendo sustancial. Y es que, tanto el PIB global como la recaudación podrían tardar dos o tres años en recuperar el nivel previo a la crisis del coronavirus.</w:t>
      </w: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Semejante déficit hará que la </w:t>
      </w:r>
      <w:r w:rsidRPr="00D40965">
        <w:rPr>
          <w:rFonts w:ascii="Times New Roman" w:eastAsia="Times New Roman" w:hAnsi="Times New Roman" w:cs="Times New Roman"/>
          <w:bCs/>
          <w:sz w:val="24"/>
          <w:szCs w:val="24"/>
          <w:bdr w:val="none" w:sz="0" w:space="0" w:color="auto" w:frame="1"/>
        </w:rPr>
        <w:t>deuda pública de los países ricos crezca hasta una media del 120% del PIB </w:t>
      </w:r>
      <w:r w:rsidRPr="00D40965">
        <w:rPr>
          <w:rFonts w:ascii="Times New Roman" w:eastAsia="Times New Roman" w:hAnsi="Times New Roman" w:cs="Times New Roman"/>
          <w:sz w:val="24"/>
          <w:szCs w:val="24"/>
        </w:rPr>
        <w:t>en 2020, según las estimaciones del Fondo Monetario Internacional (FMI), disparando con ello el riesgo de insolvencia. ¿Cómo apuntalar el equilibrio presupuestario para evitar la quiebra? Éste es uno de los grandes interrogantes que deja esta crisis y una de las cuestiones más importantes que empiezan a plantearse los diferentes gobiernos.</w:t>
      </w: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La consultora norteamericana calcula que para recuperar el equilibrio de las cuentas públicas por el lado del gasto sería necesario aplicar </w:t>
      </w:r>
      <w:r w:rsidRPr="00D40965">
        <w:rPr>
          <w:rFonts w:ascii="Times New Roman" w:eastAsia="Times New Roman" w:hAnsi="Times New Roman" w:cs="Times New Roman"/>
          <w:bCs/>
          <w:sz w:val="24"/>
          <w:szCs w:val="24"/>
          <w:bdr w:val="none" w:sz="0" w:space="0" w:color="auto" w:frame="1"/>
        </w:rPr>
        <w:t>recortes del 25% a los presupuestos</w:t>
      </w:r>
      <w:r w:rsidRPr="00D40965">
        <w:rPr>
          <w:rFonts w:ascii="Times New Roman" w:eastAsia="Times New Roman" w:hAnsi="Times New Roman" w:cs="Times New Roman"/>
          <w:sz w:val="24"/>
          <w:szCs w:val="24"/>
        </w:rPr>
        <w:t>, mientras que, por el lado de los ingresos, supondría </w:t>
      </w:r>
      <w:r w:rsidRPr="00D40965">
        <w:rPr>
          <w:rFonts w:ascii="Times New Roman" w:eastAsia="Times New Roman" w:hAnsi="Times New Roman" w:cs="Times New Roman"/>
          <w:bCs/>
          <w:sz w:val="24"/>
          <w:szCs w:val="24"/>
          <w:bdr w:val="none" w:sz="0" w:space="0" w:color="auto" w:frame="1"/>
        </w:rPr>
        <w:t>elevar la carga fiscal en un 50%.</w:t>
      </w:r>
      <w:r w:rsidRPr="00D40965">
        <w:rPr>
          <w:rFonts w:ascii="Times New Roman" w:eastAsia="Times New Roman" w:hAnsi="Times New Roman" w:cs="Times New Roman"/>
          <w:sz w:val="24"/>
          <w:szCs w:val="24"/>
        </w:rPr>
        <w:t> Lo más probable es que los estados apliquen una combinación de ambas medidas.</w:t>
      </w: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 xml:space="preserve">El reto que queda por delante es épico: gestionar un nivel de deuda récord e impulsar la recuperación económica. </w:t>
      </w:r>
      <w:r>
        <w:rPr>
          <w:rFonts w:ascii="Times New Roman" w:eastAsia="Times New Roman" w:hAnsi="Times New Roman" w:cs="Times New Roman"/>
          <w:sz w:val="24"/>
          <w:szCs w:val="24"/>
        </w:rPr>
        <w:t>El “éxito”</w:t>
      </w:r>
      <w:r w:rsidRPr="00D40965">
        <w:rPr>
          <w:rFonts w:ascii="Times New Roman" w:eastAsia="Times New Roman" w:hAnsi="Times New Roman" w:cs="Times New Roman"/>
          <w:sz w:val="24"/>
          <w:szCs w:val="24"/>
        </w:rPr>
        <w:t xml:space="preserve"> de esta gestión, según McKinsey, dará como resultado un</w:t>
      </w:r>
      <w:r>
        <w:rPr>
          <w:rFonts w:ascii="Times New Roman" w:eastAsia="Times New Roman" w:hAnsi="Times New Roman" w:cs="Times New Roman"/>
          <w:sz w:val="24"/>
          <w:szCs w:val="24"/>
        </w:rPr>
        <w:t xml:space="preserve"> “nuevo contrato social”, pero el “fracaso”</w:t>
      </w:r>
      <w:r w:rsidRPr="00D40965">
        <w:rPr>
          <w:rFonts w:ascii="Times New Roman" w:eastAsia="Times New Roman" w:hAnsi="Times New Roman" w:cs="Times New Roman"/>
          <w:sz w:val="24"/>
          <w:szCs w:val="24"/>
        </w:rPr>
        <w:t xml:space="preserve"> traería como como consecuencia una</w:t>
      </w:r>
      <w:r>
        <w:rPr>
          <w:rFonts w:ascii="Times New Roman" w:eastAsia="Times New Roman" w:hAnsi="Times New Roman" w:cs="Times New Roman"/>
          <w:bCs/>
          <w:sz w:val="24"/>
          <w:szCs w:val="24"/>
          <w:bdr w:val="none" w:sz="0" w:space="0" w:color="auto" w:frame="1"/>
        </w:rPr>
        <w:t> “depresión”</w:t>
      </w:r>
      <w:r w:rsidRPr="00D40965">
        <w:rPr>
          <w:rFonts w:ascii="Times New Roman" w:eastAsia="Times New Roman" w:hAnsi="Times New Roman" w:cs="Times New Roman"/>
          <w:bCs/>
          <w:sz w:val="24"/>
          <w:szCs w:val="24"/>
          <w:bdr w:val="none" w:sz="0" w:space="0" w:color="auto" w:frame="1"/>
        </w:rPr>
        <w:t xml:space="preserve"> no vista desde la década de 1930</w:t>
      </w:r>
      <w:r>
        <w:rPr>
          <w:rFonts w:ascii="Times New Roman" w:eastAsia="Times New Roman" w:hAnsi="Times New Roman" w:cs="Times New Roman"/>
          <w:sz w:val="24"/>
          <w:szCs w:val="24"/>
        </w:rPr>
        <w:t>. “</w:t>
      </w:r>
      <w:r w:rsidRPr="00D40965">
        <w:rPr>
          <w:rFonts w:ascii="Times New Roman" w:eastAsia="Times New Roman" w:hAnsi="Times New Roman" w:cs="Times New Roman"/>
          <w:sz w:val="24"/>
          <w:szCs w:val="24"/>
        </w:rPr>
        <w:t>Hay mucho en juego y la necesidad de un liderazgo audaz y visionario en el sector público y p</w:t>
      </w:r>
      <w:r>
        <w:rPr>
          <w:rFonts w:ascii="Times New Roman" w:eastAsia="Times New Roman" w:hAnsi="Times New Roman" w:cs="Times New Roman"/>
          <w:sz w:val="24"/>
          <w:szCs w:val="24"/>
        </w:rPr>
        <w:t>rivado nunca ha sido tan grande”</w:t>
      </w:r>
      <w:r w:rsidRPr="00D40965">
        <w:rPr>
          <w:rFonts w:ascii="Times New Roman" w:eastAsia="Times New Roman" w:hAnsi="Times New Roman" w:cs="Times New Roman"/>
          <w:sz w:val="24"/>
          <w:szCs w:val="24"/>
        </w:rPr>
        <w:t>, concluye.</w:t>
      </w:r>
    </w:p>
    <w:p w:rsidR="006E5D75" w:rsidRPr="00D40965"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Default="006E5D75" w:rsidP="006E5D75">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 xml:space="preserve">Aunque </w:t>
      </w:r>
      <w:r>
        <w:rPr>
          <w:rFonts w:ascii="Times New Roman" w:hAnsi="Times New Roman" w:cs="Times New Roman"/>
          <w:sz w:val="24"/>
          <w:szCs w:val="24"/>
        </w:rPr>
        <w:t>el mito de la</w:t>
      </w:r>
      <w:r w:rsidRPr="00D40965">
        <w:rPr>
          <w:rFonts w:ascii="Times New Roman" w:hAnsi="Times New Roman" w:cs="Times New Roman"/>
          <w:sz w:val="24"/>
          <w:szCs w:val="24"/>
        </w:rPr>
        <w:t xml:space="preserve"> globalización haya</w:t>
      </w:r>
      <w:r>
        <w:rPr>
          <w:rFonts w:ascii="Times New Roman" w:hAnsi="Times New Roman" w:cs="Times New Roman"/>
          <w:sz w:val="24"/>
          <w:szCs w:val="24"/>
        </w:rPr>
        <w:t xml:space="preserve"> quedado desacreditado</w:t>
      </w:r>
      <w:r w:rsidRPr="00D40965">
        <w:rPr>
          <w:rFonts w:ascii="Times New Roman" w:hAnsi="Times New Roman" w:cs="Times New Roman"/>
          <w:sz w:val="24"/>
          <w:szCs w:val="24"/>
        </w:rPr>
        <w:t>, la enorme magnitud de esta crisis demuestra la incapacidad de la clase dirigente de los países avanzados</w:t>
      </w:r>
      <w:r>
        <w:rPr>
          <w:rFonts w:ascii="Times New Roman" w:hAnsi="Times New Roman" w:cs="Times New Roman"/>
          <w:sz w:val="24"/>
          <w:szCs w:val="24"/>
        </w:rPr>
        <w:t>,</w:t>
      </w:r>
      <w:r w:rsidRPr="00D40965">
        <w:rPr>
          <w:rFonts w:ascii="Times New Roman" w:hAnsi="Times New Roman" w:cs="Times New Roman"/>
          <w:sz w:val="24"/>
          <w:szCs w:val="24"/>
        </w:rPr>
        <w:t xml:space="preserve"> para pensar en términos no lineales, </w:t>
      </w:r>
      <w:r>
        <w:rPr>
          <w:rFonts w:ascii="Times New Roman" w:hAnsi="Times New Roman" w:cs="Times New Roman"/>
          <w:sz w:val="24"/>
          <w:szCs w:val="24"/>
        </w:rPr>
        <w:t>para interpretar ciertas</w:t>
      </w:r>
      <w:r w:rsidRPr="00D40965">
        <w:rPr>
          <w:rFonts w:ascii="Times New Roman" w:hAnsi="Times New Roman" w:cs="Times New Roman"/>
          <w:sz w:val="24"/>
          <w:szCs w:val="24"/>
        </w:rPr>
        <w:t xml:space="preserve"> evidencias</w:t>
      </w:r>
      <w:r>
        <w:rPr>
          <w:rFonts w:ascii="Times New Roman" w:hAnsi="Times New Roman" w:cs="Times New Roman"/>
          <w:sz w:val="24"/>
          <w:szCs w:val="24"/>
        </w:rPr>
        <w:t>,</w:t>
      </w:r>
      <w:r w:rsidRPr="00D40965">
        <w:rPr>
          <w:rFonts w:ascii="Times New Roman" w:hAnsi="Times New Roman" w:cs="Times New Roman"/>
          <w:sz w:val="24"/>
          <w:szCs w:val="24"/>
        </w:rPr>
        <w:t xml:space="preserve"> o para escuchar algunas advertencias.</w:t>
      </w:r>
    </w:p>
    <w:p w:rsidR="006E5D75" w:rsidRDefault="006E5D75" w:rsidP="006E5D75">
      <w:pPr>
        <w:spacing w:line="240" w:lineRule="auto"/>
        <w:jc w:val="both"/>
        <w:rPr>
          <w:rFonts w:ascii="Times New Roman" w:hAnsi="Times New Roman" w:cs="Times New Roman"/>
          <w:sz w:val="24"/>
          <w:szCs w:val="24"/>
        </w:rPr>
      </w:pPr>
      <w:r w:rsidRPr="009C185E">
        <w:rPr>
          <w:rFonts w:ascii="Times New Roman" w:hAnsi="Times New Roman" w:cs="Times New Roman"/>
          <w:b/>
          <w:sz w:val="24"/>
          <w:szCs w:val="24"/>
        </w:rPr>
        <w:t>Ante la urgente necesidad de ofrecer un “camino hacia la promesa”, para los ciudadanos norteamericanos y europeos, y un modelo de desarrollo</w:t>
      </w:r>
      <w:r>
        <w:rPr>
          <w:rFonts w:ascii="Times New Roman" w:hAnsi="Times New Roman" w:cs="Times New Roman"/>
          <w:b/>
          <w:sz w:val="24"/>
          <w:szCs w:val="24"/>
        </w:rPr>
        <w:t xml:space="preserve"> equilibrado y sostenible,</w:t>
      </w:r>
      <w:r w:rsidRPr="009C185E">
        <w:rPr>
          <w:rFonts w:ascii="Times New Roman" w:hAnsi="Times New Roman" w:cs="Times New Roman"/>
          <w:b/>
          <w:sz w:val="24"/>
          <w:szCs w:val="24"/>
        </w:rPr>
        <w:t xml:space="preserve"> para el </w:t>
      </w:r>
      <w:r>
        <w:rPr>
          <w:rFonts w:ascii="Times New Roman" w:hAnsi="Times New Roman" w:cs="Times New Roman"/>
          <w:b/>
          <w:sz w:val="24"/>
          <w:szCs w:val="24"/>
        </w:rPr>
        <w:t>mundo, l</w:t>
      </w:r>
      <w:r w:rsidRPr="0058493C">
        <w:rPr>
          <w:rFonts w:ascii="Times New Roman" w:hAnsi="Times New Roman" w:cs="Times New Roman"/>
          <w:b/>
          <w:sz w:val="24"/>
          <w:szCs w:val="24"/>
        </w:rPr>
        <w:t xml:space="preserve">es dejo una pregunta, para terminar: </w:t>
      </w:r>
      <w:r>
        <w:rPr>
          <w:rFonts w:ascii="Times New Roman" w:hAnsi="Times New Roman" w:cs="Times New Roman"/>
          <w:b/>
          <w:sz w:val="24"/>
          <w:szCs w:val="24"/>
        </w:rPr>
        <w:t>¿c</w:t>
      </w:r>
      <w:r w:rsidRPr="0058493C">
        <w:rPr>
          <w:rFonts w:ascii="Times New Roman" w:hAnsi="Times New Roman" w:cs="Times New Roman"/>
          <w:b/>
          <w:sz w:val="24"/>
          <w:szCs w:val="24"/>
        </w:rPr>
        <w:t>reen ustedes que los que nos trajeron hasta aquí, tienen acreditado</w:t>
      </w:r>
      <w:r>
        <w:rPr>
          <w:rFonts w:ascii="Times New Roman" w:hAnsi="Times New Roman" w:cs="Times New Roman"/>
          <w:b/>
          <w:sz w:val="24"/>
          <w:szCs w:val="24"/>
        </w:rPr>
        <w:t xml:space="preserve"> derecho, para</w:t>
      </w:r>
      <w:r w:rsidRPr="0058493C">
        <w:rPr>
          <w:rFonts w:ascii="Times New Roman" w:hAnsi="Times New Roman" w:cs="Times New Roman"/>
          <w:b/>
          <w:sz w:val="24"/>
          <w:szCs w:val="24"/>
        </w:rPr>
        <w:t xml:space="preserve"> seguir “poniendo la mano en la rueda de la historia”</w:t>
      </w:r>
      <w:r>
        <w:rPr>
          <w:rFonts w:ascii="Times New Roman" w:hAnsi="Times New Roman" w:cs="Times New Roman"/>
          <w:b/>
          <w:sz w:val="24"/>
          <w:szCs w:val="24"/>
        </w:rPr>
        <w:t>?</w:t>
      </w:r>
      <w:r w:rsidRPr="0058493C">
        <w:rPr>
          <w:rFonts w:ascii="Times New Roman" w:hAnsi="Times New Roman" w:cs="Times New Roman"/>
          <w:b/>
          <w:sz w:val="24"/>
          <w:szCs w:val="24"/>
        </w:rPr>
        <w:t xml:space="preserve"> (Max Weber). </w:t>
      </w:r>
      <w:r>
        <w:rPr>
          <w:rFonts w:ascii="Times New Roman" w:hAnsi="Times New Roman" w:cs="Times New Roman"/>
          <w:b/>
          <w:sz w:val="24"/>
          <w:szCs w:val="24"/>
        </w:rPr>
        <w:t>C</w:t>
      </w:r>
      <w:r w:rsidRPr="00CC265C">
        <w:rPr>
          <w:rFonts w:ascii="Times New Roman" w:hAnsi="Times New Roman" w:cs="Times New Roman"/>
          <w:b/>
          <w:sz w:val="24"/>
          <w:szCs w:val="24"/>
        </w:rPr>
        <w:t>uesta ver de qué manera</w:t>
      </w:r>
      <w:r>
        <w:rPr>
          <w:rFonts w:ascii="Times New Roman" w:hAnsi="Times New Roman" w:cs="Times New Roman"/>
          <w:b/>
          <w:sz w:val="24"/>
          <w:szCs w:val="24"/>
        </w:rPr>
        <w:t xml:space="preserve"> se</w:t>
      </w:r>
      <w:r w:rsidRPr="00CC265C">
        <w:rPr>
          <w:rFonts w:ascii="Times New Roman" w:hAnsi="Times New Roman" w:cs="Times New Roman"/>
          <w:b/>
          <w:sz w:val="24"/>
          <w:szCs w:val="24"/>
        </w:rPr>
        <w:t xml:space="preserve"> podrá</w:t>
      </w:r>
      <w:r>
        <w:rPr>
          <w:rFonts w:ascii="Times New Roman" w:hAnsi="Times New Roman" w:cs="Times New Roman"/>
          <w:b/>
          <w:sz w:val="24"/>
          <w:szCs w:val="24"/>
        </w:rPr>
        <w:t xml:space="preserve"> revertir la “fatiga de promesas”</w:t>
      </w:r>
      <w:r w:rsidRPr="00CC265C">
        <w:rPr>
          <w:rFonts w:ascii="Times New Roman" w:hAnsi="Times New Roman" w:cs="Times New Roman"/>
          <w:b/>
          <w:sz w:val="24"/>
          <w:szCs w:val="24"/>
        </w:rPr>
        <w:t xml:space="preserve"> que ya se</w:t>
      </w:r>
      <w:r>
        <w:rPr>
          <w:rFonts w:ascii="Times New Roman" w:hAnsi="Times New Roman" w:cs="Times New Roman"/>
          <w:b/>
          <w:sz w:val="24"/>
          <w:szCs w:val="24"/>
        </w:rPr>
        <w:t xml:space="preserve"> ha instalado en gran parte de la población de los países avanzados (ahora, en vías de subdesarrollo). </w:t>
      </w:r>
    </w:p>
    <w:p w:rsidR="006E5D75" w:rsidRPr="00A23520" w:rsidRDefault="006E5D75" w:rsidP="006E5D75">
      <w:pPr>
        <w:spacing w:line="240" w:lineRule="auto"/>
        <w:jc w:val="both"/>
        <w:rPr>
          <w:rFonts w:ascii="Times New Roman" w:hAnsi="Times New Roman" w:cs="Times New Roman"/>
          <w:sz w:val="24"/>
          <w:szCs w:val="24"/>
        </w:rPr>
      </w:pPr>
      <w:r w:rsidRPr="00005D29">
        <w:rPr>
          <w:rFonts w:ascii="Times New Roman" w:hAnsi="Times New Roman" w:cs="Times New Roman"/>
          <w:b/>
          <w:sz w:val="24"/>
          <w:szCs w:val="24"/>
        </w:rPr>
        <w:t>- Del “big data”, al “big bang” (más allá del balance de sumas y saldos</w:t>
      </w:r>
      <w:r>
        <w:rPr>
          <w:rFonts w:ascii="Times New Roman" w:hAnsi="Times New Roman" w:cs="Times New Roman"/>
          <w:b/>
          <w:sz w:val="24"/>
          <w:szCs w:val="24"/>
        </w:rPr>
        <w:t>)</w:t>
      </w:r>
    </w:p>
    <w:p w:rsidR="006E5D75" w:rsidRDefault="006E5D75" w:rsidP="006E5D75">
      <w:pPr>
        <w:spacing w:line="240" w:lineRule="auto"/>
        <w:jc w:val="both"/>
        <w:rPr>
          <w:rFonts w:ascii="Times New Roman" w:hAnsi="Times New Roman" w:cs="Times New Roman"/>
          <w:b/>
          <w:sz w:val="24"/>
          <w:szCs w:val="24"/>
        </w:rPr>
      </w:pPr>
      <w:r w:rsidRPr="00DC2E5D">
        <w:rPr>
          <w:rFonts w:ascii="Times New Roman" w:hAnsi="Times New Roman" w:cs="Times New Roman"/>
          <w:b/>
          <w:sz w:val="24"/>
          <w:szCs w:val="24"/>
        </w:rPr>
        <w:t>Una “sociedad del malestar”</w:t>
      </w:r>
      <w:r>
        <w:rPr>
          <w:rFonts w:ascii="Times New Roman" w:hAnsi="Times New Roman" w:cs="Times New Roman"/>
          <w:b/>
          <w:sz w:val="24"/>
          <w:szCs w:val="24"/>
        </w:rPr>
        <w:t>: solo puede mantenerse por la fuerza (¿modelo chino?)</w:t>
      </w:r>
    </w:p>
    <w:p w:rsidR="006E5D75" w:rsidRPr="00C73630" w:rsidRDefault="006E5D75" w:rsidP="006E5D75">
      <w:pPr>
        <w:spacing w:line="240" w:lineRule="auto"/>
        <w:jc w:val="both"/>
        <w:rPr>
          <w:rFonts w:ascii="Times New Roman" w:hAnsi="Times New Roman" w:cs="Times New Roman"/>
          <w:color w:val="FF0000"/>
          <w:sz w:val="24"/>
          <w:szCs w:val="24"/>
        </w:rPr>
      </w:pPr>
      <w:r w:rsidRPr="00C73630">
        <w:rPr>
          <w:rFonts w:ascii="Times New Roman" w:hAnsi="Times New Roman" w:cs="Times New Roman"/>
          <w:color w:val="FF0000"/>
          <w:sz w:val="24"/>
          <w:szCs w:val="24"/>
        </w:rPr>
        <w:t>(Algunas fotos valen más que mil palabras)</w:t>
      </w:r>
    </w:p>
    <w:p w:rsidR="006E5D75" w:rsidRDefault="006E5D75" w:rsidP="006E5D75">
      <w:pPr>
        <w:pStyle w:val="NormalWeb"/>
        <w:spacing w:after="420"/>
        <w:jc w:val="both"/>
        <w:textAlignment w:val="baseline"/>
        <w:rPr>
          <w:b/>
        </w:rPr>
      </w:pPr>
      <w:r>
        <w:rPr>
          <w:b/>
        </w:rPr>
        <w:t xml:space="preserve">Unión Europea: del estado del bienestar al estado del malestar </w:t>
      </w:r>
    </w:p>
    <w:p w:rsidR="006E5D75" w:rsidRPr="00DC2E5D" w:rsidRDefault="006E5D75" w:rsidP="006E5D75">
      <w:pPr>
        <w:pStyle w:val="NormalWeb"/>
        <w:spacing w:after="420"/>
        <w:jc w:val="both"/>
        <w:textAlignment w:val="baseline"/>
        <w:rPr>
          <w:b/>
        </w:rPr>
      </w:pPr>
      <w:r w:rsidRPr="00DC2E5D">
        <w:rPr>
          <w:b/>
        </w:rPr>
        <w:t>Sentados, esperando la “normalidad”…“Il-y-a toujour la manière” (siempre existe el camino) Talleyrand</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227614"/>
            <wp:effectExtent l="0" t="0" r="2540" b="0"/>
            <wp:docPr id="261" name="Imagen 261" descr="Los chalecos amarillos de la Francia invisible, en la calle contr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s chalecos amarillos de la Francia invisible, en la calle contra ..."/>
                    <pic:cNvPicPr>
                      <a:picLocks noChangeAspect="1" noChangeArrowheads="1"/>
                    </pic:cNvPicPr>
                  </pic:nvPicPr>
                  <pic:blipFill>
                    <a:blip r:embed="rId3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7614"/>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Los “chalecos amarillos” incendian París - </w:t>
      </w:r>
      <w:r w:rsidRPr="00B129B8">
        <w:rPr>
          <w:rFonts w:ascii="Times New Roman" w:hAnsi="Times New Roman" w:cs="Times New Roman"/>
          <w:b/>
          <w:sz w:val="24"/>
          <w:szCs w:val="24"/>
        </w:rPr>
        <w:t>Marzo 2019</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216759"/>
            <wp:effectExtent l="0" t="0" r="2540" b="3175"/>
            <wp:docPr id="262" name="Imagen 262" descr="Chalecos amarillos” preparan undécima protesta, en medio 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alecos amarillos” preparan undécima protesta, en medio de ..."/>
                    <pic:cNvPicPr>
                      <a:picLocks noChangeAspect="1" noChangeArrowheads="1"/>
                    </pic:cNvPicPr>
                  </pic:nvPicPr>
                  <pic:blipFill>
                    <a:blip r:embed="rId3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6759"/>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28447" cy="2729753"/>
            <wp:effectExtent l="0" t="0" r="5715" b="0"/>
            <wp:docPr id="263" name="Imagen 263" descr="Los 'chalecos amarillos' incendian París con sus protest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s 'chalecos amarillos' incendian París con sus protestas ..."/>
                    <pic:cNvPicPr>
                      <a:picLocks noChangeAspect="1" noChangeArrowheads="1"/>
                    </pic:cNvPicPr>
                  </pic:nvPicPr>
                  <pic:blipFill>
                    <a:blip r:embed="rId3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31213"/>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28447" cy="2649071"/>
            <wp:effectExtent l="0" t="0" r="5715" b="0"/>
            <wp:docPr id="264" name="Imagen 264" descr="Chalecos amarillos: Violencia y saqueos en París | RT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lecos amarillos: Violencia y saqueos en París | RTVE"/>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50487"/>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3036" cy="3180229"/>
            <wp:effectExtent l="0" t="0" r="1270" b="1270"/>
            <wp:docPr id="279" name="Imagen 279" descr="Francia detiene a un millar de &quot;chalecos amarillos&quot; por s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rancia detiene a un millar de &quot;chalecos amarillos&quot; por su ..."/>
                    <pic:cNvPicPr>
                      <a:picLocks noChangeAspect="1" noChangeArrowheads="1"/>
                    </pic:cNvPicPr>
                  </pic:nvPicPr>
                  <pic:blipFill>
                    <a:blip r:embed="rId3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79383"/>
                    </a:xfrm>
                    <a:prstGeom prst="rect">
                      <a:avLst/>
                    </a:prstGeom>
                    <a:noFill/>
                    <a:ln>
                      <a:noFill/>
                    </a:ln>
                  </pic:spPr>
                </pic:pic>
              </a:graphicData>
            </a:graphic>
          </wp:inline>
        </w:drawing>
      </w:r>
    </w:p>
    <w:p w:rsidR="006E5D75" w:rsidRPr="00D111F3" w:rsidRDefault="00117A2B" w:rsidP="006E5D75">
      <w:pPr>
        <w:pStyle w:val="NormalWeb"/>
        <w:spacing w:after="420"/>
        <w:jc w:val="both"/>
        <w:textAlignment w:val="baseline"/>
        <w:rPr>
          <w:b/>
        </w:rPr>
      </w:pPr>
      <w:r>
        <w:rPr>
          <w:b/>
        </w:rPr>
        <w:t>EEUU: d</w:t>
      </w:r>
      <w:r w:rsidR="006E5D75" w:rsidRPr="00D111F3">
        <w:rPr>
          <w:b/>
        </w:rPr>
        <w:t>el sueño americano a la pesadilla americana</w:t>
      </w:r>
    </w:p>
    <w:p w:rsidR="006E5D75" w:rsidRPr="00556EA7" w:rsidRDefault="006E5D75" w:rsidP="006E5D75">
      <w:pPr>
        <w:pStyle w:val="NormalWeb"/>
        <w:spacing w:after="420"/>
        <w:jc w:val="both"/>
        <w:textAlignment w:val="baseline"/>
      </w:pPr>
      <w:r>
        <w:rPr>
          <w:noProof/>
          <w:lang w:val="en-GB" w:eastAsia="zh-CN"/>
        </w:rPr>
        <w:drawing>
          <wp:inline distT="0" distB="0" distL="0" distR="0">
            <wp:extent cx="5735171" cy="2729753"/>
            <wp:effectExtent l="0" t="0" r="0" b="0"/>
            <wp:docPr id="290" name="Imagen 290" descr="Los j&amp;#243;venes piden ayuda a Estados Unidos para no caer bajo el yugo del Partido Comunista Ch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s j&amp;#243;venes piden ayuda a Estados Unidos para no caer bajo el yugo del Partido Comunista Chino."/>
                    <pic:cNvPicPr>
                      <a:picLocks noChangeAspect="1" noChangeArrowheads="1"/>
                    </pic:cNvPicPr>
                  </pic:nvPicPr>
                  <pic:blipFill>
                    <a:blip r:embed="rId3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28010"/>
                    </a:xfrm>
                    <a:prstGeom prst="rect">
                      <a:avLst/>
                    </a:prstGeom>
                    <a:noFill/>
                    <a:ln>
                      <a:noFill/>
                    </a:ln>
                  </pic:spPr>
                </pic:pic>
              </a:graphicData>
            </a:graphic>
          </wp:inline>
        </w:drawing>
      </w:r>
      <w:r w:rsidRPr="006F0BFC">
        <w:t xml:space="preserve">¿Esperando a Trump… o esperando a </w:t>
      </w:r>
      <w:r>
        <w:t>Godot? ¿Por qué no miran a la CNN?</w:t>
      </w:r>
    </w:p>
    <w:p w:rsidR="006E5D75" w:rsidRDefault="006E5D75" w:rsidP="006E5D75">
      <w:pPr>
        <w:pStyle w:val="NormalWeb"/>
        <w:spacing w:after="420"/>
        <w:jc w:val="both"/>
        <w:textAlignment w:val="baseline"/>
      </w:pPr>
      <w:r>
        <w:t>Crecen las revueltas capitalistas de Hong Kong ante el aumento de la represión comunista china. Los jóvenes piden ayuda a Estados Unidos para no caer bajo el yugo del Partido Comunista Chino. (</w:t>
      </w:r>
      <w:r w:rsidRPr="00313DDF">
        <w:rPr>
          <w:b/>
        </w:rPr>
        <w:t>3/6/20</w:t>
      </w:r>
      <w:r>
        <w:t>)</w:t>
      </w:r>
    </w:p>
    <w:p w:rsidR="006E5D75" w:rsidRPr="00313DDF" w:rsidRDefault="006E5D75" w:rsidP="006E5D75">
      <w:pPr>
        <w:spacing w:line="240" w:lineRule="auto"/>
        <w:jc w:val="both"/>
        <w:rPr>
          <w:rFonts w:ascii="Times New Roman" w:hAnsi="Times New Roman" w:cs="Times New Roman"/>
          <w:color w:val="FF0000"/>
          <w:sz w:val="24"/>
          <w:szCs w:val="24"/>
          <w:lang w:val="en-US"/>
        </w:rPr>
      </w:pPr>
      <w:r>
        <w:rPr>
          <w:rFonts w:ascii="Times New Roman" w:hAnsi="Times New Roman" w:cs="Times New Roman"/>
          <w:sz w:val="24"/>
          <w:szCs w:val="24"/>
        </w:rPr>
        <w:t>“</w:t>
      </w:r>
      <w:r w:rsidRPr="00B074FC">
        <w:rPr>
          <w:rFonts w:ascii="Times New Roman" w:hAnsi="Times New Roman" w:cs="Times New Roman"/>
          <w:sz w:val="24"/>
          <w:szCs w:val="24"/>
        </w:rPr>
        <w:t>Estados Unidos está enfrentando varios difíciles desafíos al mismo tiempo. Está la pandemia de COVID‑19, qu</w:t>
      </w:r>
      <w:r>
        <w:rPr>
          <w:rFonts w:ascii="Times New Roman" w:hAnsi="Times New Roman" w:cs="Times New Roman"/>
          <w:sz w:val="24"/>
          <w:szCs w:val="24"/>
        </w:rPr>
        <w:t>e tras cobrarse casi 120.</w:t>
      </w:r>
      <w:r w:rsidRPr="00B074FC">
        <w:rPr>
          <w:rFonts w:ascii="Times New Roman" w:hAnsi="Times New Roman" w:cs="Times New Roman"/>
          <w:sz w:val="24"/>
          <w:szCs w:val="24"/>
        </w:rPr>
        <w:t>000 vidas muestra pocos signos de retroceder en grandes áreas del país. El impacto económico ha sido devastador; en este momento hay unos 40 millones de personas sin empleo, y la Reserva Federal prevé que muchas seguirán en esa condición por mucho tiempo</w:t>
      </w:r>
      <w:r>
        <w:rPr>
          <w:rFonts w:ascii="Times New Roman" w:hAnsi="Times New Roman" w:cs="Times New Roman"/>
          <w:sz w:val="24"/>
          <w:szCs w:val="24"/>
        </w:rPr>
        <w:t>”…</w:t>
      </w:r>
      <w:r w:rsidRPr="00313DDF">
        <w:rPr>
          <w:rFonts w:ascii="Times New Roman" w:hAnsi="Times New Roman" w:cs="Times New Roman"/>
          <w:sz w:val="24"/>
          <w:szCs w:val="24"/>
          <w:lang w:val="en-US"/>
        </w:rPr>
        <w:t xml:space="preserve">(Project Syndicate - Richard N. Haass, President of the Council on Foreign Relations, previously served as Director of Policy Planning for the US State Department (2001-2003) - </w:t>
      </w:r>
      <w:r w:rsidRPr="00313DDF">
        <w:rPr>
          <w:rFonts w:ascii="Times New Roman" w:hAnsi="Times New Roman" w:cs="Times New Roman"/>
          <w:b/>
          <w:sz w:val="24"/>
          <w:szCs w:val="24"/>
          <w:lang w:val="en-US"/>
        </w:rPr>
        <w:t>15/6/20</w:t>
      </w:r>
      <w:r w:rsidRPr="00313DDF">
        <w:rPr>
          <w:rFonts w:ascii="Times New Roman" w:hAnsi="Times New Roman" w:cs="Times New Roman"/>
          <w:sz w:val="24"/>
          <w:szCs w:val="24"/>
          <w:lang w:val="en-US"/>
        </w:rPr>
        <w:t>)</w:t>
      </w:r>
    </w:p>
    <w:p w:rsidR="006E5D75" w:rsidRPr="00DC2E5D"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Black Floyd - The Wall</w:t>
      </w:r>
    </w:p>
    <w:p w:rsidR="006E5D75" w:rsidRPr="00DC2E5D" w:rsidRDefault="006E5D75" w:rsidP="006E5D75">
      <w:pPr>
        <w:pStyle w:val="NormalWeb"/>
        <w:spacing w:after="420"/>
        <w:jc w:val="both"/>
        <w:textAlignment w:val="baseline"/>
      </w:pPr>
      <w:r>
        <w:rPr>
          <w:noProof/>
          <w:lang w:val="en-GB" w:eastAsia="zh-CN"/>
        </w:rPr>
        <w:drawing>
          <wp:inline distT="0" distB="0" distL="0" distR="0">
            <wp:extent cx="5735171" cy="2817159"/>
            <wp:effectExtent l="0" t="0" r="0" b="2540"/>
            <wp:docPr id="291" name="Imagen 291" descr="Protesters Defy Curfews, Trump Visits Church, Floyd Death Ruled Homic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testers Defy Curfews, Trump Visits Church, Floyd Death Ruled Homicide"/>
                    <pic:cNvPicPr>
                      <a:picLocks noChangeAspect="1" noChangeArrowheads="1"/>
                    </pic:cNvPicPr>
                  </pic:nvPicPr>
                  <pic:blipFill>
                    <a:blip r:embed="rId3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15361"/>
                    </a:xfrm>
                    <a:prstGeom prst="rect">
                      <a:avLst/>
                    </a:prstGeom>
                    <a:noFill/>
                    <a:ln>
                      <a:noFill/>
                    </a:ln>
                  </pic:spPr>
                </pic:pic>
              </a:graphicData>
            </a:graphic>
          </wp:inline>
        </w:drawing>
      </w:r>
      <w:r>
        <w:t>¿Será esto lo que queda del “sueño americano”?</w:t>
      </w:r>
    </w:p>
    <w:p w:rsidR="006E5D75" w:rsidRPr="0079527B" w:rsidRDefault="006E5D75" w:rsidP="006E5D75">
      <w:pPr>
        <w:pStyle w:val="NormalWeb"/>
        <w:spacing w:before="0" w:beforeAutospacing="0" w:after="420" w:afterAutospacing="0"/>
        <w:jc w:val="both"/>
        <w:textAlignment w:val="baseline"/>
      </w:pPr>
      <w:r>
        <w:rPr>
          <w:noProof/>
          <w:lang w:val="en-GB" w:eastAsia="zh-CN"/>
        </w:rPr>
        <w:drawing>
          <wp:inline distT="0" distB="0" distL="0" distR="0">
            <wp:extent cx="5724936" cy="3166782"/>
            <wp:effectExtent l="0" t="0" r="9525" b="0"/>
            <wp:docPr id="292" name="Imagen 292" descr="Un oficial de la Guardia Nacional frente a un edificio incendiado en Minnea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oficial de la Guardia Nacional frente a un edificio incendiado en Minneapolis."/>
                    <pic:cNvPicPr>
                      <a:picLocks noChangeAspect="1" noChangeArrowheads="1"/>
                    </pic:cNvPicPr>
                  </pic:nvPicPr>
                  <pic:blipFill>
                    <a:blip r:embed="rId3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70419"/>
                    </a:xfrm>
                    <a:prstGeom prst="rect">
                      <a:avLst/>
                    </a:prstGeom>
                    <a:noFill/>
                    <a:ln>
                      <a:noFill/>
                    </a:ln>
                  </pic:spPr>
                </pic:pic>
              </a:graphicData>
            </a:graphic>
          </wp:inline>
        </w:drawing>
      </w:r>
      <w:r w:rsidRPr="0079527B">
        <w:t>¿Siria? No, USA</w:t>
      </w:r>
    </w:p>
    <w:p w:rsidR="006E5D75" w:rsidRPr="006F0BFC" w:rsidRDefault="006E5D75" w:rsidP="006E5D75">
      <w:pPr>
        <w:pStyle w:val="NormalWeb"/>
        <w:spacing w:before="0" w:beforeAutospacing="0" w:after="420" w:afterAutospacing="0"/>
        <w:jc w:val="both"/>
        <w:textAlignment w:val="baseline"/>
      </w:pPr>
      <w:r>
        <w:rPr>
          <w:noProof/>
          <w:lang w:val="en-GB" w:eastAsia="zh-CN"/>
        </w:rPr>
        <w:drawing>
          <wp:inline distT="0" distB="0" distL="0" distR="0">
            <wp:extent cx="5735100" cy="3328147"/>
            <wp:effectExtent l="0" t="0" r="0" b="5715"/>
            <wp:docPr id="293" name="Imagen 293" descr="Manifestantes se reúnen para ver arder una licorer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nifestantes se reúnen para ver arder una licorería"/>
                    <pic:cNvPicPr>
                      <a:picLocks noChangeAspect="1" noChangeArrowheads="1"/>
                    </pic:cNvPicPr>
                  </pic:nvPicPr>
                  <pic:blipFill>
                    <a:blip r:embed="rId3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326064"/>
                    </a:xfrm>
                    <a:prstGeom prst="rect">
                      <a:avLst/>
                    </a:prstGeom>
                    <a:noFill/>
                    <a:ln>
                      <a:noFill/>
                    </a:ln>
                  </pic:spPr>
                </pic:pic>
              </a:graphicData>
            </a:graphic>
          </wp:inline>
        </w:drawing>
      </w:r>
      <w:r>
        <w:t xml:space="preserve">¿Chalecos amarillos - París? No, </w:t>
      </w:r>
      <w:r w:rsidRPr="0079527B">
        <w:t>disturbios y las protestas en Minneapolis</w:t>
      </w:r>
      <w:r>
        <w:t xml:space="preserve"> - USA por la muerte de un</w:t>
      </w:r>
      <w:r w:rsidRPr="0079527B">
        <w:t xml:space="preserve"> afroestadounidense en custodia policial     </w:t>
      </w:r>
    </w:p>
    <w:p w:rsidR="006E5D75" w:rsidRPr="002F3DA5" w:rsidRDefault="006E5D75" w:rsidP="006E5D75">
      <w:pPr>
        <w:pStyle w:val="NormalWeb"/>
        <w:spacing w:before="0" w:beforeAutospacing="0" w:after="420" w:afterAutospacing="0"/>
        <w:jc w:val="both"/>
        <w:textAlignment w:val="baseline"/>
      </w:pPr>
    </w:p>
    <w:p w:rsidR="006E5D75" w:rsidRDefault="006E5D75" w:rsidP="006E5D75">
      <w:pPr>
        <w:pStyle w:val="NormalWeb"/>
        <w:shd w:val="clear" w:color="auto" w:fill="FFFFFF"/>
        <w:spacing w:before="0" w:beforeAutospacing="0" w:after="0" w:afterAutospacing="0"/>
        <w:jc w:val="both"/>
        <w:rPr>
          <w:rFonts w:ascii="Calibri" w:hAnsi="Calibri" w:cs="Calibri"/>
          <w:color w:val="1D2228"/>
          <w:sz w:val="29"/>
          <w:szCs w:val="29"/>
          <w:shd w:val="clear" w:color="auto" w:fill="FFFFFF"/>
          <w:lang w:val="en-US"/>
        </w:rPr>
      </w:pPr>
      <w:r>
        <w:rPr>
          <w:noProof/>
          <w:lang w:val="en-GB" w:eastAsia="zh-CN"/>
        </w:rPr>
        <w:drawing>
          <wp:inline distT="0" distB="0" distL="0" distR="0">
            <wp:extent cx="5735170" cy="3482788"/>
            <wp:effectExtent l="0" t="0" r="0" b="3810"/>
            <wp:docPr id="294" name="Imagen 294" descr="Un hombre pasa junto a una licorería en lla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 hombre pasa junto a una licorería en llamas"/>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80565"/>
                    </a:xfrm>
                    <a:prstGeom prst="rect">
                      <a:avLst/>
                    </a:prstGeom>
                    <a:noFill/>
                    <a:ln>
                      <a:noFill/>
                    </a:ln>
                  </pic:spPr>
                </pic:pic>
              </a:graphicData>
            </a:graphic>
          </wp:inline>
        </w:drawing>
      </w:r>
    </w:p>
    <w:p w:rsidR="006E5D75" w:rsidRPr="00DC2E5D" w:rsidRDefault="006E5D75" w:rsidP="006E5D75">
      <w:pPr>
        <w:shd w:val="clear" w:color="auto" w:fill="FFFFFF"/>
        <w:spacing w:after="600" w:line="240" w:lineRule="auto"/>
        <w:jc w:val="both"/>
        <w:rPr>
          <w:rFonts w:ascii="Times New Roman" w:eastAsia="Times New Roman" w:hAnsi="Times New Roman" w:cs="Times New Roman"/>
          <w:color w:val="1D2228"/>
          <w:sz w:val="24"/>
          <w:szCs w:val="24"/>
        </w:rPr>
      </w:pPr>
      <w:r w:rsidRPr="00DC2E5D">
        <w:rPr>
          <w:rFonts w:ascii="Times New Roman" w:eastAsia="Times New Roman" w:hAnsi="Times New Roman" w:cs="Times New Roman"/>
          <w:color w:val="1D2228"/>
          <w:sz w:val="24"/>
          <w:szCs w:val="24"/>
        </w:rPr>
        <w:t>¿Hong Kong? No, USA</w:t>
      </w:r>
    </w:p>
    <w:p w:rsidR="006E5D75" w:rsidRPr="00775B06" w:rsidRDefault="006E5D75" w:rsidP="006E5D75">
      <w:pPr>
        <w:pStyle w:val="NormalWeb"/>
        <w:shd w:val="clear" w:color="auto" w:fill="FFFFFF"/>
        <w:spacing w:before="0" w:beforeAutospacing="0" w:after="0" w:afterAutospacing="0"/>
        <w:jc w:val="both"/>
        <w:rPr>
          <w:rFonts w:ascii="Calibri" w:hAnsi="Calibri" w:cs="Calibri"/>
          <w:color w:val="1D2228"/>
          <w:sz w:val="29"/>
          <w:szCs w:val="29"/>
          <w:shd w:val="clear" w:color="auto" w:fill="FFFFFF"/>
          <w:lang w:val="en-US"/>
        </w:rPr>
      </w:pPr>
      <w:r>
        <w:rPr>
          <w:noProof/>
          <w:lang w:val="en-GB" w:eastAsia="zh-CN"/>
        </w:rPr>
        <w:drawing>
          <wp:inline distT="0" distB="0" distL="0" distR="0">
            <wp:extent cx="5721724" cy="3072653"/>
            <wp:effectExtent l="0" t="0" r="0" b="0"/>
            <wp:docPr id="295" name="Imagen 295" descr="La policía seguía este viernes custodiando las calles en Minnea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policía seguía este viernes custodiando las calles en Minneapolis."/>
                    <pic:cNvPicPr>
                      <a:picLocks noChangeAspect="1" noChangeArrowheads="1"/>
                    </pic:cNvPicPr>
                  </pic:nvPicPr>
                  <pic:blipFill>
                    <a:blip r:embed="rId3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77908"/>
                    </a:xfrm>
                    <a:prstGeom prst="rect">
                      <a:avLst/>
                    </a:prstGeom>
                    <a:noFill/>
                    <a:ln>
                      <a:noFill/>
                    </a:ln>
                  </pic:spPr>
                </pic:pic>
              </a:graphicData>
            </a:graphic>
          </wp:inline>
        </w:drawing>
      </w:r>
    </w:p>
    <w:p w:rsidR="006E5D75" w:rsidRPr="002F3DA5" w:rsidRDefault="006E5D75" w:rsidP="006E5D75">
      <w:pPr>
        <w:pStyle w:val="NormalWeb"/>
        <w:spacing w:before="0" w:beforeAutospacing="0" w:after="420" w:afterAutospacing="0"/>
        <w:jc w:val="both"/>
        <w:textAlignment w:val="baseline"/>
      </w:pPr>
      <w:r w:rsidRPr="002F3DA5">
        <w:t>¿E</w:t>
      </w:r>
      <w:r>
        <w:t>stado de alarma, toque de queda o… solo queda, la guerra civil</w:t>
      </w:r>
      <w:r w:rsidRPr="002F3DA5">
        <w:t>?</w:t>
      </w:r>
    </w:p>
    <w:p w:rsidR="006E5D75" w:rsidRPr="00DC2E5D" w:rsidRDefault="006E5D75" w:rsidP="006E5D75">
      <w:pPr>
        <w:pStyle w:val="NormalWeb"/>
        <w:shd w:val="clear" w:color="auto" w:fill="FFFFFF"/>
        <w:spacing w:before="0" w:beforeAutospacing="0" w:after="0" w:afterAutospacing="0"/>
        <w:rPr>
          <w:rFonts w:ascii="Calibri" w:hAnsi="Calibri" w:cs="Calibri"/>
          <w:color w:val="1D2228"/>
          <w:sz w:val="22"/>
          <w:szCs w:val="22"/>
        </w:rPr>
      </w:pPr>
    </w:p>
    <w:p w:rsidR="006E5D75" w:rsidRDefault="006E5D75" w:rsidP="006E5D75">
      <w:pPr>
        <w:spacing w:line="240" w:lineRule="auto"/>
        <w:jc w:val="both"/>
        <w:rPr>
          <w:rFonts w:ascii="Times New Roman" w:hAnsi="Times New Roman" w:cs="Times New Roman"/>
          <w:sz w:val="24"/>
          <w:szCs w:val="24"/>
          <w:shd w:val="clear" w:color="auto" w:fill="FFFFFF"/>
          <w:lang w:val="en-US"/>
        </w:rPr>
      </w:pPr>
      <w:r>
        <w:rPr>
          <w:noProof/>
          <w:lang w:val="en-GB" w:eastAsia="zh-CN"/>
        </w:rPr>
        <w:drawing>
          <wp:inline distT="0" distB="0" distL="0" distR="0">
            <wp:extent cx="5731510" cy="3820746"/>
            <wp:effectExtent l="0" t="0" r="2540" b="8890"/>
            <wp:docPr id="296" name="Imagen 296" descr="Los manifestantes se reúnen después de prender fuego a la entrada de una estación de polic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s manifestantes se reúnen después de prender fuego a la entrada de una estación de policía"/>
                    <pic:cNvPicPr>
                      <a:picLocks noChangeAspect="1" noChangeArrowheads="1"/>
                    </pic:cNvPicPr>
                  </pic:nvPicPr>
                  <pic:blipFill>
                    <a:blip r:embed="rId3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20746"/>
                    </a:xfrm>
                    <a:prstGeom prst="rect">
                      <a:avLst/>
                    </a:prstGeom>
                    <a:noFill/>
                    <a:ln>
                      <a:noFill/>
                    </a:ln>
                  </pic:spPr>
                </pic:pic>
              </a:graphicData>
            </a:graphic>
          </wp:inline>
        </w:drawing>
      </w:r>
    </w:p>
    <w:p w:rsidR="006E5D75" w:rsidRPr="0079527B" w:rsidRDefault="006E5D75" w:rsidP="006E5D75">
      <w:pPr>
        <w:spacing w:line="240" w:lineRule="auto"/>
        <w:jc w:val="both"/>
        <w:rPr>
          <w:rFonts w:ascii="Times New Roman" w:hAnsi="Times New Roman" w:cs="Times New Roman"/>
          <w:sz w:val="24"/>
          <w:szCs w:val="24"/>
          <w:shd w:val="clear" w:color="auto" w:fill="FFFFFF"/>
        </w:rPr>
      </w:pPr>
      <w:r w:rsidRPr="0079527B">
        <w:rPr>
          <w:rFonts w:ascii="Times New Roman" w:hAnsi="Times New Roman" w:cs="Times New Roman"/>
          <w:sz w:val="24"/>
          <w:szCs w:val="24"/>
          <w:shd w:val="clear" w:color="auto" w:fill="FFFFFF"/>
        </w:rPr>
        <w:t>También hubo protestas en Chicago, Illinois; Los Ángeles, California; y Memphis, Tennessee.</w:t>
      </w:r>
    </w:p>
    <w:p w:rsidR="006E5D75" w:rsidRDefault="006E5D75" w:rsidP="006E5D75">
      <w:pPr>
        <w:spacing w:line="240" w:lineRule="auto"/>
        <w:jc w:val="both"/>
        <w:rPr>
          <w:rFonts w:ascii="Times New Roman" w:hAnsi="Times New Roman" w:cs="Times New Roman"/>
          <w:color w:val="FF0000"/>
          <w:sz w:val="24"/>
          <w:szCs w:val="24"/>
          <w:lang w:val="en-US"/>
        </w:rPr>
      </w:pPr>
      <w:r>
        <w:rPr>
          <w:noProof/>
          <w:lang w:val="en-GB" w:eastAsia="zh-CN"/>
        </w:rPr>
        <w:drawing>
          <wp:inline distT="0" distB="0" distL="0" distR="0">
            <wp:extent cx="5731510" cy="3688456"/>
            <wp:effectExtent l="0" t="0" r="2540" b="7620"/>
            <wp:docPr id="297" name="Imagen 297" descr="Manifestantes son vistos fuera de una licorería en lla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nifestantes son vistos fuera de una licorería en llamas"/>
                    <pic:cNvPicPr>
                      <a:picLocks noChangeAspect="1" noChangeArrowheads="1"/>
                    </pic:cNvPicPr>
                  </pic:nvPicPr>
                  <pic:blipFill>
                    <a:blip r:embed="rId3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688456"/>
                    </a:xfrm>
                    <a:prstGeom prst="rect">
                      <a:avLst/>
                    </a:prstGeom>
                    <a:noFill/>
                    <a:ln>
                      <a:noFill/>
                    </a:ln>
                  </pic:spPr>
                </pic:pic>
              </a:graphicData>
            </a:graphic>
          </wp:inline>
        </w:drawing>
      </w:r>
    </w:p>
    <w:p w:rsidR="006E5D75" w:rsidRPr="007637DA" w:rsidRDefault="006E5D75" w:rsidP="006E5D75">
      <w:pPr>
        <w:spacing w:line="240" w:lineRule="auto"/>
        <w:jc w:val="both"/>
        <w:rPr>
          <w:rFonts w:ascii="Times New Roman" w:hAnsi="Times New Roman" w:cs="Times New Roman"/>
          <w:sz w:val="24"/>
          <w:szCs w:val="24"/>
        </w:rPr>
      </w:pPr>
      <w:r w:rsidRPr="007637DA">
        <w:rPr>
          <w:rFonts w:ascii="Times New Roman" w:hAnsi="Times New Roman" w:cs="Times New Roman"/>
          <w:sz w:val="24"/>
          <w:szCs w:val="24"/>
        </w:rPr>
        <w:t>¿La hoguera de las vanidades… o el poder de las tinieblas?</w:t>
      </w:r>
    </w:p>
    <w:p w:rsidR="006E5D75" w:rsidRDefault="006E5D75"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3223895"/>
            <wp:effectExtent l="0" t="0" r="2540" b="0"/>
            <wp:docPr id="298" name="Imagen 298" descr="sommers1_Stephen MaturenGetty Images_usprotestgeorgef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mmers1_Stephen MaturenGetty Images_usprotestgeorgefloyd"/>
                    <pic:cNvPicPr>
                      <a:picLocks noChangeAspect="1" noChangeArrowheads="1"/>
                    </pic:cNvPicPr>
                  </pic:nvPicPr>
                  <pic:blipFill>
                    <a:blip r:embed="rId3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895"/>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B129B8">
        <w:rPr>
          <w:rFonts w:ascii="Times New Roman" w:hAnsi="Times New Roman" w:cs="Times New Roman"/>
          <w:b/>
          <w:sz w:val="24"/>
          <w:szCs w:val="24"/>
        </w:rPr>
        <w:t>os disturbios de EEUU fueron iniciados por una chispa a la que todos los países estamos expuestos. Un informe del IEEE describe bien a qué escenario nos enfrentamos</w:t>
      </w:r>
    </w:p>
    <w:p w:rsidR="006E5D75" w:rsidRPr="00B129B8"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A estas alturas, resulta curioso recordar las predicciones que se hicieron sobre el futuro de China. Se nos decía que el ascenso del país asiático no era de temer, ya que era un gigante con los pies de barrio. Una de las fuentes de debilidad futura residía en su crecimiento económico: conforme sus ciudadanos fueran aumentando su nivel de vida, someterían a mayor presión a su Gobierno, ya que demandarían más libertades y estarían menos dispuestos a sufrir un régimen opresivo. Una vez estabilizadas las necesidades materiales, darían el paso siguiente y tratarían de ascender en la pirámide de Maslow, lo que obligaría al Gobierno chino a abandonar muchas de las restricciones impuestas o a utilizar un plus de control; cualquiera de las dos cosas minaría la cohesión interna y debilitaría al régimen comunista.</w:t>
      </w:r>
    </w:p>
    <w:p w:rsidR="006E5D75"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A quienes afirmaban estas tesis, que desgranaban con aplomo, se les olvidó mencionar que, mientras tanto, las poblaciones occidentales iban viendo reducido su nivel de vida, lo que iba a generar mucho descontento y a aumentar la presión sobre los gobiernos; y si estos no respondían de la manera adecuada, el malestar iba a extenderse, lo que volvería muy frágil la cohesión interna. No era tan difícil de adivinar, pero nuestras élites económicas e intelectuales estaban pendientes del mundo del futuro, el de los grandes avances científicos y la reinvención tecnológica, por lo que las poblaciones no eran su objeto preferido de atención.</w:t>
      </w:r>
    </w:p>
    <w:p w:rsidR="006E5D75" w:rsidRPr="00B129B8"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La crisis de 2008 vino a introducir algunos puntos de fricción sobre estas fantasías, al debilitar a las clases medias y empobrecer a las clases trabajadoras, lo que llevó al nacimiento de nuevos partidos políticos y de nuevas tendencias ideológicas que no eran demasiado complacientes con el sistema. Muy a menudo, las advertencias sobre el malestar social recurren a la imagen de masas de desfavorecidos asaltando los palacios de Invierno. Ocasionalmente ocurre, pero son excepciones en la historia. Lo más habitual es que se exacerben los descontentos existentes, como estamos viendo, y que la demanda de derechos, a menudo identitarios,</w:t>
      </w:r>
      <w:r>
        <w:rPr>
          <w:rFonts w:ascii="Times New Roman" w:hAnsi="Times New Roman" w:cs="Times New Roman"/>
          <w:sz w:val="24"/>
          <w:szCs w:val="24"/>
        </w:rPr>
        <w:t xml:space="preserve"> adquiera formas más violentas.</w:t>
      </w:r>
    </w:p>
    <w:p w:rsidR="006E5D75" w:rsidRPr="00B129B8"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Desde ese escenario, hemos de afrontar una nueva crisis que hará que llueva sobre mojado. El telón de fondo lo explica bien el coronel de artillería Jos</w:t>
      </w:r>
      <w:r>
        <w:rPr>
          <w:rFonts w:ascii="Times New Roman" w:hAnsi="Times New Roman" w:cs="Times New Roman"/>
          <w:sz w:val="24"/>
          <w:szCs w:val="24"/>
        </w:rPr>
        <w:t>é Luis Pontijas en su análisis “</w:t>
      </w:r>
      <w:r w:rsidRPr="00B129B8">
        <w:rPr>
          <w:rFonts w:ascii="Times New Roman" w:hAnsi="Times New Roman" w:cs="Times New Roman"/>
          <w:sz w:val="24"/>
          <w:szCs w:val="24"/>
        </w:rPr>
        <w:t xml:space="preserve">Efectos geopolíticos de </w:t>
      </w:r>
      <w:r>
        <w:rPr>
          <w:rFonts w:ascii="Times New Roman" w:hAnsi="Times New Roman" w:cs="Times New Roman"/>
          <w:sz w:val="24"/>
          <w:szCs w:val="24"/>
        </w:rPr>
        <w:t>la COVID-19: punto de situación”</w:t>
      </w:r>
      <w:r w:rsidRPr="00B129B8">
        <w:rPr>
          <w:rFonts w:ascii="Times New Roman" w:hAnsi="Times New Roman" w:cs="Times New Roman"/>
          <w:sz w:val="24"/>
          <w:szCs w:val="24"/>
        </w:rPr>
        <w:t>, realizado para el Instituto Español de Estudios Estratégicos. La recesión que viene acentuará el declive de las clases medias y el de las trabajadoras y empujará hacia abajo a una parte sustancial de la población. La falta de expectativas socioeconómicas a corto y, sobre todo, a medio plazo fortalecerá el descontento y espoleará a un sector de la población hacia los disturbios. “De ser así, los Estados se verían obligados a sofocarlos, convirtiendo las ciudades, nudos de comunicación, infraestructuras estratégicas, etc., en el escenario de confrontaciones, en una espiral de violencia y desintegración social que pudiera amenazar la estabilidad misma de las sociedades. Aquellas naciones aquejadas de fracturas previas (étnicas, religiosas, políticas, etc.) ser</w:t>
      </w:r>
      <w:r>
        <w:rPr>
          <w:rFonts w:ascii="Times New Roman" w:hAnsi="Times New Roman" w:cs="Times New Roman"/>
          <w:sz w:val="24"/>
          <w:szCs w:val="24"/>
        </w:rPr>
        <w:t xml:space="preserve">ían especialmente vulnerables” (El Confidencial - </w:t>
      </w:r>
      <w:r w:rsidRPr="00C71B23">
        <w:rPr>
          <w:rFonts w:ascii="Times New Roman" w:hAnsi="Times New Roman" w:cs="Times New Roman"/>
          <w:b/>
          <w:sz w:val="24"/>
          <w:szCs w:val="24"/>
        </w:rPr>
        <w:t>5/6/20</w:t>
      </w:r>
      <w:r>
        <w:rPr>
          <w:rFonts w:ascii="Times New Roman" w:hAnsi="Times New Roman" w:cs="Times New Roman"/>
          <w:sz w:val="24"/>
          <w:szCs w:val="24"/>
        </w:rPr>
        <w:t>)</w:t>
      </w:r>
    </w:p>
    <w:p w:rsidR="006E5D75"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Es una secuencia lógica: empobrecimiento, falta de perspectivas, malestar, disturbios, represión. Nada que no nos haya enseñado la historia y de lo que no nos haya advertido la crisis de 2008. Dado que las causas del malestar no han sido atajadas, las tensiones han ido en aumento; ahora con un elemento diferencial, que explica el motivo de que estas revueltas estén produciéndose en un país hegemónico, EEUU, y se extiendan por otros del primer mundo, como Francia.</w:t>
      </w:r>
    </w:p>
    <w:p w:rsidR="006E5D75" w:rsidRDefault="006E5D75" w:rsidP="006E5D75">
      <w:pPr>
        <w:spacing w:line="240" w:lineRule="auto"/>
        <w:jc w:val="both"/>
        <w:rPr>
          <w:rFonts w:ascii="Times New Roman" w:hAnsi="Times New Roman" w:cs="Times New Roman"/>
          <w:sz w:val="24"/>
          <w:szCs w:val="24"/>
        </w:rPr>
      </w:pPr>
      <w:r>
        <w:rPr>
          <w:rFonts w:ascii="Times New Roman" w:hAnsi="Times New Roman" w:cs="Times New Roman"/>
          <w:sz w:val="24"/>
          <w:szCs w:val="24"/>
        </w:rPr>
        <w:t>El factor último</w:t>
      </w:r>
    </w:p>
    <w:p w:rsidR="006E5D75"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El declive de las democracias occidentales proviene de la utilización de las instituciones para obtener provecho privado</w:t>
      </w:r>
      <w:r>
        <w:rPr>
          <w:rFonts w:ascii="Times New Roman" w:hAnsi="Times New Roman" w:cs="Times New Roman"/>
          <w:sz w:val="24"/>
          <w:szCs w:val="24"/>
        </w:rPr>
        <w:t xml:space="preserve">. </w:t>
      </w:r>
      <w:r w:rsidRPr="00B129B8">
        <w:rPr>
          <w:rFonts w:ascii="Times New Roman" w:hAnsi="Times New Roman" w:cs="Times New Roman"/>
          <w:sz w:val="24"/>
          <w:szCs w:val="24"/>
        </w:rPr>
        <w:t>El sistema no solo no funciona, sino que protege voluntariamente a quienes infringen las leyes. Así, su legitimidad tiende a desaparecer, y esto lleva a los enfrentamientos, porque ya no se forma parte de lo mismo: el Estado se divide entre nosotros y ellos, y nosotros estamos solos.</w:t>
      </w:r>
    </w:p>
    <w:p w:rsidR="006E5D75" w:rsidRDefault="006E5D75" w:rsidP="006E5D75">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En ese instante, la represión no se realiza únicamente desde la calle, sino que se articulan nuevos mecanismos legales para sancionar a quienes protestan, para controlar el Estado, para afianzar el poder frente a las nuevas amenazas. Y cuando esto ocurre, la democracia va desapareciendo lenta pero inexorablemente.</w:t>
      </w:r>
    </w:p>
    <w:p w:rsidR="006E5D75" w:rsidRPr="00D84059" w:rsidRDefault="006E5D75" w:rsidP="006E5D75">
      <w:pPr>
        <w:spacing w:line="240" w:lineRule="auto"/>
        <w:jc w:val="both"/>
        <w:rPr>
          <w:rFonts w:ascii="Times New Roman" w:hAnsi="Times New Roman" w:cs="Times New Roman"/>
          <w:b/>
          <w:sz w:val="24"/>
          <w:szCs w:val="24"/>
          <w:lang w:val="en-US"/>
        </w:rPr>
      </w:pPr>
      <w:r w:rsidRPr="00D84059">
        <w:rPr>
          <w:rFonts w:ascii="Times New Roman" w:hAnsi="Times New Roman" w:cs="Times New Roman"/>
          <w:b/>
          <w:sz w:val="24"/>
          <w:szCs w:val="24"/>
          <w:lang w:val="en-US"/>
        </w:rPr>
        <w:t>Entre esto…</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5171" cy="2951629"/>
            <wp:effectExtent l="0" t="0" r="0" b="1270"/>
            <wp:docPr id="280" name="Imagen 280" descr="Venden la planta de Packard - Autoproy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den la planta de Packard - Autoproyecto"/>
                    <pic:cNvPicPr>
                      <a:picLocks noChangeAspect="1" noChangeArrowheads="1"/>
                    </pic:cNvPicPr>
                  </pic:nvPicPr>
                  <pic:blipFill>
                    <a:blip r:embed="rId3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49745"/>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p>
    <w:p w:rsidR="006E5D75" w:rsidRPr="00537FF0"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37FF0">
        <w:rPr>
          <w:rFonts w:ascii="Times New Roman" w:hAnsi="Times New Roman" w:cs="Times New Roman"/>
          <w:b/>
          <w:sz w:val="24"/>
          <w:szCs w:val="24"/>
        </w:rPr>
        <w:t>esto…</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224185"/>
            <wp:effectExtent l="0" t="0" r="2540" b="0"/>
            <wp:docPr id="281" name="Imagen 281" descr="galbraith4_Spencer PlattGetty Images_usclosedstore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lbraith4_Spencer PlattGetty Images_usclosedstorecoronavirus"/>
                    <pic:cNvPicPr>
                      <a:picLocks noChangeAspect="1" noChangeArrowheads="1"/>
                    </pic:cNvPicPr>
                  </pic:nvPicPr>
                  <pic:blipFill>
                    <a:blip r:embed="rId3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4185"/>
                    </a:xfrm>
                    <a:prstGeom prst="rect">
                      <a:avLst/>
                    </a:prstGeom>
                    <a:noFill/>
                    <a:ln>
                      <a:noFill/>
                    </a:ln>
                  </pic:spPr>
                </pic:pic>
              </a:graphicData>
            </a:graphic>
          </wp:inline>
        </w:drawing>
      </w:r>
    </w:p>
    <w:p w:rsidR="006E5D75" w:rsidRPr="00537FF0"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y esto</w:t>
      </w:r>
      <w:r w:rsidRPr="00537FF0">
        <w:rPr>
          <w:rFonts w:ascii="Times New Roman" w:hAnsi="Times New Roman" w:cs="Times New Roman"/>
          <w:b/>
          <w:sz w:val="24"/>
          <w:szCs w:val="24"/>
        </w:rPr>
        <w:t xml:space="preserve">… </w:t>
      </w: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224185"/>
            <wp:effectExtent l="0" t="0" r="2540" b="0"/>
            <wp:docPr id="301" name="Imagen 301" descr="drew57_ERIC BARADATAFP via Getty Images_USprotestwhitehousegeorgef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w57_ERIC BARADATAFP via Getty Images_USprotestwhitehousegeorgefloyd"/>
                    <pic:cNvPicPr>
                      <a:picLocks noChangeAspect="1" noChangeArrowheads="1"/>
                    </pic:cNvPicPr>
                  </pic:nvPicPr>
                  <pic:blipFill>
                    <a:blip r:embed="rId3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4185"/>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37FF0">
        <w:rPr>
          <w:rFonts w:ascii="Times New Roman" w:hAnsi="Times New Roman" w:cs="Times New Roman"/>
          <w:b/>
          <w:sz w:val="24"/>
          <w:szCs w:val="24"/>
        </w:rPr>
        <w:t>hay mucho menos tiempo que el que se imaginan (y desean</w:t>
      </w:r>
      <w:r>
        <w:rPr>
          <w:rFonts w:ascii="Times New Roman" w:hAnsi="Times New Roman" w:cs="Times New Roman"/>
          <w:b/>
          <w:sz w:val="24"/>
          <w:szCs w:val="24"/>
        </w:rPr>
        <w:t>) en Wall Street, Silicon Valley y Washington S.A.</w:t>
      </w:r>
    </w:p>
    <w:p w:rsidR="006E5D75" w:rsidRPr="00BE6C8A" w:rsidRDefault="006E5D75" w:rsidP="006E5D75">
      <w:pPr>
        <w:spacing w:line="240" w:lineRule="auto"/>
        <w:jc w:val="both"/>
        <w:rPr>
          <w:rFonts w:ascii="Times New Roman" w:hAnsi="Times New Roman" w:cs="Times New Roman"/>
          <w:b/>
          <w:sz w:val="24"/>
          <w:szCs w:val="24"/>
        </w:rPr>
      </w:pPr>
      <w:r>
        <w:rPr>
          <w:rFonts w:ascii="Times New Roman" w:hAnsi="Times New Roman" w:cs="Times New Roman"/>
          <w:b/>
          <w:sz w:val="24"/>
          <w:szCs w:val="24"/>
        </w:rPr>
        <w:t>¿Hasta dónde podrán prolongar,</w:t>
      </w:r>
      <w:r w:rsidRPr="00BE6C8A">
        <w:rPr>
          <w:rFonts w:ascii="Times New Roman" w:hAnsi="Times New Roman" w:cs="Times New Roman"/>
          <w:b/>
          <w:sz w:val="24"/>
          <w:szCs w:val="24"/>
        </w:rPr>
        <w:t xml:space="preserve"> l</w:t>
      </w:r>
      <w:r>
        <w:rPr>
          <w:rFonts w:ascii="Times New Roman" w:hAnsi="Times New Roman" w:cs="Times New Roman"/>
          <w:b/>
          <w:sz w:val="24"/>
          <w:szCs w:val="24"/>
        </w:rPr>
        <w:t xml:space="preserve">os talibanes del mercado y los esbirros del poder profundo, </w:t>
      </w:r>
      <w:r w:rsidRPr="00BE6C8A">
        <w:rPr>
          <w:rFonts w:ascii="Times New Roman" w:hAnsi="Times New Roman" w:cs="Times New Roman"/>
          <w:b/>
          <w:sz w:val="24"/>
          <w:szCs w:val="24"/>
        </w:rPr>
        <w:t>esta estúpida agonía?</w:t>
      </w:r>
      <w:r>
        <w:rPr>
          <w:rFonts w:ascii="Times New Roman" w:hAnsi="Times New Roman" w:cs="Times New Roman"/>
          <w:b/>
          <w:sz w:val="24"/>
          <w:szCs w:val="24"/>
        </w:rPr>
        <w:t xml:space="preserve"> ¿Creen que, en medio d</w:t>
      </w:r>
      <w:r w:rsidRPr="00BE6C8A">
        <w:rPr>
          <w:rFonts w:ascii="Times New Roman" w:hAnsi="Times New Roman" w:cs="Times New Roman"/>
          <w:b/>
          <w:sz w:val="24"/>
          <w:szCs w:val="24"/>
        </w:rPr>
        <w:t>el escepticismo y la desconfianza</w:t>
      </w:r>
      <w:r>
        <w:rPr>
          <w:rFonts w:ascii="Times New Roman" w:hAnsi="Times New Roman" w:cs="Times New Roman"/>
          <w:b/>
          <w:sz w:val="24"/>
          <w:szCs w:val="24"/>
        </w:rPr>
        <w:t>, podrán salvar el culo?</w:t>
      </w:r>
    </w:p>
    <w:p w:rsidR="006E5D75" w:rsidRDefault="006E5D75" w:rsidP="006E5D75">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6E5D75" w:rsidRDefault="006E5D75" w:rsidP="006E5D75">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6E5D75" w:rsidRDefault="006E5D75" w:rsidP="006E5D75">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6E5D75" w:rsidRPr="004C332E" w:rsidRDefault="006E5D75" w:rsidP="006E5D75">
      <w:pPr>
        <w:shd w:val="clear" w:color="auto" w:fill="FFFFFF"/>
        <w:spacing w:after="0" w:line="240" w:lineRule="auto"/>
        <w:jc w:val="both"/>
        <w:textAlignment w:val="baseline"/>
        <w:rPr>
          <w:rFonts w:ascii="Times New Roman" w:hAnsi="Times New Roman" w:cs="Times New Roman"/>
          <w:b/>
          <w:sz w:val="24"/>
          <w:szCs w:val="24"/>
          <w:shd w:val="clear" w:color="auto" w:fill="EEF0EF"/>
        </w:rPr>
      </w:pPr>
      <w:r w:rsidRPr="004C332E">
        <w:rPr>
          <w:rFonts w:ascii="Times New Roman" w:hAnsi="Times New Roman" w:cs="Times New Roman"/>
          <w:b/>
          <w:sz w:val="24"/>
          <w:szCs w:val="24"/>
          <w:shd w:val="clear" w:color="auto" w:fill="EEF0EF"/>
        </w:rPr>
        <w:t>Del “American dream”</w:t>
      </w:r>
      <w:r>
        <w:rPr>
          <w:rFonts w:ascii="Times New Roman" w:hAnsi="Times New Roman" w:cs="Times New Roman"/>
          <w:b/>
          <w:sz w:val="24"/>
          <w:szCs w:val="24"/>
          <w:shd w:val="clear" w:color="auto" w:fill="EEF0EF"/>
        </w:rPr>
        <w:t>…</w:t>
      </w:r>
    </w:p>
    <w:p w:rsidR="006E5D75" w:rsidRDefault="006E5D75" w:rsidP="006E5D75">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6E5D75" w:rsidRDefault="006E5D75" w:rsidP="006E5D7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Pr>
          <w:noProof/>
          <w:lang w:val="en-GB" w:eastAsia="zh-CN"/>
        </w:rPr>
        <w:drawing>
          <wp:inline distT="0" distB="0" distL="0" distR="0">
            <wp:extent cx="5731510" cy="4297513"/>
            <wp:effectExtent l="0" t="0" r="2540" b="8255"/>
            <wp:docPr id="311" name="Imagen 311" descr="USMC War Memorial 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MC War Memorial Night.jpg"/>
                    <pic:cNvPicPr>
                      <a:picLocks noChangeAspect="1" noChangeArrowheads="1"/>
                    </pic:cNvPicPr>
                  </pic:nvPicPr>
                  <pic:blipFill>
                    <a:blip r:embed="rId3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297513"/>
                    </a:xfrm>
                    <a:prstGeom prst="rect">
                      <a:avLst/>
                    </a:prstGeom>
                    <a:noFill/>
                    <a:ln>
                      <a:noFill/>
                    </a:ln>
                  </pic:spPr>
                </pic:pic>
              </a:graphicData>
            </a:graphic>
          </wp:inline>
        </w:drawing>
      </w:r>
    </w:p>
    <w:p w:rsidR="006E5D75" w:rsidRPr="004C332E"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r w:rsidRPr="004C332E">
        <w:rPr>
          <w:rFonts w:ascii="Times New Roman" w:eastAsia="Times New Roman" w:hAnsi="Times New Roman" w:cs="Times New Roman"/>
          <w:sz w:val="24"/>
          <w:szCs w:val="24"/>
        </w:rPr>
        <w:t>Memorial de Iwo Jima</w:t>
      </w:r>
    </w:p>
    <w:p w:rsidR="006E5D75" w:rsidRPr="004C332E" w:rsidRDefault="006E5D75" w:rsidP="006E5D75">
      <w:pPr>
        <w:shd w:val="clear" w:color="auto" w:fill="FFFFFF"/>
        <w:spacing w:after="0" w:line="240" w:lineRule="auto"/>
        <w:jc w:val="both"/>
        <w:textAlignment w:val="baseline"/>
        <w:rPr>
          <w:rFonts w:ascii="Times New Roman" w:eastAsia="Times New Roman" w:hAnsi="Times New Roman" w:cs="Times New Roman"/>
          <w:sz w:val="24"/>
          <w:szCs w:val="24"/>
        </w:rPr>
      </w:pPr>
    </w:p>
    <w:p w:rsidR="006E5D75" w:rsidRPr="004C332E" w:rsidRDefault="006E5D75" w:rsidP="006E5D75">
      <w:pPr>
        <w:shd w:val="clear" w:color="auto" w:fill="FFFFFF"/>
        <w:spacing w:after="0" w:line="240" w:lineRule="auto"/>
        <w:jc w:val="both"/>
        <w:textAlignment w:val="baseline"/>
        <w:rPr>
          <w:rFonts w:ascii="Times New Roman" w:eastAsia="Times New Roman" w:hAnsi="Times New Roman" w:cs="Times New Roman"/>
          <w:b/>
          <w:sz w:val="24"/>
          <w:szCs w:val="24"/>
        </w:rPr>
      </w:pPr>
      <w:r w:rsidRPr="004C332E">
        <w:rPr>
          <w:rFonts w:ascii="Times New Roman" w:eastAsia="Times New Roman" w:hAnsi="Times New Roman" w:cs="Times New Roman"/>
          <w:b/>
          <w:sz w:val="24"/>
          <w:szCs w:val="24"/>
        </w:rPr>
        <w:t>… al “American nightmare”</w:t>
      </w:r>
    </w:p>
    <w:p w:rsidR="006E5D75" w:rsidRPr="004C332E" w:rsidRDefault="006E5D75" w:rsidP="006E5D7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E5D75" w:rsidRDefault="006E5D75" w:rsidP="006E5D75">
      <w:pPr>
        <w:spacing w:line="240" w:lineRule="auto"/>
        <w:jc w:val="both"/>
        <w:rPr>
          <w:rFonts w:ascii="Times New Roman" w:hAnsi="Times New Roman" w:cs="Times New Roman"/>
          <w:sz w:val="24"/>
          <w:szCs w:val="24"/>
        </w:rPr>
      </w:pPr>
      <w:r>
        <w:rPr>
          <w:noProof/>
          <w:lang w:val="en-GB" w:eastAsia="zh-CN"/>
        </w:rPr>
        <w:drawing>
          <wp:inline distT="0" distB="0" distL="0" distR="0">
            <wp:extent cx="5724938" cy="2938182"/>
            <wp:effectExtent l="0" t="0" r="9525" b="0"/>
            <wp:docPr id="312" name="Imagen 312" descr="Manifestantes en Washington D.C. con una bandera de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ifestantes en Washington D.C. con una bandera de EE.UU."/>
                    <pic:cNvPicPr>
                      <a:picLocks noChangeAspect="1" noChangeArrowheads="1"/>
                    </pic:cNvPicPr>
                  </pic:nvPicPr>
                  <pic:blipFill>
                    <a:blip r:embed="rId3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41555"/>
                    </a:xfrm>
                    <a:prstGeom prst="rect">
                      <a:avLst/>
                    </a:prstGeom>
                    <a:noFill/>
                    <a:ln>
                      <a:noFill/>
                    </a:ln>
                  </pic:spPr>
                </pic:pic>
              </a:graphicData>
            </a:graphic>
          </wp:inline>
        </w:drawing>
      </w:r>
    </w:p>
    <w:p w:rsidR="006E5D75" w:rsidRDefault="006E5D75" w:rsidP="006E5D75">
      <w:pPr>
        <w:spacing w:line="240" w:lineRule="auto"/>
        <w:jc w:val="both"/>
        <w:rPr>
          <w:rFonts w:ascii="Times New Roman" w:hAnsi="Times New Roman" w:cs="Times New Roman"/>
          <w:sz w:val="24"/>
          <w:szCs w:val="24"/>
        </w:rPr>
      </w:pPr>
      <w:r w:rsidRPr="00142FE0">
        <w:rPr>
          <w:rFonts w:ascii="Times New Roman" w:hAnsi="Times New Roman" w:cs="Times New Roman"/>
          <w:sz w:val="24"/>
          <w:szCs w:val="24"/>
        </w:rPr>
        <w:t>Memorial de “Black Lives Matter</w:t>
      </w:r>
    </w:p>
    <w:p w:rsidR="003D5524" w:rsidRDefault="003D5524" w:rsidP="006E5D75">
      <w:pPr>
        <w:spacing w:line="240" w:lineRule="auto"/>
        <w:jc w:val="both"/>
        <w:rPr>
          <w:rFonts w:ascii="Times New Roman" w:hAnsi="Times New Roman" w:cs="Times New Roman"/>
          <w:b/>
          <w:sz w:val="24"/>
          <w:szCs w:val="24"/>
        </w:rPr>
      </w:pPr>
      <w:r w:rsidRPr="00A54F82">
        <w:rPr>
          <w:rFonts w:ascii="Times New Roman" w:hAnsi="Times New Roman" w:cs="Times New Roman"/>
          <w:b/>
          <w:sz w:val="24"/>
          <w:szCs w:val="24"/>
        </w:rPr>
        <w:t>- Conclusión (en el nombre del nieto): con todo esto… ¿qué carajo esperábamos que pasaría: hacer normal la vieja anormalidad? ¿Seremos capaces de sacar algún significado de esta historia, alguna interpretación justa, que sirva como lección para el futuro?</w:t>
      </w:r>
    </w:p>
    <w:p w:rsidR="00A54F82" w:rsidRPr="00A54F82" w:rsidRDefault="00A54F82" w:rsidP="006E5D75">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3218180"/>
            <wp:effectExtent l="0" t="0" r="2540" b="1270"/>
            <wp:docPr id="483" name="Imagen 483" descr="Foto: Foto: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Foto: Efe."/>
                    <pic:cNvPicPr>
                      <a:picLocks noChangeAspect="1" noChangeArrowheads="1"/>
                    </pic:cNvPicPr>
                  </pic:nvPicPr>
                  <pic:blipFill>
                    <a:blip r:embed="rId3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8180"/>
                    </a:xfrm>
                    <a:prstGeom prst="rect">
                      <a:avLst/>
                    </a:prstGeom>
                    <a:noFill/>
                    <a:ln>
                      <a:noFill/>
                    </a:ln>
                  </pic:spPr>
                </pic:pic>
              </a:graphicData>
            </a:graphic>
          </wp:inline>
        </w:drawing>
      </w:r>
    </w:p>
    <w:p w:rsidR="006E5D75" w:rsidRPr="00F50F4D" w:rsidRDefault="006E5D75" w:rsidP="006E5D7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w:t>
      </w:r>
      <w:r w:rsidRPr="00194E57">
        <w:rPr>
          <w:rFonts w:ascii="Times New Roman" w:hAnsi="Times New Roman" w:cs="Times New Roman"/>
          <w:sz w:val="24"/>
          <w:szCs w:val="24"/>
          <w:shd w:val="clear" w:color="auto" w:fill="FFFFFF"/>
        </w:rPr>
        <w:t>e repente, el mundo desarrollado entró, en cuestión de uno</w:t>
      </w:r>
      <w:r>
        <w:rPr>
          <w:rFonts w:ascii="Times New Roman" w:hAnsi="Times New Roman" w:cs="Times New Roman"/>
          <w:sz w:val="24"/>
          <w:szCs w:val="24"/>
          <w:shd w:val="clear" w:color="auto" w:fill="FFFFFF"/>
        </w:rPr>
        <w:t>s meses, “</w:t>
      </w:r>
      <w:r w:rsidRPr="00194E57">
        <w:rPr>
          <w:rFonts w:ascii="Times New Roman" w:hAnsi="Times New Roman" w:cs="Times New Roman"/>
          <w:sz w:val="24"/>
          <w:szCs w:val="24"/>
          <w:shd w:val="clear" w:color="auto" w:fill="FFFFFF"/>
        </w:rPr>
        <w:t>en un valle oscuro habitado por los gigantes del desempleo, la miseria, las disensiones y el miedo y, a medida que la oscuridad se hacía más densa, las difusas nubes de la crisis económica se condensaro</w:t>
      </w:r>
      <w:r>
        <w:rPr>
          <w:rFonts w:ascii="Times New Roman" w:hAnsi="Times New Roman" w:cs="Times New Roman"/>
          <w:sz w:val="24"/>
          <w:szCs w:val="24"/>
          <w:shd w:val="clear" w:color="auto" w:fill="FFFFFF"/>
        </w:rPr>
        <w:t>n en una gran tormenta política”</w:t>
      </w:r>
      <w:r w:rsidR="00C91E05">
        <w:t>(</w:t>
      </w:r>
      <w:r w:rsidRPr="00194E57">
        <w:rPr>
          <w:rFonts w:ascii="Times New Roman" w:hAnsi="Times New Roman" w:cs="Times New Roman"/>
          <w:sz w:val="24"/>
          <w:szCs w:val="24"/>
          <w:shd w:val="clear" w:color="auto" w:fill="FFFFFF"/>
        </w:rPr>
        <w:t>Piers Brando</w:t>
      </w:r>
      <w:r>
        <w:rPr>
          <w:rFonts w:ascii="Times New Roman" w:hAnsi="Times New Roman" w:cs="Times New Roman"/>
          <w:sz w:val="24"/>
          <w:szCs w:val="24"/>
          <w:shd w:val="clear" w:color="auto" w:fill="FFFFFF"/>
        </w:rPr>
        <w:t>n,</w:t>
      </w:r>
      <w:r w:rsidRPr="00194E57">
        <w:rPr>
          <w:rFonts w:ascii="Times New Roman" w:hAnsi="Times New Roman" w:cs="Times New Roman"/>
          <w:sz w:val="24"/>
          <w:szCs w:val="24"/>
          <w:shd w:val="clear" w:color="auto" w:fill="FFFFFF"/>
        </w:rPr>
        <w:t xml:space="preserve"> The Dark Valley</w:t>
      </w:r>
      <w:r>
        <w:rPr>
          <w:rFonts w:ascii="Times New Roman" w:hAnsi="Times New Roman" w:cs="Times New Roman"/>
          <w:sz w:val="24"/>
          <w:szCs w:val="24"/>
          <w:shd w:val="clear" w:color="auto" w:fill="FFFFFF"/>
        </w:rPr>
        <w:t xml:space="preserve">). Tan lúgubre metáfora, es </w:t>
      </w:r>
      <w:r w:rsidRPr="00650A88">
        <w:rPr>
          <w:rFonts w:ascii="Times New Roman" w:hAnsi="Times New Roman" w:cs="Times New Roman"/>
          <w:sz w:val="24"/>
          <w:szCs w:val="24"/>
          <w:shd w:val="clear" w:color="auto" w:fill="FFFFFF"/>
        </w:rPr>
        <w:t>por</w:t>
      </w:r>
      <w:r>
        <w:rPr>
          <w:rFonts w:ascii="Times New Roman" w:hAnsi="Times New Roman" w:cs="Times New Roman"/>
          <w:sz w:val="24"/>
          <w:szCs w:val="24"/>
          <w:shd w:val="clear" w:color="auto" w:fill="FFFFFF"/>
        </w:rPr>
        <w:t xml:space="preserve"> desgracia plenamente aplicable a los países avanzados, hoy.</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En su ensayo “La condición humana”, Hannah Arendt glosa el “problema” de su naturaleza y alude a la reflexión de San Agustín: “He llegado a ser un problema para mí mismo”. Aunque la filósofa duda de la posibilidad de que autónomamente los individuos seamos capaces de disponer de la lucidez suficiente para darnos cuenta de lo que el autor de “La ciudad de Dios” se planteaba, existe la opción de que, mediante una introspección, se pueda lograr ese grado de consciencia sobre uno mismo. Una meditación profunda que no debe ser distraída ni alterada por el ruido exterior.</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Apliquemos esta teorización de Arendt y del santo de Hipona al caso del “mantra” de la globalización (librecambio, financierización, multilateralismo, tierra plana, disrupción… o como quieran llamarla las vacas sagradas, los grandes bonetes o</w:t>
      </w:r>
      <w:r w:rsidR="00116E4C">
        <w:rPr>
          <w:rFonts w:ascii="Times New Roman" w:hAnsi="Times New Roman" w:cs="Times New Roman"/>
          <w:sz w:val="24"/>
          <w:szCs w:val="24"/>
          <w:shd w:val="clear" w:color="auto" w:fill="FFFFFF"/>
        </w:rPr>
        <w:t xml:space="preserve"> los gurús</w:t>
      </w:r>
      <w:r w:rsidRPr="006C6A7B">
        <w:rPr>
          <w:rFonts w:ascii="Times New Roman" w:hAnsi="Times New Roman" w:cs="Times New Roman"/>
          <w:sz w:val="24"/>
          <w:szCs w:val="24"/>
          <w:shd w:val="clear" w:color="auto" w:fill="FFFFFF"/>
        </w:rPr>
        <w:t xml:space="preserve"> mediáticos), cuya relación con la realidad es muy problemática, y como se ha demostrado en las dos últimas crisis (financiera 2008, y sanitaria 2020), su capacidad para transformar en sistémicos los problemas locales, resulta singularmente explosiva, dramática y peligrosa.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Los “borradores de cabeza” (desde sus púlpitos</w:t>
      </w:r>
      <w:r>
        <w:rPr>
          <w:rFonts w:ascii="Times New Roman" w:hAnsi="Times New Roman" w:cs="Times New Roman"/>
          <w:sz w:val="24"/>
          <w:szCs w:val="24"/>
          <w:shd w:val="clear" w:color="auto" w:fill="FFFFFF"/>
        </w:rPr>
        <w:t>,</w:t>
      </w:r>
      <w:r w:rsidRPr="006C6A7B">
        <w:rPr>
          <w:rFonts w:ascii="Times New Roman" w:hAnsi="Times New Roman" w:cs="Times New Roman"/>
          <w:sz w:val="24"/>
          <w:szCs w:val="24"/>
          <w:shd w:val="clear" w:color="auto" w:fill="FFFFFF"/>
        </w:rPr>
        <w:t xml:space="preserve"> bien rentados) siguen sosteniendo que no importa la realidad sino “el relato”, por contradictorio que sea con los hechos, y mucho más si se manejan palabras de significado torturado, porque a estas, pese a su densidad, se las lleva el viento. Como escribió Cicerón, “no hay nada tan increíble que la oratoria no pueda volverlo aceptable”. Y así, en base a ese “relato” han puesto a la economía productiva, en un estado permanente, de economía especulativa (de casino) propia de un broker bursátil no especialmente cuidadoso con las buenas prácticas: que suele comprar en corto y especular de continuo.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Toda la información seleccionada, y todos los cálculos realizados (en el Apartado correspondiente, por mi cuenta y riesgo) intentan dar una pista al lector para que reflexione (investigue, cuantifique, debata) -aunque sea difícil, no es imposible- si el proceso de globalización económica ha llegado a ser un problema en sí mismo. La meditación -recuérdense los ejercicios espirituales según Ignacio de Loyola- se practica en el silencio.</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La deriva de la globalización hacia los bloques regionales, es el principio del espíritu de enmienda económica; antes tendrá que producirse el pedido de perdón (por las mentiras y daños provocados), seguido del arrepentimiento (por la complicidad manifiesta). Oremos…  </w:t>
      </w:r>
    </w:p>
    <w:p w:rsidR="006E5D75" w:rsidRPr="00BB1E6C" w:rsidRDefault="006E5D75" w:rsidP="006E5D75">
      <w:pPr>
        <w:spacing w:line="240" w:lineRule="auto"/>
        <w:jc w:val="both"/>
        <w:rPr>
          <w:rStyle w:val="Textoennegrita"/>
          <w:rFonts w:ascii="Times New Roman" w:hAnsi="Times New Roman" w:cs="Times New Roman"/>
          <w:b w:val="0"/>
          <w:bCs w:val="0"/>
          <w:sz w:val="24"/>
          <w:szCs w:val="24"/>
          <w:shd w:val="clear" w:color="auto" w:fill="FFFFFF"/>
        </w:rPr>
      </w:pPr>
      <w:r w:rsidRPr="006C6A7B">
        <w:rPr>
          <w:rFonts w:ascii="Times New Roman" w:hAnsi="Times New Roman" w:cs="Times New Roman"/>
          <w:sz w:val="24"/>
          <w:szCs w:val="24"/>
          <w:shd w:val="clear" w:color="auto" w:fill="FFFFFF"/>
        </w:rPr>
        <w:t>Winston Churchill explicó en su momento que su éxito se debía a su capacidad de ir de fracaso en fracaso, sin perder el entusiasmo. </w:t>
      </w:r>
      <w:r w:rsidRPr="00BB1E6C">
        <w:rPr>
          <w:rStyle w:val="Textoennegrita"/>
          <w:rFonts w:ascii="Times New Roman" w:hAnsi="Times New Roman" w:cs="Times New Roman"/>
          <w:b w:val="0"/>
          <w:sz w:val="24"/>
          <w:szCs w:val="24"/>
          <w:bdr w:val="none" w:sz="0" w:space="0" w:color="auto" w:frame="1"/>
          <w:shd w:val="clear" w:color="auto" w:fill="FFFFFF"/>
        </w:rPr>
        <w:t>En política, la memoria es muchas veces cortoplacista. Por lo visto, con la globalización es la economía la que se ha transformado en “cortoplacista” (financiera, especulativa, irracionalmente exuberante, miope, bipolar, codiciosa, avara, frívola, arrogante, fatua, falaz, indiferente, irresponsable, cínica, hipócrita, que privatiza las ganancias y socializa las pérdidas…). Pura ingeniería financiera y multiplicadores dudosos.</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Con todo, el presente no pinta bien para una economía de casino. Sólo el tiempo dirá si la bola global sigue creciendo, o la rebelión social revienta el multilateralismo y el librecambio.</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Aunque las “serpientes encantadoras de hombres” de Wall Street y Silicon Valley nos intentan convencer que la globalización es un “hecho de la naturaleza”, y que no hay otra solución. Eso es falso. Un modelo puede considerarse validado si sus predicciones se corresponden con la realidad.</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Nos volverán a decir que, es el Estado el que tiene que gastar para resolver las crisis sistémicas, cuando lo que quieren decir es que el estado debe gastar para socializar las pérdidas, mientras mantiene la privatización de las ganancias. Hasta que no quede a quién exprimir más.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Y a toda esta enorme transferencia de riqueza de los sectores productivos y ahorradores</w:t>
      </w:r>
      <w:r w:rsidR="00C91E05">
        <w:rPr>
          <w:rFonts w:ascii="Times New Roman" w:hAnsi="Times New Roman" w:cs="Times New Roman"/>
          <w:sz w:val="24"/>
          <w:szCs w:val="24"/>
          <w:shd w:val="clear" w:color="auto" w:fill="FFFFFF"/>
        </w:rPr>
        <w:t>,</w:t>
      </w:r>
      <w:r w:rsidRPr="006C6A7B">
        <w:rPr>
          <w:rFonts w:ascii="Times New Roman" w:hAnsi="Times New Roman" w:cs="Times New Roman"/>
          <w:sz w:val="24"/>
          <w:szCs w:val="24"/>
          <w:shd w:val="clear" w:color="auto" w:fill="FFFFFF"/>
        </w:rPr>
        <w:t xml:space="preserve"> hacia los gobiernos y sectores más cercanos a los mismos, lo llamarán “errores del capitalismo”.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El embeleco de las redes sociales, el anestésico de los teléfonos móviles, la hipnosis de Instagram, el analfabetismo funcional de los tuits, la alienante adicción al WhatsApp, los gadgets </w:t>
      </w:r>
      <w:r>
        <w:rPr>
          <w:rFonts w:ascii="Times New Roman" w:hAnsi="Times New Roman" w:cs="Times New Roman"/>
          <w:sz w:val="24"/>
          <w:szCs w:val="24"/>
          <w:shd w:val="clear" w:color="auto" w:fill="FFFFFF"/>
        </w:rPr>
        <w:t>caz</w:t>
      </w:r>
      <w:r w:rsidRPr="006C6A7B">
        <w:rPr>
          <w:rFonts w:ascii="Times New Roman" w:hAnsi="Times New Roman" w:cs="Times New Roman"/>
          <w:sz w:val="24"/>
          <w:szCs w:val="24"/>
          <w:shd w:val="clear" w:color="auto" w:fill="FFFFFF"/>
        </w:rPr>
        <w:t>abobos, la gig-economy, los low-cost, la nube (de pedos)…  no alcanzarán para disimular el panorama. Los millones de parados urgirán alguna respuesta.</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 ver cómo</w:t>
      </w:r>
      <w:r w:rsidR="0090047C">
        <w:rPr>
          <w:rFonts w:ascii="Times New Roman" w:hAnsi="Times New Roman" w:cs="Times New Roman"/>
          <w:sz w:val="24"/>
          <w:szCs w:val="24"/>
          <w:shd w:val="clear" w:color="auto" w:fill="FFFFFF"/>
        </w:rPr>
        <w:t>,</w:t>
      </w:r>
      <w:r w:rsidRPr="006C6A7B">
        <w:rPr>
          <w:rFonts w:ascii="Times New Roman" w:hAnsi="Times New Roman" w:cs="Times New Roman"/>
          <w:sz w:val="24"/>
          <w:szCs w:val="24"/>
          <w:shd w:val="clear" w:color="auto" w:fill="FFFFFF"/>
        </w:rPr>
        <w:t xml:space="preserve"> los “titiriteros” de Wall Street y Silicon Valley, logran “aplanar la curva” del desempleo, o propagar entre la población la “inmunidad colectiva” a las crisis (financiera, sanitaria, laboral, económica, social, moral…).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Por más que YouTube, Spotify, videojuegos, pokemons</w:t>
      </w:r>
      <w:r>
        <w:rPr>
          <w:rFonts w:ascii="Times New Roman" w:hAnsi="Times New Roman" w:cs="Times New Roman"/>
          <w:sz w:val="24"/>
          <w:szCs w:val="24"/>
          <w:shd w:val="clear" w:color="auto" w:fill="FFFFFF"/>
        </w:rPr>
        <w:t>, y otras adicciones gibarizantes</w:t>
      </w:r>
      <w:r w:rsidRPr="006C6A7B">
        <w:rPr>
          <w:rFonts w:ascii="Times New Roman" w:hAnsi="Times New Roman" w:cs="Times New Roman"/>
          <w:sz w:val="24"/>
          <w:szCs w:val="24"/>
          <w:shd w:val="clear" w:color="auto" w:fill="FFFFFF"/>
        </w:rPr>
        <w:t>…  intenten negar la evidencia o anestesiar a la manada, nada se podrá hacer por resolver la situación de la “generación confinada” (los jóvenes de 15 a 24 años), para quienes los efectos de la crisis sanitaria-económica serán más duraderos.</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Ni Facebook, ni Amazon, ni Apple, ni otras “fábricas de fantasías”, podrán devolver la ilusión asaltada y el futuro robado a la “generación confinada”… cuando uno de cada seis jóvenes en el mundo ha perdido su empleo desde el comienzo de la epidemia y los que siguen ocupados vieron reducir sus horas de trabajo en un 23%... cuando tres de cada cuatro jóvenes activos en el mercado laboral trabaja en el sector informal… (según la OIT - </w:t>
      </w:r>
      <w:r w:rsidRPr="00313DDF">
        <w:rPr>
          <w:rFonts w:ascii="Times New Roman" w:hAnsi="Times New Roman" w:cs="Times New Roman"/>
          <w:b/>
          <w:sz w:val="24"/>
          <w:szCs w:val="24"/>
          <w:shd w:val="clear" w:color="auto" w:fill="FFFFFF"/>
        </w:rPr>
        <w:t>28/5/20</w:t>
      </w:r>
      <w:r w:rsidRPr="006C6A7B">
        <w:rPr>
          <w:rFonts w:ascii="Times New Roman" w:hAnsi="Times New Roman" w:cs="Times New Roman"/>
          <w:sz w:val="24"/>
          <w:szCs w:val="24"/>
          <w:shd w:val="clear" w:color="auto" w:fill="FFFFFF"/>
        </w:rPr>
        <w:t>).</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 ver cómo los alquimistas de la “economía compartida” (disruptiva) se las apañan para solventar los problemas de la “economía de la silla vacía”, que bien podría convertirse en uno de los símbolos más característicos de la economía que viene. La de la distancia social contra la pandemia. A ver cómo, la cultura del pelotazo y el cortoplacismo, ofrece soluciones.</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Cuando la industria ha dejado de ser sexy para muchos empresarios y gobiernos, pese a que los salarios son más elevados que en el resto de los sectores, la innovación es mayor y, además, incorpora un mayor nivel de cualificación profesional, privilegiando al sector servicios de bajo valor añadido, precariedad laboral y escasa inversión en formación de los trabajadores, se termina afectando a la estructura social. Las clases medias se resienten y, en su lugar, emergen el precariado y el fenómeno de los trabajadores pobres que sobreviven, en muchos casos, a costa de las prestaciones públicas. Entonces se demuestra que los webonomics están desnudos (no sirven para nada), y los webonazos están jodidos (of course).</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Pero los funambulistas de Wall Street, y los titiriteros de Silicon Valley, que han perdido el control del presente, no se quedarán de brazos cruzados, no aceptarán la derrota, y serán capaces de reescribir el pasado a la desesperada (la globalización fue un accidente de la naturaleza, o es culpa de China, como el Covid-19) para tratar de recuperarlo. ¡Atentos! </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La ciencia es ensayo y error; es aprendizaje y experiencia. Muchos estudiosos han tenido la honestidad de admitir que, en el medio de la incertidumbre, van tanteando y descubriendo sobre la marcha. ¿Cómo encuadra entonces el dogmatismo de la globalización? Si el derecho a plantear dudas e interrogantes asiste siempre a una sociedad moderna y democrática, se hace mucho más obvio (e inclusive necesario) ante un enorme cúmulo de datos que se ignoran y otro cúmulo de contradicciones que muchas veces nos dejan perplejos. Ni hablar de los errores académicos que echan leña al fuego de la confusión.</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¿No podemos plantear dudas? ¿Solo nos cabe acatar y agradecer a una empresa que nos “entretiene” y a un estado que hace que “nos cuida”? ¿Nos van a decir también cuáles son las angustias permitidas? ¿Está mal que nos angustien la situación económica, el temor al futuro, la incertidumbre, el riesgo de quedarnos sin trabajo, la ansiedad por nuestros hijos, la desasistencia de padres y abuelos? ¿O tenemos que aceptar como normal la grieta, entre angustiados y agradecidos?</w:t>
      </w:r>
    </w:p>
    <w:p w:rsidR="006E5D75" w:rsidRPr="006C6A7B" w:rsidRDefault="006E5D75" w:rsidP="006E5D7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Atravesamos una circunstancia (crisis sanitaria 2020), después de otra circunstancia (crisis financiera 2008), que transformarán, probablemente, mucho de lo conocido. </w:t>
      </w:r>
      <w:r w:rsidRPr="006C6A7B">
        <w:rPr>
          <w:rFonts w:ascii="Times New Roman" w:hAnsi="Times New Roman" w:cs="Times New Roman"/>
          <w:sz w:val="24"/>
          <w:szCs w:val="24"/>
        </w:rPr>
        <w:t xml:space="preserve">Reducir todo al dogma de “la irreversibilidad de la globalización” parece un reduccionismo excesivo, más propio de un eslogan propagandístico que de un razonamiento científico; más propio de una mirada sesgada que de la perspectiva de un académico (o un analista, medianamente serio). </w:t>
      </w:r>
      <w:r w:rsidRPr="006C6A7B">
        <w:rPr>
          <w:rFonts w:ascii="Times New Roman" w:hAnsi="Times New Roman" w:cs="Times New Roman"/>
          <w:sz w:val="24"/>
          <w:szCs w:val="24"/>
          <w:bdr w:val="none" w:sz="0" w:space="0" w:color="auto" w:frame="1"/>
          <w:lang w:val="es-AR"/>
        </w:rPr>
        <w:t>Tenemos derecho a dudar cuando vemos que las soflamas (“todos ganan”) no se corresponden con las consecuencias (“el ganador se lleva todo”)…</w:t>
      </w: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Si la actividad empresarial es ensayo y error, la intelectualidad es (o debería ser) crítica y debate. Tal vez deberíamos preguntarnos, frente a una situación tan compleja y tan desafiante como la que atravesamos (una crisis sanitaria y dos crisis económicas, de extremos catastróficos), dónde están los investigadores económicos. Por supuesto que hay grandes “solistas” que se expresan con potencia y reconfortante lucidez. Pero </w:t>
      </w:r>
      <w:r w:rsidRPr="006C6A7B">
        <w:rPr>
          <w:bCs/>
          <w:bdr w:val="none" w:sz="0" w:space="0" w:color="auto" w:frame="1"/>
          <w:shd w:val="clear" w:color="auto" w:fill="FFFFFF"/>
        </w:rPr>
        <w:t>el debate y el pensamiento crítico hoy carecen de calidad en el ámbito económico. El pensamiento único, y los pronunciamientos políticamente correctos, condicionan la racionalidad en el ámbito académico</w:t>
      </w:r>
      <w:r w:rsidRPr="006C6A7B">
        <w:rPr>
          <w:shd w:val="clear" w:color="auto" w:fill="FFFFFF"/>
        </w:rPr>
        <w:t>. ¿Dónde están las universidades? ¿Dónde las academias de ciencias? ¿Qué dicen las asociaciones de profesionales? Parecen, al menos, de capa caída, casi en retirada. Tengo la sospecha que una parte de la intelectualidad desertó de su mandato ético al integrar el  coro académico de las universidades de la “Ivy leage schools”. Los suculentos honorarios, y las subvenciones (públicas y privadas) a los proyectos de investigación, tienen su “peaje”. Y en esas estamos: rendidos al dogmatismo militante de la globalización, la financierización, el multilateralismo, y el librecambio. Cómplices necesarios</w:t>
      </w:r>
      <w:r>
        <w:rPr>
          <w:shd w:val="clear" w:color="auto" w:fill="FFFFFF"/>
        </w:rPr>
        <w:t>.</w:t>
      </w:r>
      <w:r w:rsidRPr="006C6A7B">
        <w:rPr>
          <w:shd w:val="clear" w:color="auto" w:fill="FFFFFF"/>
        </w:rPr>
        <w:t xml:space="preserve"> Ciegos voluntarios. Estómagos agradecidos. El silencio de los corderos (grandes bonetes, vacas sagradas, cabezas de huevo, algunos Nobeles y muchos noveleros). </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shd w:val="clear" w:color="auto" w:fill="FFFFFF"/>
        <w:spacing w:after="0" w:line="240" w:lineRule="auto"/>
        <w:jc w:val="both"/>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Los analistas económicos (no empesebrados) tenemos derecho a dudar cuando advertimos que algunos científicos parecen demasiado cómodos al abrigo de los despachos y los honores oficiales. La ciencia puede quedar manchada cuando pierde independencia y cae en alguna complacencia.</w:t>
      </w:r>
    </w:p>
    <w:p w:rsidR="006E5D75" w:rsidRPr="006C6A7B" w:rsidRDefault="006E5D75" w:rsidP="006E5D75">
      <w:pPr>
        <w:pStyle w:val="NormalWeb"/>
        <w:shd w:val="clear" w:color="auto" w:fill="FFFFFF"/>
        <w:spacing w:after="0"/>
        <w:jc w:val="both"/>
        <w:rPr>
          <w:shd w:val="clear" w:color="auto" w:fill="FFFFFF"/>
        </w:rPr>
      </w:pPr>
      <w:r w:rsidRPr="006C6A7B">
        <w:rPr>
          <w:shd w:val="clear" w:color="auto" w:fill="FFFFFF"/>
        </w:rPr>
        <w:t>Ojalá se alcen muchas voces que reivindiquen el derecho a dudar y a debatir. No entreguemos nuestro espíritu crítico. No aceptemos, con mansedumbre, las pretensiones del pensamiento hegemónico. ¿No hay otra alternativa que seguir con la globalización, la financierización, el multilateralismo, y el librecambio?</w:t>
      </w:r>
    </w:p>
    <w:p w:rsidR="006E5D75" w:rsidRPr="006C6A7B" w:rsidRDefault="006E5D75" w:rsidP="006E5D75">
      <w:pPr>
        <w:pStyle w:val="NormalWeb"/>
        <w:shd w:val="clear" w:color="auto" w:fill="FFFFFF"/>
        <w:spacing w:after="0"/>
        <w:jc w:val="both"/>
        <w:rPr>
          <w:shd w:val="clear" w:color="auto" w:fill="FFFFFF"/>
        </w:rPr>
      </w:pPr>
      <w:r w:rsidRPr="006C6A7B">
        <w:rPr>
          <w:shd w:val="clear" w:color="auto" w:fill="FFFFFF"/>
        </w:rPr>
        <w:t xml:space="preserve">Mientras buscamos la respuesta (algunas vengo sosteniendo desde 1998, aunque no las proclamo como verdades absolutas), no debemos admitir que encierren nuestro pensamiento, descalifiquen nuestras dudas y nos manden a callar. </w:t>
      </w: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A pesar de ser un millonario en fracasos, de mi estado de duda permanente, y de</w:t>
      </w:r>
      <w:r>
        <w:rPr>
          <w:shd w:val="clear" w:color="auto" w:fill="FFFFFF"/>
        </w:rPr>
        <w:t xml:space="preserve"> mi</w:t>
      </w:r>
      <w:r w:rsidRPr="006C6A7B">
        <w:rPr>
          <w:shd w:val="clear" w:color="auto" w:fill="FFFFFF"/>
        </w:rPr>
        <w:t xml:space="preserve"> poca voz, me animo a sostener que: cuanto más se ensanche y ramifique la grieta económica, laboral, educativa, sanitaria y social, más difícil será enderezar y acordar el rumbo de la economía para los próximos años. No estoy hablando de años perdidos, sino de parte de un siglo de retroceso (cincuenta años, o más). Si eso no es un fracaso flagrante del modelo económico de la globalización, que venga Dios</w:t>
      </w:r>
      <w:r w:rsidR="00D50938">
        <w:rPr>
          <w:shd w:val="clear" w:color="auto" w:fill="FFFFFF"/>
        </w:rPr>
        <w:t>,</w:t>
      </w:r>
      <w:r w:rsidRPr="006C6A7B">
        <w:rPr>
          <w:shd w:val="clear" w:color="auto" w:fill="FFFFFF"/>
        </w:rPr>
        <w:t xml:space="preserve"> y lo vea.</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Las bolsas de marginalidad crecientes en países avanzados, a los que antes se veía como ajenos al mundo de la pobreza severa, la imposibilidad de garantizar empleos de calidad para mantener la competitividad, la precariedad laboral, los empleos de usar y tirar, los falsos autónomos, los becarios eternos, el aumento de la pobreza… son cuentas (negativas) en el balance de una economía de casino (Wall Street) y entretenimiento (Silicon Valley), que son los “únicos” sectores económicos (no productivos) que les dejaron a los países avanzados después del proceso de deslocalización, desregulación y privatización, llevado adelante en Occidente desde el año 1980 (Reagan, Thatcher &amp; Co.) en adelante.</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El empleo, de hecho, es la principal causa del ensanchamiento de la desigualdad en las últimas décadas. No es, por lo tanto, un fenómeno vinculado exclusivamente a la crisis financiera (pasada), la sanitaria (presente) y la económica (pasada y por venir), ni siquiera a los recortes del estado de bienestar, sino a </w:t>
      </w:r>
      <w:r w:rsidRPr="006C6A7B">
        <w:rPr>
          <w:rStyle w:val="Textoennegrita"/>
          <w:bdr w:val="none" w:sz="0" w:space="0" w:color="auto" w:frame="1"/>
          <w:shd w:val="clear" w:color="auto" w:fill="FFFFFF"/>
        </w:rPr>
        <w:t>la creciente precarización del mercado laboral</w:t>
      </w:r>
      <w:r w:rsidRPr="006C6A7B">
        <w:rPr>
          <w:shd w:val="clear" w:color="auto" w:fill="FFFFFF"/>
        </w:rPr>
        <w:t>, y que, necesariamente, hay que vincular a la </w:t>
      </w:r>
      <w:hyperlink r:id="rId351" w:history="1">
        <w:r w:rsidRPr="009E3D31">
          <w:rPr>
            <w:rStyle w:val="Hipervnculo"/>
            <w:rFonts w:eastAsiaTheme="majorEastAsia"/>
            <w:color w:val="auto"/>
            <w:u w:val="none"/>
            <w:shd w:val="clear" w:color="auto" w:fill="FFFFFF"/>
          </w:rPr>
          <w:t>globalización</w:t>
        </w:r>
      </w:hyperlink>
      <w:r w:rsidRPr="009E3D31">
        <w:rPr>
          <w:shd w:val="clear" w:color="auto" w:fill="FFFFFF"/>
        </w:rPr>
        <w:t> </w:t>
      </w:r>
      <w:r w:rsidRPr="006C6A7B">
        <w:rPr>
          <w:shd w:val="clear" w:color="auto" w:fill="FFFFFF"/>
        </w:rPr>
        <w:t xml:space="preserve">y a la división internacional del trabajo, que hace recaer en los trabajadores menos cualificados y en los más expuestos a la competencia exterior los efectos negativos de la caída desequilibrada de las barreras arancelarias. Esos mismos trabajadores que son, además, más vulnerables a la acelerada maquinización del trabajo.  </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Ante semejante </w:t>
      </w:r>
      <w:r w:rsidRPr="006C6A7B">
        <w:rPr>
          <w:rStyle w:val="Textoennegrita"/>
          <w:bdr w:val="none" w:sz="0" w:space="0" w:color="auto" w:frame="1"/>
          <w:shd w:val="clear" w:color="auto" w:fill="FFFFFF"/>
        </w:rPr>
        <w:t>desigualdad de oportunidades</w:t>
      </w:r>
      <w:r w:rsidRPr="006C6A7B">
        <w:rPr>
          <w:shd w:val="clear" w:color="auto" w:fill="FFFFFF"/>
        </w:rPr>
        <w:t xml:space="preserve">, en las últimas décadas, consecuencia directa de un determinado modelo económico librecambista, me animo a sostener que: la globalización es un “anacronismo”. Lo dejo por escrito, y me hago cargo de ello. </w:t>
      </w:r>
      <w:r w:rsidR="00D50938">
        <w:rPr>
          <w:shd w:val="clear" w:color="auto" w:fill="FFFFFF"/>
        </w:rPr>
        <w:t>El tiempo dará o quitará razón</w:t>
      </w:r>
      <w:r w:rsidRPr="006C6A7B">
        <w:rPr>
          <w:shd w:val="clear" w:color="auto" w:fill="FFFFFF"/>
        </w:rPr>
        <w:t xml:space="preserve">. </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En vez de seguir intentando resolver (tarde y mal) las “consecuencias” sociales (con subvenciones públicas, ingreso mínimo vital, prestaciones sociales</w:t>
      </w:r>
      <w:r w:rsidR="00D50938">
        <w:rPr>
          <w:shd w:val="clear" w:color="auto" w:fill="FFFFFF"/>
        </w:rPr>
        <w:t>, o “paguitas” clientelares</w:t>
      </w:r>
      <w:r w:rsidRPr="006C6A7B">
        <w:rPr>
          <w:shd w:val="clear" w:color="auto" w:fill="FFFFFF"/>
        </w:rPr>
        <w:t>…), habría que resolver las “causas” económicas que generan la precariedad laboral, el desempleo y la pobreza (globalización, financierización, deslocalización, tercerización, librecambio, desregulación, privatización…)</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“Cuando los hechos cambian, yo cambio de opinión… Y ¿usted qué hace?”, respondió el gran economista </w:t>
      </w:r>
      <w:r w:rsidRPr="006C6A7B">
        <w:rPr>
          <w:shd w:val="clear" w:color="auto" w:fill="FFFFFF"/>
        </w:rPr>
        <w:softHyphen/>
        <w:t>británico John Maynard. Espero que los grandes maestros de la economía, en la actualidad, hagan lo mismo.</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La globalización económica es un instrumento que utilizaron las empresas de los países avanzados e impusieron a los Estados soberanos, y no un conjunto de leyes naturales.  No estamos ante una disciplina científica desapasionada que descubre leyes inquebrantables, sino ante un conjunto de posiciones que reflejan cómo los seres humanos, y las estructuras de las que se dotan, arreglan los asuntos comunes.</w:t>
      </w:r>
    </w:p>
    <w:p w:rsidR="007E3EB9" w:rsidRPr="006C6A7B" w:rsidRDefault="007E3EB9"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definitiva, el “gran problema” no es la connivencia pretérita y contemporánea entre las grandes empresas y el poder político (que va de suyo), sino la “gran paradoja” (absurdo económico y social) que ese contubernio haya sido utilizado para la creación (y en beneficio) de una clase media (tal vez, 300/400 millones de personas) en los países emergentes (China, más, e India, menos), en detrimento de la clase media (ahora, casi en extinción) en los países desarrollados (ahora, en vías de subdesarrollo). Han desvestido al Santo propio, para vestir a un Santo ajeno. Una interpretación del</w:t>
      </w:r>
      <w:r>
        <w:rPr>
          <w:rFonts w:ascii="Times New Roman" w:hAnsi="Times New Roman" w:cs="Times New Roman"/>
          <w:sz w:val="24"/>
          <w:szCs w:val="24"/>
        </w:rPr>
        <w:t xml:space="preserve"> librecambio, un tanto surrealista</w:t>
      </w:r>
      <w:r w:rsidR="00D50938">
        <w:rPr>
          <w:rFonts w:ascii="Times New Roman" w:hAnsi="Times New Roman" w:cs="Times New Roman"/>
          <w:sz w:val="24"/>
          <w:szCs w:val="24"/>
        </w:rPr>
        <w:t xml:space="preserve"> (liberalismo bipolar).</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mayúsculos benefi</w:t>
      </w:r>
      <w:r>
        <w:rPr>
          <w:rFonts w:ascii="Times New Roman" w:hAnsi="Times New Roman" w:cs="Times New Roman"/>
          <w:sz w:val="24"/>
          <w:szCs w:val="24"/>
        </w:rPr>
        <w:t>cios alcanzados por las grandes corporaciones</w:t>
      </w:r>
      <w:r w:rsidRPr="006C6A7B">
        <w:rPr>
          <w:rFonts w:ascii="Times New Roman" w:hAnsi="Times New Roman" w:cs="Times New Roman"/>
          <w:sz w:val="24"/>
          <w:szCs w:val="24"/>
        </w:rPr>
        <w:t xml:space="preserve"> estadounidenses (más) y europeas (menos), en virtud de la globalización, no resultan equivalentes al enorme perjuicio económico y social, causado a la población de sus propios países a consecuencia de la globalización (empleo, temporalidad, precariedad, distribución de los ingresos, servicio público,</w:t>
      </w:r>
      <w:r w:rsidR="00C648DE">
        <w:rPr>
          <w:rFonts w:ascii="Times New Roman" w:hAnsi="Times New Roman" w:cs="Times New Roman"/>
          <w:sz w:val="24"/>
          <w:szCs w:val="24"/>
        </w:rPr>
        <w:t xml:space="preserve"> educación, sanidad, pensiones, </w:t>
      </w:r>
      <w:r w:rsidRPr="006C6A7B">
        <w:rPr>
          <w:rFonts w:ascii="Times New Roman" w:hAnsi="Times New Roman" w:cs="Times New Roman"/>
          <w:sz w:val="24"/>
          <w:szCs w:val="24"/>
        </w:rPr>
        <w:t>igualdad de oportunidades, confianza en las instituciones… ).</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codicia, la avaricia, la arrogancia, la fatuidad, la connivencia, la corrupción, la indiferencia, la irresponsabilidad, la hipocresía, el cinismo… (y podría seguir) de estos empresarios de casino</w:t>
      </w:r>
      <w:r>
        <w:rPr>
          <w:rFonts w:ascii="Times New Roman" w:hAnsi="Times New Roman" w:cs="Times New Roman"/>
          <w:sz w:val="24"/>
          <w:szCs w:val="24"/>
        </w:rPr>
        <w:t xml:space="preserve">, y </w:t>
      </w:r>
      <w:r w:rsidRPr="006C6A7B">
        <w:rPr>
          <w:rFonts w:ascii="Times New Roman" w:hAnsi="Times New Roman" w:cs="Times New Roman"/>
          <w:sz w:val="24"/>
          <w:szCs w:val="24"/>
        </w:rPr>
        <w:t>de estos políticos de plastilina, ha terminado perjudicando al mismo capitalismo liberal, que dicen defender. Se están ahogando en la hoguera de las incorreciones.</w:t>
      </w:r>
    </w:p>
    <w:p w:rsidR="006E5D75" w:rsidRPr="006C6A7B" w:rsidRDefault="006E5D75" w:rsidP="006E5D7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Las consecuencias económicas y geopolíticas, son ya evidentes. Las consecuencias políticas están en ciernes. Las consecuencias judiciales tienen que concretarse. Es pronto aún, pero vamos por buen camino. Los amos de universo pueden pasar de la gloria a la nada, en cuanto los “consumidores” (la manada, los corderos) se den cuenta de su auténtico “poder” (hacer bo</w:t>
      </w:r>
      <w:r w:rsidR="00C648DE">
        <w:rPr>
          <w:rFonts w:ascii="Times New Roman" w:hAnsi="Times New Roman" w:cs="Times New Roman"/>
          <w:sz w:val="24"/>
          <w:szCs w:val="24"/>
        </w:rPr>
        <w:t>icot a ciertas marcas, romper el</w:t>
      </w:r>
      <w:r w:rsidRPr="006C6A7B">
        <w:rPr>
          <w:rFonts w:ascii="Times New Roman" w:hAnsi="Times New Roman" w:cs="Times New Roman"/>
          <w:sz w:val="24"/>
          <w:szCs w:val="24"/>
        </w:rPr>
        <w:t xml:space="preserve"> silencio). Con un “clic” pueden hacer quebrar a Apple, Facebook, YouTube, Amazon, Google, Instagram, Netflix, u otros trileros de Silicon Valley. </w:t>
      </w: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Con toda humildad, en mi opinión, se trata de crear prosperidad mediante el aprovechamiento de las capacidades productivas de una sociedad, y eso admite instrumentos diferentes según la situación y el momento. Hoy, la globalización constituye el mayor problema para que la economía de los países avanzados funcione.</w:t>
      </w:r>
      <w:r>
        <w:rPr>
          <w:shd w:val="clear" w:color="auto" w:fill="FFFFFF"/>
        </w:rPr>
        <w:t xml:space="preserve"> Un sistema disfuncional y ruinoso, insoportable.</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Pr="006C6A7B"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Es llamativo el anclaje de las élites económicas, de los países desarrollados, en un sistema que no funciona, en especial cuando los malos momentos que estamos viviendo están exigiendo que se abandone (al menos, temporalmente) esa perspectiva. Por favor, basta ya de ideas preconcebidas, que se convierten en una interpretación (sesgada) de la economía. Por favor, no destruyan (más) lo que no comprenden, o no saben cómo tratar (o no quieren, lo que es peor aún, si cabe). </w:t>
      </w:r>
      <w:r>
        <w:rPr>
          <w:shd w:val="clear" w:color="auto" w:fill="FFFFFF"/>
        </w:rPr>
        <w:t xml:space="preserve">El “gran reinicio” no puede ser más de lo mismo. </w:t>
      </w:r>
    </w:p>
    <w:p w:rsidR="006E5D75" w:rsidRPr="006C6A7B" w:rsidRDefault="006E5D75" w:rsidP="006E5D75">
      <w:pPr>
        <w:pStyle w:val="NormalWeb"/>
        <w:shd w:val="clear" w:color="auto" w:fill="FFFFFF"/>
        <w:spacing w:before="0" w:beforeAutospacing="0" w:after="0" w:afterAutospacing="0"/>
        <w:jc w:val="both"/>
        <w:rPr>
          <w:shd w:val="clear" w:color="auto" w:fill="FFFFFF"/>
        </w:rPr>
      </w:pPr>
    </w:p>
    <w:p w:rsidR="006E5D75" w:rsidRDefault="006E5D75" w:rsidP="006E5D75">
      <w:pPr>
        <w:pStyle w:val="NormalWeb"/>
        <w:shd w:val="clear" w:color="auto" w:fill="FFFFFF"/>
        <w:spacing w:before="0" w:beforeAutospacing="0" w:after="0" w:afterAutospacing="0"/>
        <w:jc w:val="both"/>
        <w:rPr>
          <w:shd w:val="clear" w:color="auto" w:fill="FFFFFF"/>
        </w:rPr>
      </w:pPr>
      <w:r w:rsidRPr="006C6A7B">
        <w:rPr>
          <w:shd w:val="clear" w:color="auto" w:fill="FFFFFF"/>
        </w:rPr>
        <w:t>¿Puede sostener alguno de los encumbrados consejeros de las corporaciones multinacionales, alguno de los prestigiosos académicos de las más importantes universidades de economía y negocios, o alguno de los</w:t>
      </w:r>
      <w:r w:rsidR="006A6D0A">
        <w:rPr>
          <w:shd w:val="clear" w:color="auto" w:fill="FFFFFF"/>
        </w:rPr>
        <w:t xml:space="preserve"> fatuos y arrogantes líderes políticos</w:t>
      </w:r>
      <w:r w:rsidRPr="006C6A7B">
        <w:rPr>
          <w:shd w:val="clear" w:color="auto" w:fill="FFFFFF"/>
        </w:rPr>
        <w:t>, de los países avanzados, que la globalización no ha sido una “fábrica de pobreza” para los trabajadores</w:t>
      </w:r>
      <w:r>
        <w:rPr>
          <w:shd w:val="clear" w:color="auto" w:fill="FFFFFF"/>
        </w:rPr>
        <w:t>,</w:t>
      </w:r>
      <w:r w:rsidRPr="006C6A7B">
        <w:rPr>
          <w:shd w:val="clear" w:color="auto" w:fill="FFFFFF"/>
        </w:rPr>
        <w:t xml:space="preserve"> y no ha terminado fomentando la “destrucción industrial”, sin que se les caiga la cara de vergüenza?</w:t>
      </w:r>
    </w:p>
    <w:p w:rsidR="00BB1E6C" w:rsidRDefault="00BB1E6C" w:rsidP="006E5D75">
      <w:pPr>
        <w:pStyle w:val="NormalWeb"/>
        <w:shd w:val="clear" w:color="auto" w:fill="FFFFFF"/>
        <w:spacing w:before="0" w:beforeAutospacing="0" w:after="0" w:afterAutospacing="0"/>
        <w:jc w:val="both"/>
        <w:rPr>
          <w:shd w:val="clear" w:color="auto" w:fill="FFFFFF"/>
        </w:rPr>
      </w:pPr>
    </w:p>
    <w:p w:rsidR="00BB1E6C" w:rsidRPr="004D7D6D" w:rsidRDefault="00BB1E6C" w:rsidP="00BB1E6C">
      <w:pPr>
        <w:pStyle w:val="Estndar"/>
        <w:jc w:val="both"/>
        <w:rPr>
          <w:b/>
          <w:color w:val="auto"/>
          <w:lang w:val="es-ES"/>
        </w:rPr>
      </w:pPr>
      <w:r>
        <w:rPr>
          <w:b/>
          <w:color w:val="auto"/>
          <w:lang w:val="es-ES"/>
        </w:rPr>
        <w:t>Un “f</w:t>
      </w:r>
      <w:r w:rsidRPr="004D7D6D">
        <w:rPr>
          <w:b/>
          <w:color w:val="auto"/>
          <w:lang w:val="es-ES"/>
        </w:rPr>
        <w:t>orensic</w:t>
      </w:r>
      <w:r>
        <w:rPr>
          <w:b/>
          <w:color w:val="auto"/>
          <w:lang w:val="es-ES"/>
        </w:rPr>
        <w:t>”</w:t>
      </w:r>
      <w:r w:rsidRPr="004D7D6D">
        <w:rPr>
          <w:b/>
          <w:color w:val="auto"/>
          <w:lang w:val="es-ES"/>
        </w:rPr>
        <w:t xml:space="preserve"> de la globalización (Informe de auditoría sobre las crisis auto infligidas)</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FF0000"/>
          <w:szCs w:val="24"/>
          <w:lang w:val="es-ES"/>
        </w:rPr>
      </w:pPr>
      <w:r w:rsidRPr="00B5689E">
        <w:rPr>
          <w:color w:val="FF0000"/>
          <w:szCs w:val="24"/>
          <w:lang w:val="es-ES"/>
        </w:rPr>
        <w:t>2009 (contracción del 2,9%)</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La recesión de 2009 surgió del colapso del mercado inmobiliario de Estados Unidos debido a la crisis financiera de 2007-2008 y la crisis de las hipotecas de alto riesgo.</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Como resultado, varias empresas y bancos tuvieron que ser rescatados por los gobiernos centrales de todo el mundo.</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Según el FMI (Fondo</w:t>
      </w:r>
      <w:r>
        <w:rPr>
          <w:color w:val="auto"/>
          <w:szCs w:val="24"/>
          <w:lang w:val="es-ES"/>
        </w:rPr>
        <w:t xml:space="preserve"> Monetario Internacional), fue “</w:t>
      </w:r>
      <w:r w:rsidRPr="00B5689E">
        <w:rPr>
          <w:color w:val="auto"/>
          <w:szCs w:val="24"/>
          <w:lang w:val="es-ES"/>
        </w:rPr>
        <w:t>el colapso económico y financiero más grave desde la Gran</w:t>
      </w:r>
      <w:r>
        <w:rPr>
          <w:color w:val="auto"/>
          <w:szCs w:val="24"/>
          <w:lang w:val="es-ES"/>
        </w:rPr>
        <w:t xml:space="preserve"> Depresión de la década de 1930”</w:t>
      </w:r>
      <w:r w:rsidRPr="00B5689E">
        <w:rPr>
          <w:color w:val="auto"/>
          <w:szCs w:val="24"/>
          <w:lang w:val="es-ES"/>
        </w:rPr>
        <w:t>.</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Sin embargo, esta contracción no se sintió igualmente en todo el mundo. Si bien, por un lado, la mayoría de las economías desarrolladas entraban en recesión, los países emergentes sufrían un impacto proporcionalmente mucho menor.</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A modo de comparación, en 2009, el PIB estadounidense cayó un 2,5% mientras que el brasileño, un 0,1%. Al año siguiente, Brasil registró un rotundo crecimiento del 7,5%.</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FF0000"/>
          <w:szCs w:val="24"/>
          <w:lang w:val="es-ES"/>
        </w:rPr>
      </w:pPr>
      <w:r w:rsidRPr="00B5689E">
        <w:rPr>
          <w:color w:val="FF0000"/>
          <w:szCs w:val="24"/>
          <w:lang w:val="es-ES"/>
        </w:rPr>
        <w:t>2020 (contracción estimada del 6,2%)</w:t>
      </w:r>
    </w:p>
    <w:p w:rsidR="00BB1E6C" w:rsidRPr="00B5689E" w:rsidRDefault="00BB1E6C" w:rsidP="00BB1E6C">
      <w:pPr>
        <w:pStyle w:val="Estndar"/>
        <w:jc w:val="both"/>
        <w:rPr>
          <w:color w:val="FF0000"/>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El nuevo virus, que se originó en China, obligó a la mayoría de los países a implementar medidas firmes para restringir el movimiento de personas.</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Con las poblaciones limitadas por el temor de la saturación de los sistemas de salud, los intercambios económicos se vieron gravemente obstaculizados.</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 xml:space="preserve">El Banco Mundial espera que el PIB global per cápita se reduzca un 6,2% este año, más del doble que el registrado en la crisis financiera de 2008. </w:t>
      </w:r>
    </w:p>
    <w:p w:rsidR="00BB1E6C" w:rsidRPr="00B5689E" w:rsidRDefault="00BB1E6C" w:rsidP="00BB1E6C">
      <w:pPr>
        <w:pStyle w:val="Estndar"/>
        <w:jc w:val="both"/>
        <w:rPr>
          <w:color w:val="auto"/>
          <w:szCs w:val="24"/>
          <w:lang w:val="es-ES"/>
        </w:rPr>
      </w:pPr>
    </w:p>
    <w:p w:rsidR="00BB1E6C" w:rsidRPr="00B5689E" w:rsidRDefault="007E3EB9" w:rsidP="00BB1E6C">
      <w:pPr>
        <w:pStyle w:val="Estndar"/>
        <w:jc w:val="both"/>
        <w:rPr>
          <w:color w:val="auto"/>
          <w:szCs w:val="24"/>
          <w:lang w:val="es-ES"/>
        </w:rPr>
      </w:pPr>
      <w:r>
        <w:rPr>
          <w:color w:val="auto"/>
          <w:szCs w:val="24"/>
          <w:lang w:val="es-ES"/>
        </w:rPr>
        <w:t>“</w:t>
      </w:r>
      <w:r w:rsidR="00BB1E6C" w:rsidRPr="00B5689E">
        <w:rPr>
          <w:color w:val="auto"/>
          <w:szCs w:val="24"/>
          <w:lang w:val="es-ES"/>
        </w:rPr>
        <w:t xml:space="preserve">Los pronósticos actuales sugieren que la recesión mundial de coronavirus será la más profunda desde la Segunda Guerra Mundial, con la mayor parte de las economías experimentando disminuciones </w:t>
      </w:r>
      <w:r>
        <w:rPr>
          <w:color w:val="auto"/>
          <w:szCs w:val="24"/>
          <w:lang w:val="es-ES"/>
        </w:rPr>
        <w:t>en el PIB per cápita desde 1870”</w:t>
      </w:r>
      <w:r w:rsidR="00BB1E6C" w:rsidRPr="00B5689E">
        <w:rPr>
          <w:color w:val="auto"/>
          <w:szCs w:val="24"/>
          <w:lang w:val="es-ES"/>
        </w:rPr>
        <w:t xml:space="preserve">, dijeron los economistas Ayhan Kose y Naotaka Sugawara en el blog del Banco Mundial. </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 xml:space="preserve">Según ellos, “la proporción será más de un 90% mayor que la del apogeo </w:t>
      </w:r>
      <w:r>
        <w:rPr>
          <w:color w:val="auto"/>
          <w:szCs w:val="24"/>
          <w:lang w:val="es-ES"/>
        </w:rPr>
        <w:t>de la Gran Depresión de 1930-32”</w:t>
      </w:r>
      <w:r w:rsidRPr="00B5689E">
        <w:rPr>
          <w:color w:val="auto"/>
          <w:szCs w:val="24"/>
          <w:lang w:val="es-ES"/>
        </w:rPr>
        <w:t>.</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Pr>
          <w:color w:val="auto"/>
          <w:szCs w:val="24"/>
          <w:lang w:val="es-ES"/>
        </w:rPr>
        <w:t>“</w:t>
      </w:r>
      <w:r w:rsidRPr="00B5689E">
        <w:rPr>
          <w:color w:val="auto"/>
          <w:szCs w:val="24"/>
          <w:lang w:val="es-ES"/>
        </w:rPr>
        <w:t xml:space="preserve">Se espera que la producción de los mercados emergentes y las economías en desarrollo (EMDE) se contraiga en 2020 por </w:t>
      </w:r>
      <w:r>
        <w:rPr>
          <w:color w:val="auto"/>
          <w:szCs w:val="24"/>
          <w:lang w:val="es-ES"/>
        </w:rPr>
        <w:t>primera vez en al menos 60 años”</w:t>
      </w:r>
      <w:r w:rsidRPr="00B5689E">
        <w:rPr>
          <w:color w:val="auto"/>
          <w:szCs w:val="24"/>
          <w:lang w:val="es-ES"/>
        </w:rPr>
        <w:t>, añadieron.</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Pr>
          <w:color w:val="auto"/>
          <w:szCs w:val="24"/>
          <w:lang w:val="es-ES"/>
        </w:rPr>
        <w:t>“</w:t>
      </w:r>
      <w:r w:rsidRPr="00B5689E">
        <w:rPr>
          <w:color w:val="auto"/>
          <w:szCs w:val="24"/>
          <w:lang w:val="es-ES"/>
        </w:rPr>
        <w:t>La recesión global de covid-19 es única en muchos sentidos. También se asocia con un debilitamiento sin precedentes en varios indicadores de actividad global, como los servicios y la demanda de petróleo, así como la disminución del ingreso per cápita en todas l</w:t>
      </w:r>
      <w:r>
        <w:rPr>
          <w:color w:val="auto"/>
          <w:szCs w:val="24"/>
          <w:lang w:val="es-ES"/>
        </w:rPr>
        <w:t>as regiones del mundo emergente”</w:t>
      </w:r>
      <w:r w:rsidRPr="00B5689E">
        <w:rPr>
          <w:color w:val="auto"/>
          <w:szCs w:val="24"/>
          <w:lang w:val="es-ES"/>
        </w:rPr>
        <w:t>, concluyen.</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FF0000"/>
          <w:szCs w:val="24"/>
          <w:lang w:val="es-ES"/>
        </w:rPr>
      </w:pPr>
      <w:r w:rsidRPr="00B5689E">
        <w:rPr>
          <w:color w:val="FF0000"/>
          <w:szCs w:val="24"/>
          <w:lang w:val="es-ES"/>
        </w:rPr>
        <w:t>Las 14 recesiones de los últimos 150 años (y por qué la del coronavirus sería la cuarta peor)</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En los últimos 150 años, el mundo ha sufrido 14 recesiones, y se espera que la causada por el nuevo coronavirus sea la cuarta peor, según predice el Banco Mundial.</w:t>
      </w:r>
    </w:p>
    <w:p w:rsidR="00BB1E6C" w:rsidRPr="00B5689E" w:rsidRDefault="00BB1E6C" w:rsidP="00BB1E6C">
      <w:pPr>
        <w:pStyle w:val="Estndar"/>
        <w:jc w:val="both"/>
        <w:rPr>
          <w:color w:val="auto"/>
          <w:szCs w:val="24"/>
          <w:lang w:val="es-ES"/>
        </w:rPr>
      </w:pPr>
    </w:p>
    <w:p w:rsidR="00BB1E6C" w:rsidRPr="00B5689E" w:rsidRDefault="00BB1E6C" w:rsidP="00BB1E6C">
      <w:pPr>
        <w:pStyle w:val="Estndar"/>
        <w:jc w:val="both"/>
        <w:rPr>
          <w:color w:val="auto"/>
          <w:szCs w:val="24"/>
          <w:lang w:val="es-ES"/>
        </w:rPr>
      </w:pPr>
      <w:r w:rsidRPr="00B5689E">
        <w:rPr>
          <w:color w:val="auto"/>
          <w:szCs w:val="24"/>
          <w:lang w:val="es-ES"/>
        </w:rPr>
        <w:t>Para el organismo, la turbulencia económica resultante de la pandemia de covid-19 solo sería superada por las crisis que ocurrieron al comienzo de la Primera Guerra Mundial, en 1914, en la Gran Depresión, en 1930-32, y después de la desmovilización de las tropas tras la Segunda Guerra Mundial, en 1945-46.</w:t>
      </w:r>
    </w:p>
    <w:p w:rsidR="00BB1E6C" w:rsidRDefault="00BB1E6C" w:rsidP="00BB1E6C">
      <w:pPr>
        <w:shd w:val="clear" w:color="auto" w:fill="FFFFFF"/>
        <w:spacing w:before="480" w:after="0" w:line="240" w:lineRule="auto"/>
        <w:jc w:val="both"/>
        <w:textAlignment w:val="baseline"/>
        <w:outlineLvl w:val="1"/>
        <w:rPr>
          <w:rFonts w:ascii="Times New Roman" w:eastAsia="Times New Roman" w:hAnsi="Times New Roman" w:cs="Times New Roman"/>
          <w:b/>
          <w:bCs/>
          <w:color w:val="1E1E1E"/>
          <w:sz w:val="24"/>
          <w:szCs w:val="24"/>
        </w:rPr>
      </w:pPr>
      <w:r w:rsidRPr="00B5689E">
        <w:rPr>
          <w:rFonts w:ascii="Times New Roman" w:eastAsia="Times New Roman" w:hAnsi="Times New Roman" w:cs="Times New Roman"/>
          <w:b/>
          <w:bCs/>
          <w:color w:val="1E1E1E"/>
          <w:sz w:val="24"/>
          <w:szCs w:val="24"/>
        </w:rPr>
        <w:t>1876 (contracción del 2,1%)</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1885 (contracción del 0,02%)</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1893 (contracción del 0,8%)</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1908 (contracción del 3%)</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1914 (contracción del 6,7%)</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1917-1921 (contracción del 4,4%)</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1930-1932 (contracción del 17,6%)</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1938 (contracción del 0,5%)</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1945-1946 (contracción del 15,4%)</w:t>
      </w:r>
    </w:p>
    <w:p w:rsidR="00BB1E6C" w:rsidRPr="00B5689E" w:rsidRDefault="00BB1E6C" w:rsidP="00BB1E6C">
      <w:pPr>
        <w:shd w:val="clear" w:color="auto" w:fill="FFFFFF"/>
        <w:spacing w:before="480" w:after="0" w:line="240" w:lineRule="auto"/>
        <w:jc w:val="both"/>
        <w:textAlignment w:val="baseline"/>
        <w:outlineLvl w:val="1"/>
        <w:rPr>
          <w:rFonts w:ascii="Times New Roman" w:hAnsi="Times New Roman" w:cs="Times New Roman"/>
          <w:b/>
          <w:color w:val="1E1E1E"/>
          <w:sz w:val="24"/>
          <w:szCs w:val="24"/>
        </w:rPr>
      </w:pPr>
      <w:r w:rsidRPr="00B5689E">
        <w:rPr>
          <w:rFonts w:ascii="Times New Roman" w:hAnsi="Times New Roman" w:cs="Times New Roman"/>
          <w:b/>
          <w:color w:val="1E1E1E"/>
          <w:sz w:val="24"/>
          <w:szCs w:val="24"/>
        </w:rPr>
        <w:t>1975 (contracción del 0,8%)</w:t>
      </w:r>
    </w:p>
    <w:p w:rsidR="00BB1E6C" w:rsidRPr="00B5689E" w:rsidRDefault="00BB1E6C" w:rsidP="00BB1E6C">
      <w:pPr>
        <w:shd w:val="clear" w:color="auto" w:fill="FFFFFF"/>
        <w:spacing w:before="480" w:after="0" w:line="240" w:lineRule="auto"/>
        <w:jc w:val="both"/>
        <w:textAlignment w:val="baseline"/>
        <w:outlineLvl w:val="1"/>
        <w:rPr>
          <w:rFonts w:ascii="Times New Roman" w:eastAsia="Times New Roman" w:hAnsi="Times New Roman" w:cs="Times New Roman"/>
          <w:b/>
          <w:bCs/>
          <w:color w:val="1E1E1E"/>
          <w:sz w:val="24"/>
          <w:szCs w:val="24"/>
        </w:rPr>
      </w:pPr>
      <w:r w:rsidRPr="00B5689E">
        <w:rPr>
          <w:rFonts w:ascii="Times New Roman" w:hAnsi="Times New Roman" w:cs="Times New Roman"/>
          <w:b/>
          <w:color w:val="1E1E1E"/>
          <w:sz w:val="24"/>
          <w:szCs w:val="24"/>
        </w:rPr>
        <w:t>1982 (contracción del 1,3%)</w:t>
      </w:r>
    </w:p>
    <w:p w:rsidR="00BB1E6C" w:rsidRPr="00B5689E" w:rsidRDefault="00BB1E6C" w:rsidP="00BB1E6C">
      <w:pPr>
        <w:pStyle w:val="Ttulo2"/>
        <w:shd w:val="clear" w:color="auto" w:fill="FFFFFF"/>
        <w:spacing w:before="480"/>
        <w:jc w:val="both"/>
        <w:textAlignment w:val="baseline"/>
        <w:rPr>
          <w:rFonts w:ascii="Times New Roman" w:hAnsi="Times New Roman" w:cs="Times New Roman"/>
          <w:color w:val="1E1E1E"/>
          <w:sz w:val="24"/>
          <w:szCs w:val="24"/>
        </w:rPr>
      </w:pPr>
      <w:r w:rsidRPr="00B5689E">
        <w:rPr>
          <w:rFonts w:ascii="Times New Roman" w:hAnsi="Times New Roman" w:cs="Times New Roman"/>
          <w:color w:val="1E1E1E"/>
          <w:sz w:val="24"/>
          <w:szCs w:val="24"/>
        </w:rPr>
        <w:t>1991 (contracción del 0,3%)</w:t>
      </w:r>
    </w:p>
    <w:p w:rsidR="00BB1E6C" w:rsidRPr="00B5689E" w:rsidRDefault="00BB1E6C" w:rsidP="00BB1E6C">
      <w:pPr>
        <w:pStyle w:val="Ttulo2"/>
        <w:shd w:val="clear" w:color="auto" w:fill="FFFFFF"/>
        <w:spacing w:before="480"/>
        <w:jc w:val="both"/>
        <w:textAlignment w:val="baseline"/>
        <w:rPr>
          <w:rFonts w:ascii="Times New Roman" w:hAnsi="Times New Roman" w:cs="Times New Roman"/>
          <w:color w:val="1E1E1E"/>
          <w:sz w:val="24"/>
          <w:szCs w:val="24"/>
        </w:rPr>
      </w:pPr>
      <w:r w:rsidRPr="00B5689E">
        <w:rPr>
          <w:rFonts w:ascii="Times New Roman" w:hAnsi="Times New Roman" w:cs="Times New Roman"/>
          <w:color w:val="1E1E1E"/>
          <w:sz w:val="24"/>
          <w:szCs w:val="24"/>
        </w:rPr>
        <w:t>2009 (contracción del 2,9%)</w:t>
      </w:r>
    </w:p>
    <w:p w:rsidR="00BB1E6C" w:rsidRDefault="00BB1E6C" w:rsidP="00BB1E6C">
      <w:pPr>
        <w:pStyle w:val="Ttulo2"/>
        <w:shd w:val="clear" w:color="auto" w:fill="FFFFFF"/>
        <w:spacing w:before="480"/>
        <w:jc w:val="both"/>
        <w:textAlignment w:val="baseline"/>
        <w:rPr>
          <w:rFonts w:ascii="Times New Roman" w:hAnsi="Times New Roman" w:cs="Times New Roman"/>
          <w:color w:val="1E1E1E"/>
          <w:sz w:val="24"/>
          <w:szCs w:val="24"/>
        </w:rPr>
      </w:pPr>
      <w:r w:rsidRPr="00B5689E">
        <w:rPr>
          <w:rFonts w:ascii="Times New Roman" w:hAnsi="Times New Roman" w:cs="Times New Roman"/>
          <w:color w:val="1E1E1E"/>
          <w:sz w:val="24"/>
          <w:szCs w:val="24"/>
        </w:rPr>
        <w:t>2020 (contracción estimada del 6,2%)</w:t>
      </w:r>
    </w:p>
    <w:p w:rsidR="00C331EE" w:rsidRDefault="00C331EE" w:rsidP="00BB1E6C">
      <w:pPr>
        <w:spacing w:line="240" w:lineRule="auto"/>
        <w:jc w:val="both"/>
        <w:rPr>
          <w:rFonts w:ascii="Times New Roman" w:hAnsi="Times New Roman" w:cs="Times New Roman"/>
          <w:sz w:val="24"/>
          <w:szCs w:val="24"/>
          <w:lang w:eastAsia="es-ES"/>
        </w:rPr>
      </w:pPr>
    </w:p>
    <w:p w:rsidR="00BB1E6C" w:rsidRDefault="00BB1E6C" w:rsidP="00BB1E6C">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Pr="00B5689E">
        <w:rPr>
          <w:rFonts w:ascii="Times New Roman" w:hAnsi="Times New Roman" w:cs="Times New Roman"/>
          <w:sz w:val="24"/>
          <w:szCs w:val="24"/>
          <w:lang w:eastAsia="es-ES"/>
        </w:rPr>
        <w:t>Fuente</w:t>
      </w:r>
      <w:r>
        <w:rPr>
          <w:rFonts w:ascii="Times New Roman" w:hAnsi="Times New Roman" w:cs="Times New Roman"/>
          <w:sz w:val="24"/>
          <w:szCs w:val="24"/>
          <w:lang w:eastAsia="es-ES"/>
        </w:rPr>
        <w:t xml:space="preserve">: BBCMundo - </w:t>
      </w:r>
      <w:r w:rsidRPr="00B5689E">
        <w:rPr>
          <w:rFonts w:ascii="Times New Roman" w:hAnsi="Times New Roman" w:cs="Times New Roman"/>
          <w:b/>
          <w:sz w:val="24"/>
          <w:szCs w:val="24"/>
          <w:lang w:eastAsia="es-ES"/>
        </w:rPr>
        <w:t>7/7/20</w:t>
      </w:r>
      <w:r>
        <w:rPr>
          <w:rFonts w:ascii="Times New Roman" w:hAnsi="Times New Roman" w:cs="Times New Roman"/>
          <w:sz w:val="24"/>
          <w:szCs w:val="24"/>
          <w:lang w:eastAsia="es-ES"/>
        </w:rPr>
        <w:t>)</w:t>
      </w:r>
    </w:p>
    <w:p w:rsidR="00BB1E6C" w:rsidRPr="00C648DE" w:rsidRDefault="00BB1E6C" w:rsidP="00BB1E6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Si exceptuamos las contracciones originadas por las guerras mundiales (I y II), y la depresión 1930-1932 (cuyo período de registro</w:t>
      </w:r>
      <w:r w:rsidR="007E3EB9" w:rsidRPr="00C648DE">
        <w:rPr>
          <w:rFonts w:ascii="Times New Roman" w:hAnsi="Times New Roman" w:cs="Times New Roman"/>
          <w:sz w:val="24"/>
          <w:szCs w:val="24"/>
          <w:lang w:eastAsia="es-ES"/>
        </w:rPr>
        <w:t xml:space="preserve"> estadístico</w:t>
      </w:r>
      <w:r w:rsidRPr="00C648DE">
        <w:rPr>
          <w:rFonts w:ascii="Times New Roman" w:hAnsi="Times New Roman" w:cs="Times New Roman"/>
          <w:sz w:val="24"/>
          <w:szCs w:val="24"/>
          <w:lang w:eastAsia="es-ES"/>
        </w:rPr>
        <w:t xml:space="preserve"> es más amplio), las dos depresiones causadas por la globalización (financiera en 2008 -made in USA-, y sanitaria en 2020 -made in China-) son las más profundas y de alcance más extenso. </w:t>
      </w:r>
    </w:p>
    <w:p w:rsidR="00BB1E6C" w:rsidRPr="00C648DE" w:rsidRDefault="00BB1E6C" w:rsidP="00BB1E6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Por más que se escamoten las cifras, se manoseen los datos, se oculten los daños, se retuerza la información, engañando, estafando... (y lo sigan haciendo), las evidencias resultan innegables. Ya no podrán segu</w:t>
      </w:r>
      <w:r w:rsidR="006F5C5A">
        <w:rPr>
          <w:rFonts w:ascii="Times New Roman" w:hAnsi="Times New Roman" w:cs="Times New Roman"/>
          <w:sz w:val="24"/>
          <w:szCs w:val="24"/>
          <w:lang w:eastAsia="es-ES"/>
        </w:rPr>
        <w:t>ir ocultando la realidad (pese a que</w:t>
      </w:r>
      <w:r w:rsidRPr="00C648DE">
        <w:rPr>
          <w:rFonts w:ascii="Times New Roman" w:hAnsi="Times New Roman" w:cs="Times New Roman"/>
          <w:sz w:val="24"/>
          <w:szCs w:val="24"/>
          <w:lang w:eastAsia="es-ES"/>
        </w:rPr>
        <w:t xml:space="preserve"> lo intenten).</w:t>
      </w:r>
    </w:p>
    <w:p w:rsidR="00BB1E6C" w:rsidRPr="00C648DE" w:rsidRDefault="00BB1E6C" w:rsidP="00BB1E6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Aunque la fiel tropilla de embusteros por lo empresario, lo académico, o lo gubernamental, en un tedioso desfile de personajillos absurdos, técnicos incapaces, amenazantes dogmáticos, siga marcando el paso, tratando de hacer vistoso el desfile, esta vez no podrán pasar página. La puta crisis, y el período de desolación consiguiente, se los llevará por delante…Este vez, no alcanzará el “rescate” oficial. Esta vez, no será suficiente el “dopaje” de los bancos centrales. Esta vez, no podrán “socializar las pérdidas”. Esta vez no podrán “arrear a la manada”. Esta vez, no podrán “borrar las cabezas”. Esta vez, no podrán continuar “empujando la soga”.</w:t>
      </w:r>
      <w:r w:rsidR="006F5C5A">
        <w:rPr>
          <w:rFonts w:ascii="Times New Roman" w:hAnsi="Times New Roman" w:cs="Times New Roman"/>
          <w:sz w:val="24"/>
          <w:szCs w:val="24"/>
          <w:lang w:eastAsia="es-ES"/>
        </w:rPr>
        <w:t xml:space="preserve"> Esta vez, no podrán insistir</w:t>
      </w:r>
      <w:r w:rsidRPr="00C648DE">
        <w:rPr>
          <w:rFonts w:ascii="Times New Roman" w:hAnsi="Times New Roman" w:cs="Times New Roman"/>
          <w:sz w:val="24"/>
          <w:szCs w:val="24"/>
          <w:lang w:eastAsia="es-ES"/>
        </w:rPr>
        <w:t xml:space="preserve"> desafiando la lógica. Esta vez, no podrán seguir jugando a los dados con Dios.</w:t>
      </w:r>
    </w:p>
    <w:p w:rsidR="00BB1E6C" w:rsidRPr="00C648DE" w:rsidRDefault="00BB1E6C" w:rsidP="00BB1E6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 xml:space="preserve">Ya no queda tiempo para ensayar nuevas (aunque tan falsas como las viejas) posibles explicaciones basadas en la psicología multitudinaria, la viralidad de las ideas y la dinámica de la epidemia narrativa. El “relato” de la “tropilla de embusteros” (Wall Street, Silicon Valley y Washington SA), no podrá contrarrestar la constelación de relatos relacionados de los “afectados” (Main Street) por la depresión (historias vividas de desocupación, penuria, miseria, depresión, colapso).    </w:t>
      </w:r>
    </w:p>
    <w:p w:rsidR="00B5689E" w:rsidRPr="00C331EE" w:rsidRDefault="006E5D75" w:rsidP="00B5689E">
      <w:pPr>
        <w:pStyle w:val="NormalWeb"/>
        <w:spacing w:before="0" w:beforeAutospacing="0" w:after="420" w:afterAutospacing="0"/>
        <w:jc w:val="both"/>
        <w:textAlignment w:val="baseline"/>
        <w:rPr>
          <w:b/>
        </w:rPr>
      </w:pPr>
      <w:r w:rsidRPr="00C331EE">
        <w:rPr>
          <w:b/>
          <w:shd w:val="clear" w:color="auto" w:fill="FFFFFF"/>
        </w:rPr>
        <w:t xml:space="preserve">Espero, y deseo, que aparezca una nueva generación de líderes (empresariales, políticos e intelectuales), capaz de hacer políticamente posible lo que es económicamente necesario, antes de que las circunstancias lo impongan. De los presentes (empresarios, políticos e intelectuales), poco puede esperarse ya, </w:t>
      </w:r>
      <w:r w:rsidRPr="00C331EE">
        <w:rPr>
          <w:b/>
        </w:rPr>
        <w:t>cuando los embusteros empezaron a engañarse a sí mismos. Más allá de los like, o los retuit, la nueva (a)normalidad es… la miseria. Aceptar como normal ese detritus es un síntoma de complejo de inferioridad.</w:t>
      </w:r>
    </w:p>
    <w:p w:rsidR="00FC6B4F" w:rsidRDefault="00FC6B4F" w:rsidP="00B5689E">
      <w:pPr>
        <w:pStyle w:val="NormalWeb"/>
        <w:spacing w:before="0" w:beforeAutospacing="0" w:after="420" w:afterAutospacing="0"/>
        <w:jc w:val="both"/>
        <w:textAlignment w:val="baseline"/>
      </w:pPr>
    </w:p>
    <w:p w:rsidR="00FC6B4F" w:rsidRPr="00A72770" w:rsidRDefault="00A72770" w:rsidP="00FC6B4F">
      <w:pPr>
        <w:pStyle w:val="NormalWeb"/>
        <w:spacing w:after="420"/>
        <w:jc w:val="both"/>
        <w:textAlignment w:val="baseline"/>
        <w:rPr>
          <w:b/>
        </w:rPr>
      </w:pPr>
      <w:r>
        <w:rPr>
          <w:b/>
        </w:rPr>
        <w:t>Hasta donde la vista alcanza: el éxito nunca es definitivo</w:t>
      </w:r>
    </w:p>
    <w:p w:rsidR="00FC6B4F" w:rsidRPr="00AB3698" w:rsidRDefault="00FC6B4F" w:rsidP="00FC6B4F">
      <w:pPr>
        <w:pStyle w:val="NormalWeb"/>
        <w:spacing w:after="420"/>
        <w:jc w:val="both"/>
        <w:textAlignment w:val="baseline"/>
      </w:pPr>
      <w:r w:rsidRPr="00AB3698">
        <w:t>Los poderes económicos (y políticos) son por su propia naturaleza insaciables. Siempre quieren más. Ignoran el punto culminante de la victoria. Pretenden la incesante explotación del éxito de la que acaba derivando el desastre seguro. Se sienten desequilibrados por la duda y procuran ahuyentarla.</w:t>
      </w:r>
    </w:p>
    <w:p w:rsidR="00FC6B4F" w:rsidRPr="00AB3698" w:rsidRDefault="00FC6B4F" w:rsidP="00FC6B4F">
      <w:pPr>
        <w:pStyle w:val="NormalWeb"/>
        <w:spacing w:after="420"/>
        <w:jc w:val="both"/>
        <w:textAlignment w:val="baseline"/>
      </w:pPr>
      <w:r w:rsidRPr="00AB3698">
        <w:t>Evitan cuestionarse los propios logros. Intentan disipar la niebla de la incertidumbre. Buscan perpetuarse, como si la perennidad les hiciera impunes. Abominan de los desafectos. Sospechan de las adhesiones al uso. Prefieren las inquebrantables, procedentes de inasequibles al desaliento. Toda crítica es excesiva y todo elogio, insuficiente.</w:t>
      </w:r>
    </w:p>
    <w:p w:rsidR="00FC6B4F" w:rsidRPr="00AB3698" w:rsidRDefault="00FC6B4F" w:rsidP="00FC6B4F">
      <w:pPr>
        <w:pStyle w:val="NormalWeb"/>
        <w:spacing w:after="420"/>
        <w:jc w:val="both"/>
        <w:textAlignment w:val="baseline"/>
      </w:pPr>
      <w:r w:rsidRPr="00AB3698">
        <w:t>Los vigilantes de la ortodoxia, los sargentos de la pureza, los capitanes que reparten certificados de buena conducta y multas por herejía, los tenientes que distribuyen bulas y canonjías. Tienes que pensar así. Tienes que escribir así. Tienes que informar de esta manera.</w:t>
      </w:r>
    </w:p>
    <w:p w:rsidR="00FC6B4F" w:rsidRPr="00AB3698" w:rsidRDefault="00FC6B4F" w:rsidP="00FC6B4F">
      <w:pPr>
        <w:pStyle w:val="NormalWeb"/>
        <w:spacing w:after="420"/>
        <w:jc w:val="both"/>
        <w:textAlignment w:val="baseline"/>
      </w:pPr>
      <w:r w:rsidRPr="00AB3698">
        <w:t>La policía del pensamiento, que circula con sus soldaditos por la red, ahora también hace la ronda por los pasillos del sistema. Llevan uniformes más caros y van también mejor armados.</w:t>
      </w:r>
    </w:p>
    <w:p w:rsidR="00FC6B4F" w:rsidRPr="00AB3698" w:rsidRDefault="00FC6B4F" w:rsidP="00FC6B4F">
      <w:pPr>
        <w:pStyle w:val="NormalWeb"/>
        <w:spacing w:after="420"/>
        <w:jc w:val="both"/>
        <w:textAlignment w:val="baseline"/>
      </w:pPr>
      <w:r w:rsidRPr="00AB3698">
        <w:t>Los administradores de la moral ajena tutelan la verdad política y social como hace siglos se velaba por la verdad religiosa. Sin margen a la interpretación, a los matices, a las dudas. Pero con total hipocresía, porque su comportamiento privado encaja mal con su discurso público.</w:t>
      </w:r>
    </w:p>
    <w:p w:rsidR="00FC6B4F" w:rsidRPr="00AB3698" w:rsidRDefault="00FC6B4F" w:rsidP="00FC6B4F">
      <w:pPr>
        <w:pStyle w:val="NormalWeb"/>
        <w:spacing w:after="420"/>
        <w:jc w:val="both"/>
        <w:textAlignment w:val="baseline"/>
      </w:pPr>
      <w:r w:rsidRPr="00AB3698">
        <w:t>Los propietarios del dogma de esta economía virtual, vaciada, especulativa, tóxica, anestésica, bipolar, transforman la cima de su vertedero ético en una atalaya de superioridad moral. Y desde allí vigilan al sospechoso de pensamiento crítico, tratan de controlar la información y el conocimiento. Y cuando cae la noche, señalan. Antes se levantaban antorchas para las cazas de brujas, ahora la jauría humana se ilumina con las luces de los teléfonos móviles.</w:t>
      </w:r>
    </w:p>
    <w:p w:rsidR="00FC6B4F" w:rsidRPr="00AB3698" w:rsidRDefault="00FC6B4F" w:rsidP="00FC6B4F">
      <w:pPr>
        <w:pStyle w:val="NormalWeb"/>
        <w:spacing w:after="420"/>
        <w:jc w:val="both"/>
        <w:textAlignment w:val="baseline"/>
      </w:pPr>
      <w:r w:rsidRPr="00AB3698">
        <w:t xml:space="preserve">Los que ahora callan, la gran mayoría, no levantan la cabeza porque tienen miedo o porque están subvencionados. Miedo al discurso políticamente incorrecto. Subvenciones a precio de tertulia o de factura en la universidad. </w:t>
      </w:r>
    </w:p>
    <w:p w:rsidR="00FC6B4F" w:rsidRPr="00AB3698" w:rsidRDefault="00FC6B4F" w:rsidP="00FC6B4F">
      <w:pPr>
        <w:pStyle w:val="NormalWeb"/>
        <w:spacing w:after="420"/>
        <w:jc w:val="both"/>
        <w:textAlignment w:val="baseline"/>
      </w:pPr>
      <w:r w:rsidRPr="00AB3698">
        <w:t xml:space="preserve">En términos históricos, gran parte de lo que defendió la economía liberal está siendo ideológicamente derrotado por el cortoplacismo, la especulación, la disrupción, la socialización de las pérdidas, la monetización de la deuda, el dopaje de los mercados, las burbujas de extinción masiva… la plutocracia, el nepotismo, el populismo, la anomia, la alegalidad, la insignificancia… y los regímenes liberticidas (iliberales).   </w:t>
      </w:r>
    </w:p>
    <w:p w:rsidR="00FC6B4F" w:rsidRPr="00484F39"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En este estado de precariedad absoluta (que algunos cínicos llaman globalización, otros hipócritas llaman competitividad, y los imperialistas de las redes -tentaculares- llaman disrupción) en el que nada tiene bases seguras, mientras la economía real se ahoga, pululan los edecanes, los lameculos, los serviles, los lacayos, los siervos, los genuflexos, los aplaudidores, los agradadores, que</w:t>
      </w:r>
      <w:r>
        <w:rPr>
          <w:rFonts w:ascii="Times New Roman" w:hAnsi="Times New Roman" w:cs="Times New Roman"/>
          <w:sz w:val="24"/>
          <w:szCs w:val="24"/>
        </w:rPr>
        <w:t xml:space="preserve"> le</w:t>
      </w:r>
      <w:r w:rsidRPr="00484F39">
        <w:rPr>
          <w:rFonts w:ascii="Times New Roman" w:hAnsi="Times New Roman" w:cs="Times New Roman"/>
          <w:sz w:val="24"/>
          <w:szCs w:val="24"/>
        </w:rPr>
        <w:t xml:space="preserve"> bailan el agua, a unos empresarios de cartón piedra, y subvenciones, cuyos negocios realizados en connivencia con el poder político, carecen de los paisajes que dibujan y de las fantasías que los habitan (en un intento desesperado de mantener abducido, anestesiado, intoxicado, drogado y sometido, al consumidor), donde lo que arruina la credibilidad del “gadget” ayuda a prestigiar la desvergüenza del “gadgetero”.</w:t>
      </w:r>
    </w:p>
    <w:p w:rsidR="00FC6B4F" w:rsidRPr="00484F39"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Por más que los globalizadores bipolares, los profetas d</w:t>
      </w:r>
      <w:r w:rsidR="009D6EF3">
        <w:rPr>
          <w:rFonts w:ascii="Times New Roman" w:hAnsi="Times New Roman" w:cs="Times New Roman"/>
          <w:sz w:val="24"/>
          <w:szCs w:val="24"/>
        </w:rPr>
        <w:t>e Silicon Valley, o los apóstoles</w:t>
      </w:r>
      <w:r w:rsidRPr="00484F39">
        <w:rPr>
          <w:rFonts w:ascii="Times New Roman" w:hAnsi="Times New Roman" w:cs="Times New Roman"/>
          <w:sz w:val="24"/>
          <w:szCs w:val="24"/>
        </w:rPr>
        <w:t xml:space="preserve"> de Wall Street, intenten prolongar el estado de amnesia colectiva (relato) que les permita mantener sus negocios y privilegios, sus fracasos resultan evidentes y sus víctimas son inocultables. Se desv</w:t>
      </w:r>
      <w:r>
        <w:rPr>
          <w:rFonts w:ascii="Times New Roman" w:hAnsi="Times New Roman" w:cs="Times New Roman"/>
          <w:sz w:val="24"/>
          <w:szCs w:val="24"/>
        </w:rPr>
        <w:t>anece el falaz espejismo, vuelve</w:t>
      </w:r>
      <w:r w:rsidRPr="00484F39">
        <w:rPr>
          <w:rFonts w:ascii="Times New Roman" w:hAnsi="Times New Roman" w:cs="Times New Roman"/>
          <w:sz w:val="24"/>
          <w:szCs w:val="24"/>
        </w:rPr>
        <w:t xml:space="preserve"> la puta (tozuda) realidad.</w:t>
      </w:r>
    </w:p>
    <w:p w:rsidR="00FC6B4F" w:rsidRPr="00484F39"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El desenlace dista mucho de las predicciones que hicieron los globalizadores, los librecambistas,  los multilateralistas, los desreguladores, los disruptores, los asociacionistas, los ilusionistas de Wall Street y los hechiceros de Silicon Valley. Lo único que globalizaron fueron las crisis, lo único que desregularon fueron los beneficios sociales, lo único que disrrumpieron fue la igualdad de oportunidades, lo único que librecambiaron fue el no futuro, lo único que asociaron fue la miseria. La globalización económica, y sus variante</w:t>
      </w:r>
      <w:r>
        <w:rPr>
          <w:rFonts w:ascii="Times New Roman" w:hAnsi="Times New Roman" w:cs="Times New Roman"/>
          <w:sz w:val="24"/>
          <w:szCs w:val="24"/>
        </w:rPr>
        <w:t>s financieras o disruptivas, ha</w:t>
      </w:r>
      <w:r w:rsidRPr="00484F39">
        <w:rPr>
          <w:rFonts w:ascii="Times New Roman" w:hAnsi="Times New Roman" w:cs="Times New Roman"/>
          <w:sz w:val="24"/>
          <w:szCs w:val="24"/>
        </w:rPr>
        <w:t xml:space="preserve"> resultado una metáfora de la ambigüedad moral.  </w:t>
      </w:r>
    </w:p>
    <w:p w:rsidR="00FC6B4F" w:rsidRPr="00484F39" w:rsidRDefault="00C331EE"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En</w:t>
      </w:r>
      <w:r w:rsidR="009D6EF3">
        <w:rPr>
          <w:rFonts w:ascii="Times New Roman" w:hAnsi="Times New Roman" w:cs="Times New Roman"/>
          <w:sz w:val="24"/>
          <w:szCs w:val="24"/>
        </w:rPr>
        <w:t xml:space="preserve"> el</w:t>
      </w:r>
      <w:r w:rsidR="00FC6B4F">
        <w:rPr>
          <w:rFonts w:ascii="Times New Roman" w:hAnsi="Times New Roman" w:cs="Times New Roman"/>
          <w:sz w:val="24"/>
          <w:szCs w:val="24"/>
        </w:rPr>
        <w:t xml:space="preserve"> banquete de unos pocos</w:t>
      </w:r>
      <w:r>
        <w:rPr>
          <w:rFonts w:ascii="Times New Roman" w:hAnsi="Times New Roman" w:cs="Times New Roman"/>
          <w:sz w:val="24"/>
          <w:szCs w:val="24"/>
        </w:rPr>
        <w:t xml:space="preserve"> (los “hacedores” de mercado)</w:t>
      </w:r>
      <w:r w:rsidR="00FC6B4F">
        <w:rPr>
          <w:rFonts w:ascii="Times New Roman" w:hAnsi="Times New Roman" w:cs="Times New Roman"/>
          <w:sz w:val="24"/>
          <w:szCs w:val="24"/>
        </w:rPr>
        <w:t xml:space="preserve">… </w:t>
      </w:r>
      <w:r>
        <w:rPr>
          <w:rFonts w:ascii="Times New Roman" w:hAnsi="Times New Roman" w:cs="Times New Roman"/>
          <w:sz w:val="24"/>
          <w:szCs w:val="24"/>
        </w:rPr>
        <w:t>n</w:t>
      </w:r>
      <w:r w:rsidR="00FC6B4F" w:rsidRPr="00484F39">
        <w:rPr>
          <w:rFonts w:ascii="Times New Roman" w:hAnsi="Times New Roman" w:cs="Times New Roman"/>
          <w:sz w:val="24"/>
          <w:szCs w:val="24"/>
        </w:rPr>
        <w:t>o se conforman con tener “criados”, quier</w:t>
      </w:r>
      <w:r w:rsidR="00FC6B4F">
        <w:rPr>
          <w:rFonts w:ascii="Times New Roman" w:hAnsi="Times New Roman" w:cs="Times New Roman"/>
          <w:sz w:val="24"/>
          <w:szCs w:val="24"/>
        </w:rPr>
        <w:t xml:space="preserve">en ser servidos por “esclavos”. </w:t>
      </w:r>
      <w:r w:rsidR="00FC6B4F" w:rsidRPr="00484F39">
        <w:rPr>
          <w:rFonts w:ascii="Times New Roman" w:hAnsi="Times New Roman" w:cs="Times New Roman"/>
          <w:sz w:val="24"/>
          <w:szCs w:val="24"/>
        </w:rPr>
        <w:t>La codicia, la voracidad y los falsos proyectos conver</w:t>
      </w:r>
      <w:r w:rsidR="00FC6B4F">
        <w:rPr>
          <w:rFonts w:ascii="Times New Roman" w:hAnsi="Times New Roman" w:cs="Times New Roman"/>
          <w:sz w:val="24"/>
          <w:szCs w:val="24"/>
        </w:rPr>
        <w:t xml:space="preserve">tidos en materiales de derribo. </w:t>
      </w:r>
      <w:r w:rsidR="00FC6B4F" w:rsidRPr="00484F39">
        <w:rPr>
          <w:rFonts w:ascii="Times New Roman" w:hAnsi="Times New Roman" w:cs="Times New Roman"/>
          <w:sz w:val="24"/>
          <w:szCs w:val="24"/>
        </w:rPr>
        <w:t xml:space="preserve">Mala cosa cuando los inventores de tantas estupideces sonoras van perdiendo lo que les hacía más singulares: su capacidad de hacer pasar las ocurrencias </w:t>
      </w:r>
      <w:r w:rsidR="00FC6B4F">
        <w:rPr>
          <w:rFonts w:ascii="Times New Roman" w:hAnsi="Times New Roman" w:cs="Times New Roman"/>
          <w:sz w:val="24"/>
          <w:szCs w:val="24"/>
        </w:rPr>
        <w:t>como si fueran grandes avances.</w:t>
      </w:r>
    </w:p>
    <w:p w:rsidR="00FC6B4F" w:rsidRDefault="00FC6B4F"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de tantas, estupideces empaquetadas, burbujas de destrucción masiva, promesas incumplidas e ilusiones asaltadas, en hombre de la calle (Main Street) en Europa o Estados Unidos se encuentra  e</w:t>
      </w:r>
      <w:r w:rsidRPr="00484F39">
        <w:rPr>
          <w:rFonts w:ascii="Times New Roman" w:hAnsi="Times New Roman" w:cs="Times New Roman"/>
          <w:sz w:val="24"/>
          <w:szCs w:val="24"/>
        </w:rPr>
        <w:t>n un estado de precariado eterno, componiendo el lumpen proletariat, esperando como indefensas liebres temblorosas el tiro de gracia del cazador insaciable, infructuoso y cruel.</w:t>
      </w:r>
    </w:p>
    <w:p w:rsidR="00C2435A" w:rsidRDefault="00C2435A"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Aquellos que un día se creyeron clase media, para despertarse siendo justo la más triste clase baja contemporánea, con cara de judíos pasados por el Auschwitz del mercado laboral (famélicos espantapájaros cubiertos de harapos), que no saben, pero sufren (padecen) en cada juego, sin saber que cada juego tiene sus reglas que solo rigen mientras dura la partida, y ya no rigen cuando les dejan meter por segunda vez la nariz.</w:t>
      </w:r>
    </w:p>
    <w:p w:rsidR="00C2435A" w:rsidRPr="00484F39" w:rsidRDefault="00C2435A" w:rsidP="00C2435A">
      <w:pPr>
        <w:spacing w:line="240" w:lineRule="auto"/>
        <w:jc w:val="both"/>
        <w:rPr>
          <w:rFonts w:ascii="Times New Roman" w:hAnsi="Times New Roman" w:cs="Times New Roman"/>
          <w:sz w:val="24"/>
          <w:szCs w:val="24"/>
        </w:rPr>
      </w:pPr>
      <w:r>
        <w:rPr>
          <w:rFonts w:ascii="Times New Roman" w:hAnsi="Times New Roman" w:cs="Times New Roman"/>
          <w:sz w:val="24"/>
          <w:szCs w:val="24"/>
        </w:rPr>
        <w:t>Enfrentados a la lepra de la pobreza, cuando t</w:t>
      </w:r>
      <w:r w:rsidRPr="00484F39">
        <w:rPr>
          <w:rFonts w:ascii="Times New Roman" w:hAnsi="Times New Roman" w:cs="Times New Roman"/>
          <w:sz w:val="24"/>
          <w:szCs w:val="24"/>
        </w:rPr>
        <w:t xml:space="preserve">odos </w:t>
      </w:r>
      <w:r>
        <w:rPr>
          <w:rFonts w:ascii="Times New Roman" w:hAnsi="Times New Roman" w:cs="Times New Roman"/>
          <w:sz w:val="24"/>
          <w:szCs w:val="24"/>
        </w:rPr>
        <w:t>los santos días hay que comer, cuando no tiene</w:t>
      </w:r>
      <w:r w:rsidR="00C331EE">
        <w:rPr>
          <w:rFonts w:ascii="Times New Roman" w:hAnsi="Times New Roman" w:cs="Times New Roman"/>
          <w:sz w:val="24"/>
          <w:szCs w:val="24"/>
        </w:rPr>
        <w:t>n</w:t>
      </w:r>
      <w:r w:rsidRPr="00484F39">
        <w:rPr>
          <w:rFonts w:ascii="Times New Roman" w:hAnsi="Times New Roman" w:cs="Times New Roman"/>
          <w:sz w:val="24"/>
          <w:szCs w:val="24"/>
        </w:rPr>
        <w:t xml:space="preserve"> ingresos,</w:t>
      </w:r>
      <w:r>
        <w:rPr>
          <w:rFonts w:ascii="Times New Roman" w:hAnsi="Times New Roman" w:cs="Times New Roman"/>
          <w:sz w:val="24"/>
          <w:szCs w:val="24"/>
        </w:rPr>
        <w:t xml:space="preserve"> cuando</w:t>
      </w:r>
      <w:r w:rsidRPr="00484F39">
        <w:rPr>
          <w:rFonts w:ascii="Times New Roman" w:hAnsi="Times New Roman" w:cs="Times New Roman"/>
          <w:sz w:val="24"/>
          <w:szCs w:val="24"/>
        </w:rPr>
        <w:t xml:space="preserve"> el trabajo s</w:t>
      </w:r>
      <w:r>
        <w:rPr>
          <w:rFonts w:ascii="Times New Roman" w:hAnsi="Times New Roman" w:cs="Times New Roman"/>
          <w:sz w:val="24"/>
          <w:szCs w:val="24"/>
        </w:rPr>
        <w:t xml:space="preserve">e convierte en la gran aventura. </w:t>
      </w:r>
      <w:r w:rsidRPr="00484F39">
        <w:rPr>
          <w:rFonts w:ascii="Times New Roman" w:hAnsi="Times New Roman" w:cs="Times New Roman"/>
          <w:sz w:val="24"/>
          <w:szCs w:val="24"/>
        </w:rPr>
        <w:t>Nunca pensaron que iban a vivir algo así, nadie los acostumbr</w:t>
      </w:r>
      <w:r>
        <w:rPr>
          <w:rFonts w:ascii="Times New Roman" w:hAnsi="Times New Roman" w:cs="Times New Roman"/>
          <w:sz w:val="24"/>
          <w:szCs w:val="24"/>
        </w:rPr>
        <w:t xml:space="preserve">ó, nadie los preparó para esto. </w:t>
      </w:r>
      <w:r w:rsidRPr="00484F39">
        <w:rPr>
          <w:rFonts w:ascii="Times New Roman" w:hAnsi="Times New Roman" w:cs="Times New Roman"/>
          <w:sz w:val="24"/>
          <w:szCs w:val="24"/>
        </w:rPr>
        <w:t>Cursos de reciclaje para parados de larga duración, clases de formación en alguna materia… acicates para distraer a la “manada” (gilada) durante ese tramo que los adentra en el espacio negro del “no futuro”.</w:t>
      </w:r>
    </w:p>
    <w:p w:rsidR="00C2435A" w:rsidRPr="00484F39" w:rsidRDefault="00C2435A"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Precarización laboral, redes sociales, ansiedad juvenil, profundamente frustrados por no ver la luz al final del túnel</w:t>
      </w:r>
      <w:r w:rsidR="00101504">
        <w:rPr>
          <w:rFonts w:ascii="Times New Roman" w:hAnsi="Times New Roman" w:cs="Times New Roman"/>
          <w:sz w:val="24"/>
          <w:szCs w:val="24"/>
        </w:rPr>
        <w:t xml:space="preserve">. Esta ansiedad se ve agravada al comparar constantemente su situación actual con la de sus padres a su edad, ambos con trabajo estable y un proyecto de vida en común. Y cuando parecía que la cosa no podía ir peor, una nueva piedra ha aparecido en el camino del </w:t>
      </w:r>
      <w:r w:rsidR="00C331EE">
        <w:rPr>
          <w:rFonts w:ascii="Times New Roman" w:hAnsi="Times New Roman" w:cs="Times New Roman"/>
          <w:sz w:val="24"/>
          <w:szCs w:val="24"/>
        </w:rPr>
        <w:t>“</w:t>
      </w:r>
      <w:r w:rsidR="00101504">
        <w:rPr>
          <w:rFonts w:ascii="Times New Roman" w:hAnsi="Times New Roman" w:cs="Times New Roman"/>
          <w:sz w:val="24"/>
          <w:szCs w:val="24"/>
        </w:rPr>
        <w:t>millennial</w:t>
      </w:r>
      <w:r w:rsidR="00C331EE">
        <w:rPr>
          <w:rFonts w:ascii="Times New Roman" w:hAnsi="Times New Roman" w:cs="Times New Roman"/>
          <w:sz w:val="24"/>
          <w:szCs w:val="24"/>
        </w:rPr>
        <w:t>”</w:t>
      </w:r>
      <w:r w:rsidR="00101504">
        <w:rPr>
          <w:rFonts w:ascii="Times New Roman" w:hAnsi="Times New Roman" w:cs="Times New Roman"/>
          <w:sz w:val="24"/>
          <w:szCs w:val="24"/>
        </w:rPr>
        <w:t xml:space="preserve"> (joven): la crisis del coronavirus.</w:t>
      </w:r>
    </w:p>
    <w:p w:rsidR="00FC6B4F" w:rsidRPr="00484F39" w:rsidRDefault="00101504"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En el banquete de unos pocos (los “hacedores” de merc</w:t>
      </w:r>
      <w:r w:rsidR="00C331EE">
        <w:rPr>
          <w:rFonts w:ascii="Times New Roman" w:hAnsi="Times New Roman" w:cs="Times New Roman"/>
          <w:sz w:val="24"/>
          <w:szCs w:val="24"/>
        </w:rPr>
        <w:t>ado)…</w:t>
      </w:r>
      <w:r>
        <w:rPr>
          <w:rFonts w:ascii="Times New Roman" w:hAnsi="Times New Roman" w:cs="Times New Roman"/>
          <w:sz w:val="24"/>
          <w:szCs w:val="24"/>
        </w:rPr>
        <w:t xml:space="preserve"> n</w:t>
      </w:r>
      <w:r w:rsidR="00FC6B4F" w:rsidRPr="00484F39">
        <w:rPr>
          <w:rFonts w:ascii="Times New Roman" w:hAnsi="Times New Roman" w:cs="Times New Roman"/>
          <w:sz w:val="24"/>
          <w:szCs w:val="24"/>
        </w:rPr>
        <w:t xml:space="preserve">o hay dolor por lo pecados, tampoco confesión, </w:t>
      </w:r>
      <w:r w:rsidR="00FC6B4F">
        <w:rPr>
          <w:rFonts w:ascii="Times New Roman" w:hAnsi="Times New Roman" w:cs="Times New Roman"/>
          <w:sz w:val="24"/>
          <w:szCs w:val="24"/>
        </w:rPr>
        <w:t xml:space="preserve">y mucho menos penitencia. </w:t>
      </w:r>
      <w:r w:rsidR="00FC6B4F" w:rsidRPr="00484F39">
        <w:rPr>
          <w:rFonts w:ascii="Times New Roman" w:hAnsi="Times New Roman" w:cs="Times New Roman"/>
          <w:sz w:val="24"/>
          <w:szCs w:val="24"/>
        </w:rPr>
        <w:t xml:space="preserve">El propósito de enmienda está demás en este caso… aunque puede que </w:t>
      </w:r>
      <w:r w:rsidR="00FC6B4F">
        <w:rPr>
          <w:rFonts w:ascii="Times New Roman" w:hAnsi="Times New Roman" w:cs="Times New Roman"/>
          <w:sz w:val="24"/>
          <w:szCs w:val="24"/>
        </w:rPr>
        <w:t xml:space="preserve">no quede tiempo para reincidir. </w:t>
      </w:r>
      <w:r w:rsidR="00FC6B4F" w:rsidRPr="00484F39">
        <w:rPr>
          <w:rFonts w:ascii="Times New Roman" w:hAnsi="Times New Roman" w:cs="Times New Roman"/>
          <w:sz w:val="24"/>
          <w:szCs w:val="24"/>
        </w:rPr>
        <w:t>No hay que menospreciar la dosis de energía para contarse uno mismo una mentira y para mantenerse en ella… Ellos (esa gentuza)  pueden hacerlo, tienen esa constancia, esa fuerza de voluntad. Saben exprimir con fuerza, ordeñar con fruición</w:t>
      </w:r>
      <w:r w:rsidR="00FC6B4F">
        <w:rPr>
          <w:rFonts w:ascii="Times New Roman" w:hAnsi="Times New Roman" w:cs="Times New Roman"/>
          <w:sz w:val="24"/>
          <w:szCs w:val="24"/>
        </w:rPr>
        <w:t>,</w:t>
      </w:r>
      <w:r w:rsidR="00FC6B4F" w:rsidRPr="00484F39">
        <w:rPr>
          <w:rFonts w:ascii="Times New Roman" w:hAnsi="Times New Roman" w:cs="Times New Roman"/>
          <w:sz w:val="24"/>
          <w:szCs w:val="24"/>
        </w:rPr>
        <w:t xml:space="preserve"> o ponerse a girar la máquina trituradora.</w:t>
      </w:r>
    </w:p>
    <w:p w:rsidR="00FC6B4F" w:rsidRPr="00484F39"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Mientras, los sesudos académicos de la “Ivy Leage”, en el dulce sesteo de la mediocridad, investigan y discuten para descubrir… ¿quién se comió el primer pangolín? ¿o se metió</w:t>
      </w:r>
      <w:r w:rsidR="00C331EE">
        <w:rPr>
          <w:rFonts w:ascii="Times New Roman" w:hAnsi="Times New Roman" w:cs="Times New Roman"/>
          <w:sz w:val="24"/>
          <w:szCs w:val="24"/>
        </w:rPr>
        <w:t>,</w:t>
      </w:r>
      <w:r w:rsidRPr="00484F39">
        <w:rPr>
          <w:rFonts w:ascii="Times New Roman" w:hAnsi="Times New Roman" w:cs="Times New Roman"/>
          <w:sz w:val="24"/>
          <w:szCs w:val="24"/>
        </w:rPr>
        <w:t xml:space="preserve"> entre pecho y espalda</w:t>
      </w:r>
      <w:r w:rsidR="00C331EE">
        <w:rPr>
          <w:rFonts w:ascii="Times New Roman" w:hAnsi="Times New Roman" w:cs="Times New Roman"/>
          <w:sz w:val="24"/>
          <w:szCs w:val="24"/>
        </w:rPr>
        <w:t>,</w:t>
      </w:r>
      <w:r w:rsidRPr="00484F39">
        <w:rPr>
          <w:rFonts w:ascii="Times New Roman" w:hAnsi="Times New Roman" w:cs="Times New Roman"/>
          <w:sz w:val="24"/>
          <w:szCs w:val="24"/>
        </w:rPr>
        <w:t xml:space="preserve"> una sopa de murciélago?... y buscan para detener, y poner sobre la </w:t>
      </w:r>
      <w:r w:rsidR="00C331EE">
        <w:rPr>
          <w:rFonts w:ascii="Times New Roman" w:hAnsi="Times New Roman" w:cs="Times New Roman"/>
          <w:sz w:val="24"/>
          <w:szCs w:val="24"/>
        </w:rPr>
        <w:t>“</w:t>
      </w:r>
      <w:r w:rsidRPr="00484F39">
        <w:rPr>
          <w:rFonts w:ascii="Times New Roman" w:hAnsi="Times New Roman" w:cs="Times New Roman"/>
          <w:sz w:val="24"/>
          <w:szCs w:val="24"/>
        </w:rPr>
        <w:t>mesa</w:t>
      </w:r>
      <w:r>
        <w:rPr>
          <w:rFonts w:ascii="Times New Roman" w:hAnsi="Times New Roman" w:cs="Times New Roman"/>
          <w:sz w:val="24"/>
          <w:szCs w:val="24"/>
        </w:rPr>
        <w:t xml:space="preserve"> ceremonial</w:t>
      </w:r>
      <w:r w:rsidR="00C331EE">
        <w:rPr>
          <w:rFonts w:ascii="Times New Roman" w:hAnsi="Times New Roman" w:cs="Times New Roman"/>
          <w:sz w:val="24"/>
          <w:szCs w:val="24"/>
        </w:rPr>
        <w:t>”</w:t>
      </w:r>
      <w:r w:rsidRPr="00484F39">
        <w:rPr>
          <w:rFonts w:ascii="Times New Roman" w:hAnsi="Times New Roman" w:cs="Times New Roman"/>
          <w:sz w:val="24"/>
          <w:szCs w:val="24"/>
        </w:rPr>
        <w:t xml:space="preserve"> de Donald Trump, la cabeza del “supercontagiador”.</w:t>
      </w:r>
    </w:p>
    <w:p w:rsidR="00FC6B4F" w:rsidRPr="00484F39"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Si no fueran tan dogmáticos, sectarios, arrogantes, fatuos, falaces, e impasibles, estos “nobelados” (pocos) o “noveleros” (muchos)… confirmarían que el “paciente cer</w:t>
      </w:r>
      <w:r w:rsidR="00272FB6">
        <w:rPr>
          <w:rFonts w:ascii="Times New Roman" w:hAnsi="Times New Roman" w:cs="Times New Roman"/>
          <w:sz w:val="24"/>
          <w:szCs w:val="24"/>
        </w:rPr>
        <w:t>o” de la crisis del año 2008, fue</w:t>
      </w:r>
      <w:r w:rsidRPr="00484F39">
        <w:rPr>
          <w:rFonts w:ascii="Times New Roman" w:hAnsi="Times New Roman" w:cs="Times New Roman"/>
          <w:sz w:val="24"/>
          <w:szCs w:val="24"/>
        </w:rPr>
        <w:t xml:space="preserve"> la globalización financiera (made in USA), que el “paciente cero” de la crisis del año 2020, es la globalización industrial, comercial, sanitaria y ambiental (made in China), y que el gran “mercado húmedo” donde se trafican toda clase productos sin control de ningún tipo, sin utilidad demostrada, sin medir el riesgo sistémico involucrado, está en Wall Street y en Silicon Valley.</w:t>
      </w:r>
    </w:p>
    <w:p w:rsidR="00FC6B4F"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Los que han hecho de la libertad (de comercio) un negocio, han permitido que se cometieran errores garrafales, mientras adoptaban el cínico comportamiento de mirar para otro lado: “que hagan lo que quieran, a mí que me importa”, para terminar, más pronto que tarde, los unos (delincuentes) y los otros (cómplices necesarios), consumidos en la hoguera de las vanidades del dinero.Estos son los frutos podridos de un capitalismo de casino.</w:t>
      </w:r>
    </w:p>
    <w:p w:rsidR="00A72770" w:rsidRPr="00A72770" w:rsidRDefault="00A72770" w:rsidP="00A72770">
      <w:pPr>
        <w:spacing w:line="240" w:lineRule="auto"/>
        <w:jc w:val="both"/>
        <w:rPr>
          <w:rFonts w:ascii="Times New Roman" w:hAnsi="Times New Roman" w:cs="Times New Roman"/>
          <w:b/>
          <w:sz w:val="24"/>
          <w:szCs w:val="24"/>
        </w:rPr>
      </w:pPr>
      <w:r w:rsidRPr="00A72770">
        <w:rPr>
          <w:rFonts w:ascii="Times New Roman" w:hAnsi="Times New Roman" w:cs="Times New Roman"/>
          <w:b/>
          <w:sz w:val="24"/>
          <w:szCs w:val="24"/>
        </w:rPr>
        <w:t>¿Cuándo se “jodió” la globalización?</w:t>
      </w:r>
    </w:p>
    <w:p w:rsidR="00A72770" w:rsidRPr="00A72770"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Si alguien necesitaba alguna</w:t>
      </w:r>
      <w:r w:rsidR="00986EE1">
        <w:rPr>
          <w:rFonts w:ascii="Times New Roman" w:hAnsi="Times New Roman" w:cs="Times New Roman"/>
          <w:sz w:val="24"/>
          <w:szCs w:val="24"/>
        </w:rPr>
        <w:t>s</w:t>
      </w:r>
      <w:r w:rsidRPr="00A72770">
        <w:rPr>
          <w:rFonts w:ascii="Times New Roman" w:hAnsi="Times New Roman" w:cs="Times New Roman"/>
          <w:sz w:val="24"/>
          <w:szCs w:val="24"/>
        </w:rPr>
        <w:t xml:space="preserve"> prueba</w:t>
      </w:r>
      <w:r w:rsidR="00986EE1">
        <w:rPr>
          <w:rFonts w:ascii="Times New Roman" w:hAnsi="Times New Roman" w:cs="Times New Roman"/>
          <w:sz w:val="24"/>
          <w:szCs w:val="24"/>
        </w:rPr>
        <w:t>s</w:t>
      </w:r>
      <w:r w:rsidRPr="00A72770">
        <w:rPr>
          <w:rFonts w:ascii="Times New Roman" w:hAnsi="Times New Roman" w:cs="Times New Roman"/>
          <w:sz w:val="24"/>
          <w:szCs w:val="24"/>
        </w:rPr>
        <w:t xml:space="preserve"> de que la globalización es un modelo económico que hace tiempo se ha separado de cualquier forma de sentido económico, creo haber presentado suficientes datos agravantes, como para que puedan</w:t>
      </w:r>
      <w:r w:rsidR="00986EE1">
        <w:rPr>
          <w:rFonts w:ascii="Times New Roman" w:hAnsi="Times New Roman" w:cs="Times New Roman"/>
          <w:sz w:val="24"/>
          <w:szCs w:val="24"/>
        </w:rPr>
        <w:t xml:space="preserve"> comprobarlo, y</w:t>
      </w:r>
      <w:r w:rsidRPr="00A72770">
        <w:rPr>
          <w:rFonts w:ascii="Times New Roman" w:hAnsi="Times New Roman" w:cs="Times New Roman"/>
          <w:sz w:val="24"/>
          <w:szCs w:val="24"/>
        </w:rPr>
        <w:t xml:space="preserve"> dictar sentencia.</w:t>
      </w:r>
    </w:p>
    <w:p w:rsidR="00A72770" w:rsidRPr="00A72770"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¿En qué universo posible podría alguien pensar que es una buena idea dejar de fabricar productos en EEUU o Europa, para hacerlo en China o India, con un sistema de competencia desleal, en un régimen de explotación laboral, con subvenciones encubiertas, sin control sanitario o medioambiental, y que ello no tendría consecuencias económicas, laborales y so</w:t>
      </w:r>
      <w:r w:rsidR="00A468EB">
        <w:rPr>
          <w:rFonts w:ascii="Times New Roman" w:hAnsi="Times New Roman" w:cs="Times New Roman"/>
          <w:sz w:val="24"/>
          <w:szCs w:val="24"/>
        </w:rPr>
        <w:t xml:space="preserve">ciales, es el mercado interior? </w:t>
      </w:r>
      <w:r w:rsidRPr="00A72770">
        <w:rPr>
          <w:rFonts w:ascii="Times New Roman" w:hAnsi="Times New Roman" w:cs="Times New Roman"/>
          <w:sz w:val="24"/>
          <w:szCs w:val="24"/>
        </w:rPr>
        <w:t>No se necesita una bola de cristal para saber cómo se iba a desarrollar ese guion.</w:t>
      </w:r>
    </w:p>
    <w:p w:rsidR="00A72770" w:rsidRPr="00A72770"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Los “global players” sufren un rechazo innato a rendirse ante la lógica de las cosas, la creencia de que un misterioso poder superior siempre vendrá a rescatarlos, como si las leyes de la historia no se aplicaran a ellos. Ni sabiduría, ni temple, ni mesura. Solo codicia y arrogancia.</w:t>
      </w:r>
    </w:p>
    <w:p w:rsidR="00FC6B4F"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Y así, en un</w:t>
      </w:r>
      <w:r w:rsidR="0089005C">
        <w:rPr>
          <w:rFonts w:ascii="Times New Roman" w:hAnsi="Times New Roman" w:cs="Times New Roman"/>
          <w:sz w:val="24"/>
          <w:szCs w:val="24"/>
        </w:rPr>
        <w:t xml:space="preserve"> vivir sin vivir han “laminado”</w:t>
      </w:r>
      <w:r w:rsidRPr="00484F39">
        <w:rPr>
          <w:rFonts w:ascii="Times New Roman" w:hAnsi="Times New Roman" w:cs="Times New Roman"/>
          <w:sz w:val="24"/>
          <w:szCs w:val="24"/>
        </w:rPr>
        <w:t xml:space="preserve"> (exterminado, aniquilado, evaporado), tres generaciones: padre</w:t>
      </w:r>
      <w:r>
        <w:rPr>
          <w:rFonts w:ascii="Times New Roman" w:hAnsi="Times New Roman" w:cs="Times New Roman"/>
          <w:sz w:val="24"/>
          <w:szCs w:val="24"/>
        </w:rPr>
        <w:t>s</w:t>
      </w:r>
      <w:r w:rsidRPr="00484F39">
        <w:rPr>
          <w:rFonts w:ascii="Times New Roman" w:hAnsi="Times New Roman" w:cs="Times New Roman"/>
          <w:sz w:val="24"/>
          <w:szCs w:val="24"/>
        </w:rPr>
        <w:t>, hijo</w:t>
      </w:r>
      <w:r>
        <w:rPr>
          <w:rFonts w:ascii="Times New Roman" w:hAnsi="Times New Roman" w:cs="Times New Roman"/>
          <w:sz w:val="24"/>
          <w:szCs w:val="24"/>
        </w:rPr>
        <w:t>s</w:t>
      </w:r>
      <w:r w:rsidRPr="00484F39">
        <w:rPr>
          <w:rFonts w:ascii="Times New Roman" w:hAnsi="Times New Roman" w:cs="Times New Roman"/>
          <w:sz w:val="24"/>
          <w:szCs w:val="24"/>
        </w:rPr>
        <w:t>, y nieto</w:t>
      </w:r>
      <w:r>
        <w:rPr>
          <w:rFonts w:ascii="Times New Roman" w:hAnsi="Times New Roman" w:cs="Times New Roman"/>
          <w:sz w:val="24"/>
          <w:szCs w:val="24"/>
        </w:rPr>
        <w:t>s</w:t>
      </w:r>
      <w:r w:rsidRPr="00484F39">
        <w:rPr>
          <w:rFonts w:ascii="Times New Roman" w:hAnsi="Times New Roman" w:cs="Times New Roman"/>
          <w:sz w:val="24"/>
          <w:szCs w:val="24"/>
        </w:rPr>
        <w:t>, carentes de importan</w:t>
      </w:r>
      <w:r w:rsidR="00A468EB">
        <w:rPr>
          <w:rFonts w:ascii="Times New Roman" w:hAnsi="Times New Roman" w:cs="Times New Roman"/>
          <w:sz w:val="24"/>
          <w:szCs w:val="24"/>
        </w:rPr>
        <w:t xml:space="preserve">cia, pero cargados de dignidad. </w:t>
      </w:r>
      <w:r w:rsidRPr="00484F39">
        <w:rPr>
          <w:rFonts w:ascii="Times New Roman" w:hAnsi="Times New Roman" w:cs="Times New Roman"/>
          <w:sz w:val="24"/>
          <w:szCs w:val="24"/>
        </w:rPr>
        <w:t>Tras quebrar a los países, antes, avanzados (ahora, en vías de subdesarrollo), solo está pendiente saber quién se pone a la cabeza del cortejo fúnebre.</w:t>
      </w:r>
    </w:p>
    <w:p w:rsidR="00A72770" w:rsidRPr="00484F39"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 xml:space="preserve">De seguir todo igual, en los próximos años un puñado de empresarios, de EEUU y Europa, </w:t>
      </w:r>
      <w:r w:rsidR="001F51B1">
        <w:rPr>
          <w:rFonts w:ascii="Times New Roman" w:hAnsi="Times New Roman" w:cs="Times New Roman"/>
          <w:sz w:val="24"/>
          <w:szCs w:val="24"/>
        </w:rPr>
        <w:t>se continuará haciendo más rico</w:t>
      </w:r>
      <w:r w:rsidRPr="00A72770">
        <w:rPr>
          <w:rFonts w:ascii="Times New Roman" w:hAnsi="Times New Roman" w:cs="Times New Roman"/>
          <w:sz w:val="24"/>
          <w:szCs w:val="24"/>
        </w:rPr>
        <w:t>, y también lo harán algunos banqueros. Pero continuará siendo un desastre económico para los trabajadores, jóvenes, y pensionistas, de EEUU y Europa. Y es un poderoso recordatorio que si se sigue adelante con el proceso de globalización, financierización, deslocalización, tercerización, librecambio, disrupción, ignorando toda la lógica económica, sin importar el daño que inevitablemente causará,… nada, ni nadie podrá detener los “brotes” y “rebrotes” de la indignación social derivada (en EEUU y en Europa).</w:t>
      </w:r>
    </w:p>
    <w:p w:rsidR="00FC6B4F" w:rsidRDefault="00FC6B4F" w:rsidP="00FC6B4F">
      <w:pPr>
        <w:spacing w:line="240" w:lineRule="auto"/>
        <w:jc w:val="both"/>
        <w:rPr>
          <w:rFonts w:ascii="Times New Roman" w:hAnsi="Times New Roman" w:cs="Times New Roman"/>
          <w:sz w:val="24"/>
          <w:szCs w:val="24"/>
        </w:rPr>
      </w:pPr>
      <w:r w:rsidRPr="00484F39">
        <w:rPr>
          <w:rFonts w:ascii="Times New Roman" w:hAnsi="Times New Roman" w:cs="Times New Roman"/>
          <w:sz w:val="24"/>
          <w:szCs w:val="24"/>
        </w:rPr>
        <w:t>Con estos “sin escrúpulos” al mando y estos “mequetrefes” al control y la crítica, dudo mucho que el capitalismo pueda salvarse a sí mismo.</w:t>
      </w:r>
    </w:p>
    <w:p w:rsidR="00C17458" w:rsidRDefault="00C17458" w:rsidP="00FC6B4F">
      <w:pPr>
        <w:spacing w:line="240" w:lineRule="auto"/>
        <w:jc w:val="both"/>
        <w:rPr>
          <w:rFonts w:ascii="Times New Roman" w:hAnsi="Times New Roman" w:cs="Times New Roman"/>
          <w:sz w:val="24"/>
          <w:szCs w:val="24"/>
        </w:rPr>
      </w:pPr>
      <w:r>
        <w:rPr>
          <w:rFonts w:ascii="Times New Roman" w:hAnsi="Times New Roman" w:cs="Times New Roman"/>
          <w:sz w:val="24"/>
          <w:szCs w:val="24"/>
        </w:rPr>
        <w:t>Si la población de los países avanzados no reacciona (se moviliza), el próximo capítulo de la “cena de los antropófagos” (empresarios rentistas -que algunos llaman, “acomodaticios”- junto con políticos venales -que algunos llaman, “pragmáticos”- será implantar el modelo chino</w:t>
      </w:r>
      <w:r w:rsidR="007C2BD5">
        <w:rPr>
          <w:rFonts w:ascii="Times New Roman" w:hAnsi="Times New Roman" w:cs="Times New Roman"/>
          <w:sz w:val="24"/>
          <w:szCs w:val="24"/>
        </w:rPr>
        <w:t>, en EEUU y en la Unión Europea</w:t>
      </w:r>
      <w:r>
        <w:rPr>
          <w:rFonts w:ascii="Times New Roman" w:hAnsi="Times New Roman" w:cs="Times New Roman"/>
          <w:sz w:val="24"/>
          <w:szCs w:val="24"/>
        </w:rPr>
        <w:t xml:space="preserve">. ¡El que pueda entender, que entienda! </w:t>
      </w:r>
    </w:p>
    <w:p w:rsidR="00A72770" w:rsidRPr="00A72770" w:rsidRDefault="00A72770" w:rsidP="00A72770">
      <w:pPr>
        <w:spacing w:line="240" w:lineRule="auto"/>
        <w:jc w:val="both"/>
        <w:rPr>
          <w:rFonts w:ascii="Times New Roman" w:hAnsi="Times New Roman" w:cs="Times New Roman"/>
          <w:b/>
          <w:sz w:val="24"/>
          <w:szCs w:val="24"/>
        </w:rPr>
      </w:pPr>
      <w:r w:rsidRPr="00A72770">
        <w:rPr>
          <w:rFonts w:ascii="Times New Roman" w:hAnsi="Times New Roman" w:cs="Times New Roman"/>
          <w:b/>
          <w:sz w:val="24"/>
          <w:szCs w:val="24"/>
        </w:rPr>
        <w:t>Quién importa en la sociedad</w:t>
      </w:r>
    </w:p>
    <w:p w:rsidR="00A72770" w:rsidRPr="00A72770"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Rutger Bregman, es un historiador holandés y fenómeno en las redes sociales. Sus libros, especialmente “Utopía para realistas”, han sido traducidos a más de 30 idiomas y han sido leídos por millones de personas en el mundo.</w:t>
      </w:r>
    </w:p>
    <w:p w:rsidR="00A72770" w:rsidRDefault="00A72770" w:rsidP="00A72770">
      <w:pPr>
        <w:spacing w:line="240" w:lineRule="auto"/>
        <w:jc w:val="both"/>
        <w:rPr>
          <w:rFonts w:ascii="Times New Roman" w:hAnsi="Times New Roman" w:cs="Times New Roman"/>
          <w:sz w:val="24"/>
          <w:szCs w:val="24"/>
        </w:rPr>
      </w:pPr>
      <w:r w:rsidRPr="00A72770">
        <w:rPr>
          <w:rFonts w:ascii="Times New Roman" w:hAnsi="Times New Roman" w:cs="Times New Roman"/>
          <w:sz w:val="24"/>
          <w:szCs w:val="24"/>
        </w:rPr>
        <w:t>Para Bregman, uno de los momentos más interesantes de la pandemia ocurrió cuando los gobiernos elaboraron listas de “trabajadores esenciales”. “Cuando ves estas listas te preguntas, ¿dónde están los banqueros y los gerente</w:t>
      </w:r>
      <w:r w:rsidR="007C2BD5">
        <w:rPr>
          <w:rFonts w:ascii="Times New Roman" w:hAnsi="Times New Roman" w:cs="Times New Roman"/>
          <w:sz w:val="24"/>
          <w:szCs w:val="24"/>
        </w:rPr>
        <w:t xml:space="preserve">s de los fondos de inversión?”. </w:t>
      </w:r>
      <w:r w:rsidRPr="00A72770">
        <w:rPr>
          <w:rFonts w:ascii="Times New Roman" w:hAnsi="Times New Roman" w:cs="Times New Roman"/>
          <w:sz w:val="24"/>
          <w:szCs w:val="24"/>
        </w:rPr>
        <w:t>Todo el mundo se dio cuenta de que “los trabajadores que realmente eran importantes eran los recolectores de basura, las maestras y los maestros, las enfermeras y los enfermeros…”. “Los trabajadores que no reciben los salarios más altos, o que ejercen las profesiones menos prestigiosas, resultaron ser esenciales”.</w:t>
      </w:r>
    </w:p>
    <w:p w:rsidR="00FC6B4F" w:rsidRPr="00AB3698"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Bregman cree que éste puede ser un momento definitorio para los niños de toda una generación que aún deben elegir a qué dedicarse “cuando sean grandes”. “Podríamos repensar el valor del trabajo. En las década de los 80 y 90, para muchos jóvenes el éxito significaba trabajar en Wall Street o Silicon Valley”. Pero tal vez los adolescentes y niños de hoy en día piensen: “Quiero hacer un trabajo que realmente haga una diferencia, quiero contribuir algo de valor a la sociedad”…</w:t>
      </w:r>
    </w:p>
    <w:p w:rsidR="00FC6B4F" w:rsidRPr="00AB3698"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“Sabemos por investigaciones recientes que en las economías modernas, cerca del 25% de los trabajadores piensa que su trabajo no agrega nada de valor”. A menudo estas personas “tienen salarios fabulosos y fueron a las mejores universidades” pero aun así no saben cuál es el valor de su aporte. “Es un verdadero desperdicio que no podemos darnos el lujo de permitir. Espero que la crisis del coronavirus también promueva cambios en ese sentido”.</w:t>
      </w:r>
    </w:p>
    <w:p w:rsidR="00FC6B4F" w:rsidRPr="00AB3698"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Bregman quiere que la gente deje de pensar “estoy cansado de escribir informes que nadie va a leer”, y afirme en cambio “podría hacer algo valioso con mis habilidades y talentos”.“Lo que estamos viendo ahora es</w:t>
      </w:r>
      <w:r>
        <w:rPr>
          <w:rFonts w:ascii="Times New Roman" w:hAnsi="Times New Roman" w:cs="Times New Roman"/>
          <w:sz w:val="24"/>
          <w:szCs w:val="24"/>
        </w:rPr>
        <w:t xml:space="preserve"> un vuelco generacional”, señala</w:t>
      </w:r>
      <w:r w:rsidRPr="00AB3698">
        <w:rPr>
          <w:rFonts w:ascii="Times New Roman" w:hAnsi="Times New Roman" w:cs="Times New Roman"/>
          <w:sz w:val="24"/>
          <w:szCs w:val="24"/>
        </w:rPr>
        <w:t xml:space="preserve"> Bregman. La gente joven de hoy en día “es la generación más progresista que jamás existió”. “Estos jóvenes son prodemocracia, quieren cambios, son conscientes de los peligros del cambio climático y están indignados ante la creciente desigualdad”.</w:t>
      </w:r>
    </w:p>
    <w:p w:rsidR="007C2BD5"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Bregman cree que si se permitiera votar solo a los menores de 40, habría gobernantes muy diferentes en el mundo. Algo que impulsa a la generación joven, según Bregman, es el rechazo de la actual élite y su comportamiento, que les resulta intolerable. “Las élites elaboran las reglas para el resto del mundo, pero esas reglas no se aplican cuando se trata de ellas mismas”.</w:t>
      </w:r>
    </w:p>
    <w:p w:rsidR="00986EE1"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“Esto es algo que podríamos llamar supervivencia de los desvergonzados”. “Creo que es muy preocupante que hayamos construido estos sistemas políticos que permiten la supervivencia del desvergonzado. Ya no somos muy eficientes a la hora de monitorear a los que están en el poder y hacer que respondan por sus acciones, Hay mucho trabajo por hacer en ese sentido”, agregó Bregman.</w:t>
      </w:r>
    </w:p>
    <w:p w:rsidR="00FC6B4F" w:rsidRPr="00AB3698"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Si Bregman fuera a dar un consejo a alguien de 15 años, ese consejo sería: “No tienes que ser optimista. El optimismo es una forma de complacencia”. El historiador quiere que la gente joven vea con desconfianza el mensaje de que “todo va a estar bien”.</w:t>
      </w:r>
    </w:p>
    <w:p w:rsidR="00FC6B4F" w:rsidRPr="00AB3698"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 xml:space="preserve">“Lo que sí puedes tener es esperanza, algo que es muy </w:t>
      </w:r>
      <w:r w:rsidR="00C2435A">
        <w:rPr>
          <w:rFonts w:ascii="Times New Roman" w:hAnsi="Times New Roman" w:cs="Times New Roman"/>
          <w:sz w:val="24"/>
          <w:szCs w:val="24"/>
        </w:rPr>
        <w:t>diferente del optimismo”, afirma</w:t>
      </w:r>
      <w:r w:rsidRPr="00AB3698">
        <w:rPr>
          <w:rFonts w:ascii="Times New Roman" w:hAnsi="Times New Roman" w:cs="Times New Roman"/>
          <w:sz w:val="24"/>
          <w:szCs w:val="24"/>
        </w:rPr>
        <w:t xml:space="preserve"> Bregman. “La esperanza incluye la posibilidad de cambio. Es lo que te impulsa a actuar y a ser parte de la solución”. “El espíritu de estos tiempos está cambiando y estamos entrando en una era diferente, tanto en la cien</w:t>
      </w:r>
      <w:r>
        <w:rPr>
          <w:rFonts w:ascii="Times New Roman" w:hAnsi="Times New Roman" w:cs="Times New Roman"/>
          <w:sz w:val="24"/>
          <w:szCs w:val="24"/>
        </w:rPr>
        <w:t>cia como en la sociedad”, señala</w:t>
      </w:r>
      <w:r w:rsidRPr="00AB3698">
        <w:rPr>
          <w:rFonts w:ascii="Times New Roman" w:hAnsi="Times New Roman" w:cs="Times New Roman"/>
          <w:sz w:val="24"/>
          <w:szCs w:val="24"/>
        </w:rPr>
        <w:t xml:space="preserve"> el historiador.</w:t>
      </w:r>
    </w:p>
    <w:p w:rsidR="00FC6B4F" w:rsidRDefault="00FC6B4F" w:rsidP="00FC6B4F">
      <w:pPr>
        <w:spacing w:line="240" w:lineRule="auto"/>
        <w:jc w:val="both"/>
        <w:rPr>
          <w:rFonts w:ascii="Times New Roman" w:hAnsi="Times New Roman" w:cs="Times New Roman"/>
          <w:sz w:val="24"/>
          <w:szCs w:val="24"/>
        </w:rPr>
      </w:pPr>
      <w:r w:rsidRPr="00AB3698">
        <w:rPr>
          <w:rFonts w:ascii="Times New Roman" w:hAnsi="Times New Roman" w:cs="Times New Roman"/>
          <w:sz w:val="24"/>
          <w:szCs w:val="24"/>
        </w:rPr>
        <w:t>“Nuestro superpoder secreto como especie es cooperar, y eso está ocurriendo ahora mismo”. “El cinismo está obsoleto. Es la era de la esperanza”.</w:t>
      </w:r>
    </w:p>
    <w:p w:rsidR="00FC6B4F" w:rsidRPr="00101504" w:rsidRDefault="00FC6B4F" w:rsidP="00FC6B4F">
      <w:pPr>
        <w:spacing w:line="240" w:lineRule="auto"/>
        <w:jc w:val="both"/>
        <w:rPr>
          <w:rFonts w:ascii="Times New Roman" w:hAnsi="Times New Roman" w:cs="Times New Roman"/>
          <w:b/>
          <w:sz w:val="24"/>
          <w:szCs w:val="24"/>
        </w:rPr>
      </w:pPr>
      <w:r w:rsidRPr="00101504">
        <w:rPr>
          <w:rFonts w:ascii="Times New Roman" w:hAnsi="Times New Roman" w:cs="Times New Roman"/>
          <w:b/>
          <w:sz w:val="24"/>
          <w:szCs w:val="24"/>
        </w:rPr>
        <w:t>Nota</w:t>
      </w:r>
      <w:r w:rsidR="00887B4B">
        <w:rPr>
          <w:rFonts w:ascii="Times New Roman" w:hAnsi="Times New Roman" w:cs="Times New Roman"/>
          <w:b/>
          <w:sz w:val="24"/>
          <w:szCs w:val="24"/>
        </w:rPr>
        <w:t xml:space="preserve"> (I)</w:t>
      </w:r>
      <w:r w:rsidRPr="00101504">
        <w:rPr>
          <w:rFonts w:ascii="Times New Roman" w:hAnsi="Times New Roman" w:cs="Times New Roman"/>
          <w:b/>
          <w:sz w:val="24"/>
          <w:szCs w:val="24"/>
        </w:rPr>
        <w:t>: soy demasiado viejo (75 años) como para intentar dar “consejos” a los jóvenes, pero si estu</w:t>
      </w:r>
      <w:r w:rsidR="0089005C">
        <w:rPr>
          <w:rFonts w:ascii="Times New Roman" w:hAnsi="Times New Roman" w:cs="Times New Roman"/>
          <w:b/>
          <w:sz w:val="24"/>
          <w:szCs w:val="24"/>
        </w:rPr>
        <w:t>viera en su lugar, considerando</w:t>
      </w:r>
      <w:r w:rsidRPr="00101504">
        <w:rPr>
          <w:rFonts w:ascii="Times New Roman" w:hAnsi="Times New Roman" w:cs="Times New Roman"/>
          <w:b/>
          <w:sz w:val="24"/>
          <w:szCs w:val="24"/>
        </w:rPr>
        <w:t xml:space="preserve"> mi larga experiencia de vid</w:t>
      </w:r>
      <w:r w:rsidR="00A72770">
        <w:rPr>
          <w:rFonts w:ascii="Times New Roman" w:hAnsi="Times New Roman" w:cs="Times New Roman"/>
          <w:b/>
          <w:sz w:val="24"/>
          <w:szCs w:val="24"/>
        </w:rPr>
        <w:t>a (aunque en estado permanente de duda razonable y millonario en fracazos</w:t>
      </w:r>
      <w:r w:rsidRPr="00101504">
        <w:rPr>
          <w:rFonts w:ascii="Times New Roman" w:hAnsi="Times New Roman" w:cs="Times New Roman"/>
          <w:b/>
          <w:sz w:val="24"/>
          <w:szCs w:val="24"/>
        </w:rPr>
        <w:t>), les “insinuaría”</w:t>
      </w:r>
      <w:r w:rsidR="0089005C">
        <w:rPr>
          <w:rFonts w:ascii="Times New Roman" w:hAnsi="Times New Roman" w:cs="Times New Roman"/>
          <w:b/>
          <w:sz w:val="24"/>
          <w:szCs w:val="24"/>
        </w:rPr>
        <w:t xml:space="preserve"> (sugerir, me parece petulante)</w:t>
      </w:r>
      <w:r w:rsidRPr="00101504">
        <w:rPr>
          <w:rFonts w:ascii="Times New Roman" w:hAnsi="Times New Roman" w:cs="Times New Roman"/>
          <w:b/>
          <w:sz w:val="24"/>
          <w:szCs w:val="24"/>
        </w:rPr>
        <w:t xml:space="preserve"> que para</w:t>
      </w:r>
      <w:r w:rsidR="0089005C">
        <w:rPr>
          <w:rFonts w:ascii="Times New Roman" w:hAnsi="Times New Roman" w:cs="Times New Roman"/>
          <w:b/>
          <w:sz w:val="24"/>
          <w:szCs w:val="24"/>
        </w:rPr>
        <w:t xml:space="preserve"> ir comenzando</w:t>
      </w:r>
      <w:r w:rsidRPr="00101504">
        <w:rPr>
          <w:rFonts w:ascii="Times New Roman" w:hAnsi="Times New Roman" w:cs="Times New Roman"/>
          <w:b/>
          <w:sz w:val="24"/>
          <w:szCs w:val="24"/>
        </w:rPr>
        <w:t xml:space="preserve"> la “era de la esperanza”, abandonaran la economía “low cost” (Amazon, Uber, Airbnb…), se dieran de baja de las redes sociales (Facebook, Instagram, Twitter…) y tiraran a la mierda el iPhone. Eso para empezar, luego vendrían los boicots selectivos, el abandono del consumismo feroz, el retorno a la cultura del esfuerzo y el trabajo, la defensa de la igualdad de oportunidades</w:t>
      </w:r>
      <w:r w:rsidR="0089005C">
        <w:rPr>
          <w:rFonts w:ascii="Times New Roman" w:hAnsi="Times New Roman" w:cs="Times New Roman"/>
          <w:b/>
          <w:sz w:val="24"/>
          <w:szCs w:val="24"/>
        </w:rPr>
        <w:t xml:space="preserve"> (que no significa igualitarismo</w:t>
      </w:r>
      <w:r w:rsidRPr="00101504">
        <w:rPr>
          <w:rFonts w:ascii="Times New Roman" w:hAnsi="Times New Roman" w:cs="Times New Roman"/>
          <w:b/>
          <w:sz w:val="24"/>
          <w:szCs w:val="24"/>
        </w:rPr>
        <w:t xml:space="preserve"> a la baja), la vuelta a la “cartilla” de ahorro, la renuncia al “apalancamiento”, al crédit</w:t>
      </w:r>
      <w:r w:rsidR="00101504">
        <w:rPr>
          <w:rFonts w:ascii="Times New Roman" w:hAnsi="Times New Roman" w:cs="Times New Roman"/>
          <w:b/>
          <w:sz w:val="24"/>
          <w:szCs w:val="24"/>
        </w:rPr>
        <w:t>o fácil, al dinero plástico</w:t>
      </w:r>
      <w:r w:rsidRPr="00101504">
        <w:rPr>
          <w:rFonts w:ascii="Times New Roman" w:hAnsi="Times New Roman" w:cs="Times New Roman"/>
          <w:b/>
          <w:sz w:val="24"/>
          <w:szCs w:val="24"/>
        </w:rPr>
        <w:t>, y a vivir por encima de las posibilidades…</w:t>
      </w:r>
    </w:p>
    <w:p w:rsidR="00FC6B4F" w:rsidRPr="00101504" w:rsidRDefault="00FC6B4F" w:rsidP="00FC6B4F">
      <w:pPr>
        <w:spacing w:line="240" w:lineRule="auto"/>
        <w:jc w:val="both"/>
        <w:rPr>
          <w:rFonts w:ascii="Times New Roman" w:hAnsi="Times New Roman" w:cs="Times New Roman"/>
          <w:b/>
          <w:sz w:val="24"/>
          <w:szCs w:val="24"/>
        </w:rPr>
      </w:pPr>
      <w:r w:rsidRPr="00101504">
        <w:rPr>
          <w:rFonts w:ascii="Times New Roman" w:hAnsi="Times New Roman" w:cs="Times New Roman"/>
          <w:b/>
          <w:sz w:val="24"/>
          <w:szCs w:val="24"/>
        </w:rPr>
        <w:t>Antes que me olvide: aquellos jóvenes que no están dispuestos a prescindir del teléfono móvil (temo que la mayoría), rogarles que no admitan que trafiquen con sus datos, que no se desnuden gratis, que no se dejen manipular por algún algoritmo siniestro. Hay que alfabetizarse más y no solo tecnológicamente. Al menos, intentarlo, mientras se pueda.</w:t>
      </w:r>
    </w:p>
    <w:p w:rsidR="00FC6B4F" w:rsidRDefault="00887B4B" w:rsidP="00FC6B4F">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 p</w:t>
      </w:r>
      <w:r w:rsidR="00FC6B4F" w:rsidRPr="00101504">
        <w:rPr>
          <w:rFonts w:ascii="Times New Roman" w:hAnsi="Times New Roman" w:cs="Times New Roman"/>
          <w:b/>
          <w:sz w:val="24"/>
          <w:szCs w:val="24"/>
        </w:rPr>
        <w:t>ara decir que el cinismo está obsoleto, creo que todavía hay que enterrar unos cuantos zombis, que pululan por el paisaje. Para dar por iniciada la era de la esperanza, creo que aún hace falt</w:t>
      </w:r>
      <w:r>
        <w:rPr>
          <w:rFonts w:ascii="Times New Roman" w:hAnsi="Times New Roman" w:cs="Times New Roman"/>
          <w:b/>
          <w:sz w:val="24"/>
          <w:szCs w:val="24"/>
        </w:rPr>
        <w:t>a arar bastante. Quedan muchos “detritus”</w:t>
      </w:r>
      <w:r w:rsidR="00602138">
        <w:rPr>
          <w:rFonts w:ascii="Times New Roman" w:hAnsi="Times New Roman" w:cs="Times New Roman"/>
          <w:b/>
          <w:sz w:val="24"/>
          <w:szCs w:val="24"/>
        </w:rPr>
        <w:t xml:space="preserve"> sobre el terreno. </w:t>
      </w:r>
      <w:r w:rsidR="004B4BC8">
        <w:rPr>
          <w:rFonts w:ascii="Times New Roman" w:hAnsi="Times New Roman" w:cs="Times New Roman"/>
          <w:b/>
          <w:sz w:val="24"/>
          <w:szCs w:val="24"/>
        </w:rPr>
        <w:t>Abunda demasiada biomasa macabra.</w:t>
      </w:r>
      <w:r w:rsidR="00602138">
        <w:rPr>
          <w:rFonts w:ascii="Times New Roman" w:hAnsi="Times New Roman" w:cs="Times New Roman"/>
          <w:b/>
          <w:sz w:val="24"/>
          <w:szCs w:val="24"/>
        </w:rPr>
        <w:t xml:space="preserve"> Falta quemar mucho rastrojo</w:t>
      </w:r>
      <w:r w:rsidR="001F51B1">
        <w:rPr>
          <w:rFonts w:ascii="Times New Roman" w:hAnsi="Times New Roman" w:cs="Times New Roman"/>
          <w:b/>
          <w:sz w:val="24"/>
          <w:szCs w:val="24"/>
        </w:rPr>
        <w:t>.</w:t>
      </w:r>
    </w:p>
    <w:p w:rsidR="00986EE1" w:rsidRDefault="00986EE1" w:rsidP="00986EE1">
      <w:pPr>
        <w:spacing w:line="240" w:lineRule="auto"/>
        <w:jc w:val="both"/>
        <w:rPr>
          <w:rFonts w:ascii="Times New Roman" w:hAnsi="Times New Roman" w:cs="Times New Roman"/>
          <w:b/>
          <w:sz w:val="24"/>
          <w:szCs w:val="24"/>
        </w:rPr>
      </w:pPr>
      <w:r w:rsidRPr="00986EE1">
        <w:rPr>
          <w:rFonts w:ascii="Times New Roman" w:hAnsi="Times New Roman" w:cs="Times New Roman"/>
          <w:b/>
          <w:sz w:val="24"/>
          <w:szCs w:val="24"/>
        </w:rPr>
        <w:t>La ecuación: Empresas Sistémicas + QE + Riesgo Moral = Expoliación Alegal, es el virus qu</w:t>
      </w:r>
      <w:r>
        <w:rPr>
          <w:rFonts w:ascii="Times New Roman" w:hAnsi="Times New Roman" w:cs="Times New Roman"/>
          <w:b/>
          <w:sz w:val="24"/>
          <w:szCs w:val="24"/>
        </w:rPr>
        <w:t xml:space="preserve">e ha vuelto loca a la economía. </w:t>
      </w:r>
      <w:r w:rsidRPr="00986EE1">
        <w:rPr>
          <w:rFonts w:ascii="Times New Roman" w:hAnsi="Times New Roman" w:cs="Times New Roman"/>
          <w:b/>
          <w:sz w:val="24"/>
          <w:szCs w:val="24"/>
        </w:rPr>
        <w:t>Y los artífices del “invento”, no parece que hayan asumido aún que “no se pueden resolver los problemas con el mismo tipo de ideas que utilizaron para crearlos”.</w:t>
      </w:r>
    </w:p>
    <w:p w:rsidR="005023AF" w:rsidRDefault="005023AF" w:rsidP="005023AF">
      <w:pPr>
        <w:spacing w:line="240" w:lineRule="auto"/>
        <w:jc w:val="both"/>
        <w:rPr>
          <w:rFonts w:ascii="Times New Roman" w:hAnsi="Times New Roman" w:cs="Times New Roman"/>
          <w:b/>
          <w:sz w:val="24"/>
          <w:szCs w:val="24"/>
        </w:rPr>
      </w:pPr>
      <w:r w:rsidRPr="005023AF">
        <w:rPr>
          <w:rFonts w:ascii="Times New Roman" w:hAnsi="Times New Roman" w:cs="Times New Roman"/>
          <w:b/>
          <w:sz w:val="24"/>
          <w:szCs w:val="24"/>
        </w:rPr>
        <w:t>Ellos</w:t>
      </w:r>
      <w:r>
        <w:rPr>
          <w:rFonts w:ascii="Times New Roman" w:hAnsi="Times New Roman" w:cs="Times New Roman"/>
          <w:b/>
          <w:sz w:val="24"/>
          <w:szCs w:val="24"/>
        </w:rPr>
        <w:t>, los global players, los hacedores de mercado, los amos del universo,</w:t>
      </w:r>
      <w:r w:rsidR="00A7317F">
        <w:rPr>
          <w:rFonts w:ascii="Times New Roman" w:hAnsi="Times New Roman" w:cs="Times New Roman"/>
          <w:b/>
          <w:sz w:val="24"/>
          <w:szCs w:val="24"/>
        </w:rPr>
        <w:t xml:space="preserve"> los que mienten y saben que mienten, </w:t>
      </w:r>
      <w:r w:rsidRPr="005023AF">
        <w:rPr>
          <w:rFonts w:ascii="Times New Roman" w:hAnsi="Times New Roman" w:cs="Times New Roman"/>
          <w:b/>
          <w:sz w:val="24"/>
          <w:szCs w:val="24"/>
        </w:rPr>
        <w:t>implantan el despido libre, el trabajo inseguro o d</w:t>
      </w:r>
      <w:r>
        <w:rPr>
          <w:rFonts w:ascii="Times New Roman" w:hAnsi="Times New Roman" w:cs="Times New Roman"/>
          <w:b/>
          <w:sz w:val="24"/>
          <w:szCs w:val="24"/>
        </w:rPr>
        <w:t>ire</w:t>
      </w:r>
      <w:r w:rsidR="00E97FD3">
        <w:rPr>
          <w:rFonts w:ascii="Times New Roman" w:hAnsi="Times New Roman" w:cs="Times New Roman"/>
          <w:b/>
          <w:sz w:val="24"/>
          <w:szCs w:val="24"/>
        </w:rPr>
        <w:t>ctamente les arrojan al paro, y ustedes cómo</w:t>
      </w:r>
      <w:r>
        <w:rPr>
          <w:rFonts w:ascii="Times New Roman" w:hAnsi="Times New Roman" w:cs="Times New Roman"/>
          <w:b/>
          <w:sz w:val="24"/>
          <w:szCs w:val="24"/>
        </w:rPr>
        <w:t xml:space="preserve"> responden…¿</w:t>
      </w:r>
      <w:r w:rsidR="00A7317F">
        <w:rPr>
          <w:rFonts w:ascii="Times New Roman" w:hAnsi="Times New Roman" w:cs="Times New Roman"/>
          <w:b/>
          <w:sz w:val="24"/>
          <w:szCs w:val="24"/>
        </w:rPr>
        <w:t>con la inversión de su propia</w:t>
      </w:r>
      <w:r w:rsidRPr="005023AF">
        <w:rPr>
          <w:rFonts w:ascii="Times New Roman" w:hAnsi="Times New Roman" w:cs="Times New Roman"/>
          <w:b/>
          <w:sz w:val="24"/>
          <w:szCs w:val="24"/>
        </w:rPr>
        <w:t xml:space="preserve"> fu</w:t>
      </w:r>
      <w:r>
        <w:rPr>
          <w:rFonts w:ascii="Times New Roman" w:hAnsi="Times New Roman" w:cs="Times New Roman"/>
          <w:b/>
          <w:sz w:val="24"/>
          <w:szCs w:val="24"/>
        </w:rPr>
        <w:t>erza de trabajo multiplicada en proporción geométrica? Eso</w:t>
      </w:r>
      <w:r w:rsidR="007C2BD5">
        <w:rPr>
          <w:rFonts w:ascii="Times New Roman" w:hAnsi="Times New Roman" w:cs="Times New Roman"/>
          <w:b/>
          <w:sz w:val="24"/>
          <w:szCs w:val="24"/>
        </w:rPr>
        <w:t>,</w:t>
      </w:r>
      <w:r>
        <w:rPr>
          <w:rFonts w:ascii="Times New Roman" w:hAnsi="Times New Roman" w:cs="Times New Roman"/>
          <w:b/>
          <w:sz w:val="24"/>
          <w:szCs w:val="24"/>
        </w:rPr>
        <w:t xml:space="preserve"> solo alarga el tiempo de j</w:t>
      </w:r>
      <w:r w:rsidR="00A7317F">
        <w:rPr>
          <w:rFonts w:ascii="Times New Roman" w:hAnsi="Times New Roman" w:cs="Times New Roman"/>
          <w:b/>
          <w:sz w:val="24"/>
          <w:szCs w:val="24"/>
        </w:rPr>
        <w:t>uego (en una economía de casino: donde el ganador se lleva todo)</w:t>
      </w:r>
      <w:r>
        <w:rPr>
          <w:rFonts w:ascii="Times New Roman" w:hAnsi="Times New Roman" w:cs="Times New Roman"/>
          <w:b/>
          <w:sz w:val="24"/>
          <w:szCs w:val="24"/>
        </w:rPr>
        <w:t>.</w:t>
      </w:r>
    </w:p>
    <w:p w:rsidR="003D64FD" w:rsidRDefault="003D64FD" w:rsidP="00FC6B4F">
      <w:pPr>
        <w:spacing w:line="240" w:lineRule="auto"/>
        <w:jc w:val="both"/>
        <w:rPr>
          <w:rFonts w:ascii="Times New Roman" w:hAnsi="Times New Roman" w:cs="Times New Roman"/>
          <w:b/>
          <w:sz w:val="24"/>
          <w:szCs w:val="24"/>
        </w:rPr>
      </w:pPr>
      <w:r>
        <w:rPr>
          <w:rFonts w:ascii="Times New Roman" w:hAnsi="Times New Roman" w:cs="Times New Roman"/>
          <w:b/>
          <w:sz w:val="24"/>
          <w:szCs w:val="24"/>
        </w:rPr>
        <w:t>A ustedes toca, c</w:t>
      </w:r>
      <w:r w:rsidRPr="003D64FD">
        <w:rPr>
          <w:rFonts w:ascii="Times New Roman" w:hAnsi="Times New Roman" w:cs="Times New Roman"/>
          <w:b/>
          <w:sz w:val="24"/>
          <w:szCs w:val="24"/>
        </w:rPr>
        <w:t>lavar la estaca, cegar a la bestia y escapar de la trampa.</w:t>
      </w:r>
      <w:r>
        <w:rPr>
          <w:rFonts w:ascii="Times New Roman" w:hAnsi="Times New Roman" w:cs="Times New Roman"/>
          <w:b/>
          <w:sz w:val="24"/>
          <w:szCs w:val="24"/>
        </w:rPr>
        <w:t xml:space="preserve"> A ustedes toca cumplir nuestro deseo aplazado. Y si para eso hay que cambiar el modelo económico, hay que hacerlo… Y si para eso hay que cambiar vida por vidas, también.</w:t>
      </w:r>
    </w:p>
    <w:p w:rsidR="003D64FD" w:rsidRDefault="008D76C4" w:rsidP="00FC6B4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 mejor producir historia que consumirla. </w:t>
      </w:r>
      <w:r w:rsidR="003D64FD">
        <w:rPr>
          <w:rFonts w:ascii="Times New Roman" w:hAnsi="Times New Roman" w:cs="Times New Roman"/>
          <w:b/>
          <w:sz w:val="24"/>
          <w:szCs w:val="24"/>
        </w:rPr>
        <w:t>Hay que cumplir un papel digno (aunque sea anónimo) en la cadena de la historia (aunque no quede registrado en los libros).</w:t>
      </w:r>
    </w:p>
    <w:p w:rsidR="00EB3177" w:rsidRDefault="003D64FD" w:rsidP="0010150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Sino, además </w:t>
      </w:r>
      <w:r w:rsidR="005023AF">
        <w:rPr>
          <w:rFonts w:ascii="Times New Roman" w:hAnsi="Times New Roman" w:cs="Times New Roman"/>
          <w:b/>
          <w:sz w:val="24"/>
          <w:szCs w:val="24"/>
        </w:rPr>
        <w:t xml:space="preserve">de </w:t>
      </w:r>
      <w:r w:rsidR="00986EE1">
        <w:rPr>
          <w:rFonts w:ascii="Times New Roman" w:hAnsi="Times New Roman" w:cs="Times New Roman"/>
          <w:b/>
          <w:sz w:val="24"/>
          <w:szCs w:val="24"/>
        </w:rPr>
        <w:t>“</w:t>
      </w:r>
      <w:r w:rsidR="005023AF">
        <w:rPr>
          <w:rFonts w:ascii="Times New Roman" w:hAnsi="Times New Roman" w:cs="Times New Roman"/>
          <w:b/>
          <w:sz w:val="24"/>
          <w:szCs w:val="24"/>
        </w:rPr>
        <w:t>pobres</w:t>
      </w:r>
      <w:r w:rsidR="00986EE1">
        <w:rPr>
          <w:rFonts w:ascii="Times New Roman" w:hAnsi="Times New Roman" w:cs="Times New Roman"/>
          <w:b/>
          <w:sz w:val="24"/>
          <w:szCs w:val="24"/>
        </w:rPr>
        <w:t>”</w:t>
      </w:r>
      <w:r w:rsidR="005023AF">
        <w:rPr>
          <w:rFonts w:ascii="Times New Roman" w:hAnsi="Times New Roman" w:cs="Times New Roman"/>
          <w:b/>
          <w:sz w:val="24"/>
          <w:szCs w:val="24"/>
        </w:rPr>
        <w:t xml:space="preserve"> (como nos</w:t>
      </w:r>
      <w:r w:rsidR="008D76C4">
        <w:rPr>
          <w:rFonts w:ascii="Times New Roman" w:hAnsi="Times New Roman" w:cs="Times New Roman"/>
          <w:b/>
          <w:sz w:val="24"/>
          <w:szCs w:val="24"/>
        </w:rPr>
        <w:t>otros</w:t>
      </w:r>
      <w:r w:rsidR="005023AF">
        <w:rPr>
          <w:rFonts w:ascii="Times New Roman" w:hAnsi="Times New Roman" w:cs="Times New Roman"/>
          <w:b/>
          <w:sz w:val="24"/>
          <w:szCs w:val="24"/>
        </w:rPr>
        <w:t xml:space="preserve">), serán </w:t>
      </w:r>
      <w:r w:rsidR="00986EE1">
        <w:rPr>
          <w:rFonts w:ascii="Times New Roman" w:hAnsi="Times New Roman" w:cs="Times New Roman"/>
          <w:b/>
          <w:sz w:val="24"/>
          <w:szCs w:val="24"/>
        </w:rPr>
        <w:t>“</w:t>
      </w:r>
      <w:r>
        <w:rPr>
          <w:rFonts w:ascii="Times New Roman" w:hAnsi="Times New Roman" w:cs="Times New Roman"/>
          <w:b/>
          <w:sz w:val="24"/>
          <w:szCs w:val="24"/>
        </w:rPr>
        <w:t>moralmente indeseables</w:t>
      </w:r>
      <w:r w:rsidR="00986EE1">
        <w:rPr>
          <w:rFonts w:ascii="Times New Roman" w:hAnsi="Times New Roman" w:cs="Times New Roman"/>
          <w:b/>
          <w:sz w:val="24"/>
          <w:szCs w:val="24"/>
        </w:rPr>
        <w:t>”</w:t>
      </w:r>
      <w:r w:rsidR="005023AF">
        <w:rPr>
          <w:rFonts w:ascii="Times New Roman" w:hAnsi="Times New Roman" w:cs="Times New Roman"/>
          <w:b/>
          <w:sz w:val="24"/>
          <w:szCs w:val="24"/>
        </w:rPr>
        <w:t>(como nos</w:t>
      </w:r>
      <w:r w:rsidR="008D76C4">
        <w:rPr>
          <w:rFonts w:ascii="Times New Roman" w:hAnsi="Times New Roman" w:cs="Times New Roman"/>
          <w:b/>
          <w:sz w:val="24"/>
          <w:szCs w:val="24"/>
        </w:rPr>
        <w:t>otros</w:t>
      </w:r>
      <w:r w:rsidR="005023AF">
        <w:rPr>
          <w:rFonts w:ascii="Times New Roman" w:hAnsi="Times New Roman" w:cs="Times New Roman"/>
          <w:b/>
          <w:sz w:val="24"/>
          <w:szCs w:val="24"/>
        </w:rPr>
        <w:t>)</w:t>
      </w:r>
      <w:r>
        <w:rPr>
          <w:rFonts w:ascii="Times New Roman" w:hAnsi="Times New Roman" w:cs="Times New Roman"/>
          <w:b/>
          <w:sz w:val="24"/>
          <w:szCs w:val="24"/>
        </w:rPr>
        <w:t>.</w:t>
      </w:r>
      <w:r w:rsidR="00E97FD3">
        <w:rPr>
          <w:rFonts w:ascii="Times New Roman" w:hAnsi="Times New Roman" w:cs="Times New Roman"/>
          <w:b/>
          <w:sz w:val="24"/>
          <w:szCs w:val="24"/>
        </w:rPr>
        <w:t>Serán esa</w:t>
      </w:r>
      <w:r w:rsidR="00E97FD3" w:rsidRPr="00E97FD3">
        <w:rPr>
          <w:rFonts w:ascii="Times New Roman" w:hAnsi="Times New Roman" w:cs="Times New Roman"/>
          <w:b/>
          <w:sz w:val="24"/>
          <w:szCs w:val="24"/>
        </w:rPr>
        <w:t xml:space="preserve"> generación no ya </w:t>
      </w:r>
      <w:r w:rsidR="00E97FD3">
        <w:rPr>
          <w:rFonts w:ascii="Times New Roman" w:hAnsi="Times New Roman" w:cs="Times New Roman"/>
          <w:b/>
          <w:sz w:val="24"/>
          <w:szCs w:val="24"/>
        </w:rPr>
        <w:t>“</w:t>
      </w:r>
      <w:r w:rsidR="00E97FD3" w:rsidRPr="00E97FD3">
        <w:rPr>
          <w:rFonts w:ascii="Times New Roman" w:hAnsi="Times New Roman" w:cs="Times New Roman"/>
          <w:b/>
          <w:sz w:val="24"/>
          <w:szCs w:val="24"/>
        </w:rPr>
        <w:t>sin</w:t>
      </w:r>
      <w:r w:rsidR="00E97FD3">
        <w:rPr>
          <w:rFonts w:ascii="Times New Roman" w:hAnsi="Times New Roman" w:cs="Times New Roman"/>
          <w:b/>
          <w:sz w:val="24"/>
          <w:szCs w:val="24"/>
        </w:rPr>
        <w:t xml:space="preserve"> presente”, sino</w:t>
      </w:r>
      <w:r w:rsidR="00E56576">
        <w:rPr>
          <w:rFonts w:ascii="Times New Roman" w:hAnsi="Times New Roman" w:cs="Times New Roman"/>
          <w:b/>
          <w:sz w:val="24"/>
          <w:szCs w:val="24"/>
        </w:rPr>
        <w:t xml:space="preserve"> también</w:t>
      </w:r>
      <w:bookmarkStart w:id="0" w:name="_GoBack"/>
      <w:bookmarkEnd w:id="0"/>
      <w:r w:rsidR="00E97FD3">
        <w:rPr>
          <w:rFonts w:ascii="Times New Roman" w:hAnsi="Times New Roman" w:cs="Times New Roman"/>
          <w:b/>
          <w:sz w:val="24"/>
          <w:szCs w:val="24"/>
        </w:rPr>
        <w:t>“sin futuro”.</w:t>
      </w:r>
    </w:p>
    <w:p w:rsidR="00A468EB" w:rsidRDefault="00A468EB" w:rsidP="00101504">
      <w:pPr>
        <w:spacing w:line="240" w:lineRule="auto"/>
        <w:jc w:val="both"/>
        <w:rPr>
          <w:rFonts w:ascii="Times New Roman" w:hAnsi="Times New Roman" w:cs="Times New Roman"/>
          <w:b/>
          <w:color w:val="FF0000"/>
          <w:sz w:val="24"/>
          <w:szCs w:val="24"/>
        </w:rPr>
      </w:pPr>
    </w:p>
    <w:sectPr w:rsidR="00A468EB" w:rsidSect="00540176">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50004"/>
    <w:multiLevelType w:val="multilevel"/>
    <w:tmpl w:val="8CC61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1432DAD"/>
    <w:multiLevelType w:val="hybridMultilevel"/>
    <w:tmpl w:val="06DECC58"/>
    <w:lvl w:ilvl="0" w:tplc="0214205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8916E6A"/>
    <w:multiLevelType w:val="hybridMultilevel"/>
    <w:tmpl w:val="8E6681E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443C7110"/>
    <w:multiLevelType w:val="multilevel"/>
    <w:tmpl w:val="79AC5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E3A5FAB"/>
    <w:multiLevelType w:val="hybridMultilevel"/>
    <w:tmpl w:val="276E07D4"/>
    <w:lvl w:ilvl="0" w:tplc="610A520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00A436F"/>
    <w:multiLevelType w:val="hybridMultilevel"/>
    <w:tmpl w:val="60181540"/>
    <w:lvl w:ilvl="0" w:tplc="BF04B312">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52AD7C9C"/>
    <w:multiLevelType w:val="multilevel"/>
    <w:tmpl w:val="6E6C8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5D10AE3"/>
    <w:multiLevelType w:val="hybridMultilevel"/>
    <w:tmpl w:val="FA46FEDE"/>
    <w:lvl w:ilvl="0" w:tplc="A8D8162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C7367BA"/>
    <w:multiLevelType w:val="multilevel"/>
    <w:tmpl w:val="3620E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7A745DC"/>
    <w:multiLevelType w:val="hybridMultilevel"/>
    <w:tmpl w:val="D720890C"/>
    <w:lvl w:ilvl="0" w:tplc="099020C6">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6AB62620"/>
    <w:multiLevelType w:val="hybridMultilevel"/>
    <w:tmpl w:val="8AAA03E2"/>
    <w:lvl w:ilvl="0" w:tplc="C242DED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E8E03A7"/>
    <w:multiLevelType w:val="multilevel"/>
    <w:tmpl w:val="11983E2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F07392D"/>
    <w:multiLevelType w:val="multilevel"/>
    <w:tmpl w:val="6E0C6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BBD4806"/>
    <w:multiLevelType w:val="hybridMultilevel"/>
    <w:tmpl w:val="B6045EEA"/>
    <w:lvl w:ilvl="0" w:tplc="A2947C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10"/>
  </w:num>
  <w:num w:numId="3">
    <w:abstractNumId w:val="6"/>
  </w:num>
  <w:num w:numId="4">
    <w:abstractNumId w:val="0"/>
  </w:num>
  <w:num w:numId="5">
    <w:abstractNumId w:val="11"/>
  </w:num>
  <w:num w:numId="6">
    <w:abstractNumId w:val="12"/>
  </w:num>
  <w:num w:numId="7">
    <w:abstractNumId w:val="7"/>
  </w:num>
  <w:num w:numId="8">
    <w:abstractNumId w:val="5"/>
  </w:num>
  <w:num w:numId="9">
    <w:abstractNumId w:val="8"/>
  </w:num>
  <w:num w:numId="10">
    <w:abstractNumId w:val="13"/>
  </w:num>
  <w:num w:numId="11">
    <w:abstractNumId w:val="3"/>
  </w:num>
  <w:num w:numId="12">
    <w:abstractNumId w:val="2"/>
  </w:num>
  <w:num w:numId="13">
    <w:abstractNumId w:val="9"/>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6E5D75"/>
    <w:rsid w:val="00012764"/>
    <w:rsid w:val="00036FDF"/>
    <w:rsid w:val="00062F10"/>
    <w:rsid w:val="000825EB"/>
    <w:rsid w:val="00101504"/>
    <w:rsid w:val="00116E4C"/>
    <w:rsid w:val="00117A2B"/>
    <w:rsid w:val="00126978"/>
    <w:rsid w:val="00161E43"/>
    <w:rsid w:val="0016515D"/>
    <w:rsid w:val="00185C19"/>
    <w:rsid w:val="00196CF7"/>
    <w:rsid w:val="001E3FBA"/>
    <w:rsid w:val="001F51B1"/>
    <w:rsid w:val="002053E1"/>
    <w:rsid w:val="0021707D"/>
    <w:rsid w:val="00243173"/>
    <w:rsid w:val="00245970"/>
    <w:rsid w:val="00272FB6"/>
    <w:rsid w:val="00286BC0"/>
    <w:rsid w:val="0029502A"/>
    <w:rsid w:val="002958ED"/>
    <w:rsid w:val="002A15C5"/>
    <w:rsid w:val="002D53F5"/>
    <w:rsid w:val="00302642"/>
    <w:rsid w:val="0030483A"/>
    <w:rsid w:val="00312AD3"/>
    <w:rsid w:val="00386D54"/>
    <w:rsid w:val="003B0D32"/>
    <w:rsid w:val="003D5524"/>
    <w:rsid w:val="003D64FD"/>
    <w:rsid w:val="003E26FD"/>
    <w:rsid w:val="003F5222"/>
    <w:rsid w:val="0040109A"/>
    <w:rsid w:val="00422AAF"/>
    <w:rsid w:val="00492EEF"/>
    <w:rsid w:val="004A0EE4"/>
    <w:rsid w:val="004A634E"/>
    <w:rsid w:val="004B4BC8"/>
    <w:rsid w:val="004C77DD"/>
    <w:rsid w:val="005005D2"/>
    <w:rsid w:val="005023AF"/>
    <w:rsid w:val="00526629"/>
    <w:rsid w:val="00540176"/>
    <w:rsid w:val="00542868"/>
    <w:rsid w:val="00590339"/>
    <w:rsid w:val="005C2964"/>
    <w:rsid w:val="005E7E64"/>
    <w:rsid w:val="005F6F82"/>
    <w:rsid w:val="00602138"/>
    <w:rsid w:val="00606A74"/>
    <w:rsid w:val="006A5BEC"/>
    <w:rsid w:val="006A6D0A"/>
    <w:rsid w:val="006E5D75"/>
    <w:rsid w:val="006F3112"/>
    <w:rsid w:val="006F5C5A"/>
    <w:rsid w:val="00772DE9"/>
    <w:rsid w:val="007747B9"/>
    <w:rsid w:val="007A637F"/>
    <w:rsid w:val="007C2BD5"/>
    <w:rsid w:val="007E0984"/>
    <w:rsid w:val="007E0A28"/>
    <w:rsid w:val="007E3EB9"/>
    <w:rsid w:val="007F7B8A"/>
    <w:rsid w:val="00887B4B"/>
    <w:rsid w:val="0089005C"/>
    <w:rsid w:val="008935E0"/>
    <w:rsid w:val="0089619E"/>
    <w:rsid w:val="008A1EBA"/>
    <w:rsid w:val="008A1F7A"/>
    <w:rsid w:val="008B56EF"/>
    <w:rsid w:val="008C5173"/>
    <w:rsid w:val="008D76C4"/>
    <w:rsid w:val="0090047C"/>
    <w:rsid w:val="00905AB9"/>
    <w:rsid w:val="00986EE1"/>
    <w:rsid w:val="009D6EF3"/>
    <w:rsid w:val="009E3D31"/>
    <w:rsid w:val="00A00674"/>
    <w:rsid w:val="00A34BE7"/>
    <w:rsid w:val="00A468EB"/>
    <w:rsid w:val="00A54F82"/>
    <w:rsid w:val="00A63634"/>
    <w:rsid w:val="00A72770"/>
    <w:rsid w:val="00A7317F"/>
    <w:rsid w:val="00A970BD"/>
    <w:rsid w:val="00B17FA1"/>
    <w:rsid w:val="00B30A8F"/>
    <w:rsid w:val="00B51BA6"/>
    <w:rsid w:val="00B53112"/>
    <w:rsid w:val="00B5689E"/>
    <w:rsid w:val="00B60B54"/>
    <w:rsid w:val="00B7149D"/>
    <w:rsid w:val="00B86A79"/>
    <w:rsid w:val="00B87789"/>
    <w:rsid w:val="00BA2D1C"/>
    <w:rsid w:val="00BB1E6C"/>
    <w:rsid w:val="00BD6D17"/>
    <w:rsid w:val="00C01E1D"/>
    <w:rsid w:val="00C17458"/>
    <w:rsid w:val="00C2435A"/>
    <w:rsid w:val="00C331EE"/>
    <w:rsid w:val="00C346EF"/>
    <w:rsid w:val="00C55C2B"/>
    <w:rsid w:val="00C648DE"/>
    <w:rsid w:val="00C86EE5"/>
    <w:rsid w:val="00C91E05"/>
    <w:rsid w:val="00CB010A"/>
    <w:rsid w:val="00CC783C"/>
    <w:rsid w:val="00D50938"/>
    <w:rsid w:val="00D82C36"/>
    <w:rsid w:val="00D90E1B"/>
    <w:rsid w:val="00DC0576"/>
    <w:rsid w:val="00E56576"/>
    <w:rsid w:val="00E7332D"/>
    <w:rsid w:val="00E9378B"/>
    <w:rsid w:val="00E9380E"/>
    <w:rsid w:val="00E9696A"/>
    <w:rsid w:val="00E97FD3"/>
    <w:rsid w:val="00EA08BA"/>
    <w:rsid w:val="00EB3177"/>
    <w:rsid w:val="00EF293C"/>
    <w:rsid w:val="00F3501B"/>
    <w:rsid w:val="00F57ED0"/>
    <w:rsid w:val="00FA7C11"/>
    <w:rsid w:val="00FB1D2E"/>
    <w:rsid w:val="00FC6B4F"/>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D75"/>
  </w:style>
  <w:style w:type="paragraph" w:styleId="Ttulo1">
    <w:name w:val="heading 1"/>
    <w:basedOn w:val="Normal"/>
    <w:next w:val="Normal"/>
    <w:link w:val="Ttulo1Car"/>
    <w:uiPriority w:val="9"/>
    <w:qFormat/>
    <w:rsid w:val="006E5D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6E5D75"/>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6E5D7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6E5D75"/>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6E5D7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5D75"/>
    <w:rPr>
      <w:rFonts w:ascii="Tahoma" w:hAnsi="Tahoma" w:cs="Tahoma"/>
      <w:sz w:val="16"/>
      <w:szCs w:val="16"/>
    </w:rPr>
  </w:style>
  <w:style w:type="paragraph" w:styleId="NormalWeb">
    <w:name w:val="Normal (Web)"/>
    <w:basedOn w:val="Normal"/>
    <w:uiPriority w:val="99"/>
    <w:unhideWhenUsed/>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6E5D7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6E5D75"/>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semiHidden/>
    <w:rsid w:val="006E5D75"/>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rsid w:val="006E5D75"/>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6E5D75"/>
    <w:pPr>
      <w:ind w:left="720"/>
      <w:contextualSpacing/>
    </w:pPr>
  </w:style>
  <w:style w:type="paragraph" w:customStyle="1" w:styleId="western">
    <w:name w:val="western"/>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6E5D75"/>
    <w:rPr>
      <w:color w:val="0000FF"/>
      <w:u w:val="single"/>
    </w:rPr>
  </w:style>
  <w:style w:type="character" w:styleId="Textoennegrita">
    <w:name w:val="Strong"/>
    <w:basedOn w:val="Fuentedeprrafopredeter"/>
    <w:uiPriority w:val="22"/>
    <w:qFormat/>
    <w:rsid w:val="006E5D75"/>
    <w:rPr>
      <w:b/>
      <w:bCs/>
    </w:rPr>
  </w:style>
  <w:style w:type="character" w:styleId="nfasis">
    <w:name w:val="Emphasis"/>
    <w:basedOn w:val="Fuentedeprrafopredeter"/>
    <w:uiPriority w:val="20"/>
    <w:qFormat/>
    <w:rsid w:val="006E5D75"/>
    <w:rPr>
      <w:i/>
      <w:iCs/>
    </w:rPr>
  </w:style>
  <w:style w:type="paragraph" w:customStyle="1" w:styleId="pre-header">
    <w:name w:val="pre-header"/>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422AAF"/>
    <w:pPr>
      <w:spacing w:after="0" w:line="240" w:lineRule="auto"/>
    </w:pPr>
    <w:rPr>
      <w:rFonts w:ascii="Times New Roman" w:eastAsia="Times New Roman" w:hAnsi="Times New Roman" w:cs="Times New Roman"/>
      <w:color w:val="000000"/>
      <w:sz w:val="24"/>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D75"/>
  </w:style>
  <w:style w:type="paragraph" w:styleId="Ttulo1">
    <w:name w:val="heading 1"/>
    <w:basedOn w:val="Normal"/>
    <w:next w:val="Normal"/>
    <w:link w:val="Ttulo1Car"/>
    <w:uiPriority w:val="9"/>
    <w:qFormat/>
    <w:rsid w:val="006E5D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6E5D75"/>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6E5D7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6E5D75"/>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6E5D7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5D75"/>
    <w:rPr>
      <w:rFonts w:ascii="Tahoma" w:hAnsi="Tahoma" w:cs="Tahoma"/>
      <w:sz w:val="16"/>
      <w:szCs w:val="16"/>
    </w:rPr>
  </w:style>
  <w:style w:type="paragraph" w:styleId="NormalWeb">
    <w:name w:val="Normal (Web)"/>
    <w:basedOn w:val="Normal"/>
    <w:uiPriority w:val="99"/>
    <w:unhideWhenUsed/>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6E5D7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6E5D75"/>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semiHidden/>
    <w:rsid w:val="006E5D75"/>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rsid w:val="006E5D75"/>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6E5D75"/>
    <w:pPr>
      <w:ind w:left="720"/>
      <w:contextualSpacing/>
    </w:pPr>
  </w:style>
  <w:style w:type="paragraph" w:customStyle="1" w:styleId="western">
    <w:name w:val="western"/>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6E5D75"/>
    <w:rPr>
      <w:color w:val="0000FF"/>
      <w:u w:val="single"/>
    </w:rPr>
  </w:style>
  <w:style w:type="character" w:styleId="Textoennegrita">
    <w:name w:val="Strong"/>
    <w:basedOn w:val="Fuentedeprrafopredeter"/>
    <w:uiPriority w:val="22"/>
    <w:qFormat/>
    <w:rsid w:val="006E5D75"/>
    <w:rPr>
      <w:b/>
      <w:bCs/>
    </w:rPr>
  </w:style>
  <w:style w:type="character" w:styleId="nfasis">
    <w:name w:val="Emphasis"/>
    <w:basedOn w:val="Fuentedeprrafopredeter"/>
    <w:uiPriority w:val="20"/>
    <w:qFormat/>
    <w:rsid w:val="006E5D75"/>
    <w:rPr>
      <w:i/>
      <w:iCs/>
    </w:rPr>
  </w:style>
  <w:style w:type="paragraph" w:customStyle="1" w:styleId="pre-header">
    <w:name w:val="pre-header"/>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6E5D7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422AAF"/>
    <w:pPr>
      <w:spacing w:after="0" w:line="240" w:lineRule="auto"/>
    </w:pPr>
    <w:rPr>
      <w:rFonts w:ascii="Times New Roman" w:eastAsia="Times New Roman" w:hAnsi="Times New Roman" w:cs="Times New Roman"/>
      <w:color w:val="000000"/>
      <w:sz w:val="24"/>
      <w:szCs w:val="20"/>
      <w:lang w:val="es-ES_tradnl" w:eastAsia="es-E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99" Type="http://schemas.openxmlformats.org/officeDocument/2006/relationships/hyperlink" Target="http://www.scielo.org.mx/scielo.php?script=sci_arttext&amp;pid=S0187-69612015000200009#Figura2a" TargetMode="External"/><Relationship Id="rId303" Type="http://schemas.openxmlformats.org/officeDocument/2006/relationships/image" Target="media/image252.png"/><Relationship Id="rId21" Type="http://schemas.openxmlformats.org/officeDocument/2006/relationships/hyperlink" Target="https://www.eleconomista.es/economia/noticias/10120249/10/19/La-paradoja-del-ahorro-y-el-curioso-comportamiento-de-las-familias-esterilizan-los-estimulos-del-BCE.html" TargetMode="External"/><Relationship Id="rId42" Type="http://schemas.openxmlformats.org/officeDocument/2006/relationships/image" Target="media/image18.jpeg"/><Relationship Id="rId63" Type="http://schemas.openxmlformats.org/officeDocument/2006/relationships/image" Target="media/image34.png"/><Relationship Id="rId84" Type="http://schemas.openxmlformats.org/officeDocument/2006/relationships/image" Target="media/image55.jpeg"/><Relationship Id="rId138" Type="http://schemas.openxmlformats.org/officeDocument/2006/relationships/image" Target="media/image100.png"/><Relationship Id="rId159" Type="http://schemas.openxmlformats.org/officeDocument/2006/relationships/image" Target="media/image121.png"/><Relationship Id="rId324" Type="http://schemas.openxmlformats.org/officeDocument/2006/relationships/image" Target="media/image273.png"/><Relationship Id="rId345" Type="http://schemas.openxmlformats.org/officeDocument/2006/relationships/image" Target="media/image294.jpeg"/><Relationship Id="rId170" Type="http://schemas.openxmlformats.org/officeDocument/2006/relationships/image" Target="media/image132.png"/><Relationship Id="rId191" Type="http://schemas.openxmlformats.org/officeDocument/2006/relationships/image" Target="media/image153.png"/><Relationship Id="rId205" Type="http://schemas.openxmlformats.org/officeDocument/2006/relationships/image" Target="media/image167.emf"/><Relationship Id="rId226" Type="http://schemas.openxmlformats.org/officeDocument/2006/relationships/image" Target="media/image188.png"/><Relationship Id="rId247" Type="http://schemas.openxmlformats.org/officeDocument/2006/relationships/image" Target="media/image209.png"/><Relationship Id="rId107" Type="http://schemas.openxmlformats.org/officeDocument/2006/relationships/image" Target="media/image74.png"/><Relationship Id="rId268" Type="http://schemas.openxmlformats.org/officeDocument/2006/relationships/image" Target="media/image230.png"/><Relationship Id="rId289" Type="http://schemas.openxmlformats.org/officeDocument/2006/relationships/hyperlink" Target="http://www.scielo.org.mx/scielo.php?script=sci_arttext&amp;pid=S0187-69612015000200009" TargetMode="External"/><Relationship Id="rId11" Type="http://schemas.openxmlformats.org/officeDocument/2006/relationships/image" Target="media/image7.jpeg"/><Relationship Id="rId32" Type="http://schemas.openxmlformats.org/officeDocument/2006/relationships/hyperlink" Target="https://www.elconfidencial.com/mercados/indice/divisas/" TargetMode="External"/><Relationship Id="rId53" Type="http://schemas.openxmlformats.org/officeDocument/2006/relationships/image" Target="media/image24.png"/><Relationship Id="rId74" Type="http://schemas.openxmlformats.org/officeDocument/2006/relationships/image" Target="media/image45.jpeg"/><Relationship Id="rId128" Type="http://schemas.openxmlformats.org/officeDocument/2006/relationships/image" Target="media/image90.png"/><Relationship Id="rId149" Type="http://schemas.openxmlformats.org/officeDocument/2006/relationships/image" Target="media/image111.png"/><Relationship Id="rId314" Type="http://schemas.openxmlformats.org/officeDocument/2006/relationships/image" Target="media/image263.png"/><Relationship Id="rId335" Type="http://schemas.openxmlformats.org/officeDocument/2006/relationships/image" Target="media/image284.jpeg"/><Relationship Id="rId5" Type="http://schemas.openxmlformats.org/officeDocument/2006/relationships/image" Target="media/image1.jpeg"/><Relationship Id="rId95" Type="http://schemas.openxmlformats.org/officeDocument/2006/relationships/image" Target="media/image62.png"/><Relationship Id="rId160" Type="http://schemas.openxmlformats.org/officeDocument/2006/relationships/image" Target="media/image122.png"/><Relationship Id="rId181" Type="http://schemas.openxmlformats.org/officeDocument/2006/relationships/image" Target="media/image143.png"/><Relationship Id="rId216" Type="http://schemas.openxmlformats.org/officeDocument/2006/relationships/image" Target="media/image178.png"/><Relationship Id="rId237" Type="http://schemas.openxmlformats.org/officeDocument/2006/relationships/image" Target="media/image199.jpeg"/><Relationship Id="rId258" Type="http://schemas.openxmlformats.org/officeDocument/2006/relationships/image" Target="media/image220.png"/><Relationship Id="rId279" Type="http://schemas.openxmlformats.org/officeDocument/2006/relationships/image" Target="media/image240.png"/><Relationship Id="rId22" Type="http://schemas.openxmlformats.org/officeDocument/2006/relationships/image" Target="media/image13.jpeg"/><Relationship Id="rId43" Type="http://schemas.openxmlformats.org/officeDocument/2006/relationships/hyperlink" Target="https://www.elconfidencial.com/economia/2020-04-07/peor-crisis-ii-guerra-mundial-empleo-perdido-millones-coronavirus_2537852/" TargetMode="External"/><Relationship Id="rId64" Type="http://schemas.openxmlformats.org/officeDocument/2006/relationships/image" Target="media/image35.png"/><Relationship Id="rId118" Type="http://schemas.openxmlformats.org/officeDocument/2006/relationships/image" Target="media/image84.png"/><Relationship Id="rId139" Type="http://schemas.openxmlformats.org/officeDocument/2006/relationships/image" Target="media/image101.png"/><Relationship Id="rId290" Type="http://schemas.openxmlformats.org/officeDocument/2006/relationships/hyperlink" Target="http://www.scielo.org.mx/scielo.php?script=sci_arttext&amp;pid=S0187-69612015000200009#Cuadro4b" TargetMode="External"/><Relationship Id="rId304" Type="http://schemas.openxmlformats.org/officeDocument/2006/relationships/image" Target="media/image253.png"/><Relationship Id="rId325" Type="http://schemas.openxmlformats.org/officeDocument/2006/relationships/image" Target="media/image274.jpeg"/><Relationship Id="rId346" Type="http://schemas.openxmlformats.org/officeDocument/2006/relationships/image" Target="media/image295.jpeg"/><Relationship Id="rId85" Type="http://schemas.openxmlformats.org/officeDocument/2006/relationships/image" Target="media/image56.jpeg"/><Relationship Id="rId150" Type="http://schemas.openxmlformats.org/officeDocument/2006/relationships/image" Target="media/image112.png"/><Relationship Id="rId171" Type="http://schemas.openxmlformats.org/officeDocument/2006/relationships/image" Target="media/image133.png"/><Relationship Id="rId192" Type="http://schemas.openxmlformats.org/officeDocument/2006/relationships/image" Target="media/image154.png"/><Relationship Id="rId206" Type="http://schemas.openxmlformats.org/officeDocument/2006/relationships/image" Target="media/image168.png"/><Relationship Id="rId227" Type="http://schemas.openxmlformats.org/officeDocument/2006/relationships/image" Target="media/image189.jpeg"/><Relationship Id="rId248" Type="http://schemas.openxmlformats.org/officeDocument/2006/relationships/image" Target="media/image210.png"/><Relationship Id="rId269" Type="http://schemas.openxmlformats.org/officeDocument/2006/relationships/image" Target="media/image231.png"/><Relationship Id="rId12" Type="http://schemas.openxmlformats.org/officeDocument/2006/relationships/image" Target="media/image8.png"/><Relationship Id="rId33" Type="http://schemas.openxmlformats.org/officeDocument/2006/relationships/hyperlink" Target="https://www.lanacion.com.ar/economia/el-fmi-dijo-argentina-necesita-alivio-deuda-nid2345706" TargetMode="External"/><Relationship Id="rId108" Type="http://schemas.openxmlformats.org/officeDocument/2006/relationships/image" Target="media/image75.png"/><Relationship Id="rId129" Type="http://schemas.openxmlformats.org/officeDocument/2006/relationships/image" Target="media/image91.png"/><Relationship Id="rId280" Type="http://schemas.openxmlformats.org/officeDocument/2006/relationships/image" Target="media/image241.png"/><Relationship Id="rId315" Type="http://schemas.openxmlformats.org/officeDocument/2006/relationships/image" Target="media/image264.png"/><Relationship Id="rId336" Type="http://schemas.openxmlformats.org/officeDocument/2006/relationships/image" Target="media/image285.jpeg"/><Relationship Id="rId54" Type="http://schemas.openxmlformats.org/officeDocument/2006/relationships/image" Target="media/image25.jpeg"/><Relationship Id="rId75" Type="http://schemas.openxmlformats.org/officeDocument/2006/relationships/image" Target="media/image46.jpeg"/><Relationship Id="rId96" Type="http://schemas.openxmlformats.org/officeDocument/2006/relationships/image" Target="media/image63.png"/><Relationship Id="rId140" Type="http://schemas.openxmlformats.org/officeDocument/2006/relationships/image" Target="media/image102.png"/><Relationship Id="rId161" Type="http://schemas.openxmlformats.org/officeDocument/2006/relationships/image" Target="media/image123.png"/><Relationship Id="rId182" Type="http://schemas.openxmlformats.org/officeDocument/2006/relationships/image" Target="media/image144.png"/><Relationship Id="rId217" Type="http://schemas.openxmlformats.org/officeDocument/2006/relationships/image" Target="media/image179.png"/><Relationship Id="rId6" Type="http://schemas.openxmlformats.org/officeDocument/2006/relationships/image" Target="media/image2.jpeg"/><Relationship Id="rId238" Type="http://schemas.openxmlformats.org/officeDocument/2006/relationships/image" Target="media/image200.jpeg"/><Relationship Id="rId259" Type="http://schemas.openxmlformats.org/officeDocument/2006/relationships/image" Target="media/image221.png"/><Relationship Id="rId23" Type="http://schemas.openxmlformats.org/officeDocument/2006/relationships/hyperlink" Target="https://blogs.elconfidencial.com/espana/mientras-tanto/2020-04-05/deuda-condonacion-covid-sanchez-gasto-publico-italia_2534628/" TargetMode="External"/><Relationship Id="rId119" Type="http://schemas.openxmlformats.org/officeDocument/2006/relationships/hyperlink" Target="https://www.oecd.org/trade/topics/trade-and-jobs/" TargetMode="External"/><Relationship Id="rId270" Type="http://schemas.openxmlformats.org/officeDocument/2006/relationships/image" Target="media/image232.png"/><Relationship Id="rId291" Type="http://schemas.openxmlformats.org/officeDocument/2006/relationships/image" Target="media/image247.jpeg"/><Relationship Id="rId305" Type="http://schemas.openxmlformats.org/officeDocument/2006/relationships/image" Target="media/image254.png"/><Relationship Id="rId326" Type="http://schemas.openxmlformats.org/officeDocument/2006/relationships/image" Target="media/image275.jpeg"/><Relationship Id="rId347" Type="http://schemas.openxmlformats.org/officeDocument/2006/relationships/image" Target="media/image296.jpeg"/><Relationship Id="rId44" Type="http://schemas.openxmlformats.org/officeDocument/2006/relationships/hyperlink" Target="https://www.elconfidencial.com/empresas/2020-04-02/erte-coronavirus-que-es-derechos-trabajadores_2481679/" TargetMode="External"/><Relationship Id="rId65" Type="http://schemas.openxmlformats.org/officeDocument/2006/relationships/image" Target="media/image36.png"/><Relationship Id="rId86" Type="http://schemas.openxmlformats.org/officeDocument/2006/relationships/hyperlink" Target="https://nadaesgratis.es/wp-content/uploads/medidas-fiscales-25-de-mayo-2020.jpg" TargetMode="External"/><Relationship Id="rId130" Type="http://schemas.openxmlformats.org/officeDocument/2006/relationships/image" Target="media/image92.png"/><Relationship Id="rId151" Type="http://schemas.openxmlformats.org/officeDocument/2006/relationships/image" Target="media/image113.png"/><Relationship Id="rId172" Type="http://schemas.openxmlformats.org/officeDocument/2006/relationships/image" Target="media/image134.png"/><Relationship Id="rId193" Type="http://schemas.openxmlformats.org/officeDocument/2006/relationships/image" Target="media/image155.png"/><Relationship Id="rId207" Type="http://schemas.openxmlformats.org/officeDocument/2006/relationships/image" Target="media/image169.png"/><Relationship Id="rId228" Type="http://schemas.openxmlformats.org/officeDocument/2006/relationships/image" Target="media/image190.jpeg"/><Relationship Id="rId249" Type="http://schemas.openxmlformats.org/officeDocument/2006/relationships/image" Target="media/image211.png"/><Relationship Id="rId13" Type="http://schemas.openxmlformats.org/officeDocument/2006/relationships/image" Target="media/image9.jpeg"/><Relationship Id="rId109" Type="http://schemas.openxmlformats.org/officeDocument/2006/relationships/image" Target="media/image76.png"/><Relationship Id="rId260" Type="http://schemas.openxmlformats.org/officeDocument/2006/relationships/image" Target="media/image222.png"/><Relationship Id="rId281" Type="http://schemas.openxmlformats.org/officeDocument/2006/relationships/image" Target="media/image242.png"/><Relationship Id="rId316" Type="http://schemas.openxmlformats.org/officeDocument/2006/relationships/image" Target="media/image265.jpeg"/><Relationship Id="rId337" Type="http://schemas.openxmlformats.org/officeDocument/2006/relationships/image" Target="media/image286.jpeg"/><Relationship Id="rId34" Type="http://schemas.openxmlformats.org/officeDocument/2006/relationships/image" Target="media/image16.jpeg"/><Relationship Id="rId55" Type="http://schemas.openxmlformats.org/officeDocument/2006/relationships/image" Target="media/image26.png"/><Relationship Id="rId76" Type="http://schemas.openxmlformats.org/officeDocument/2006/relationships/image" Target="media/image47.jpeg"/><Relationship Id="rId97" Type="http://schemas.openxmlformats.org/officeDocument/2006/relationships/image" Target="media/image64.png"/><Relationship Id="rId120" Type="http://schemas.openxmlformats.org/officeDocument/2006/relationships/hyperlink" Target="https://www.oecd.org/trade/topics/trade-facilitation/" TargetMode="External"/><Relationship Id="rId141" Type="http://schemas.openxmlformats.org/officeDocument/2006/relationships/image" Target="media/image103.png"/><Relationship Id="rId7" Type="http://schemas.openxmlformats.org/officeDocument/2006/relationships/image" Target="media/image3.jpeg"/><Relationship Id="rId162" Type="http://schemas.openxmlformats.org/officeDocument/2006/relationships/image" Target="media/image124.png"/><Relationship Id="rId183" Type="http://schemas.openxmlformats.org/officeDocument/2006/relationships/image" Target="media/image145.png"/><Relationship Id="rId218" Type="http://schemas.openxmlformats.org/officeDocument/2006/relationships/image" Target="media/image180.png"/><Relationship Id="rId239" Type="http://schemas.openxmlformats.org/officeDocument/2006/relationships/image" Target="media/image201.gif"/><Relationship Id="rId250" Type="http://schemas.openxmlformats.org/officeDocument/2006/relationships/image" Target="media/image212.png"/><Relationship Id="rId271" Type="http://schemas.openxmlformats.org/officeDocument/2006/relationships/image" Target="media/image233.png"/><Relationship Id="rId292" Type="http://schemas.openxmlformats.org/officeDocument/2006/relationships/hyperlink" Target="http://www.scielo.org.mx/scielo.php?script=sci_arttext&amp;pid=S0187-69612015000200009" TargetMode="External"/><Relationship Id="rId306" Type="http://schemas.openxmlformats.org/officeDocument/2006/relationships/image" Target="media/image255.png"/><Relationship Id="rId24" Type="http://schemas.openxmlformats.org/officeDocument/2006/relationships/hyperlink" Target="https://www.elconfidencial.com/economia/2019-02-25/deuda-empresas-record-ocde-impagos_1846950/" TargetMode="External"/><Relationship Id="rId45" Type="http://schemas.openxmlformats.org/officeDocument/2006/relationships/image" Target="media/image19.jpeg"/><Relationship Id="rId66" Type="http://schemas.openxmlformats.org/officeDocument/2006/relationships/image" Target="media/image37.png"/><Relationship Id="rId87" Type="http://schemas.openxmlformats.org/officeDocument/2006/relationships/image" Target="media/image57.jpeg"/><Relationship Id="rId110" Type="http://schemas.openxmlformats.org/officeDocument/2006/relationships/image" Target="media/image77.png"/><Relationship Id="rId131" Type="http://schemas.openxmlformats.org/officeDocument/2006/relationships/image" Target="media/image93.png"/><Relationship Id="rId327" Type="http://schemas.openxmlformats.org/officeDocument/2006/relationships/image" Target="media/image276.jpeg"/><Relationship Id="rId348" Type="http://schemas.openxmlformats.org/officeDocument/2006/relationships/image" Target="media/image297.jpeg"/><Relationship Id="rId152" Type="http://schemas.openxmlformats.org/officeDocument/2006/relationships/image" Target="media/image114.png"/><Relationship Id="rId173" Type="http://schemas.openxmlformats.org/officeDocument/2006/relationships/image" Target="media/image135.png"/><Relationship Id="rId194" Type="http://schemas.openxmlformats.org/officeDocument/2006/relationships/image" Target="media/image156.png"/><Relationship Id="rId208" Type="http://schemas.openxmlformats.org/officeDocument/2006/relationships/image" Target="media/image170.png"/><Relationship Id="rId229" Type="http://schemas.openxmlformats.org/officeDocument/2006/relationships/image" Target="media/image191.png"/><Relationship Id="rId240" Type="http://schemas.openxmlformats.org/officeDocument/2006/relationships/image" Target="media/image202.png"/><Relationship Id="rId261" Type="http://schemas.openxmlformats.org/officeDocument/2006/relationships/image" Target="media/image223.png"/><Relationship Id="rId14" Type="http://schemas.openxmlformats.org/officeDocument/2006/relationships/hyperlink" Target="https://www.eleconomista.es/autor/Francisco-S-Jimenez" TargetMode="External"/><Relationship Id="rId35" Type="http://schemas.openxmlformats.org/officeDocument/2006/relationships/hyperlink" Target="https://www.elconfidencial.com/tags/temas/noticias-de-deutsche-bank-3858/" TargetMode="External"/><Relationship Id="rId56" Type="http://schemas.openxmlformats.org/officeDocument/2006/relationships/image" Target="media/image27.jpeg"/><Relationship Id="rId77" Type="http://schemas.openxmlformats.org/officeDocument/2006/relationships/image" Target="media/image48.jpeg"/><Relationship Id="rId100" Type="http://schemas.openxmlformats.org/officeDocument/2006/relationships/image" Target="media/image67.png"/><Relationship Id="rId282" Type="http://schemas.openxmlformats.org/officeDocument/2006/relationships/image" Target="media/image243.png"/><Relationship Id="rId317" Type="http://schemas.openxmlformats.org/officeDocument/2006/relationships/image" Target="media/image266.jpeg"/><Relationship Id="rId338" Type="http://schemas.openxmlformats.org/officeDocument/2006/relationships/image" Target="media/image287.jpeg"/><Relationship Id="rId8" Type="http://schemas.openxmlformats.org/officeDocument/2006/relationships/image" Target="media/image4.png"/><Relationship Id="rId98" Type="http://schemas.openxmlformats.org/officeDocument/2006/relationships/image" Target="media/image65.png"/><Relationship Id="rId121" Type="http://schemas.openxmlformats.org/officeDocument/2006/relationships/hyperlink" Target="https://www.oecd.org/sti/ind/measuring-trade-in-value-added.htm" TargetMode="External"/><Relationship Id="rId142" Type="http://schemas.openxmlformats.org/officeDocument/2006/relationships/image" Target="media/image104.png"/><Relationship Id="rId163" Type="http://schemas.openxmlformats.org/officeDocument/2006/relationships/image" Target="media/image125.png"/><Relationship Id="rId184" Type="http://schemas.openxmlformats.org/officeDocument/2006/relationships/image" Target="media/image146.png"/><Relationship Id="rId219" Type="http://schemas.openxmlformats.org/officeDocument/2006/relationships/image" Target="media/image181.png"/><Relationship Id="rId230" Type="http://schemas.openxmlformats.org/officeDocument/2006/relationships/image" Target="media/image192.jpeg"/><Relationship Id="rId251" Type="http://schemas.openxmlformats.org/officeDocument/2006/relationships/image" Target="media/image213.png"/><Relationship Id="rId25" Type="http://schemas.openxmlformats.org/officeDocument/2006/relationships/hyperlink" Target="https://www.elconfidencial.com/economia/2020-04-07/espana-aleja-italia-eurogrupo-condiciones-mede_2538608/" TargetMode="External"/><Relationship Id="rId46" Type="http://schemas.openxmlformats.org/officeDocument/2006/relationships/hyperlink" Target="https://www.elconfidencial.com/economia/2019-10-23/mario-draghi-loco-visionario_2295092/" TargetMode="External"/><Relationship Id="rId67" Type="http://schemas.openxmlformats.org/officeDocument/2006/relationships/image" Target="media/image38.png"/><Relationship Id="rId272" Type="http://schemas.openxmlformats.org/officeDocument/2006/relationships/image" Target="media/image234.png"/><Relationship Id="rId293" Type="http://schemas.openxmlformats.org/officeDocument/2006/relationships/hyperlink" Target="http://www.scielo.org.mx/scielo.php?script=sci_arttext&amp;pid=S0187-69612015000200009" TargetMode="External"/><Relationship Id="rId307" Type="http://schemas.openxmlformats.org/officeDocument/2006/relationships/image" Target="media/image256.png"/><Relationship Id="rId328" Type="http://schemas.openxmlformats.org/officeDocument/2006/relationships/image" Target="media/image277.png"/><Relationship Id="rId349" Type="http://schemas.openxmlformats.org/officeDocument/2006/relationships/image" Target="media/image298.jpeg"/><Relationship Id="rId20" Type="http://schemas.openxmlformats.org/officeDocument/2006/relationships/image" Target="media/image12.jpeg"/><Relationship Id="rId41" Type="http://schemas.openxmlformats.org/officeDocument/2006/relationships/hyperlink" Target="https://www.elconfidencial.com/economia/2020-01-08/estrategia-financiacion-tesoro-2020-presupuesto-gobierno_2402843/" TargetMode="External"/><Relationship Id="rId62" Type="http://schemas.openxmlformats.org/officeDocument/2006/relationships/image" Target="media/image33.jpeg"/><Relationship Id="rId83" Type="http://schemas.openxmlformats.org/officeDocument/2006/relationships/image" Target="media/image54.jpeg"/><Relationship Id="rId88" Type="http://schemas.openxmlformats.org/officeDocument/2006/relationships/image" Target="media/image58.jpeg"/><Relationship Id="rId111" Type="http://schemas.openxmlformats.org/officeDocument/2006/relationships/image" Target="media/image78.png"/><Relationship Id="rId132" Type="http://schemas.openxmlformats.org/officeDocument/2006/relationships/image" Target="media/image94.png"/><Relationship Id="rId153" Type="http://schemas.openxmlformats.org/officeDocument/2006/relationships/image" Target="media/image115.png"/><Relationship Id="rId174" Type="http://schemas.openxmlformats.org/officeDocument/2006/relationships/image" Target="media/image136.png"/><Relationship Id="rId179" Type="http://schemas.openxmlformats.org/officeDocument/2006/relationships/image" Target="media/image141.png"/><Relationship Id="rId195" Type="http://schemas.openxmlformats.org/officeDocument/2006/relationships/image" Target="media/image157.png"/><Relationship Id="rId209" Type="http://schemas.openxmlformats.org/officeDocument/2006/relationships/image" Target="media/image171.png"/><Relationship Id="rId190" Type="http://schemas.openxmlformats.org/officeDocument/2006/relationships/image" Target="media/image152.png"/><Relationship Id="rId204" Type="http://schemas.openxmlformats.org/officeDocument/2006/relationships/image" Target="media/image166.png"/><Relationship Id="rId220" Type="http://schemas.openxmlformats.org/officeDocument/2006/relationships/image" Target="media/image182.png"/><Relationship Id="rId225" Type="http://schemas.openxmlformats.org/officeDocument/2006/relationships/image" Target="media/image187.png"/><Relationship Id="rId241" Type="http://schemas.openxmlformats.org/officeDocument/2006/relationships/image" Target="media/image203.png"/><Relationship Id="rId246" Type="http://schemas.openxmlformats.org/officeDocument/2006/relationships/image" Target="media/image208.png"/><Relationship Id="rId267" Type="http://schemas.openxmlformats.org/officeDocument/2006/relationships/image" Target="media/image229.png"/><Relationship Id="rId288" Type="http://schemas.openxmlformats.org/officeDocument/2006/relationships/image" Target="media/image246.jpeg"/><Relationship Id="rId15" Type="http://schemas.openxmlformats.org/officeDocument/2006/relationships/hyperlink" Target="https://www.eleconomista.es/economia/noticias/10215289/11/19/Quien-es-el-culpable-del-colapso-de-los-tipos-de-interes-en-la-Eurozona.html" TargetMode="External"/><Relationship Id="rId36" Type="http://schemas.openxmlformats.org/officeDocument/2006/relationships/hyperlink" Target="https://www.elconfidencial.com/tags/organismos/banco-central-europeo-bce-12375/" TargetMode="External"/><Relationship Id="rId57" Type="http://schemas.openxmlformats.org/officeDocument/2006/relationships/image" Target="media/image28.jpeg"/><Relationship Id="rId106" Type="http://schemas.openxmlformats.org/officeDocument/2006/relationships/image" Target="media/image73.png"/><Relationship Id="rId127" Type="http://schemas.openxmlformats.org/officeDocument/2006/relationships/image" Target="media/image89.png"/><Relationship Id="rId262" Type="http://schemas.openxmlformats.org/officeDocument/2006/relationships/image" Target="media/image224.png"/><Relationship Id="rId283" Type="http://schemas.openxmlformats.org/officeDocument/2006/relationships/image" Target="media/image244.png"/><Relationship Id="rId313" Type="http://schemas.openxmlformats.org/officeDocument/2006/relationships/image" Target="media/image262.png"/><Relationship Id="rId318" Type="http://schemas.openxmlformats.org/officeDocument/2006/relationships/image" Target="media/image267.jpeg"/><Relationship Id="rId339" Type="http://schemas.openxmlformats.org/officeDocument/2006/relationships/image" Target="media/image288.jpeg"/><Relationship Id="rId10" Type="http://schemas.openxmlformats.org/officeDocument/2006/relationships/image" Target="media/image6.jpeg"/><Relationship Id="rId31" Type="http://schemas.openxmlformats.org/officeDocument/2006/relationships/image" Target="media/image15.jpeg"/><Relationship Id="rId52" Type="http://schemas.openxmlformats.org/officeDocument/2006/relationships/image" Target="media/image23.jpeg"/><Relationship Id="rId73" Type="http://schemas.openxmlformats.org/officeDocument/2006/relationships/image" Target="media/image44.jpeg"/><Relationship Id="rId78" Type="http://schemas.openxmlformats.org/officeDocument/2006/relationships/image" Target="media/image49.jpe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hyperlink" Target="https://stats.oecd.org/index.aspx?queryid=75537" TargetMode="External"/><Relationship Id="rId143" Type="http://schemas.openxmlformats.org/officeDocument/2006/relationships/image" Target="media/image105.png"/><Relationship Id="rId148" Type="http://schemas.openxmlformats.org/officeDocument/2006/relationships/image" Target="media/image110.png"/><Relationship Id="rId164" Type="http://schemas.openxmlformats.org/officeDocument/2006/relationships/image" Target="media/image126.png"/><Relationship Id="rId169" Type="http://schemas.openxmlformats.org/officeDocument/2006/relationships/image" Target="media/image131.png"/><Relationship Id="rId185" Type="http://schemas.openxmlformats.org/officeDocument/2006/relationships/image" Target="media/image147.png"/><Relationship Id="rId334" Type="http://schemas.openxmlformats.org/officeDocument/2006/relationships/image" Target="media/image283.jpeg"/><Relationship Id="rId350" Type="http://schemas.openxmlformats.org/officeDocument/2006/relationships/image" Target="media/image299.jpe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42.png"/><Relationship Id="rId210" Type="http://schemas.openxmlformats.org/officeDocument/2006/relationships/image" Target="media/image172.png"/><Relationship Id="rId215" Type="http://schemas.openxmlformats.org/officeDocument/2006/relationships/image" Target="media/image177.png"/><Relationship Id="rId236" Type="http://schemas.openxmlformats.org/officeDocument/2006/relationships/image" Target="media/image198.png"/><Relationship Id="rId257" Type="http://schemas.openxmlformats.org/officeDocument/2006/relationships/image" Target="media/image219.png"/><Relationship Id="rId278" Type="http://schemas.openxmlformats.org/officeDocument/2006/relationships/image" Target="media/image239.png"/><Relationship Id="rId26" Type="http://schemas.openxmlformats.org/officeDocument/2006/relationships/hyperlink" Target="https://www.elconfidencial.com/economia/2020-04-01/montana-deuda-publica-impagable_2528160/" TargetMode="External"/><Relationship Id="rId231" Type="http://schemas.openxmlformats.org/officeDocument/2006/relationships/image" Target="media/image193.jpeg"/><Relationship Id="rId252" Type="http://schemas.openxmlformats.org/officeDocument/2006/relationships/image" Target="media/image214.png"/><Relationship Id="rId273" Type="http://schemas.openxmlformats.org/officeDocument/2006/relationships/image" Target="media/image235.png"/><Relationship Id="rId294" Type="http://schemas.openxmlformats.org/officeDocument/2006/relationships/hyperlink" Target="http://www.scielo.org.mx/scielo.php?script=sci_arttext&amp;pid=S0187-69612015000200009" TargetMode="External"/><Relationship Id="rId308" Type="http://schemas.openxmlformats.org/officeDocument/2006/relationships/image" Target="media/image257.png"/><Relationship Id="rId329" Type="http://schemas.openxmlformats.org/officeDocument/2006/relationships/image" Target="media/image278.jpeg"/><Relationship Id="rId47" Type="http://schemas.openxmlformats.org/officeDocument/2006/relationships/hyperlink" Target="https://www.elconfidencial.com/mercados/2020-03-12/lagarde-bce-coronavirus-crisis-mercados_2494415/" TargetMode="External"/><Relationship Id="rId68" Type="http://schemas.openxmlformats.org/officeDocument/2006/relationships/image" Target="media/image39.png"/><Relationship Id="rId89" Type="http://schemas.openxmlformats.org/officeDocument/2006/relationships/image" Target="media/image59.gif"/><Relationship Id="rId112" Type="http://schemas.openxmlformats.org/officeDocument/2006/relationships/image" Target="media/image79.png"/><Relationship Id="rId133" Type="http://schemas.openxmlformats.org/officeDocument/2006/relationships/image" Target="media/image95.png"/><Relationship Id="rId154" Type="http://schemas.openxmlformats.org/officeDocument/2006/relationships/image" Target="media/image116.png"/><Relationship Id="rId175" Type="http://schemas.openxmlformats.org/officeDocument/2006/relationships/image" Target="media/image137.png"/><Relationship Id="rId340" Type="http://schemas.openxmlformats.org/officeDocument/2006/relationships/image" Target="media/image289.jpeg"/><Relationship Id="rId196" Type="http://schemas.openxmlformats.org/officeDocument/2006/relationships/image" Target="media/image158.png"/><Relationship Id="rId200" Type="http://schemas.openxmlformats.org/officeDocument/2006/relationships/image" Target="media/image162.png"/><Relationship Id="rId16" Type="http://schemas.openxmlformats.org/officeDocument/2006/relationships/hyperlink" Target="https://www.frbsf.org/economic-research/files/wp2020-09.pdf" TargetMode="External"/><Relationship Id="rId221" Type="http://schemas.openxmlformats.org/officeDocument/2006/relationships/image" Target="media/image183.png"/><Relationship Id="rId242" Type="http://schemas.openxmlformats.org/officeDocument/2006/relationships/image" Target="media/image204.png"/><Relationship Id="rId263" Type="http://schemas.openxmlformats.org/officeDocument/2006/relationships/image" Target="media/image225.png"/><Relationship Id="rId284" Type="http://schemas.openxmlformats.org/officeDocument/2006/relationships/image" Target="media/image245.png"/><Relationship Id="rId319" Type="http://schemas.openxmlformats.org/officeDocument/2006/relationships/image" Target="media/image268.jpeg"/><Relationship Id="rId37" Type="http://schemas.openxmlformats.org/officeDocument/2006/relationships/hyperlink" Target="https://www.elconfidencial.com/economia/2020-04-08/covid-factura-mundo-endeudo-billones-marzo_2539075/" TargetMode="External"/><Relationship Id="rId58" Type="http://schemas.openxmlformats.org/officeDocument/2006/relationships/image" Target="media/image29.png"/><Relationship Id="rId79" Type="http://schemas.openxmlformats.org/officeDocument/2006/relationships/image" Target="media/image50.jpeg"/><Relationship Id="rId102" Type="http://schemas.openxmlformats.org/officeDocument/2006/relationships/image" Target="media/image69.png"/><Relationship Id="rId123" Type="http://schemas.openxmlformats.org/officeDocument/2006/relationships/image" Target="media/image85.png"/><Relationship Id="rId144" Type="http://schemas.openxmlformats.org/officeDocument/2006/relationships/image" Target="media/image106.png"/><Relationship Id="rId330" Type="http://schemas.openxmlformats.org/officeDocument/2006/relationships/image" Target="media/image279.gif"/><Relationship Id="rId90" Type="http://schemas.openxmlformats.org/officeDocument/2006/relationships/image" Target="media/image60.jpeg"/><Relationship Id="rId165" Type="http://schemas.openxmlformats.org/officeDocument/2006/relationships/image" Target="media/image127.png"/><Relationship Id="rId186" Type="http://schemas.openxmlformats.org/officeDocument/2006/relationships/image" Target="media/image148.png"/><Relationship Id="rId351" Type="http://schemas.openxmlformats.org/officeDocument/2006/relationships/hyperlink" Target="https://blogs.elconfidencial.com/espana/mientras-tanto/2020-03-29/coronavirus-liberalismo-fmi-presupuestos-china_2523451/" TargetMode="External"/><Relationship Id="rId211" Type="http://schemas.openxmlformats.org/officeDocument/2006/relationships/image" Target="media/image173.png"/><Relationship Id="rId232" Type="http://schemas.openxmlformats.org/officeDocument/2006/relationships/image" Target="media/image194.jpeg"/><Relationship Id="rId253" Type="http://schemas.openxmlformats.org/officeDocument/2006/relationships/image" Target="media/image215.png"/><Relationship Id="rId274" Type="http://schemas.openxmlformats.org/officeDocument/2006/relationships/hyperlink" Target="http://iresearch.worldbank.org/PovcalNet/index.htm" TargetMode="External"/><Relationship Id="rId295" Type="http://schemas.openxmlformats.org/officeDocument/2006/relationships/hyperlink" Target="http://www.scielo.org.mx/scielo.php?script=sci_arttext&amp;pid=S0187-69612015000200009#Figura1a" TargetMode="External"/><Relationship Id="rId309" Type="http://schemas.openxmlformats.org/officeDocument/2006/relationships/image" Target="media/image258.png"/><Relationship Id="rId27" Type="http://schemas.openxmlformats.org/officeDocument/2006/relationships/image" Target="media/image14.jpeg"/><Relationship Id="rId48" Type="http://schemas.openxmlformats.org/officeDocument/2006/relationships/hyperlink" Target="https://www.elconfidencial.com/economia/2020-04-07/espana-aleja-italia-eurogrupo-condiciones-mede_2538608/" TargetMode="External"/><Relationship Id="rId69" Type="http://schemas.openxmlformats.org/officeDocument/2006/relationships/image" Target="media/image40.png"/><Relationship Id="rId113" Type="http://schemas.openxmlformats.org/officeDocument/2006/relationships/image" Target="media/image80.png"/><Relationship Id="rId134" Type="http://schemas.openxmlformats.org/officeDocument/2006/relationships/image" Target="media/image96.png"/><Relationship Id="rId320" Type="http://schemas.openxmlformats.org/officeDocument/2006/relationships/image" Target="media/image269.png"/><Relationship Id="rId80" Type="http://schemas.openxmlformats.org/officeDocument/2006/relationships/image" Target="media/image51.jpeg"/><Relationship Id="rId155" Type="http://schemas.openxmlformats.org/officeDocument/2006/relationships/image" Target="media/image117.png"/><Relationship Id="rId176" Type="http://schemas.openxmlformats.org/officeDocument/2006/relationships/image" Target="media/image138.png"/><Relationship Id="rId197" Type="http://schemas.openxmlformats.org/officeDocument/2006/relationships/image" Target="media/image159.png"/><Relationship Id="rId341" Type="http://schemas.openxmlformats.org/officeDocument/2006/relationships/image" Target="media/image290.jpeg"/><Relationship Id="rId201" Type="http://schemas.openxmlformats.org/officeDocument/2006/relationships/image" Target="media/image163.png"/><Relationship Id="rId222" Type="http://schemas.openxmlformats.org/officeDocument/2006/relationships/image" Target="media/image184.png"/><Relationship Id="rId243" Type="http://schemas.openxmlformats.org/officeDocument/2006/relationships/image" Target="media/image205.png"/><Relationship Id="rId264" Type="http://schemas.openxmlformats.org/officeDocument/2006/relationships/image" Target="media/image226.png"/><Relationship Id="rId285" Type="http://schemas.openxmlformats.org/officeDocument/2006/relationships/hyperlink" Target="http://www.scielo.org.mx/scielo.php?script=sci_arttext&amp;pid=S0187-69612015000200009" TargetMode="External"/><Relationship Id="rId17" Type="http://schemas.openxmlformats.org/officeDocument/2006/relationships/image" Target="media/image10.jpeg"/><Relationship Id="rId38" Type="http://schemas.openxmlformats.org/officeDocument/2006/relationships/hyperlink" Target="https://www.elconfidencial.com/espana/comunidad-valenciana/2020-04-08/gobierno-test-confinamiento-economico-coronavirus_2540532/" TargetMode="External"/><Relationship Id="rId59" Type="http://schemas.openxmlformats.org/officeDocument/2006/relationships/image" Target="media/image30.gif"/><Relationship Id="rId103" Type="http://schemas.openxmlformats.org/officeDocument/2006/relationships/image" Target="media/image70.png"/><Relationship Id="rId124" Type="http://schemas.openxmlformats.org/officeDocument/2006/relationships/image" Target="media/image86.png"/><Relationship Id="rId310" Type="http://schemas.openxmlformats.org/officeDocument/2006/relationships/image" Target="media/image259.png"/><Relationship Id="rId70" Type="http://schemas.openxmlformats.org/officeDocument/2006/relationships/image" Target="media/image41.png"/><Relationship Id="rId91" Type="http://schemas.openxmlformats.org/officeDocument/2006/relationships/hyperlink" Target="https://www.elconfidencial.com/mercados/the-wall-street-journal/2020-05-03/globalizacion-tocada-no-hundida_2574748/" TargetMode="External"/><Relationship Id="rId145" Type="http://schemas.openxmlformats.org/officeDocument/2006/relationships/image" Target="media/image107.png"/><Relationship Id="rId166" Type="http://schemas.openxmlformats.org/officeDocument/2006/relationships/image" Target="media/image128.png"/><Relationship Id="rId187" Type="http://schemas.openxmlformats.org/officeDocument/2006/relationships/image" Target="media/image149.png"/><Relationship Id="rId331" Type="http://schemas.openxmlformats.org/officeDocument/2006/relationships/image" Target="media/image280.jpeg"/><Relationship Id="rId352" Type="http://schemas.openxmlformats.org/officeDocument/2006/relationships/fontTable" Target="fontTable.xml"/><Relationship Id="rId1" Type="http://schemas.openxmlformats.org/officeDocument/2006/relationships/numbering" Target="numbering.xml"/><Relationship Id="rId212" Type="http://schemas.openxmlformats.org/officeDocument/2006/relationships/image" Target="media/image174.png"/><Relationship Id="rId233" Type="http://schemas.openxmlformats.org/officeDocument/2006/relationships/image" Target="media/image195.jpeg"/><Relationship Id="rId254" Type="http://schemas.openxmlformats.org/officeDocument/2006/relationships/image" Target="media/image216.png"/><Relationship Id="rId28" Type="http://schemas.openxmlformats.org/officeDocument/2006/relationships/hyperlink" Target="https://www.elconfidencial.com/economia/2019-10-11/boom-deuda-empresarial-dispara-alarmas-supervisores_2278008/" TargetMode="External"/><Relationship Id="rId49" Type="http://schemas.openxmlformats.org/officeDocument/2006/relationships/image" Target="media/image20.png"/><Relationship Id="rId114" Type="http://schemas.openxmlformats.org/officeDocument/2006/relationships/image" Target="media/image81.png"/><Relationship Id="rId275" Type="http://schemas.openxmlformats.org/officeDocument/2006/relationships/image" Target="media/image236.png"/><Relationship Id="rId296" Type="http://schemas.openxmlformats.org/officeDocument/2006/relationships/image" Target="media/image248.jpeg"/><Relationship Id="rId300" Type="http://schemas.openxmlformats.org/officeDocument/2006/relationships/image" Target="media/image249.jpeg"/><Relationship Id="rId60" Type="http://schemas.openxmlformats.org/officeDocument/2006/relationships/image" Target="media/image31.jpeg"/><Relationship Id="rId81" Type="http://schemas.openxmlformats.org/officeDocument/2006/relationships/image" Target="media/image52.jpeg"/><Relationship Id="rId135" Type="http://schemas.openxmlformats.org/officeDocument/2006/relationships/image" Target="media/image97.png"/><Relationship Id="rId156" Type="http://schemas.openxmlformats.org/officeDocument/2006/relationships/image" Target="media/image118.png"/><Relationship Id="rId177" Type="http://schemas.openxmlformats.org/officeDocument/2006/relationships/image" Target="media/image139.png"/><Relationship Id="rId198" Type="http://schemas.openxmlformats.org/officeDocument/2006/relationships/image" Target="media/image160.png"/><Relationship Id="rId321" Type="http://schemas.openxmlformats.org/officeDocument/2006/relationships/image" Target="media/image270.png"/><Relationship Id="rId342" Type="http://schemas.openxmlformats.org/officeDocument/2006/relationships/image" Target="media/image291.jpeg"/><Relationship Id="rId202" Type="http://schemas.openxmlformats.org/officeDocument/2006/relationships/image" Target="media/image164.png"/><Relationship Id="rId223" Type="http://schemas.openxmlformats.org/officeDocument/2006/relationships/image" Target="media/image185.png"/><Relationship Id="rId244" Type="http://schemas.openxmlformats.org/officeDocument/2006/relationships/image" Target="media/image206.png"/><Relationship Id="rId18" Type="http://schemas.openxmlformats.org/officeDocument/2006/relationships/hyperlink" Target="https://www.eleconomista.es/economia/noticias/10452602/03/20/Deutsche-Bank-anticipa-un-colapso-de-la-economia-espanola-del-20-sera-la-potencia-europea-mas-castigada.html" TargetMode="External"/><Relationship Id="rId39" Type="http://schemas.openxmlformats.org/officeDocument/2006/relationships/hyperlink" Target="https://www.elconfidencial.com/economia/2020-04-08/ceoe-desplome-pib-espanol-superuir-francia_2539763/" TargetMode="External"/><Relationship Id="rId265" Type="http://schemas.openxmlformats.org/officeDocument/2006/relationships/image" Target="media/image227.png"/><Relationship Id="rId286" Type="http://schemas.openxmlformats.org/officeDocument/2006/relationships/hyperlink" Target="http://www.scielo.org.mx/scielo.php?script=sci_arttext&amp;pid=S0187-69612015000200009" TargetMode="External"/><Relationship Id="rId50" Type="http://schemas.openxmlformats.org/officeDocument/2006/relationships/image" Target="media/image21.jpeg"/><Relationship Id="rId104" Type="http://schemas.openxmlformats.org/officeDocument/2006/relationships/image" Target="media/image71.png"/><Relationship Id="rId125" Type="http://schemas.openxmlformats.org/officeDocument/2006/relationships/image" Target="media/image87.png"/><Relationship Id="rId146" Type="http://schemas.openxmlformats.org/officeDocument/2006/relationships/image" Target="media/image108.png"/><Relationship Id="rId167" Type="http://schemas.openxmlformats.org/officeDocument/2006/relationships/image" Target="media/image129.png"/><Relationship Id="rId188" Type="http://schemas.openxmlformats.org/officeDocument/2006/relationships/image" Target="media/image150.png"/><Relationship Id="rId311" Type="http://schemas.openxmlformats.org/officeDocument/2006/relationships/image" Target="media/image260.png"/><Relationship Id="rId332" Type="http://schemas.openxmlformats.org/officeDocument/2006/relationships/image" Target="media/image281.jpeg"/><Relationship Id="rId353" Type="http://schemas.openxmlformats.org/officeDocument/2006/relationships/theme" Target="theme/theme1.xml"/><Relationship Id="rId71" Type="http://schemas.openxmlformats.org/officeDocument/2006/relationships/image" Target="media/image42.png"/><Relationship Id="rId92" Type="http://schemas.openxmlformats.org/officeDocument/2006/relationships/hyperlink" Target="https://www.elconfidencial.com/espana/2020-05-23/consejeros-veronica-casado-jesus-fernandez-hemos-llorado-covid_2607364/" TargetMode="External"/><Relationship Id="rId213" Type="http://schemas.openxmlformats.org/officeDocument/2006/relationships/image" Target="media/image175.png"/><Relationship Id="rId234" Type="http://schemas.openxmlformats.org/officeDocument/2006/relationships/image" Target="media/image196.jpeg"/><Relationship Id="rId2" Type="http://schemas.openxmlformats.org/officeDocument/2006/relationships/styles" Target="styles.xml"/><Relationship Id="rId29" Type="http://schemas.openxmlformats.org/officeDocument/2006/relationships/hyperlink" Target="https://www.elconfidencial.com/economia/2020-04-07/peor-crisis-ii-guerra-mundial-empleo-perdido-millones-coronavirus_2537852/" TargetMode="External"/><Relationship Id="rId255" Type="http://schemas.openxmlformats.org/officeDocument/2006/relationships/image" Target="media/image217.png"/><Relationship Id="rId276" Type="http://schemas.openxmlformats.org/officeDocument/2006/relationships/image" Target="media/image237.png"/><Relationship Id="rId297" Type="http://schemas.openxmlformats.org/officeDocument/2006/relationships/hyperlink" Target="http://www.scielo.org.mx/scielo.php?script=sci_arttext&amp;pid=S0187-69612015000200009" TargetMode="External"/><Relationship Id="rId40" Type="http://schemas.openxmlformats.org/officeDocument/2006/relationships/image" Target="media/image17.jpeg"/><Relationship Id="rId115" Type="http://schemas.openxmlformats.org/officeDocument/2006/relationships/image" Target="media/image82.emf"/><Relationship Id="rId136" Type="http://schemas.openxmlformats.org/officeDocument/2006/relationships/image" Target="media/image98.png"/><Relationship Id="rId157" Type="http://schemas.openxmlformats.org/officeDocument/2006/relationships/image" Target="media/image119.png"/><Relationship Id="rId178" Type="http://schemas.openxmlformats.org/officeDocument/2006/relationships/image" Target="media/image140.png"/><Relationship Id="rId301" Type="http://schemas.openxmlformats.org/officeDocument/2006/relationships/image" Target="media/image250.png"/><Relationship Id="rId322" Type="http://schemas.openxmlformats.org/officeDocument/2006/relationships/image" Target="media/image271.png"/><Relationship Id="rId343" Type="http://schemas.openxmlformats.org/officeDocument/2006/relationships/image" Target="media/image292.jpeg"/><Relationship Id="rId61" Type="http://schemas.openxmlformats.org/officeDocument/2006/relationships/image" Target="media/image32.jpeg"/><Relationship Id="rId82" Type="http://schemas.openxmlformats.org/officeDocument/2006/relationships/image" Target="media/image53.gif"/><Relationship Id="rId199" Type="http://schemas.openxmlformats.org/officeDocument/2006/relationships/image" Target="media/image161.png"/><Relationship Id="rId203" Type="http://schemas.openxmlformats.org/officeDocument/2006/relationships/image" Target="media/image165.png"/><Relationship Id="rId19" Type="http://schemas.openxmlformats.org/officeDocument/2006/relationships/image" Target="media/image11.jpeg"/><Relationship Id="rId224" Type="http://schemas.openxmlformats.org/officeDocument/2006/relationships/image" Target="media/image186.png"/><Relationship Id="rId245" Type="http://schemas.openxmlformats.org/officeDocument/2006/relationships/image" Target="media/image207.png"/><Relationship Id="rId266" Type="http://schemas.openxmlformats.org/officeDocument/2006/relationships/image" Target="media/image228.png"/><Relationship Id="rId287" Type="http://schemas.openxmlformats.org/officeDocument/2006/relationships/hyperlink" Target="http://www.scielo.org.mx/scielo.php?script=sci_arttext&amp;pid=S0187-69612015000200009#Cuadro3b" TargetMode="External"/><Relationship Id="rId30" Type="http://schemas.openxmlformats.org/officeDocument/2006/relationships/hyperlink" Target="https://www.elconfidencial.com/economia/2020-04-05/economia-sumergida-coronavirus-pandemia-negro-hosteleria_2534287/" TargetMode="External"/><Relationship Id="rId105" Type="http://schemas.openxmlformats.org/officeDocument/2006/relationships/image" Target="media/image72.png"/><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image" Target="media/image130.png"/><Relationship Id="rId312" Type="http://schemas.openxmlformats.org/officeDocument/2006/relationships/image" Target="media/image261.jpeg"/><Relationship Id="rId333" Type="http://schemas.openxmlformats.org/officeDocument/2006/relationships/image" Target="media/image282.jpeg"/><Relationship Id="rId354" Type="http://schemas.microsoft.com/office/2007/relationships/stylesWithEffects" Target="stylesWithEffects.xml"/><Relationship Id="rId51" Type="http://schemas.openxmlformats.org/officeDocument/2006/relationships/image" Target="media/image22.jpeg"/><Relationship Id="rId72" Type="http://schemas.openxmlformats.org/officeDocument/2006/relationships/image" Target="media/image43.gif"/><Relationship Id="rId93" Type="http://schemas.openxmlformats.org/officeDocument/2006/relationships/hyperlink" Target="https://blogs.elconfidencial.com/espana/mientras-tanto/2020-03-29/coronavirus-liberalismo-fmi-presupuestos-china_2523451/" TargetMode="External"/><Relationship Id="rId189" Type="http://schemas.openxmlformats.org/officeDocument/2006/relationships/image" Target="media/image151.png"/><Relationship Id="rId3" Type="http://schemas.openxmlformats.org/officeDocument/2006/relationships/settings" Target="settings.xml"/><Relationship Id="rId214" Type="http://schemas.openxmlformats.org/officeDocument/2006/relationships/image" Target="media/image176.png"/><Relationship Id="rId235" Type="http://schemas.openxmlformats.org/officeDocument/2006/relationships/image" Target="media/image197.jpeg"/><Relationship Id="rId256" Type="http://schemas.openxmlformats.org/officeDocument/2006/relationships/image" Target="media/image218.png"/><Relationship Id="rId277" Type="http://schemas.openxmlformats.org/officeDocument/2006/relationships/image" Target="media/image238.png"/><Relationship Id="rId298" Type="http://schemas.openxmlformats.org/officeDocument/2006/relationships/hyperlink" Target="http://www.scielo.org.mx/scielo.php?script=sci_arttext&amp;pid=S0187-69612015000200009" TargetMode="External"/><Relationship Id="rId116" Type="http://schemas.openxmlformats.org/officeDocument/2006/relationships/package" Target="embeddings/Hoja_de_c_lculo_de_Microsoft_Office_Excel1.xlsx"/><Relationship Id="rId137" Type="http://schemas.openxmlformats.org/officeDocument/2006/relationships/image" Target="media/image99.png"/><Relationship Id="rId158" Type="http://schemas.openxmlformats.org/officeDocument/2006/relationships/image" Target="media/image120.png"/><Relationship Id="rId302" Type="http://schemas.openxmlformats.org/officeDocument/2006/relationships/image" Target="media/image251.png"/><Relationship Id="rId323" Type="http://schemas.openxmlformats.org/officeDocument/2006/relationships/image" Target="media/image272.png"/><Relationship Id="rId344" Type="http://schemas.openxmlformats.org/officeDocument/2006/relationships/image" Target="media/image29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86683</Words>
  <Characters>494096</Characters>
  <Application>Microsoft Office Word</Application>
  <DocSecurity>0</DocSecurity>
  <Lines>4117</Lines>
  <Paragraphs>1159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579620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4</cp:revision>
  <dcterms:created xsi:type="dcterms:W3CDTF">2020-07-22T08:31:00Z</dcterms:created>
  <dcterms:modified xsi:type="dcterms:W3CDTF">2021-01-15T00:04:00Z</dcterms:modified>
</cp:coreProperties>
</file>